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856" w:rsidRPr="009E7E5D" w:rsidRDefault="000C1856" w:rsidP="000C1856">
      <w:pPr>
        <w:spacing w:after="0" w:line="240" w:lineRule="auto"/>
        <w:rPr>
          <w:rFonts w:ascii="Fira Sans Extra Condensed" w:eastAsia="Times New Roman" w:hAnsi="Fira Sans Extra Condensed" w:cs="Times New Roman"/>
          <w:b/>
          <w:sz w:val="40"/>
          <w:szCs w:val="40"/>
          <w:lang w:val="en-US" w:eastAsia="pl-PL"/>
        </w:rPr>
      </w:pPr>
      <w:r w:rsidRPr="009E7E5D">
        <w:rPr>
          <w:rFonts w:ascii="Fira Sans Extra Condensed" w:eastAsia="Times New Roman" w:hAnsi="Fira Sans Extra Condensed" w:cs="Times New Roman"/>
          <w:b/>
          <w:sz w:val="40"/>
          <w:szCs w:val="40"/>
          <w:lang w:val="en-US" w:eastAsia="pl-PL"/>
        </w:rPr>
        <w:t>Financial</w:t>
      </w:r>
      <w:r w:rsidR="00D675E6">
        <w:rPr>
          <w:rFonts w:ascii="Fira Sans Extra Condensed" w:eastAsia="Times New Roman" w:hAnsi="Fira Sans Extra Condensed" w:cs="Times New Roman"/>
          <w:b/>
          <w:sz w:val="40"/>
          <w:szCs w:val="40"/>
          <w:lang w:val="en-US" w:eastAsia="pl-PL"/>
        </w:rPr>
        <w:t xml:space="preserve"> results of investment funds </w:t>
      </w:r>
      <w:r w:rsidRPr="009E7E5D">
        <w:rPr>
          <w:rFonts w:ascii="Fira Sans Extra Condensed" w:eastAsia="Times New Roman" w:hAnsi="Fira Sans Extra Condensed" w:cs="Times New Roman"/>
          <w:b/>
          <w:sz w:val="40"/>
          <w:szCs w:val="40"/>
          <w:lang w:val="en-US" w:eastAsia="pl-PL"/>
        </w:rPr>
        <w:t>in 2019</w:t>
      </w:r>
    </w:p>
    <w:p w:rsidR="0098135C" w:rsidRPr="000744E8" w:rsidRDefault="0098135C" w:rsidP="00074DD8">
      <w:pPr>
        <w:pStyle w:val="tytuinformacji"/>
        <w:rPr>
          <w:shd w:val="clear" w:color="auto" w:fill="FFFFFF"/>
          <w:lang w:val="en-US"/>
        </w:rPr>
      </w:pPr>
    </w:p>
    <w:p w:rsidR="00393761" w:rsidRPr="000744E8" w:rsidRDefault="00393761" w:rsidP="00074DD8">
      <w:pPr>
        <w:pStyle w:val="tytuinformacji"/>
        <w:rPr>
          <w:sz w:val="32"/>
          <w:lang w:val="en-US"/>
        </w:rPr>
      </w:pPr>
    </w:p>
    <w:p w:rsidR="00946D1D" w:rsidRPr="00946D1D" w:rsidRDefault="00487050" w:rsidP="00946D1D">
      <w:pPr>
        <w:pStyle w:val="LID"/>
        <w:spacing w:after="20"/>
        <w:rPr>
          <w:noProof w:val="0"/>
          <w:szCs w:val="22"/>
          <w:lang w:val="en-US"/>
        </w:rPr>
      </w:pPr>
      <w:r>
        <w:rPr>
          <w:noProof w:val="0"/>
          <w:szCs w:val="22"/>
          <w:lang w:val="en-US"/>
        </w:rPr>
        <w:pict>
          <v:shapetype id="_x0000_t202" coordsize="21600,21600" o:spt="202" path="m,l,21600r21600,l21600,xe">
            <v:stroke joinstyle="miter"/>
            <v:path gradientshapeok="t" o:connecttype="rect"/>
          </v:shapetype>
          <v:shape id="Pole tekstowe 2" o:spid="_x0000_s1026" type="#_x0000_t202" style="position:absolute;margin-left:0;margin-top:6.5pt;width:2in;height:94.05pt;z-index:25167667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xJ6KAIAACM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" fillcolor="#001d77" stroked="f">
            <v:textbox style="mso-next-textbox:#Pole tekstowe 2">
              <w:txbxContent>
                <w:p w:rsidR="00933EC1" w:rsidRPr="00B66B19" w:rsidRDefault="00487050" w:rsidP="00633014">
                  <w:pPr>
                    <w:spacing w:after="0" w:line="240" w:lineRule="auto"/>
                    <w:rPr>
                      <w:rFonts w:ascii="Fira Sans SemiBold" w:hAnsi="Fira Sans SemiBold"/>
                      <w:color w:val="FFFFFF" w:themeColor="background1"/>
                      <w:sz w:val="72"/>
                    </w:rPr>
                  </w:pPr>
                  <w:r>
                    <w:rPr>
                      <w:rFonts w:asciiTheme="minorHAnsi" w:hAnsiTheme="minorHAnsi"/>
                      <w:color w:val="001D77"/>
                      <w:sz w:val="22"/>
                    </w:rPr>
                    <w:pict>
                      <v:shape id="Obraz 33" o:spid="_x0000_i1025" type="#_x0000_t75" style="width:26.5pt;height:26.5pt;visibility:visible;mso-wrap-style:square" o:bullet="t">
                        <v:imagedata r:id="rId10" o:title=""/>
                      </v:shape>
                    </w:pict>
                  </w:r>
                  <w:r w:rsidR="003B3875">
                    <w:rPr>
                      <w:rFonts w:asciiTheme="minorHAnsi" w:hAnsiTheme="minorHAnsi"/>
                      <w:color w:val="001D77"/>
                      <w:sz w:val="22"/>
                    </w:rPr>
                    <w:t xml:space="preserve"> </w:t>
                  </w:r>
                  <w:r w:rsidR="0027009D" w:rsidRPr="0027009D">
                    <w:rPr>
                      <w:rFonts w:ascii="Fira Sans SemiBold" w:hAnsi="Fira Sans SemiBold"/>
                      <w:color w:val="FFFFFF" w:themeColor="background1"/>
                      <w:sz w:val="56"/>
                      <w:szCs w:val="56"/>
                    </w:rPr>
                    <w:t>100,5</w:t>
                  </w:r>
                  <w:r w:rsidR="00262720" w:rsidRPr="0027009D">
                    <w:rPr>
                      <w:rFonts w:ascii="Fira Sans SemiBold" w:hAnsi="Fira Sans SemiBold"/>
                      <w:color w:val="FFFFFF" w:themeColor="background1"/>
                      <w:sz w:val="56"/>
                      <w:szCs w:val="56"/>
                    </w:rPr>
                    <w:t>%</w:t>
                  </w:r>
                </w:p>
                <w:p w:rsidR="009C0B60" w:rsidRPr="009C0B60" w:rsidRDefault="009C0B60" w:rsidP="003B3875">
                  <w:pPr>
                    <w:pStyle w:val="HTML-wstpniesformatowany"/>
                    <w:spacing w:before="120"/>
                    <w:rPr>
                      <w:rFonts w:ascii="Fira Sans" w:eastAsiaTheme="minorHAnsi" w:hAnsi="Fira Sans" w:cstheme="minorBidi"/>
                      <w:sz w:val="19"/>
                      <w:szCs w:val="22"/>
                      <w:lang w:val="en-US"/>
                    </w:rPr>
                  </w:pPr>
                  <w:r w:rsidRPr="009C0B60">
                    <w:rPr>
                      <w:rFonts w:ascii="Fira Sans" w:eastAsiaTheme="minorHAnsi" w:hAnsi="Fira Sans" w:cstheme="minorBidi"/>
                      <w:sz w:val="19"/>
                      <w:szCs w:val="22"/>
                      <w:lang w:val="en-US"/>
                    </w:rPr>
                    <w:t>Dynamics of the value of investment funds' assets</w:t>
                  </w:r>
                </w:p>
                <w:p w:rsidR="00933EC1" w:rsidRPr="000744E8" w:rsidRDefault="00933EC1" w:rsidP="00074DD8">
                  <w:pPr>
                    <w:pStyle w:val="tekstnaniebieskimtle"/>
                    <w:rPr>
                      <w:color w:val="FFFFFF" w:themeColor="background1"/>
                      <w:sz w:val="18"/>
                      <w:szCs w:val="20"/>
                      <w:lang w:val="en-US"/>
                    </w:rPr>
                  </w:pPr>
                </w:p>
              </w:txbxContent>
            </v:textbox>
            <w10:wrap type="square" anchorx="margin"/>
          </v:shape>
        </w:pict>
      </w:r>
      <w:r w:rsidR="00946D1D" w:rsidRPr="00946D1D">
        <w:rPr>
          <w:noProof w:val="0"/>
          <w:szCs w:val="22"/>
          <w:lang w:val="en-US"/>
        </w:rPr>
        <w:t>The value of total assets collected by investment funds at the end of December 2019 amounted to PLN 314.2 billion (an increase by 0.5% compared to the previous year). In 2019, investment funds achieved a positive result on operations in the amount of PLN 13.4 billion (PLN 6.0 billion more than in the previous year). The value of the funds' investments increased to PLN 282.0 billion (by 3.0%).</w:t>
      </w:r>
    </w:p>
    <w:p w:rsidR="00003437" w:rsidRPr="000744E8" w:rsidRDefault="00487050" w:rsidP="00D33CF4">
      <w:pPr>
        <w:pStyle w:val="LID"/>
        <w:rPr>
          <w:bCs/>
          <w:lang w:val="en-US"/>
        </w:rPr>
      </w:pPr>
      <w:r>
        <w:rPr>
          <w:spacing w:val="-2"/>
          <w:sz w:val="40"/>
          <w:lang w:eastAsia="en-US"/>
        </w:rPr>
        <w:pict>
          <v:shape id="_x0000_s1027" type="#_x0000_t202" style="position:absolute;margin-left:264.15pt;margin-top:22.8pt;width:121.5pt;height:82.15pt;z-index:-251641856;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" filled="f" stroked="f">
            <v:textbox>
              <w:txbxContent>
                <w:p w:rsidR="009D0C48" w:rsidRPr="009D0C48" w:rsidRDefault="009D0C48" w:rsidP="009D0C48">
                  <w:pPr>
                    <w:pStyle w:val="HTML-wstpniesformatowany"/>
                    <w:rPr>
                      <w:rFonts w:ascii="Fira Sans" w:hAnsi="Fira Sans" w:cs="Times New Roman"/>
                      <w:bCs/>
                      <w:color w:val="001D77"/>
                      <w:sz w:val="18"/>
                      <w:szCs w:val="18"/>
                      <w:lang w:val="en-US"/>
                    </w:rPr>
                  </w:pPr>
                  <w:r w:rsidRPr="009D0C48">
                    <w:rPr>
                      <w:rFonts w:ascii="Fira Sans" w:hAnsi="Fira Sans" w:cs="Times New Roman"/>
                      <w:bCs/>
                      <w:color w:val="001D77"/>
                      <w:sz w:val="18"/>
                      <w:szCs w:val="18"/>
                      <w:lang w:val="en-US"/>
                    </w:rPr>
                    <w:t>In 2019, the value of total assets of investment funds amounted to PLN 314.2 billion.</w:t>
                  </w:r>
                </w:p>
                <w:p w:rsidR="006C567C" w:rsidRPr="009E7E5D" w:rsidRDefault="006C567C" w:rsidP="006C567C">
                  <w:pPr>
                    <w:spacing w:after="0" w:line="240" w:lineRule="auto"/>
                    <w:rPr>
                      <w:rFonts w:eastAsia="Times New Roman" w:cs="Times New Roman"/>
                      <w:bCs/>
                      <w:color w:val="001D77"/>
                      <w:sz w:val="18"/>
                      <w:szCs w:val="18"/>
                      <w:lang w:val="en-US" w:eastAsia="pl-PL"/>
                    </w:rPr>
                  </w:pPr>
                </w:p>
                <w:p w:rsidR="00345A97" w:rsidRPr="000744E8" w:rsidRDefault="00345A97" w:rsidP="00345A97">
                  <w:pPr>
                    <w:spacing w:after="0"/>
                    <w:rPr>
                      <w:rFonts w:eastAsia="Times New Roman" w:cs="Times New Roman"/>
                      <w:bCs/>
                      <w:color w:val="001D77"/>
                      <w:sz w:val="18"/>
                      <w:szCs w:val="18"/>
                      <w:lang w:val="en-US" w:eastAsia="pl-PL"/>
                    </w:rPr>
                  </w:pPr>
                </w:p>
                <w:p w:rsidR="00D616D2" w:rsidRPr="000744E8" w:rsidRDefault="00D616D2" w:rsidP="00D616D2">
                  <w:pPr>
                    <w:spacing w:after="0"/>
                    <w:rPr>
                      <w:rFonts w:eastAsia="Times New Roman" w:cs="Times New Roman"/>
                      <w:bCs/>
                      <w:color w:val="001D77"/>
                      <w:sz w:val="18"/>
                      <w:szCs w:val="18"/>
                      <w:lang w:val="en-US" w:eastAsia="pl-PL"/>
                    </w:rPr>
                  </w:pPr>
                </w:p>
              </w:txbxContent>
            </v:textbox>
            <w10:wrap type="tight"/>
          </v:shape>
        </w:pict>
      </w:r>
    </w:p>
    <w:p w:rsidR="00E11D70" w:rsidRPr="003B3875" w:rsidRDefault="00E11D70" w:rsidP="00E11D70">
      <w:pPr>
        <w:rPr>
          <w:spacing w:val="-2"/>
          <w:sz w:val="18"/>
          <w:shd w:val="clear" w:color="auto" w:fill="FFFFFF"/>
          <w:lang w:val="en-US"/>
        </w:rPr>
      </w:pPr>
      <w:r w:rsidRPr="003B3875">
        <w:rPr>
          <w:b/>
          <w:spacing w:val="-2"/>
          <w:sz w:val="18"/>
          <w:shd w:val="clear" w:color="auto" w:fill="FFFFFF"/>
          <w:lang w:val="en-US"/>
        </w:rPr>
        <w:t xml:space="preserve">Table 1. Basic data of </w:t>
      </w:r>
      <w:r w:rsidR="008E11C5" w:rsidRPr="003B3875">
        <w:rPr>
          <w:b/>
          <w:spacing w:val="-2"/>
          <w:sz w:val="18"/>
          <w:shd w:val="clear" w:color="auto" w:fill="FFFFFF"/>
          <w:lang w:val="en-US"/>
        </w:rPr>
        <w:t xml:space="preserve"> </w:t>
      </w:r>
      <w:r w:rsidRPr="003B3875">
        <w:rPr>
          <w:b/>
          <w:spacing w:val="-2"/>
          <w:sz w:val="18"/>
          <w:shd w:val="clear" w:color="auto" w:fill="FFFFFF"/>
          <w:lang w:val="en-US"/>
        </w:rPr>
        <w:t>investment funds</w:t>
      </w:r>
    </w:p>
    <w:tbl>
      <w:tblPr>
        <w:tblStyle w:val="Siatkatabelijasna1"/>
        <w:tblpPr w:leftFromText="141" w:rightFromText="141" w:vertAnchor="text" w:horzAnchor="margin" w:tblpY="129"/>
        <w:tblW w:w="7926"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823"/>
        <w:gridCol w:w="1701"/>
        <w:gridCol w:w="1701"/>
        <w:gridCol w:w="1701"/>
      </w:tblGrid>
      <w:tr w:rsidR="00E11D70" w:rsidRPr="001A3D3F" w:rsidTr="00216B15">
        <w:trPr>
          <w:trHeight w:val="57"/>
        </w:trPr>
        <w:tc>
          <w:tcPr>
            <w:tcW w:w="2823" w:type="dxa"/>
            <w:vMerge w:val="restart"/>
            <w:vAlign w:val="center"/>
          </w:tcPr>
          <w:p w:rsidR="00E11D70" w:rsidRPr="001A3D3F" w:rsidRDefault="0011784B" w:rsidP="00216B15">
            <w:pPr>
              <w:pStyle w:val="Nagwek1"/>
              <w:tabs>
                <w:tab w:val="right" w:leader="dot" w:pos="4139"/>
              </w:tabs>
              <w:jc w:val="center"/>
              <w:outlineLvl w:val="0"/>
              <w:rPr>
                <w:rFonts w:ascii="Fira Sans" w:hAnsi="Fira Sans" w:cs="Arial"/>
                <w:b/>
                <w:bCs w:val="0"/>
                <w:color w:val="000000" w:themeColor="text1"/>
                <w:sz w:val="16"/>
                <w:szCs w:val="16"/>
              </w:rPr>
            </w:pPr>
            <w:r>
              <w:rPr>
                <w:rFonts w:ascii="Fira Sans" w:hAnsi="Fira Sans" w:cs="Arial"/>
                <w:color w:val="000000" w:themeColor="text1"/>
                <w:sz w:val="16"/>
                <w:szCs w:val="16"/>
              </w:rPr>
              <w:t>SPECIFICATION</w:t>
            </w:r>
          </w:p>
        </w:tc>
        <w:tc>
          <w:tcPr>
            <w:tcW w:w="1701" w:type="dxa"/>
            <w:vAlign w:val="center"/>
          </w:tcPr>
          <w:p w:rsidR="00E11D70" w:rsidRPr="001A3D3F" w:rsidRDefault="00E11D70"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8</w:t>
            </w:r>
          </w:p>
        </w:tc>
        <w:tc>
          <w:tcPr>
            <w:tcW w:w="1701" w:type="dxa"/>
            <w:vAlign w:val="center"/>
          </w:tcPr>
          <w:p w:rsidR="00E11D70" w:rsidRPr="001A3D3F" w:rsidRDefault="00E11D70"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9</w:t>
            </w:r>
          </w:p>
        </w:tc>
        <w:tc>
          <w:tcPr>
            <w:tcW w:w="1701" w:type="dxa"/>
            <w:vMerge w:val="restart"/>
            <w:vAlign w:val="center"/>
          </w:tcPr>
          <w:p w:rsidR="00E11D70" w:rsidRPr="001A3D3F" w:rsidRDefault="00E11D70"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2018</w:t>
            </w:r>
            <w:r w:rsidRPr="001A3D3F">
              <w:rPr>
                <w:rFonts w:ascii="Fira Sans" w:hAnsi="Fira Sans"/>
                <w:color w:val="000000" w:themeColor="text1"/>
                <w:sz w:val="16"/>
                <w:szCs w:val="16"/>
              </w:rPr>
              <w:t>=100</w:t>
            </w:r>
          </w:p>
        </w:tc>
      </w:tr>
      <w:tr w:rsidR="00E11D70" w:rsidRPr="001A3D3F" w:rsidTr="00216B15">
        <w:trPr>
          <w:trHeight w:val="57"/>
        </w:trPr>
        <w:tc>
          <w:tcPr>
            <w:tcW w:w="2823" w:type="dxa"/>
            <w:vMerge/>
            <w:tcBorders>
              <w:bottom w:val="single" w:sz="12" w:space="0" w:color="212492"/>
            </w:tcBorders>
            <w:vAlign w:val="center"/>
          </w:tcPr>
          <w:p w:rsidR="00E11D70" w:rsidRPr="001A3D3F" w:rsidRDefault="00E11D70" w:rsidP="00216B15">
            <w:pPr>
              <w:pStyle w:val="Nagwek1"/>
              <w:tabs>
                <w:tab w:val="right" w:leader="dot" w:pos="4139"/>
              </w:tabs>
              <w:spacing w:before="0" w:after="0"/>
              <w:jc w:val="center"/>
              <w:outlineLvl w:val="0"/>
              <w:rPr>
                <w:rFonts w:ascii="Fira Sans" w:hAnsi="Fira Sans" w:cs="Arial"/>
                <w:color w:val="000000" w:themeColor="text1"/>
                <w:sz w:val="16"/>
                <w:szCs w:val="16"/>
              </w:rPr>
            </w:pPr>
          </w:p>
        </w:tc>
        <w:tc>
          <w:tcPr>
            <w:tcW w:w="3402" w:type="dxa"/>
            <w:gridSpan w:val="2"/>
            <w:tcBorders>
              <w:bottom w:val="single" w:sz="12" w:space="0" w:color="212492"/>
            </w:tcBorders>
            <w:vAlign w:val="center"/>
          </w:tcPr>
          <w:p w:rsidR="00E11D70" w:rsidRPr="001A3D3F" w:rsidRDefault="006907F9"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i</w:t>
            </w:r>
            <w:r w:rsidR="0011784B">
              <w:rPr>
                <w:rFonts w:ascii="Fira Sans" w:hAnsi="Fira Sans"/>
                <w:color w:val="000000" w:themeColor="text1"/>
                <w:sz w:val="16"/>
                <w:szCs w:val="16"/>
              </w:rPr>
              <w:t>n mil</w:t>
            </w:r>
            <w:r w:rsidR="00B20267">
              <w:rPr>
                <w:rFonts w:ascii="Fira Sans" w:hAnsi="Fira Sans"/>
                <w:color w:val="000000" w:themeColor="text1"/>
                <w:sz w:val="16"/>
                <w:szCs w:val="16"/>
              </w:rPr>
              <w:t>l</w:t>
            </w:r>
            <w:r w:rsidR="0011784B">
              <w:rPr>
                <w:rFonts w:ascii="Fira Sans" w:hAnsi="Fira Sans"/>
                <w:color w:val="000000" w:themeColor="text1"/>
                <w:sz w:val="16"/>
                <w:szCs w:val="16"/>
              </w:rPr>
              <w:t>ion PLN</w:t>
            </w:r>
          </w:p>
        </w:tc>
        <w:tc>
          <w:tcPr>
            <w:tcW w:w="1701" w:type="dxa"/>
            <w:vMerge/>
            <w:tcBorders>
              <w:bottom w:val="single" w:sz="12" w:space="0" w:color="212492"/>
            </w:tcBorders>
            <w:vAlign w:val="center"/>
          </w:tcPr>
          <w:p w:rsidR="00E11D70" w:rsidRPr="001A3D3F" w:rsidRDefault="00E11D70" w:rsidP="00216B15">
            <w:pPr>
              <w:pStyle w:val="Nagwek3"/>
              <w:spacing w:before="0"/>
              <w:jc w:val="center"/>
              <w:outlineLvl w:val="2"/>
              <w:rPr>
                <w:rFonts w:ascii="Fira Sans" w:hAnsi="Fira Sans"/>
                <w:color w:val="000000" w:themeColor="text1"/>
                <w:sz w:val="16"/>
                <w:szCs w:val="16"/>
              </w:rPr>
            </w:pPr>
          </w:p>
        </w:tc>
      </w:tr>
      <w:tr w:rsidR="00E11D70" w:rsidRPr="001A3D3F" w:rsidTr="00216B15">
        <w:trPr>
          <w:trHeight w:hRule="exact" w:val="510"/>
        </w:trPr>
        <w:tc>
          <w:tcPr>
            <w:tcW w:w="2823" w:type="dxa"/>
            <w:tcBorders>
              <w:top w:val="single" w:sz="12" w:space="0" w:color="212492"/>
              <w:bottom w:val="single" w:sz="4" w:space="0" w:color="212492"/>
            </w:tcBorders>
            <w:vAlign w:val="center"/>
          </w:tcPr>
          <w:p w:rsidR="00E11D70" w:rsidRPr="001A3D3F" w:rsidRDefault="00057E5D" w:rsidP="00216B15">
            <w:pPr>
              <w:rPr>
                <w:sz w:val="16"/>
                <w:szCs w:val="16"/>
              </w:rPr>
            </w:pPr>
            <w:r>
              <w:rPr>
                <w:sz w:val="16"/>
                <w:szCs w:val="16"/>
              </w:rPr>
              <w:t>Total assets</w:t>
            </w:r>
            <w:r w:rsidR="00E11D70" w:rsidRPr="001A3D3F">
              <w:rPr>
                <w:sz w:val="16"/>
                <w:szCs w:val="16"/>
              </w:rPr>
              <w:t>:</w:t>
            </w:r>
          </w:p>
        </w:tc>
        <w:tc>
          <w:tcPr>
            <w:tcW w:w="1701" w:type="dxa"/>
            <w:tcBorders>
              <w:top w:val="single" w:sz="12" w:space="0" w:color="212492"/>
              <w:bottom w:val="single" w:sz="4" w:space="0" w:color="212492"/>
            </w:tcBorders>
            <w:vAlign w:val="bottom"/>
          </w:tcPr>
          <w:p w:rsidR="00E11D70" w:rsidRPr="001A3D3F" w:rsidRDefault="00E11D70" w:rsidP="00216B15">
            <w:pPr>
              <w:jc w:val="right"/>
              <w:rPr>
                <w:rFonts w:cs="Arial"/>
                <w:color w:val="000000"/>
                <w:sz w:val="16"/>
                <w:szCs w:val="16"/>
              </w:rPr>
            </w:pPr>
            <w:r>
              <w:rPr>
                <w:rFonts w:cs="Arial"/>
                <w:color w:val="000000"/>
                <w:sz w:val="16"/>
                <w:szCs w:val="16"/>
              </w:rPr>
              <w:t>312 535,1</w:t>
            </w:r>
          </w:p>
        </w:tc>
        <w:tc>
          <w:tcPr>
            <w:tcW w:w="1701" w:type="dxa"/>
            <w:tcBorders>
              <w:top w:val="single" w:sz="12" w:space="0" w:color="212492"/>
              <w:bottom w:val="single" w:sz="4" w:space="0" w:color="212492"/>
            </w:tcBorders>
            <w:vAlign w:val="bottom"/>
          </w:tcPr>
          <w:p w:rsidR="00E11D70" w:rsidRPr="001A3D3F" w:rsidRDefault="00E11D70" w:rsidP="00216B15">
            <w:pPr>
              <w:jc w:val="right"/>
              <w:rPr>
                <w:rFonts w:cs="Arial"/>
                <w:color w:val="000000"/>
                <w:sz w:val="16"/>
                <w:szCs w:val="16"/>
              </w:rPr>
            </w:pPr>
            <w:r>
              <w:rPr>
                <w:rFonts w:cs="Arial"/>
                <w:color w:val="000000"/>
                <w:sz w:val="16"/>
                <w:szCs w:val="16"/>
              </w:rPr>
              <w:t>314 191,2</w:t>
            </w:r>
          </w:p>
        </w:tc>
        <w:tc>
          <w:tcPr>
            <w:tcW w:w="1701" w:type="dxa"/>
            <w:tcBorders>
              <w:top w:val="single" w:sz="12" w:space="0" w:color="212492"/>
              <w:bottom w:val="single" w:sz="4" w:space="0" w:color="212492"/>
            </w:tcBorders>
            <w:vAlign w:val="bottom"/>
          </w:tcPr>
          <w:p w:rsidR="00E11D70" w:rsidRPr="001A3D3F" w:rsidRDefault="00E11D70" w:rsidP="00216B15">
            <w:pPr>
              <w:jc w:val="right"/>
              <w:rPr>
                <w:rFonts w:cs="Arial"/>
                <w:color w:val="000000"/>
                <w:sz w:val="16"/>
                <w:szCs w:val="16"/>
              </w:rPr>
            </w:pPr>
            <w:r>
              <w:rPr>
                <w:rFonts w:cs="Arial"/>
                <w:color w:val="000000"/>
                <w:sz w:val="16"/>
                <w:szCs w:val="16"/>
              </w:rPr>
              <w:t>100,5</w:t>
            </w:r>
          </w:p>
        </w:tc>
      </w:tr>
      <w:tr w:rsidR="00E11D70" w:rsidRPr="001A3D3F" w:rsidTr="00216B15">
        <w:trPr>
          <w:trHeight w:hRule="exact" w:val="510"/>
        </w:trPr>
        <w:tc>
          <w:tcPr>
            <w:tcW w:w="2823" w:type="dxa"/>
            <w:tcBorders>
              <w:top w:val="single" w:sz="4" w:space="0" w:color="212492"/>
            </w:tcBorders>
            <w:vAlign w:val="center"/>
          </w:tcPr>
          <w:p w:rsidR="00E11D70" w:rsidRPr="001A3D3F" w:rsidRDefault="00E11D70" w:rsidP="00216B15">
            <w:pPr>
              <w:rPr>
                <w:sz w:val="16"/>
                <w:szCs w:val="16"/>
              </w:rPr>
            </w:pPr>
            <w:r>
              <w:rPr>
                <w:sz w:val="16"/>
                <w:szCs w:val="16"/>
              </w:rPr>
              <w:t xml:space="preserve">     </w:t>
            </w:r>
            <w:r w:rsidR="00057E5D">
              <w:rPr>
                <w:sz w:val="16"/>
                <w:szCs w:val="16"/>
              </w:rPr>
              <w:t>Investment</w:t>
            </w:r>
          </w:p>
        </w:tc>
        <w:tc>
          <w:tcPr>
            <w:tcW w:w="1701" w:type="dxa"/>
            <w:tcBorders>
              <w:top w:val="single" w:sz="4" w:space="0" w:color="212492"/>
            </w:tcBorders>
            <w:vAlign w:val="bottom"/>
          </w:tcPr>
          <w:p w:rsidR="00E11D70" w:rsidRPr="001A3D3F" w:rsidRDefault="00E11D70" w:rsidP="00216B15">
            <w:pPr>
              <w:jc w:val="right"/>
              <w:rPr>
                <w:rFonts w:cs="Arial"/>
                <w:color w:val="000000"/>
                <w:sz w:val="16"/>
                <w:szCs w:val="16"/>
              </w:rPr>
            </w:pPr>
            <w:r>
              <w:rPr>
                <w:rFonts w:cs="Arial"/>
                <w:color w:val="000000"/>
                <w:sz w:val="16"/>
                <w:szCs w:val="16"/>
              </w:rPr>
              <w:t>273 690,7</w:t>
            </w:r>
          </w:p>
        </w:tc>
        <w:tc>
          <w:tcPr>
            <w:tcW w:w="1701" w:type="dxa"/>
            <w:tcBorders>
              <w:top w:val="single" w:sz="4" w:space="0" w:color="212492"/>
            </w:tcBorders>
            <w:vAlign w:val="bottom"/>
          </w:tcPr>
          <w:p w:rsidR="00E11D70" w:rsidRPr="001A3D3F" w:rsidRDefault="00E11D70" w:rsidP="00216B15">
            <w:pPr>
              <w:jc w:val="right"/>
              <w:rPr>
                <w:rFonts w:cs="Arial"/>
                <w:color w:val="000000"/>
                <w:sz w:val="16"/>
                <w:szCs w:val="16"/>
              </w:rPr>
            </w:pPr>
            <w:r>
              <w:rPr>
                <w:rFonts w:cs="Arial"/>
                <w:color w:val="000000"/>
                <w:sz w:val="16"/>
                <w:szCs w:val="16"/>
              </w:rPr>
              <w:t>281 987,4</w:t>
            </w:r>
          </w:p>
        </w:tc>
        <w:tc>
          <w:tcPr>
            <w:tcW w:w="1701" w:type="dxa"/>
            <w:tcBorders>
              <w:top w:val="single" w:sz="4" w:space="0" w:color="212492"/>
            </w:tcBorders>
            <w:vAlign w:val="bottom"/>
          </w:tcPr>
          <w:p w:rsidR="00E11D70" w:rsidRPr="001A3D3F" w:rsidRDefault="00E11D70" w:rsidP="00216B15">
            <w:pPr>
              <w:jc w:val="right"/>
              <w:rPr>
                <w:rFonts w:cs="Arial"/>
                <w:color w:val="000000"/>
                <w:sz w:val="16"/>
                <w:szCs w:val="16"/>
              </w:rPr>
            </w:pPr>
            <w:r>
              <w:rPr>
                <w:rFonts w:cs="Arial"/>
                <w:color w:val="000000"/>
                <w:sz w:val="16"/>
                <w:szCs w:val="16"/>
              </w:rPr>
              <w:t>103,0</w:t>
            </w:r>
          </w:p>
        </w:tc>
      </w:tr>
      <w:tr w:rsidR="00E11D70" w:rsidRPr="001A3D3F" w:rsidTr="00216B15">
        <w:trPr>
          <w:trHeight w:hRule="exact" w:val="510"/>
        </w:trPr>
        <w:tc>
          <w:tcPr>
            <w:tcW w:w="2823" w:type="dxa"/>
            <w:vAlign w:val="center"/>
          </w:tcPr>
          <w:p w:rsidR="00E11D70" w:rsidRPr="001A3D3F" w:rsidRDefault="00057E5D" w:rsidP="00216B15">
            <w:pPr>
              <w:ind w:left="176"/>
              <w:rPr>
                <w:sz w:val="16"/>
                <w:szCs w:val="16"/>
              </w:rPr>
            </w:pPr>
            <w:r>
              <w:rPr>
                <w:sz w:val="16"/>
                <w:szCs w:val="16"/>
              </w:rPr>
              <w:t>Receivables</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14 420,6</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14 449,2</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100,2</w:t>
            </w:r>
          </w:p>
        </w:tc>
      </w:tr>
      <w:tr w:rsidR="00E11D70" w:rsidRPr="001A3D3F" w:rsidTr="00216B15">
        <w:trPr>
          <w:trHeight w:hRule="exact" w:val="510"/>
        </w:trPr>
        <w:tc>
          <w:tcPr>
            <w:tcW w:w="2823" w:type="dxa"/>
            <w:vAlign w:val="center"/>
          </w:tcPr>
          <w:p w:rsidR="00E11D70" w:rsidRPr="001A3D3F" w:rsidRDefault="00E11D70" w:rsidP="00216B15">
            <w:pPr>
              <w:rPr>
                <w:sz w:val="16"/>
                <w:szCs w:val="16"/>
              </w:rPr>
            </w:pPr>
            <w:r>
              <w:rPr>
                <w:sz w:val="16"/>
                <w:szCs w:val="16"/>
              </w:rPr>
              <w:t xml:space="preserve">     </w:t>
            </w:r>
            <w:r w:rsidR="00057E5D">
              <w:rPr>
                <w:sz w:val="16"/>
                <w:szCs w:val="16"/>
              </w:rPr>
              <w:t xml:space="preserve">Cash and cash equivalents </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16 357,2</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10 328,0</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63,1</w:t>
            </w:r>
          </w:p>
        </w:tc>
      </w:tr>
      <w:tr w:rsidR="00E11D70" w:rsidRPr="001A3D3F" w:rsidTr="00216B15">
        <w:trPr>
          <w:trHeight w:hRule="exact" w:val="510"/>
        </w:trPr>
        <w:tc>
          <w:tcPr>
            <w:tcW w:w="2823" w:type="dxa"/>
            <w:vAlign w:val="center"/>
          </w:tcPr>
          <w:p w:rsidR="00E11D70" w:rsidRPr="001A3D3F" w:rsidRDefault="00057E5D" w:rsidP="00216B15">
            <w:pPr>
              <w:rPr>
                <w:sz w:val="16"/>
                <w:szCs w:val="16"/>
              </w:rPr>
            </w:pPr>
            <w:r>
              <w:rPr>
                <w:sz w:val="16"/>
                <w:szCs w:val="16"/>
              </w:rPr>
              <w:t>Result of the operation</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7 342,7</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13 379,3</w:t>
            </w:r>
          </w:p>
        </w:tc>
        <w:tc>
          <w:tcPr>
            <w:tcW w:w="1701" w:type="dxa"/>
            <w:vAlign w:val="bottom"/>
          </w:tcPr>
          <w:p w:rsidR="00E11D70" w:rsidRPr="001A3D3F" w:rsidRDefault="00E11D70" w:rsidP="00216B15">
            <w:pPr>
              <w:jc w:val="right"/>
              <w:rPr>
                <w:rFonts w:cs="Arial"/>
                <w:color w:val="000000"/>
                <w:sz w:val="16"/>
                <w:szCs w:val="16"/>
              </w:rPr>
            </w:pPr>
            <w:r>
              <w:rPr>
                <w:rFonts w:cs="Arial"/>
                <w:color w:val="000000"/>
                <w:sz w:val="16"/>
                <w:szCs w:val="16"/>
              </w:rPr>
              <w:t>182,2</w:t>
            </w:r>
          </w:p>
        </w:tc>
      </w:tr>
    </w:tbl>
    <w:p w:rsidR="00C22105" w:rsidRPr="000744E8" w:rsidRDefault="00487050" w:rsidP="00074DD8">
      <w:pPr>
        <w:pStyle w:val="Nagwek1"/>
        <w:rPr>
          <w:lang w:val="en-US"/>
        </w:rPr>
      </w:pPr>
      <w:r>
        <w:rPr>
          <w:b/>
          <w:noProof/>
          <w:spacing w:val="-2"/>
          <w:szCs w:val="19"/>
        </w:rPr>
        <w:pict>
          <v:shape id="Pole tekstowe 32" o:spid="_x0000_s1037" type="#_x0000_t202" style="position:absolute;margin-left:449.25pt;margin-top:197.8pt;width:135.3pt;height:84.5pt;z-index:-251571200;visibility:visible;mso-wrap-distance-top:3.6pt;mso-wrap-distance-bottom:3.6pt;mso-position-horizontal-relative:page;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" filled="f" stroked="f">
            <v:textbox>
              <w:txbxContent>
                <w:p w:rsidR="00536DD0" w:rsidRPr="007C39DD" w:rsidRDefault="00536DD0" w:rsidP="007C39DD">
                  <w:pPr>
                    <w:pStyle w:val="HTML-wstpniesformatowany"/>
                    <w:rPr>
                      <w:rFonts w:ascii="Fira Sans" w:hAnsi="Fira Sans" w:cs="Times New Roman"/>
                      <w:bCs/>
                      <w:color w:val="001D77"/>
                      <w:sz w:val="18"/>
                      <w:szCs w:val="18"/>
                      <w:lang w:val="en-US"/>
                    </w:rPr>
                  </w:pPr>
                  <w:r w:rsidRPr="007C39DD">
                    <w:rPr>
                      <w:rFonts w:ascii="Fira Sans" w:hAnsi="Fira Sans" w:cs="Times New Roman"/>
                      <w:bCs/>
                      <w:color w:val="001D77"/>
                      <w:sz w:val="18"/>
                      <w:szCs w:val="18"/>
                      <w:lang w:val="en-US"/>
                    </w:rPr>
                    <w:t>The result on the operations of mutual funds was positive and amounted to PLN 13.4 billion.</w:t>
                  </w:r>
                </w:p>
                <w:p w:rsidR="007C659C" w:rsidRPr="009E7E5D" w:rsidRDefault="007C659C" w:rsidP="007C659C">
                  <w:pPr>
                    <w:pStyle w:val="tekstzboku"/>
                    <w:rPr>
                      <w:lang w:val="en-US"/>
                    </w:rPr>
                  </w:pPr>
                </w:p>
                <w:p w:rsidR="007C659C" w:rsidRPr="009E7E5D" w:rsidRDefault="007C659C" w:rsidP="007C659C">
                  <w:pPr>
                    <w:spacing w:after="0"/>
                    <w:rPr>
                      <w:rFonts w:eastAsia="Times New Roman" w:cs="Times New Roman"/>
                      <w:color w:val="2F5496" w:themeColor="accent5" w:themeShade="BF"/>
                      <w:sz w:val="18"/>
                      <w:szCs w:val="18"/>
                      <w:lang w:val="en-US" w:eastAsia="pl-PL"/>
                    </w:rPr>
                  </w:pPr>
                </w:p>
              </w:txbxContent>
            </v:textbox>
            <w10:wrap type="tight" anchorx="page"/>
          </v:shape>
        </w:pict>
      </w:r>
    </w:p>
    <w:p w:rsidR="008F0F38" w:rsidRPr="00161F48" w:rsidRDefault="008F0F38" w:rsidP="005C33C7">
      <w:pPr>
        <w:pStyle w:val="LID"/>
        <w:spacing w:after="20"/>
        <w:rPr>
          <w:b w:val="0"/>
          <w:noProof w:val="0"/>
          <w:szCs w:val="22"/>
          <w:lang w:val="en-US"/>
        </w:rPr>
      </w:pPr>
      <w:r w:rsidRPr="00161F48">
        <w:rPr>
          <w:b w:val="0"/>
          <w:noProof w:val="0"/>
          <w:szCs w:val="22"/>
          <w:lang w:val="en-US"/>
        </w:rPr>
        <w:t>At the end of 2019, according to the information on the submitted financial statements, there were a total of 666 investment funds. The number of open-end investment funds was 46 (the same as the year before), the number of specialized open-end investment funds was 63 (52 a year earlier). In the group of closed-end investment funds, the number of funds decreased from 780 to 557.</w:t>
      </w:r>
    </w:p>
    <w:p w:rsidR="008F0F38" w:rsidRPr="00161F48" w:rsidRDefault="008F0F38" w:rsidP="003F4FFD">
      <w:pPr>
        <w:pStyle w:val="LID"/>
        <w:spacing w:after="20"/>
        <w:rPr>
          <w:b w:val="0"/>
          <w:noProof w:val="0"/>
          <w:szCs w:val="22"/>
          <w:lang w:val="en-US"/>
        </w:rPr>
      </w:pPr>
      <w:r>
        <w:rPr>
          <w:b w:val="0"/>
          <w:noProof w:val="0"/>
          <w:szCs w:val="22"/>
          <w:lang w:val="en-US"/>
        </w:rPr>
        <w:t>A</w:t>
      </w:r>
      <w:r w:rsidR="001C63E6">
        <w:rPr>
          <w:b w:val="0"/>
          <w:noProof w:val="0"/>
          <w:szCs w:val="22"/>
          <w:lang w:val="en-US"/>
        </w:rPr>
        <w:t>t December</w:t>
      </w:r>
      <w:r w:rsidRPr="00161F48">
        <w:rPr>
          <w:b w:val="0"/>
          <w:noProof w:val="0"/>
          <w:szCs w:val="22"/>
          <w:lang w:val="en-US"/>
        </w:rPr>
        <w:t xml:space="preserve"> 2019, the value of total assets collected by investment funds amounted to PLN 314,191.2 million (an increase by 0.5% compared to 2018), including assets:</w:t>
      </w:r>
    </w:p>
    <w:p w:rsidR="008F0F38" w:rsidRPr="00161F48" w:rsidRDefault="008F0F38" w:rsidP="003F4FFD">
      <w:pPr>
        <w:pStyle w:val="LID"/>
        <w:numPr>
          <w:ilvl w:val="0"/>
          <w:numId w:val="3"/>
        </w:numPr>
        <w:spacing w:after="20"/>
        <w:rPr>
          <w:b w:val="0"/>
          <w:noProof w:val="0"/>
          <w:szCs w:val="22"/>
          <w:lang w:val="en-US"/>
        </w:rPr>
      </w:pPr>
      <w:r w:rsidRPr="00161F48">
        <w:rPr>
          <w:b w:val="0"/>
          <w:noProof w:val="0"/>
          <w:szCs w:val="22"/>
          <w:lang w:val="en-US"/>
        </w:rPr>
        <w:t>closed-end investment funds amounted to PLN 144,866.0 million (decrease by 1.0%); the share of this group of funds in total assets decreased from 46.8% to 46.1%;</w:t>
      </w:r>
    </w:p>
    <w:p w:rsidR="008F0F38" w:rsidRPr="00161F48" w:rsidRDefault="008F0F38" w:rsidP="003F4FFD">
      <w:pPr>
        <w:pStyle w:val="LID"/>
        <w:numPr>
          <w:ilvl w:val="0"/>
          <w:numId w:val="3"/>
        </w:numPr>
        <w:spacing w:after="20"/>
        <w:rPr>
          <w:b w:val="0"/>
          <w:noProof w:val="0"/>
          <w:szCs w:val="22"/>
          <w:lang w:val="en-US"/>
        </w:rPr>
      </w:pPr>
      <w:r w:rsidRPr="00161F48">
        <w:rPr>
          <w:b w:val="0"/>
          <w:noProof w:val="0"/>
          <w:szCs w:val="22"/>
          <w:lang w:val="en-US"/>
        </w:rPr>
        <w:t>open-end investment funds reached the value of PLN 119,998.8 million (increase by 7.0%); their share in total fund assets increased from 35.9% to 38.2%;</w:t>
      </w:r>
    </w:p>
    <w:p w:rsidR="008F0F38" w:rsidRPr="00161F48" w:rsidRDefault="008F0F38" w:rsidP="003F4FFD">
      <w:pPr>
        <w:pStyle w:val="LID"/>
        <w:numPr>
          <w:ilvl w:val="0"/>
          <w:numId w:val="3"/>
        </w:numPr>
        <w:spacing w:after="20"/>
        <w:rPr>
          <w:b w:val="0"/>
          <w:noProof w:val="0"/>
          <w:szCs w:val="22"/>
          <w:lang w:val="en-US"/>
        </w:rPr>
      </w:pPr>
      <w:r w:rsidRPr="00161F48">
        <w:rPr>
          <w:b w:val="0"/>
          <w:noProof w:val="0"/>
          <w:szCs w:val="22"/>
          <w:lang w:val="en-US"/>
        </w:rPr>
        <w:t>specialist open-end investment funds amounted to PLN 49,326.4 million (down by 8.7%), their share in total assets decreased to 15.7% compared to 17.3% the year before.</w:t>
      </w:r>
    </w:p>
    <w:p w:rsidR="004918FA" w:rsidRDefault="004918FA" w:rsidP="004918FA">
      <w:pPr>
        <w:pStyle w:val="LID"/>
        <w:spacing w:after="20"/>
        <w:jc w:val="both"/>
        <w:rPr>
          <w:b w:val="0"/>
          <w:noProof w:val="0"/>
          <w:szCs w:val="22"/>
          <w:lang w:val="en-US"/>
        </w:rPr>
      </w:pPr>
    </w:p>
    <w:p w:rsidR="00BD38C3" w:rsidRPr="00161F48" w:rsidRDefault="00487050" w:rsidP="00BD38C3">
      <w:pPr>
        <w:pStyle w:val="LID"/>
        <w:spacing w:after="20"/>
        <w:rPr>
          <w:b w:val="0"/>
          <w:noProof w:val="0"/>
          <w:szCs w:val="22"/>
          <w:lang w:val="en-US"/>
        </w:rPr>
      </w:pPr>
      <w:r>
        <w:rPr>
          <w:color w:val="212492"/>
          <w:spacing w:val="-2"/>
          <w:lang w:eastAsia="en-US"/>
        </w:rPr>
        <w:pict>
          <v:shape id="Pole tekstowe 6" o:spid="_x0000_s1028" type="#_x0000_t202" style="position:absolute;margin-left:413.25pt;margin-top:38.35pt;width:135.85pt;height:108.95pt;z-index:-25157939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" filled="f" stroked="f">
            <v:textbox>
              <w:txbxContent>
                <w:p w:rsidR="00EA548D" w:rsidRPr="00EA548D" w:rsidRDefault="00EA548D" w:rsidP="00EA548D">
                  <w:pPr>
                    <w:pStyle w:val="HTML-wstpniesformatowany"/>
                    <w:rPr>
                      <w:rFonts w:ascii="Fira Sans" w:hAnsi="Fira Sans" w:cs="Times New Roman"/>
                      <w:bCs/>
                      <w:color w:val="001D77"/>
                      <w:sz w:val="18"/>
                      <w:szCs w:val="18"/>
                      <w:lang w:val="en-US"/>
                    </w:rPr>
                  </w:pPr>
                  <w:r w:rsidRPr="00EA548D">
                    <w:rPr>
                      <w:rFonts w:ascii="Fira Sans" w:hAnsi="Fira Sans" w:cs="Times New Roman"/>
                      <w:bCs/>
                      <w:color w:val="001D77"/>
                      <w:sz w:val="18"/>
                      <w:szCs w:val="18"/>
                      <w:lang w:val="en-US"/>
                    </w:rPr>
                    <w:t>At the end of December 2019, the investments of investment funds amounted to PLN 282.0 billion.</w:t>
                  </w:r>
                </w:p>
                <w:p w:rsidR="00EA548D" w:rsidRPr="00EA548D" w:rsidRDefault="00EA548D" w:rsidP="00EA548D">
                  <w:pPr>
                    <w:pStyle w:val="LID"/>
                    <w:spacing w:after="20"/>
                    <w:jc w:val="both"/>
                    <w:rPr>
                      <w:rFonts w:eastAsia="Times New Roman" w:cs="Times New Roman"/>
                      <w:b w:val="0"/>
                      <w:bCs/>
                      <w:noProof w:val="0"/>
                      <w:color w:val="001D77"/>
                      <w:sz w:val="18"/>
                      <w:szCs w:val="18"/>
                      <w:lang w:val="en-US"/>
                    </w:rPr>
                  </w:pPr>
                </w:p>
                <w:p w:rsidR="00363AC3" w:rsidRPr="00EA548D" w:rsidRDefault="00363AC3" w:rsidP="00363AC3">
                  <w:pPr>
                    <w:pStyle w:val="tekstzboku"/>
                    <w:rPr>
                      <w:lang w:val="en-US"/>
                    </w:rPr>
                  </w:pPr>
                </w:p>
                <w:p w:rsidR="00711EEC" w:rsidRPr="000744E8" w:rsidRDefault="00711EEC" w:rsidP="00711EEC">
                  <w:pPr>
                    <w:pStyle w:val="tekstzboku"/>
                    <w:rPr>
                      <w:lang w:val="en-US"/>
                    </w:rPr>
                  </w:pPr>
                </w:p>
                <w:p w:rsidR="00711EEC" w:rsidRPr="000744E8" w:rsidRDefault="00711EEC" w:rsidP="00DC02DB">
                  <w:pPr>
                    <w:pStyle w:val="tekstzboku"/>
                    <w:rPr>
                      <w:lang w:val="en-US"/>
                    </w:rPr>
                  </w:pPr>
                </w:p>
              </w:txbxContent>
            </v:textbox>
            <w10:wrap type="tight"/>
          </v:shape>
        </w:pict>
      </w:r>
      <w:r w:rsidR="00BD38C3" w:rsidRPr="00161F48">
        <w:rPr>
          <w:b w:val="0"/>
          <w:noProof w:val="0"/>
          <w:szCs w:val="22"/>
          <w:lang w:val="en-US"/>
        </w:rPr>
        <w:t>The main item in the total assets of investment funds were investment components not listed on an active market; their value at the end of December 2019 amounted to PLN 148,783.5 million</w:t>
      </w:r>
      <w:r w:rsidR="00BD38C3">
        <w:rPr>
          <w:b w:val="0"/>
          <w:noProof w:val="0"/>
          <w:szCs w:val="22"/>
          <w:lang w:val="en-US"/>
        </w:rPr>
        <w:t xml:space="preserve"> </w:t>
      </w:r>
      <w:r w:rsidR="00BD38C3" w:rsidRPr="00161F48">
        <w:rPr>
          <w:b w:val="0"/>
          <w:noProof w:val="0"/>
          <w:szCs w:val="22"/>
          <w:lang w:val="en-US"/>
        </w:rPr>
        <w:t>and was lower by 1.7% compared to December 2018. The share of this item in total assets amounted to 47.4% (by 1 percentage point less than in the previous year).</w:t>
      </w:r>
    </w:p>
    <w:p w:rsidR="00BD38C3" w:rsidRPr="00161F48" w:rsidRDefault="00BD38C3" w:rsidP="00BD38C3">
      <w:pPr>
        <w:pStyle w:val="LID"/>
        <w:spacing w:after="20"/>
        <w:rPr>
          <w:b w:val="0"/>
          <w:noProof w:val="0"/>
          <w:szCs w:val="22"/>
          <w:lang w:val="en-US"/>
        </w:rPr>
      </w:pPr>
      <w:r w:rsidRPr="00161F48">
        <w:rPr>
          <w:b w:val="0"/>
          <w:noProof w:val="0"/>
          <w:szCs w:val="22"/>
          <w:lang w:val="en-US"/>
        </w:rPr>
        <w:lastRenderedPageBreak/>
        <w:t>In 2019, investment funds' receivables amounted to PLN 14,449.2 million and were 0.2% higher than at the end of 2018.</w:t>
      </w:r>
    </w:p>
    <w:p w:rsidR="00BD38C3" w:rsidRPr="00161F48" w:rsidRDefault="00BD38C3" w:rsidP="00BD38C3">
      <w:pPr>
        <w:pStyle w:val="LID"/>
        <w:spacing w:after="20"/>
        <w:rPr>
          <w:b w:val="0"/>
          <w:noProof w:val="0"/>
          <w:szCs w:val="22"/>
          <w:lang w:val="en-US"/>
        </w:rPr>
      </w:pPr>
      <w:r w:rsidRPr="00161F48">
        <w:rPr>
          <w:b w:val="0"/>
          <w:noProof w:val="0"/>
          <w:szCs w:val="22"/>
          <w:lang w:val="en-US"/>
        </w:rPr>
        <w:t>Liabilities of investment funds reached PLN 17,460.5 million (down 9.1%). The largest liabilities in the amount of PLN 10,143.6 million were shown by open-end investment funds, which accounted for 58.1% of the value of liabilities of all investment funds (51.4% the year before).</w:t>
      </w:r>
    </w:p>
    <w:p w:rsidR="00073E55" w:rsidRPr="00161F48" w:rsidRDefault="00073E55" w:rsidP="00073E55">
      <w:pPr>
        <w:pStyle w:val="LID"/>
        <w:spacing w:after="20"/>
        <w:rPr>
          <w:b w:val="0"/>
          <w:noProof w:val="0"/>
          <w:szCs w:val="22"/>
          <w:lang w:val="en-US"/>
        </w:rPr>
      </w:pPr>
      <w:r w:rsidRPr="00161F48">
        <w:rPr>
          <w:b w:val="0"/>
          <w:noProof w:val="0"/>
          <w:szCs w:val="22"/>
          <w:lang w:val="en-US"/>
        </w:rPr>
        <w:t>On December 31, 2019, the net assets of the funds amounted to PLN 296,730.7 million, i.e. 1.2% higher than at the end of 2018. The net assets of closed-end investment funds amounted to PLN 139,465.3 million ( by 0.1% lower than in the previous year), open-end investment funds PLN 109 855.2 million (higher by 7.4%), and specialized open-end funds PLN 47 410.1 million (down 7.7%).</w:t>
      </w:r>
    </w:p>
    <w:p w:rsidR="002E3BE8" w:rsidRPr="000744E8" w:rsidRDefault="002E3BE8" w:rsidP="002E3BE8">
      <w:pPr>
        <w:rPr>
          <w:shd w:val="clear" w:color="auto" w:fill="FFFFFF"/>
          <w:lang w:val="en-US"/>
        </w:rPr>
      </w:pPr>
    </w:p>
    <w:p w:rsidR="00185C9C" w:rsidRPr="003B3875" w:rsidRDefault="00185C9C" w:rsidP="00185C9C">
      <w:pPr>
        <w:rPr>
          <w:b/>
          <w:spacing w:val="-2"/>
          <w:sz w:val="18"/>
          <w:shd w:val="clear" w:color="auto" w:fill="FFFFFF"/>
          <w:lang w:val="en-US"/>
        </w:rPr>
      </w:pPr>
      <w:r w:rsidRPr="003B3875">
        <w:rPr>
          <w:b/>
          <w:spacing w:val="-2"/>
          <w:sz w:val="18"/>
          <w:shd w:val="clear" w:color="auto" w:fill="FFFFFF"/>
          <w:lang w:val="en-US"/>
        </w:rPr>
        <w:t>Table 2. Selected items from the balance sheet of investment funds</w:t>
      </w:r>
    </w:p>
    <w:tbl>
      <w:tblPr>
        <w:tblStyle w:val="Siatkatabelijasna1"/>
        <w:tblpPr w:leftFromText="141" w:rightFromText="141" w:vertAnchor="text" w:horzAnchor="margin" w:tblpY="129"/>
        <w:tblW w:w="7926"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823"/>
        <w:gridCol w:w="1701"/>
        <w:gridCol w:w="1701"/>
        <w:gridCol w:w="1701"/>
      </w:tblGrid>
      <w:tr w:rsidR="00185C9C" w:rsidRPr="001A3D3F" w:rsidTr="00216B15">
        <w:trPr>
          <w:trHeight w:val="57"/>
        </w:trPr>
        <w:tc>
          <w:tcPr>
            <w:tcW w:w="2823" w:type="dxa"/>
            <w:vMerge w:val="restart"/>
            <w:vAlign w:val="center"/>
          </w:tcPr>
          <w:p w:rsidR="00185C9C" w:rsidRPr="001A3D3F" w:rsidRDefault="004B6756" w:rsidP="00216B15">
            <w:pPr>
              <w:pStyle w:val="Nagwek1"/>
              <w:tabs>
                <w:tab w:val="right" w:leader="dot" w:pos="4139"/>
              </w:tabs>
              <w:jc w:val="center"/>
              <w:outlineLvl w:val="0"/>
              <w:rPr>
                <w:rFonts w:ascii="Fira Sans" w:hAnsi="Fira Sans" w:cs="Arial"/>
                <w:b/>
                <w:bCs w:val="0"/>
                <w:color w:val="000000" w:themeColor="text1"/>
                <w:sz w:val="16"/>
                <w:szCs w:val="16"/>
              </w:rPr>
            </w:pPr>
            <w:r>
              <w:rPr>
                <w:rFonts w:ascii="Fira Sans" w:hAnsi="Fira Sans" w:cs="Arial"/>
                <w:color w:val="000000" w:themeColor="text1"/>
                <w:sz w:val="16"/>
                <w:szCs w:val="16"/>
              </w:rPr>
              <w:t>SPECIFICATION</w:t>
            </w:r>
          </w:p>
        </w:tc>
        <w:tc>
          <w:tcPr>
            <w:tcW w:w="1701" w:type="dxa"/>
            <w:vAlign w:val="center"/>
          </w:tcPr>
          <w:p w:rsidR="00185C9C" w:rsidRPr="001A3D3F" w:rsidRDefault="00185C9C"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8</w:t>
            </w:r>
          </w:p>
        </w:tc>
        <w:tc>
          <w:tcPr>
            <w:tcW w:w="1701" w:type="dxa"/>
            <w:vAlign w:val="center"/>
          </w:tcPr>
          <w:p w:rsidR="00185C9C" w:rsidRPr="001A3D3F" w:rsidRDefault="00185C9C"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9</w:t>
            </w:r>
          </w:p>
        </w:tc>
        <w:tc>
          <w:tcPr>
            <w:tcW w:w="1701" w:type="dxa"/>
            <w:vMerge w:val="restart"/>
            <w:vAlign w:val="center"/>
          </w:tcPr>
          <w:p w:rsidR="00185C9C" w:rsidRPr="001A3D3F" w:rsidRDefault="00185C9C"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2018</w:t>
            </w:r>
            <w:r w:rsidRPr="001A3D3F">
              <w:rPr>
                <w:rFonts w:ascii="Fira Sans" w:hAnsi="Fira Sans"/>
                <w:color w:val="000000" w:themeColor="text1"/>
                <w:sz w:val="16"/>
                <w:szCs w:val="16"/>
              </w:rPr>
              <w:t>=100</w:t>
            </w:r>
          </w:p>
        </w:tc>
      </w:tr>
      <w:tr w:rsidR="00185C9C" w:rsidRPr="001A3D3F" w:rsidTr="00216B15">
        <w:trPr>
          <w:trHeight w:val="57"/>
        </w:trPr>
        <w:tc>
          <w:tcPr>
            <w:tcW w:w="2823" w:type="dxa"/>
            <w:vMerge/>
            <w:tcBorders>
              <w:bottom w:val="single" w:sz="12" w:space="0" w:color="212492"/>
            </w:tcBorders>
            <w:vAlign w:val="center"/>
          </w:tcPr>
          <w:p w:rsidR="00185C9C" w:rsidRPr="001A3D3F" w:rsidRDefault="00185C9C" w:rsidP="00216B15">
            <w:pPr>
              <w:pStyle w:val="Nagwek1"/>
              <w:tabs>
                <w:tab w:val="right" w:leader="dot" w:pos="4139"/>
              </w:tabs>
              <w:spacing w:before="0" w:after="0"/>
              <w:jc w:val="center"/>
              <w:outlineLvl w:val="0"/>
              <w:rPr>
                <w:rFonts w:ascii="Fira Sans" w:hAnsi="Fira Sans" w:cs="Arial"/>
                <w:color w:val="000000" w:themeColor="text1"/>
                <w:sz w:val="16"/>
                <w:szCs w:val="16"/>
              </w:rPr>
            </w:pPr>
          </w:p>
        </w:tc>
        <w:tc>
          <w:tcPr>
            <w:tcW w:w="3402" w:type="dxa"/>
            <w:gridSpan w:val="2"/>
            <w:tcBorders>
              <w:bottom w:val="single" w:sz="12" w:space="0" w:color="212492"/>
            </w:tcBorders>
            <w:vAlign w:val="center"/>
          </w:tcPr>
          <w:p w:rsidR="00185C9C" w:rsidRPr="001A3D3F" w:rsidRDefault="001B1432"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i</w:t>
            </w:r>
            <w:r w:rsidR="004B6756">
              <w:rPr>
                <w:rFonts w:ascii="Fira Sans" w:hAnsi="Fira Sans"/>
                <w:color w:val="000000" w:themeColor="text1"/>
                <w:sz w:val="16"/>
                <w:szCs w:val="16"/>
              </w:rPr>
              <w:t>n mil</w:t>
            </w:r>
            <w:r w:rsidR="00447C60">
              <w:rPr>
                <w:rFonts w:ascii="Fira Sans" w:hAnsi="Fira Sans"/>
                <w:color w:val="000000" w:themeColor="text1"/>
                <w:sz w:val="16"/>
                <w:szCs w:val="16"/>
              </w:rPr>
              <w:t>l</w:t>
            </w:r>
            <w:r w:rsidR="004B6756">
              <w:rPr>
                <w:rFonts w:ascii="Fira Sans" w:hAnsi="Fira Sans"/>
                <w:color w:val="000000" w:themeColor="text1"/>
                <w:sz w:val="16"/>
                <w:szCs w:val="16"/>
              </w:rPr>
              <w:t>ion PLN</w:t>
            </w:r>
          </w:p>
        </w:tc>
        <w:tc>
          <w:tcPr>
            <w:tcW w:w="1701" w:type="dxa"/>
            <w:vMerge/>
            <w:tcBorders>
              <w:bottom w:val="single" w:sz="12" w:space="0" w:color="212492"/>
            </w:tcBorders>
            <w:vAlign w:val="center"/>
          </w:tcPr>
          <w:p w:rsidR="00185C9C" w:rsidRPr="001A3D3F" w:rsidRDefault="00185C9C" w:rsidP="00216B15">
            <w:pPr>
              <w:pStyle w:val="Nagwek3"/>
              <w:spacing w:before="0"/>
              <w:jc w:val="center"/>
              <w:outlineLvl w:val="2"/>
              <w:rPr>
                <w:rFonts w:ascii="Fira Sans" w:hAnsi="Fira Sans"/>
                <w:color w:val="000000" w:themeColor="text1"/>
                <w:sz w:val="16"/>
                <w:szCs w:val="16"/>
              </w:rPr>
            </w:pPr>
          </w:p>
        </w:tc>
      </w:tr>
      <w:tr w:rsidR="00185C9C" w:rsidRPr="001A3D3F" w:rsidTr="00216B15">
        <w:trPr>
          <w:trHeight w:hRule="exact" w:val="510"/>
        </w:trPr>
        <w:tc>
          <w:tcPr>
            <w:tcW w:w="2823" w:type="dxa"/>
            <w:tcBorders>
              <w:top w:val="single" w:sz="12" w:space="0" w:color="212492"/>
              <w:bottom w:val="single" w:sz="4" w:space="0" w:color="212492"/>
            </w:tcBorders>
            <w:vAlign w:val="center"/>
          </w:tcPr>
          <w:p w:rsidR="00185C9C" w:rsidRPr="001A3D3F" w:rsidRDefault="006D1120" w:rsidP="00216B15">
            <w:pPr>
              <w:rPr>
                <w:sz w:val="16"/>
                <w:szCs w:val="16"/>
              </w:rPr>
            </w:pPr>
            <w:r>
              <w:rPr>
                <w:sz w:val="16"/>
                <w:szCs w:val="16"/>
              </w:rPr>
              <w:t>Total assets</w:t>
            </w:r>
            <w:r w:rsidR="00185C9C" w:rsidRPr="001A3D3F">
              <w:rPr>
                <w:sz w:val="16"/>
                <w:szCs w:val="16"/>
              </w:rPr>
              <w:t>:</w:t>
            </w:r>
          </w:p>
        </w:tc>
        <w:tc>
          <w:tcPr>
            <w:tcW w:w="1701" w:type="dxa"/>
            <w:tcBorders>
              <w:top w:val="single" w:sz="12" w:space="0" w:color="212492"/>
              <w:bottom w:val="single" w:sz="4" w:space="0" w:color="212492"/>
            </w:tcBorders>
            <w:vAlign w:val="bottom"/>
          </w:tcPr>
          <w:p w:rsidR="00185C9C" w:rsidRPr="001A3D3F" w:rsidRDefault="00185C9C" w:rsidP="00216B15">
            <w:pPr>
              <w:jc w:val="right"/>
              <w:rPr>
                <w:rFonts w:cs="Arial"/>
                <w:color w:val="000000"/>
                <w:sz w:val="16"/>
                <w:szCs w:val="16"/>
              </w:rPr>
            </w:pPr>
            <w:r>
              <w:rPr>
                <w:rFonts w:cs="Arial"/>
                <w:color w:val="000000"/>
                <w:sz w:val="16"/>
                <w:szCs w:val="16"/>
              </w:rPr>
              <w:t>312 535,1</w:t>
            </w:r>
          </w:p>
        </w:tc>
        <w:tc>
          <w:tcPr>
            <w:tcW w:w="1701" w:type="dxa"/>
            <w:tcBorders>
              <w:top w:val="single" w:sz="12" w:space="0" w:color="212492"/>
              <w:bottom w:val="single" w:sz="4" w:space="0" w:color="212492"/>
            </w:tcBorders>
            <w:vAlign w:val="bottom"/>
          </w:tcPr>
          <w:p w:rsidR="00185C9C" w:rsidRPr="001A3D3F" w:rsidRDefault="00185C9C" w:rsidP="00216B15">
            <w:pPr>
              <w:jc w:val="right"/>
              <w:rPr>
                <w:rFonts w:cs="Arial"/>
                <w:color w:val="000000"/>
                <w:sz w:val="16"/>
                <w:szCs w:val="16"/>
              </w:rPr>
            </w:pPr>
            <w:r>
              <w:rPr>
                <w:rFonts w:cs="Arial"/>
                <w:color w:val="000000"/>
                <w:sz w:val="16"/>
                <w:szCs w:val="16"/>
              </w:rPr>
              <w:t>314 191,2</w:t>
            </w:r>
          </w:p>
        </w:tc>
        <w:tc>
          <w:tcPr>
            <w:tcW w:w="1701" w:type="dxa"/>
            <w:tcBorders>
              <w:top w:val="single" w:sz="12" w:space="0" w:color="212492"/>
              <w:bottom w:val="single" w:sz="4" w:space="0" w:color="212492"/>
            </w:tcBorders>
            <w:vAlign w:val="bottom"/>
          </w:tcPr>
          <w:p w:rsidR="00185C9C" w:rsidRPr="001A3D3F" w:rsidRDefault="00185C9C" w:rsidP="00216B15">
            <w:pPr>
              <w:jc w:val="right"/>
              <w:rPr>
                <w:rFonts w:cs="Arial"/>
                <w:color w:val="000000"/>
                <w:sz w:val="16"/>
                <w:szCs w:val="16"/>
              </w:rPr>
            </w:pPr>
            <w:r>
              <w:rPr>
                <w:rFonts w:cs="Arial"/>
                <w:color w:val="000000"/>
                <w:sz w:val="16"/>
                <w:szCs w:val="16"/>
              </w:rPr>
              <w:t>100,5</w:t>
            </w:r>
          </w:p>
        </w:tc>
      </w:tr>
      <w:tr w:rsidR="00185C9C" w:rsidRPr="001A3D3F" w:rsidTr="00216B15">
        <w:trPr>
          <w:trHeight w:hRule="exact" w:val="510"/>
        </w:trPr>
        <w:tc>
          <w:tcPr>
            <w:tcW w:w="2823" w:type="dxa"/>
            <w:tcBorders>
              <w:top w:val="single" w:sz="4" w:space="0" w:color="212492"/>
            </w:tcBorders>
            <w:vAlign w:val="center"/>
          </w:tcPr>
          <w:p w:rsidR="00185C9C" w:rsidRPr="001A3D3F" w:rsidRDefault="00185C9C" w:rsidP="00216B15">
            <w:pPr>
              <w:rPr>
                <w:sz w:val="16"/>
                <w:szCs w:val="16"/>
              </w:rPr>
            </w:pPr>
            <w:r>
              <w:rPr>
                <w:sz w:val="16"/>
                <w:szCs w:val="16"/>
              </w:rPr>
              <w:t xml:space="preserve">     </w:t>
            </w:r>
            <w:r w:rsidR="006D1120">
              <w:rPr>
                <w:sz w:val="16"/>
                <w:szCs w:val="16"/>
              </w:rPr>
              <w:t>Receivables</w:t>
            </w:r>
          </w:p>
        </w:tc>
        <w:tc>
          <w:tcPr>
            <w:tcW w:w="1701" w:type="dxa"/>
            <w:tcBorders>
              <w:top w:val="single" w:sz="4" w:space="0" w:color="212492"/>
            </w:tcBorders>
            <w:vAlign w:val="bottom"/>
          </w:tcPr>
          <w:p w:rsidR="00185C9C" w:rsidRPr="001A3D3F" w:rsidRDefault="00185C9C" w:rsidP="00216B15">
            <w:pPr>
              <w:jc w:val="right"/>
              <w:rPr>
                <w:rFonts w:cs="Arial"/>
                <w:color w:val="000000"/>
                <w:sz w:val="16"/>
                <w:szCs w:val="16"/>
              </w:rPr>
            </w:pPr>
            <w:r>
              <w:rPr>
                <w:rFonts w:cs="Arial"/>
                <w:color w:val="000000"/>
                <w:sz w:val="16"/>
                <w:szCs w:val="16"/>
              </w:rPr>
              <w:t>14 420,6</w:t>
            </w:r>
          </w:p>
        </w:tc>
        <w:tc>
          <w:tcPr>
            <w:tcW w:w="1701" w:type="dxa"/>
            <w:tcBorders>
              <w:top w:val="single" w:sz="4" w:space="0" w:color="212492"/>
            </w:tcBorders>
            <w:vAlign w:val="bottom"/>
          </w:tcPr>
          <w:p w:rsidR="00185C9C" w:rsidRPr="001A3D3F" w:rsidRDefault="00185C9C" w:rsidP="00216B15">
            <w:pPr>
              <w:jc w:val="right"/>
              <w:rPr>
                <w:rFonts w:cs="Arial"/>
                <w:color w:val="000000"/>
                <w:sz w:val="16"/>
                <w:szCs w:val="16"/>
              </w:rPr>
            </w:pPr>
            <w:r>
              <w:rPr>
                <w:rFonts w:cs="Arial"/>
                <w:color w:val="000000"/>
                <w:sz w:val="16"/>
                <w:szCs w:val="16"/>
              </w:rPr>
              <w:t>14 449,2</w:t>
            </w:r>
          </w:p>
        </w:tc>
        <w:tc>
          <w:tcPr>
            <w:tcW w:w="1701" w:type="dxa"/>
            <w:tcBorders>
              <w:top w:val="single" w:sz="4" w:space="0" w:color="212492"/>
            </w:tcBorders>
            <w:vAlign w:val="bottom"/>
          </w:tcPr>
          <w:p w:rsidR="00185C9C" w:rsidRPr="001A3D3F" w:rsidRDefault="00185C9C" w:rsidP="00216B15">
            <w:pPr>
              <w:jc w:val="right"/>
              <w:rPr>
                <w:rFonts w:cs="Arial"/>
                <w:color w:val="000000"/>
                <w:sz w:val="16"/>
                <w:szCs w:val="16"/>
              </w:rPr>
            </w:pPr>
            <w:r>
              <w:rPr>
                <w:rFonts w:cs="Arial"/>
                <w:color w:val="000000"/>
                <w:sz w:val="16"/>
                <w:szCs w:val="16"/>
              </w:rPr>
              <w:t>100,2</w:t>
            </w:r>
          </w:p>
        </w:tc>
      </w:tr>
      <w:tr w:rsidR="00185C9C" w:rsidRPr="001A3D3F" w:rsidTr="00216B15">
        <w:trPr>
          <w:trHeight w:hRule="exact" w:val="761"/>
        </w:trPr>
        <w:tc>
          <w:tcPr>
            <w:tcW w:w="2823" w:type="dxa"/>
            <w:vAlign w:val="center"/>
          </w:tcPr>
          <w:p w:rsidR="00BD6AFB" w:rsidRPr="003B3875" w:rsidRDefault="00185C9C" w:rsidP="00BD6AFB">
            <w:pPr>
              <w:rPr>
                <w:lang w:val="en-US"/>
              </w:rPr>
            </w:pPr>
            <w:r w:rsidRPr="003B3875">
              <w:rPr>
                <w:sz w:val="16"/>
                <w:szCs w:val="16"/>
                <w:lang w:val="en-US"/>
              </w:rPr>
              <w:t xml:space="preserve">     </w:t>
            </w:r>
            <w:r w:rsidR="00BD6AFB" w:rsidRPr="003B3875">
              <w:rPr>
                <w:lang w:val="en-US"/>
              </w:rPr>
              <w:t xml:space="preserve"> </w:t>
            </w:r>
            <w:r w:rsidR="00BD6AFB" w:rsidRPr="003B3875">
              <w:rPr>
                <w:sz w:val="16"/>
                <w:szCs w:val="16"/>
                <w:lang w:val="en-US"/>
              </w:rPr>
              <w:t>Investment components not listed on an active market</w:t>
            </w:r>
          </w:p>
          <w:p w:rsidR="00185C9C" w:rsidRPr="003B3875" w:rsidRDefault="00185C9C" w:rsidP="00216B15">
            <w:pPr>
              <w:rPr>
                <w:sz w:val="16"/>
                <w:szCs w:val="16"/>
                <w:lang w:val="en-US"/>
              </w:rPr>
            </w:pP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151 284,4</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148 783,5</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98,3</w:t>
            </w:r>
          </w:p>
        </w:tc>
      </w:tr>
      <w:tr w:rsidR="00185C9C" w:rsidRPr="001A3D3F" w:rsidTr="00216B15">
        <w:trPr>
          <w:trHeight w:hRule="exact" w:val="802"/>
        </w:trPr>
        <w:tc>
          <w:tcPr>
            <w:tcW w:w="2823" w:type="dxa"/>
            <w:vAlign w:val="center"/>
          </w:tcPr>
          <w:p w:rsidR="00185C9C" w:rsidRPr="003B3875" w:rsidRDefault="00185C9C" w:rsidP="00216B15">
            <w:pPr>
              <w:rPr>
                <w:sz w:val="16"/>
                <w:szCs w:val="16"/>
                <w:lang w:val="en-US"/>
              </w:rPr>
            </w:pPr>
            <w:r w:rsidRPr="003B3875">
              <w:rPr>
                <w:sz w:val="16"/>
                <w:szCs w:val="16"/>
                <w:lang w:val="en-US"/>
              </w:rPr>
              <w:t xml:space="preserve">     </w:t>
            </w:r>
            <w:r w:rsidR="00BD6AFB" w:rsidRPr="003B3875">
              <w:rPr>
                <w:sz w:val="16"/>
                <w:szCs w:val="16"/>
                <w:lang w:val="en-US"/>
              </w:rPr>
              <w:t xml:space="preserve"> Investment components listed on an active market</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121 238,1</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132 207,5</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109,0</w:t>
            </w:r>
          </w:p>
        </w:tc>
      </w:tr>
      <w:tr w:rsidR="00185C9C" w:rsidRPr="001A3D3F" w:rsidTr="00216B15">
        <w:trPr>
          <w:trHeight w:hRule="exact" w:val="510"/>
        </w:trPr>
        <w:tc>
          <w:tcPr>
            <w:tcW w:w="2823" w:type="dxa"/>
            <w:vAlign w:val="center"/>
          </w:tcPr>
          <w:p w:rsidR="00185C9C" w:rsidRPr="001A3D3F" w:rsidRDefault="006D1120" w:rsidP="00216B15">
            <w:pPr>
              <w:rPr>
                <w:sz w:val="16"/>
                <w:szCs w:val="16"/>
              </w:rPr>
            </w:pPr>
            <w:r>
              <w:rPr>
                <w:sz w:val="16"/>
                <w:szCs w:val="16"/>
              </w:rPr>
              <w:t>Liabilities</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19 209,3</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17 460,5</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90,9</w:t>
            </w:r>
          </w:p>
        </w:tc>
      </w:tr>
      <w:tr w:rsidR="00185C9C" w:rsidRPr="001A3D3F" w:rsidTr="00216B15">
        <w:trPr>
          <w:trHeight w:hRule="exact" w:val="510"/>
        </w:trPr>
        <w:tc>
          <w:tcPr>
            <w:tcW w:w="2823" w:type="dxa"/>
            <w:vAlign w:val="center"/>
          </w:tcPr>
          <w:p w:rsidR="00185C9C" w:rsidRPr="001A3D3F" w:rsidRDefault="006D1120" w:rsidP="00216B15">
            <w:pPr>
              <w:rPr>
                <w:sz w:val="16"/>
                <w:szCs w:val="16"/>
              </w:rPr>
            </w:pPr>
            <w:r>
              <w:rPr>
                <w:sz w:val="16"/>
                <w:szCs w:val="16"/>
              </w:rPr>
              <w:t>Net assets</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293 325,8</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296 730,7</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101,2</w:t>
            </w:r>
          </w:p>
        </w:tc>
      </w:tr>
      <w:tr w:rsidR="00185C9C" w:rsidRPr="001A3D3F" w:rsidTr="00216B15">
        <w:trPr>
          <w:trHeight w:hRule="exact" w:val="510"/>
        </w:trPr>
        <w:tc>
          <w:tcPr>
            <w:tcW w:w="2823" w:type="dxa"/>
            <w:vAlign w:val="center"/>
          </w:tcPr>
          <w:p w:rsidR="00185C9C" w:rsidRPr="001A3D3F" w:rsidRDefault="006D1120" w:rsidP="00216B15">
            <w:pPr>
              <w:rPr>
                <w:sz w:val="16"/>
                <w:szCs w:val="16"/>
              </w:rPr>
            </w:pPr>
            <w:r>
              <w:rPr>
                <w:sz w:val="16"/>
                <w:szCs w:val="16"/>
              </w:rPr>
              <w:t>Capital</w:t>
            </w:r>
            <w:r w:rsidR="00185C9C">
              <w:rPr>
                <w:sz w:val="16"/>
                <w:szCs w:val="16"/>
              </w:rPr>
              <w:t xml:space="preserve"> </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212 253,8</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205 520,3</w:t>
            </w:r>
          </w:p>
        </w:tc>
        <w:tc>
          <w:tcPr>
            <w:tcW w:w="1701" w:type="dxa"/>
            <w:vAlign w:val="bottom"/>
          </w:tcPr>
          <w:p w:rsidR="00185C9C" w:rsidRPr="001A3D3F" w:rsidRDefault="00185C9C" w:rsidP="00216B15">
            <w:pPr>
              <w:jc w:val="right"/>
              <w:rPr>
                <w:rFonts w:cs="Arial"/>
                <w:color w:val="000000"/>
                <w:sz w:val="16"/>
                <w:szCs w:val="16"/>
              </w:rPr>
            </w:pPr>
            <w:r>
              <w:rPr>
                <w:rFonts w:cs="Arial"/>
                <w:color w:val="000000"/>
                <w:sz w:val="16"/>
                <w:szCs w:val="16"/>
              </w:rPr>
              <w:t>96,8</w:t>
            </w:r>
          </w:p>
        </w:tc>
      </w:tr>
    </w:tbl>
    <w:p w:rsidR="00EE1CE5" w:rsidRDefault="00EE1CE5" w:rsidP="002E3BE8">
      <w:pPr>
        <w:rPr>
          <w:shd w:val="clear" w:color="auto" w:fill="FFFFFF"/>
          <w:lang w:val="en-US"/>
        </w:rPr>
      </w:pPr>
    </w:p>
    <w:p w:rsidR="00EE1462" w:rsidRDefault="00EE1462" w:rsidP="002E3BE8">
      <w:pPr>
        <w:rPr>
          <w:shd w:val="clear" w:color="auto" w:fill="FFFFFF"/>
          <w:lang w:val="en-US"/>
        </w:rPr>
      </w:pPr>
    </w:p>
    <w:p w:rsidR="00EE1462" w:rsidRPr="00161F48" w:rsidRDefault="00EE1462" w:rsidP="00EE1462">
      <w:pPr>
        <w:pStyle w:val="LID"/>
        <w:spacing w:after="20"/>
        <w:rPr>
          <w:b w:val="0"/>
          <w:noProof w:val="0"/>
          <w:szCs w:val="22"/>
          <w:lang w:val="en-US"/>
        </w:rPr>
      </w:pPr>
      <w:r w:rsidRPr="00161F48">
        <w:rPr>
          <w:b w:val="0"/>
          <w:noProof w:val="0"/>
          <w:szCs w:val="22"/>
          <w:lang w:val="en-US"/>
        </w:rPr>
        <w:t>The value of investment at the end of December 2019 increased to PLN 281,987.4 million (by 3.0%). Debt securities had the highest value, i</w:t>
      </w:r>
      <w:r w:rsidR="00375B23">
        <w:rPr>
          <w:b w:val="0"/>
          <w:noProof w:val="0"/>
          <w:szCs w:val="22"/>
          <w:lang w:val="en-US"/>
        </w:rPr>
        <w:t>.</w:t>
      </w:r>
      <w:r w:rsidRPr="00161F48">
        <w:rPr>
          <w:b w:val="0"/>
          <w:noProof w:val="0"/>
          <w:szCs w:val="22"/>
          <w:lang w:val="en-US"/>
        </w:rPr>
        <w:t>e</w:t>
      </w:r>
      <w:r w:rsidR="00375B23">
        <w:rPr>
          <w:b w:val="0"/>
          <w:noProof w:val="0"/>
          <w:szCs w:val="22"/>
          <w:lang w:val="en-US"/>
        </w:rPr>
        <w:t>.</w:t>
      </w:r>
      <w:r w:rsidRPr="00161F48">
        <w:rPr>
          <w:b w:val="0"/>
          <w:noProof w:val="0"/>
          <w:szCs w:val="22"/>
          <w:lang w:val="en-US"/>
        </w:rPr>
        <w:t xml:space="preserve"> PLN 142,237.6 million (an increase of 4.1%). The value of the shares decreased to PLN 75,082.3 million (by 0.1%). Receivables amounted to PLN 18,279.3 million (an increase of 6.5%). Investments in participation units issued by non-resident collective investment institutions amounted to PLN 13,229.9 million. Shares in companies increased to PLN 16,548.9 million (by 12.2%). Deposits decreased to PLN 4,069.9 million (by 24.0%). The share of debt securities and shares in total investment was 50.4% and 26.6%, respectively, compared to 49.9% and 27.5%, respectively, in 2018.</w:t>
      </w:r>
    </w:p>
    <w:p w:rsidR="00981181" w:rsidRPr="00161F48" w:rsidRDefault="00981181" w:rsidP="00981181">
      <w:pPr>
        <w:pStyle w:val="LID"/>
        <w:spacing w:after="20"/>
        <w:jc w:val="both"/>
        <w:rPr>
          <w:b w:val="0"/>
          <w:noProof w:val="0"/>
          <w:szCs w:val="22"/>
          <w:lang w:val="en-US"/>
        </w:rPr>
      </w:pPr>
    </w:p>
    <w:p w:rsidR="005C57EB" w:rsidRPr="003B3875" w:rsidRDefault="005C57EB" w:rsidP="005C57EB">
      <w:pPr>
        <w:rPr>
          <w:b/>
          <w:spacing w:val="-2"/>
          <w:sz w:val="18"/>
          <w:shd w:val="clear" w:color="auto" w:fill="FFFFFF"/>
          <w:lang w:val="en-US"/>
        </w:rPr>
      </w:pPr>
      <w:r w:rsidRPr="003B3875">
        <w:rPr>
          <w:b/>
          <w:spacing w:val="-2"/>
          <w:sz w:val="18"/>
          <w:shd w:val="clear" w:color="auto" w:fill="FFFFFF"/>
          <w:lang w:val="en-US"/>
        </w:rPr>
        <w:t>Table 3. Value of  investment of  investment funds</w:t>
      </w:r>
    </w:p>
    <w:tbl>
      <w:tblPr>
        <w:tblStyle w:val="Siatkatabelijasna1"/>
        <w:tblpPr w:leftFromText="141" w:rightFromText="141" w:vertAnchor="text" w:horzAnchor="margin" w:tblpY="129"/>
        <w:tblW w:w="7926"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823"/>
        <w:gridCol w:w="1701"/>
        <w:gridCol w:w="1701"/>
        <w:gridCol w:w="1701"/>
      </w:tblGrid>
      <w:tr w:rsidR="005C57EB" w:rsidRPr="001A3D3F" w:rsidTr="00216B15">
        <w:trPr>
          <w:trHeight w:val="57"/>
        </w:trPr>
        <w:tc>
          <w:tcPr>
            <w:tcW w:w="2823" w:type="dxa"/>
            <w:vMerge w:val="restart"/>
            <w:vAlign w:val="center"/>
          </w:tcPr>
          <w:p w:rsidR="005C57EB" w:rsidRPr="001A3D3F" w:rsidRDefault="00BE4CE8" w:rsidP="00216B15">
            <w:pPr>
              <w:pStyle w:val="Nagwek1"/>
              <w:tabs>
                <w:tab w:val="right" w:leader="dot" w:pos="4139"/>
              </w:tabs>
              <w:jc w:val="center"/>
              <w:outlineLvl w:val="0"/>
              <w:rPr>
                <w:rFonts w:ascii="Fira Sans" w:hAnsi="Fira Sans" w:cs="Arial"/>
                <w:b/>
                <w:bCs w:val="0"/>
                <w:color w:val="000000" w:themeColor="text1"/>
                <w:sz w:val="16"/>
                <w:szCs w:val="16"/>
              </w:rPr>
            </w:pPr>
            <w:r>
              <w:rPr>
                <w:rFonts w:ascii="Fira Sans" w:hAnsi="Fira Sans" w:cs="Arial"/>
                <w:color w:val="000000" w:themeColor="text1"/>
                <w:sz w:val="16"/>
                <w:szCs w:val="16"/>
              </w:rPr>
              <w:t>SPECIFICATION</w:t>
            </w:r>
          </w:p>
        </w:tc>
        <w:tc>
          <w:tcPr>
            <w:tcW w:w="1701" w:type="dxa"/>
            <w:vAlign w:val="center"/>
          </w:tcPr>
          <w:p w:rsidR="005C57EB" w:rsidRPr="001A3D3F" w:rsidRDefault="005C57EB"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8</w:t>
            </w:r>
          </w:p>
        </w:tc>
        <w:tc>
          <w:tcPr>
            <w:tcW w:w="1701" w:type="dxa"/>
            <w:vAlign w:val="center"/>
          </w:tcPr>
          <w:p w:rsidR="005C57EB" w:rsidRPr="001A3D3F" w:rsidRDefault="005C57EB"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9</w:t>
            </w:r>
          </w:p>
        </w:tc>
        <w:tc>
          <w:tcPr>
            <w:tcW w:w="1701" w:type="dxa"/>
            <w:vMerge w:val="restart"/>
            <w:vAlign w:val="center"/>
          </w:tcPr>
          <w:p w:rsidR="005C57EB" w:rsidRPr="001A3D3F" w:rsidRDefault="005C57EB"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2018</w:t>
            </w:r>
            <w:r w:rsidRPr="001A3D3F">
              <w:rPr>
                <w:rFonts w:ascii="Fira Sans" w:hAnsi="Fira Sans"/>
                <w:color w:val="000000" w:themeColor="text1"/>
                <w:sz w:val="16"/>
                <w:szCs w:val="16"/>
              </w:rPr>
              <w:t>=100</w:t>
            </w:r>
          </w:p>
        </w:tc>
      </w:tr>
      <w:tr w:rsidR="005C57EB" w:rsidRPr="001A3D3F" w:rsidTr="00216B15">
        <w:trPr>
          <w:trHeight w:val="57"/>
        </w:trPr>
        <w:tc>
          <w:tcPr>
            <w:tcW w:w="2823" w:type="dxa"/>
            <w:vMerge/>
            <w:tcBorders>
              <w:bottom w:val="single" w:sz="12" w:space="0" w:color="212492"/>
            </w:tcBorders>
            <w:vAlign w:val="center"/>
          </w:tcPr>
          <w:p w:rsidR="005C57EB" w:rsidRPr="001A3D3F" w:rsidRDefault="005C57EB" w:rsidP="00216B15">
            <w:pPr>
              <w:pStyle w:val="Nagwek1"/>
              <w:tabs>
                <w:tab w:val="right" w:leader="dot" w:pos="4139"/>
              </w:tabs>
              <w:spacing w:before="0" w:after="0"/>
              <w:jc w:val="center"/>
              <w:outlineLvl w:val="0"/>
              <w:rPr>
                <w:rFonts w:ascii="Fira Sans" w:hAnsi="Fira Sans" w:cs="Arial"/>
                <w:color w:val="000000" w:themeColor="text1"/>
                <w:sz w:val="16"/>
                <w:szCs w:val="16"/>
              </w:rPr>
            </w:pPr>
          </w:p>
        </w:tc>
        <w:tc>
          <w:tcPr>
            <w:tcW w:w="3402" w:type="dxa"/>
            <w:gridSpan w:val="2"/>
            <w:tcBorders>
              <w:bottom w:val="single" w:sz="12" w:space="0" w:color="212492"/>
            </w:tcBorders>
            <w:vAlign w:val="center"/>
          </w:tcPr>
          <w:p w:rsidR="005C57EB" w:rsidRPr="001A3D3F" w:rsidRDefault="00BE4CE8"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in milion PLN</w:t>
            </w:r>
          </w:p>
        </w:tc>
        <w:tc>
          <w:tcPr>
            <w:tcW w:w="1701" w:type="dxa"/>
            <w:vMerge/>
            <w:tcBorders>
              <w:bottom w:val="single" w:sz="12" w:space="0" w:color="212492"/>
            </w:tcBorders>
            <w:vAlign w:val="center"/>
          </w:tcPr>
          <w:p w:rsidR="005C57EB" w:rsidRPr="001A3D3F" w:rsidRDefault="005C57EB" w:rsidP="00216B15">
            <w:pPr>
              <w:pStyle w:val="Nagwek3"/>
              <w:spacing w:before="0"/>
              <w:jc w:val="center"/>
              <w:outlineLvl w:val="2"/>
              <w:rPr>
                <w:rFonts w:ascii="Fira Sans" w:hAnsi="Fira Sans"/>
                <w:color w:val="000000" w:themeColor="text1"/>
                <w:sz w:val="16"/>
                <w:szCs w:val="16"/>
              </w:rPr>
            </w:pPr>
          </w:p>
        </w:tc>
      </w:tr>
      <w:tr w:rsidR="005C57EB" w:rsidRPr="001A3D3F" w:rsidTr="00216B15">
        <w:trPr>
          <w:trHeight w:hRule="exact" w:val="510"/>
        </w:trPr>
        <w:tc>
          <w:tcPr>
            <w:tcW w:w="2823" w:type="dxa"/>
            <w:tcBorders>
              <w:top w:val="single" w:sz="12" w:space="0" w:color="212492"/>
              <w:bottom w:val="single" w:sz="4" w:space="0" w:color="212492"/>
            </w:tcBorders>
            <w:vAlign w:val="center"/>
          </w:tcPr>
          <w:p w:rsidR="005C57EB" w:rsidRPr="001A3D3F" w:rsidRDefault="009677CC" w:rsidP="00216B15">
            <w:pPr>
              <w:rPr>
                <w:sz w:val="16"/>
                <w:szCs w:val="16"/>
              </w:rPr>
            </w:pPr>
            <w:r>
              <w:rPr>
                <w:sz w:val="16"/>
                <w:szCs w:val="16"/>
              </w:rPr>
              <w:t>Investment</w:t>
            </w:r>
            <w:r w:rsidR="005C57EB" w:rsidRPr="001A3D3F">
              <w:rPr>
                <w:sz w:val="16"/>
                <w:szCs w:val="16"/>
              </w:rPr>
              <w:t>:</w:t>
            </w:r>
          </w:p>
        </w:tc>
        <w:tc>
          <w:tcPr>
            <w:tcW w:w="1701" w:type="dxa"/>
            <w:tcBorders>
              <w:top w:val="single" w:sz="12" w:space="0" w:color="212492"/>
              <w:bottom w:val="single" w:sz="4" w:space="0" w:color="212492"/>
            </w:tcBorders>
            <w:vAlign w:val="bottom"/>
          </w:tcPr>
          <w:p w:rsidR="005C57EB" w:rsidRPr="001A3D3F" w:rsidRDefault="005C57EB" w:rsidP="00216B15">
            <w:pPr>
              <w:jc w:val="right"/>
              <w:rPr>
                <w:rFonts w:cs="Arial"/>
                <w:color w:val="000000"/>
                <w:sz w:val="16"/>
                <w:szCs w:val="16"/>
              </w:rPr>
            </w:pPr>
            <w:r>
              <w:rPr>
                <w:rFonts w:cs="Arial"/>
                <w:color w:val="000000"/>
                <w:sz w:val="16"/>
                <w:szCs w:val="16"/>
              </w:rPr>
              <w:t>273 690,7</w:t>
            </w:r>
          </w:p>
        </w:tc>
        <w:tc>
          <w:tcPr>
            <w:tcW w:w="1701" w:type="dxa"/>
            <w:tcBorders>
              <w:top w:val="single" w:sz="12" w:space="0" w:color="212492"/>
              <w:bottom w:val="single" w:sz="4" w:space="0" w:color="212492"/>
            </w:tcBorders>
            <w:vAlign w:val="bottom"/>
          </w:tcPr>
          <w:p w:rsidR="005C57EB" w:rsidRPr="001A3D3F" w:rsidRDefault="005C57EB" w:rsidP="00216B15">
            <w:pPr>
              <w:jc w:val="right"/>
              <w:rPr>
                <w:rFonts w:cs="Arial"/>
                <w:color w:val="000000"/>
                <w:sz w:val="16"/>
                <w:szCs w:val="16"/>
              </w:rPr>
            </w:pPr>
            <w:r>
              <w:rPr>
                <w:rFonts w:cs="Arial"/>
                <w:color w:val="000000"/>
                <w:sz w:val="16"/>
                <w:szCs w:val="16"/>
              </w:rPr>
              <w:t>281 987,4</w:t>
            </w:r>
          </w:p>
        </w:tc>
        <w:tc>
          <w:tcPr>
            <w:tcW w:w="1701" w:type="dxa"/>
            <w:tcBorders>
              <w:top w:val="single" w:sz="12" w:space="0" w:color="212492"/>
              <w:bottom w:val="single" w:sz="4" w:space="0" w:color="212492"/>
            </w:tcBorders>
            <w:vAlign w:val="bottom"/>
          </w:tcPr>
          <w:p w:rsidR="005C57EB" w:rsidRPr="001A3D3F" w:rsidRDefault="005C57EB" w:rsidP="00216B15">
            <w:pPr>
              <w:jc w:val="right"/>
              <w:rPr>
                <w:rFonts w:cs="Arial"/>
                <w:color w:val="000000"/>
                <w:sz w:val="16"/>
                <w:szCs w:val="16"/>
              </w:rPr>
            </w:pPr>
            <w:r>
              <w:rPr>
                <w:rFonts w:cs="Arial"/>
                <w:color w:val="000000"/>
                <w:sz w:val="16"/>
                <w:szCs w:val="16"/>
              </w:rPr>
              <w:t>103,0</w:t>
            </w:r>
          </w:p>
        </w:tc>
      </w:tr>
      <w:tr w:rsidR="005C57EB" w:rsidRPr="001A3D3F" w:rsidTr="00216B15">
        <w:trPr>
          <w:trHeight w:hRule="exact" w:val="510"/>
        </w:trPr>
        <w:tc>
          <w:tcPr>
            <w:tcW w:w="2823" w:type="dxa"/>
            <w:tcBorders>
              <w:top w:val="single" w:sz="4" w:space="0" w:color="212492"/>
            </w:tcBorders>
            <w:vAlign w:val="center"/>
          </w:tcPr>
          <w:p w:rsidR="005C57EB" w:rsidRPr="001A3D3F" w:rsidRDefault="009677CC" w:rsidP="00216B15">
            <w:pPr>
              <w:rPr>
                <w:sz w:val="16"/>
                <w:szCs w:val="16"/>
              </w:rPr>
            </w:pPr>
            <w:r>
              <w:rPr>
                <w:sz w:val="16"/>
                <w:szCs w:val="16"/>
              </w:rPr>
              <w:t xml:space="preserve">     Shares</w:t>
            </w:r>
          </w:p>
        </w:tc>
        <w:tc>
          <w:tcPr>
            <w:tcW w:w="1701" w:type="dxa"/>
            <w:tcBorders>
              <w:top w:val="single" w:sz="4" w:space="0" w:color="212492"/>
            </w:tcBorders>
            <w:vAlign w:val="bottom"/>
          </w:tcPr>
          <w:p w:rsidR="005C57EB" w:rsidRPr="001A3D3F" w:rsidRDefault="005C57EB" w:rsidP="00216B15">
            <w:pPr>
              <w:jc w:val="right"/>
              <w:rPr>
                <w:rFonts w:cs="Arial"/>
                <w:color w:val="000000"/>
                <w:sz w:val="16"/>
                <w:szCs w:val="16"/>
              </w:rPr>
            </w:pPr>
            <w:r>
              <w:rPr>
                <w:rFonts w:cs="Arial"/>
                <w:color w:val="000000"/>
                <w:sz w:val="16"/>
                <w:szCs w:val="16"/>
              </w:rPr>
              <w:t>75 144,4</w:t>
            </w:r>
          </w:p>
        </w:tc>
        <w:tc>
          <w:tcPr>
            <w:tcW w:w="1701" w:type="dxa"/>
            <w:tcBorders>
              <w:top w:val="single" w:sz="4" w:space="0" w:color="212492"/>
            </w:tcBorders>
            <w:vAlign w:val="bottom"/>
          </w:tcPr>
          <w:p w:rsidR="005C57EB" w:rsidRPr="001A3D3F" w:rsidRDefault="005C57EB" w:rsidP="00216B15">
            <w:pPr>
              <w:jc w:val="right"/>
              <w:rPr>
                <w:rFonts w:cs="Arial"/>
                <w:color w:val="000000"/>
                <w:sz w:val="16"/>
                <w:szCs w:val="16"/>
              </w:rPr>
            </w:pPr>
            <w:r>
              <w:rPr>
                <w:rFonts w:cs="Arial"/>
                <w:color w:val="000000"/>
                <w:sz w:val="16"/>
                <w:szCs w:val="16"/>
              </w:rPr>
              <w:t>75 082,3</w:t>
            </w:r>
          </w:p>
        </w:tc>
        <w:tc>
          <w:tcPr>
            <w:tcW w:w="1701" w:type="dxa"/>
            <w:tcBorders>
              <w:top w:val="single" w:sz="4" w:space="0" w:color="212492"/>
            </w:tcBorders>
            <w:vAlign w:val="bottom"/>
          </w:tcPr>
          <w:p w:rsidR="005C57EB" w:rsidRPr="001A3D3F" w:rsidRDefault="005C57EB" w:rsidP="00216B15">
            <w:pPr>
              <w:jc w:val="right"/>
              <w:rPr>
                <w:rFonts w:cs="Arial"/>
                <w:color w:val="000000"/>
                <w:sz w:val="16"/>
                <w:szCs w:val="16"/>
              </w:rPr>
            </w:pPr>
            <w:r>
              <w:rPr>
                <w:rFonts w:cs="Arial"/>
                <w:color w:val="000000"/>
                <w:sz w:val="16"/>
                <w:szCs w:val="16"/>
              </w:rPr>
              <w:t>99,9</w:t>
            </w:r>
          </w:p>
        </w:tc>
      </w:tr>
      <w:tr w:rsidR="005C57EB" w:rsidRPr="001A3D3F" w:rsidTr="00216B15">
        <w:trPr>
          <w:trHeight w:hRule="exact" w:val="510"/>
        </w:trPr>
        <w:tc>
          <w:tcPr>
            <w:tcW w:w="2823" w:type="dxa"/>
            <w:vAlign w:val="center"/>
          </w:tcPr>
          <w:p w:rsidR="005C57EB" w:rsidRPr="001A3D3F" w:rsidRDefault="005C57EB" w:rsidP="00216B15">
            <w:pPr>
              <w:ind w:left="176"/>
              <w:rPr>
                <w:sz w:val="16"/>
                <w:szCs w:val="16"/>
              </w:rPr>
            </w:pPr>
            <w:r>
              <w:rPr>
                <w:sz w:val="16"/>
                <w:szCs w:val="16"/>
              </w:rPr>
              <w:t>D</w:t>
            </w:r>
            <w:r w:rsidR="007379EE">
              <w:rPr>
                <w:sz w:val="16"/>
                <w:szCs w:val="16"/>
              </w:rPr>
              <w:t>ebt securities</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136 592,0</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142 237,6</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104,1</w:t>
            </w:r>
          </w:p>
        </w:tc>
      </w:tr>
      <w:tr w:rsidR="005C57EB" w:rsidRPr="001A3D3F" w:rsidTr="00216B15">
        <w:trPr>
          <w:trHeight w:hRule="exact" w:val="510"/>
        </w:trPr>
        <w:tc>
          <w:tcPr>
            <w:tcW w:w="2823" w:type="dxa"/>
            <w:vAlign w:val="center"/>
          </w:tcPr>
          <w:p w:rsidR="005C57EB" w:rsidRPr="001A3D3F" w:rsidRDefault="005C57EB" w:rsidP="00216B15">
            <w:pPr>
              <w:rPr>
                <w:sz w:val="16"/>
                <w:szCs w:val="16"/>
              </w:rPr>
            </w:pPr>
            <w:r>
              <w:rPr>
                <w:sz w:val="16"/>
                <w:szCs w:val="16"/>
              </w:rPr>
              <w:lastRenderedPageBreak/>
              <w:t xml:space="preserve">     </w:t>
            </w:r>
            <w:r w:rsidR="007379EE">
              <w:rPr>
                <w:sz w:val="16"/>
                <w:szCs w:val="16"/>
              </w:rPr>
              <w:t>Receivables</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17 162,0</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18 279,3</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106,5</w:t>
            </w:r>
          </w:p>
        </w:tc>
      </w:tr>
      <w:tr w:rsidR="005C57EB" w:rsidRPr="001A3D3F" w:rsidTr="00216B15">
        <w:trPr>
          <w:trHeight w:hRule="exact" w:val="1201"/>
        </w:trPr>
        <w:tc>
          <w:tcPr>
            <w:tcW w:w="2823" w:type="dxa"/>
            <w:vAlign w:val="center"/>
          </w:tcPr>
          <w:p w:rsidR="005C57EB" w:rsidRPr="003B3875" w:rsidRDefault="007379EE" w:rsidP="00216B15">
            <w:pPr>
              <w:ind w:left="176"/>
              <w:rPr>
                <w:sz w:val="16"/>
                <w:szCs w:val="16"/>
                <w:lang w:val="en-US"/>
              </w:rPr>
            </w:pPr>
            <w:r w:rsidRPr="003B3875">
              <w:rPr>
                <w:sz w:val="16"/>
                <w:szCs w:val="16"/>
                <w:lang w:val="en-US"/>
              </w:rPr>
              <w:t>Shares issued by mutual investment institutions established abroad</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11 931,0</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13 229,9</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110,9</w:t>
            </w:r>
          </w:p>
        </w:tc>
      </w:tr>
      <w:tr w:rsidR="005C57EB" w:rsidRPr="001A3D3F" w:rsidTr="00216B15">
        <w:trPr>
          <w:trHeight w:hRule="exact" w:val="510"/>
        </w:trPr>
        <w:tc>
          <w:tcPr>
            <w:tcW w:w="2823" w:type="dxa"/>
            <w:vAlign w:val="center"/>
          </w:tcPr>
          <w:p w:rsidR="005C57EB" w:rsidRPr="001A3D3F" w:rsidRDefault="005C57EB" w:rsidP="00216B15">
            <w:pPr>
              <w:rPr>
                <w:sz w:val="16"/>
                <w:szCs w:val="16"/>
              </w:rPr>
            </w:pPr>
            <w:r>
              <w:rPr>
                <w:sz w:val="16"/>
                <w:szCs w:val="16"/>
              </w:rPr>
              <w:t xml:space="preserve">     Depo</w:t>
            </w:r>
            <w:r w:rsidR="007379EE">
              <w:rPr>
                <w:sz w:val="16"/>
                <w:szCs w:val="16"/>
              </w:rPr>
              <w:t>sits</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5 355,8</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4 069,9</w:t>
            </w:r>
          </w:p>
        </w:tc>
        <w:tc>
          <w:tcPr>
            <w:tcW w:w="1701" w:type="dxa"/>
            <w:vAlign w:val="bottom"/>
          </w:tcPr>
          <w:p w:rsidR="005C57EB" w:rsidRPr="001A3D3F" w:rsidRDefault="005C57EB" w:rsidP="00216B15">
            <w:pPr>
              <w:jc w:val="right"/>
              <w:rPr>
                <w:rFonts w:cs="Arial"/>
                <w:color w:val="000000"/>
                <w:sz w:val="16"/>
                <w:szCs w:val="16"/>
              </w:rPr>
            </w:pPr>
            <w:r>
              <w:rPr>
                <w:rFonts w:cs="Arial"/>
                <w:color w:val="000000"/>
                <w:sz w:val="16"/>
                <w:szCs w:val="16"/>
              </w:rPr>
              <w:t>76,0</w:t>
            </w:r>
          </w:p>
        </w:tc>
      </w:tr>
    </w:tbl>
    <w:p w:rsidR="00981181" w:rsidRDefault="00981181" w:rsidP="002E3BE8">
      <w:pPr>
        <w:rPr>
          <w:shd w:val="clear" w:color="auto" w:fill="FFFFFF"/>
          <w:lang w:val="en-US"/>
        </w:rPr>
      </w:pPr>
    </w:p>
    <w:p w:rsidR="00981181" w:rsidRDefault="00981181" w:rsidP="00981181">
      <w:pPr>
        <w:pStyle w:val="LID"/>
        <w:spacing w:after="20"/>
        <w:rPr>
          <w:b w:val="0"/>
          <w:noProof w:val="0"/>
          <w:szCs w:val="22"/>
          <w:lang w:val="en-US"/>
        </w:rPr>
      </w:pPr>
      <w:r w:rsidRPr="00161F48">
        <w:rPr>
          <w:b w:val="0"/>
          <w:noProof w:val="0"/>
          <w:szCs w:val="22"/>
          <w:lang w:val="en-US"/>
        </w:rPr>
        <w:t>The investment income in investment funds in 2019 amounted to PLN 9,313.1 million (9.4% less than in the previous year). Their main item was interest income, which amounted to PLN 4,942.0 million and constituted 53.1% of investment income. Dividends and other profit shares amounted to PLN 1,544.3 million (PLN 1,805.6 million in the previous year). Remuneration for fund management companies amounted to PLN 3,386.8 million (by 9.2% less than in the previous year). Net costs of investment funds, after taking into account the costs covered by the fund, amounted to PLN 5,429.5 million and were lower by 12.8% than a year earlier. In 2019, investment funds showed a positive result on operations in the amount of PLN 13,379.3 million (82.2% more than in 2018), including the result on operations of closed-end funds of PLN 7,185.8 million (</w:t>
      </w:r>
      <w:r w:rsidR="00B3634C">
        <w:rPr>
          <w:b w:val="0"/>
          <w:noProof w:val="0"/>
          <w:szCs w:val="22"/>
          <w:lang w:val="en-US"/>
        </w:rPr>
        <w:t xml:space="preserve">PLN </w:t>
      </w:r>
      <w:r w:rsidRPr="00161F48">
        <w:rPr>
          <w:b w:val="0"/>
          <w:noProof w:val="0"/>
          <w:szCs w:val="22"/>
          <w:lang w:val="en-US"/>
        </w:rPr>
        <w:t xml:space="preserve">11,487 million in </w:t>
      </w:r>
      <w:r w:rsidR="00B3634C">
        <w:rPr>
          <w:b w:val="0"/>
          <w:noProof w:val="0"/>
          <w:szCs w:val="22"/>
          <w:lang w:val="en-US"/>
        </w:rPr>
        <w:t>the previous year</w:t>
      </w:r>
      <w:r w:rsidRPr="00161F48">
        <w:rPr>
          <w:b w:val="0"/>
          <w:noProof w:val="0"/>
          <w:szCs w:val="22"/>
          <w:lang w:val="en-US"/>
        </w:rPr>
        <w:t>), open-end funds PLN 4 160.1 million (negative result PLN -2 817.7 million in the previous year) and specialised open-end funds PLN 2 033.5 million (negative result PLN -1 326.6 million at the end of 2018 ).</w:t>
      </w:r>
    </w:p>
    <w:p w:rsidR="00F24C51" w:rsidRPr="003B3875" w:rsidRDefault="00F24C51" w:rsidP="00F24C51">
      <w:pPr>
        <w:pStyle w:val="HTML-wstpniesformatowany"/>
        <w:rPr>
          <w:lang w:val="en-US"/>
        </w:rPr>
      </w:pPr>
      <w:r w:rsidRPr="003B3875">
        <w:rPr>
          <w:lang w:val="en-US"/>
        </w:rPr>
        <w:t xml:space="preserve"> </w:t>
      </w:r>
    </w:p>
    <w:p w:rsidR="00F24C51" w:rsidRPr="003B3875" w:rsidRDefault="00487050" w:rsidP="00F24C51">
      <w:pPr>
        <w:spacing w:after="20"/>
        <w:jc w:val="both"/>
        <w:rPr>
          <w:lang w:val="en-US" w:eastAsia="pl-PL"/>
        </w:rPr>
      </w:pPr>
      <w:r>
        <w:rPr>
          <w:b/>
          <w:noProof/>
          <w:spacing w:val="-2"/>
          <w:szCs w:val="19"/>
          <w:highlight w:val="yellow"/>
          <w:lang w:eastAsia="pl-PL"/>
        </w:rPr>
        <w:pict>
          <v:shape id="Pole tekstowe 30" o:spid="_x0000_s1042" type="#_x0000_t202" style="position:absolute;left:0;text-align:left;margin-left:411.75pt;margin-top:52.7pt;width:135.85pt;height:70.1pt;z-index:-25156915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" filled="f" stroked="f">
            <v:textbox>
              <w:txbxContent>
                <w:p w:rsidR="00F24C51" w:rsidRPr="00D616D2" w:rsidRDefault="00F24C51" w:rsidP="00F24C51">
                  <w:pPr>
                    <w:spacing w:after="0"/>
                    <w:rPr>
                      <w:rFonts w:eastAsia="Times New Roman" w:cs="Times New Roman"/>
                      <w:bCs/>
                      <w:color w:val="001D77"/>
                      <w:sz w:val="18"/>
                      <w:szCs w:val="18"/>
                      <w:lang w:eastAsia="pl-PL"/>
                    </w:rPr>
                  </w:pPr>
                </w:p>
              </w:txbxContent>
            </v:textbox>
            <w10:wrap type="tight"/>
          </v:shape>
        </w:pict>
      </w:r>
      <w:r w:rsidR="00F24C51" w:rsidRPr="003B3875">
        <w:rPr>
          <w:b/>
          <w:spacing w:val="-2"/>
          <w:sz w:val="18"/>
          <w:shd w:val="clear" w:color="auto" w:fill="FFFFFF"/>
          <w:lang w:val="en-US"/>
        </w:rPr>
        <w:t>Table 4. Selected</w:t>
      </w:r>
      <w:r w:rsidR="002055B8" w:rsidRPr="003B3875">
        <w:rPr>
          <w:b/>
          <w:spacing w:val="-2"/>
          <w:sz w:val="18"/>
          <w:shd w:val="clear" w:color="auto" w:fill="FFFFFF"/>
          <w:lang w:val="en-US"/>
        </w:rPr>
        <w:t xml:space="preserve"> items from the profit and loss account</w:t>
      </w:r>
      <w:r w:rsidR="00F24C51" w:rsidRPr="003B3875">
        <w:rPr>
          <w:b/>
          <w:spacing w:val="-2"/>
          <w:sz w:val="18"/>
          <w:shd w:val="clear" w:color="auto" w:fill="FFFFFF"/>
          <w:lang w:val="en-US"/>
        </w:rPr>
        <w:t xml:space="preserve"> of investment funds</w:t>
      </w:r>
      <w:r w:rsidR="00F47E4D" w:rsidRPr="003B3875">
        <w:rPr>
          <w:b/>
          <w:spacing w:val="-2"/>
          <w:sz w:val="18"/>
          <w:shd w:val="clear" w:color="auto" w:fill="FFFFFF"/>
          <w:lang w:val="en-US"/>
        </w:rPr>
        <w:t xml:space="preserve"> operations</w:t>
      </w:r>
    </w:p>
    <w:tbl>
      <w:tblPr>
        <w:tblStyle w:val="Siatkatabelijasna1"/>
        <w:tblpPr w:leftFromText="141" w:rightFromText="141" w:vertAnchor="text" w:horzAnchor="margin" w:tblpY="129"/>
        <w:tblW w:w="7926"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823"/>
        <w:gridCol w:w="1701"/>
        <w:gridCol w:w="1701"/>
        <w:gridCol w:w="1701"/>
      </w:tblGrid>
      <w:tr w:rsidR="00F24C51" w:rsidRPr="001A3D3F" w:rsidTr="00216B15">
        <w:trPr>
          <w:trHeight w:val="57"/>
        </w:trPr>
        <w:tc>
          <w:tcPr>
            <w:tcW w:w="2823" w:type="dxa"/>
            <w:vMerge w:val="restart"/>
            <w:vAlign w:val="center"/>
          </w:tcPr>
          <w:p w:rsidR="00F24C51" w:rsidRPr="001A3D3F" w:rsidRDefault="002810F6" w:rsidP="00216B15">
            <w:pPr>
              <w:pStyle w:val="Nagwek1"/>
              <w:tabs>
                <w:tab w:val="right" w:leader="dot" w:pos="4139"/>
              </w:tabs>
              <w:jc w:val="center"/>
              <w:outlineLvl w:val="0"/>
              <w:rPr>
                <w:rFonts w:ascii="Fira Sans" w:hAnsi="Fira Sans" w:cs="Arial"/>
                <w:b/>
                <w:bCs w:val="0"/>
                <w:color w:val="000000" w:themeColor="text1"/>
                <w:sz w:val="16"/>
                <w:szCs w:val="16"/>
              </w:rPr>
            </w:pPr>
            <w:r>
              <w:rPr>
                <w:rFonts w:ascii="Fira Sans" w:hAnsi="Fira Sans" w:cs="Arial"/>
                <w:color w:val="000000" w:themeColor="text1"/>
                <w:sz w:val="16"/>
                <w:szCs w:val="16"/>
              </w:rPr>
              <w:t>SPECIFICATION</w:t>
            </w:r>
          </w:p>
        </w:tc>
        <w:tc>
          <w:tcPr>
            <w:tcW w:w="1701" w:type="dxa"/>
            <w:vAlign w:val="center"/>
          </w:tcPr>
          <w:p w:rsidR="00F24C51" w:rsidRPr="001A3D3F" w:rsidRDefault="00F24C51"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8</w:t>
            </w:r>
          </w:p>
        </w:tc>
        <w:tc>
          <w:tcPr>
            <w:tcW w:w="1701" w:type="dxa"/>
            <w:vAlign w:val="center"/>
          </w:tcPr>
          <w:p w:rsidR="00F24C51" w:rsidRPr="001A3D3F" w:rsidRDefault="00F24C51" w:rsidP="00216B15">
            <w:pPr>
              <w:pStyle w:val="Nagwek3"/>
              <w:spacing w:before="0"/>
              <w:jc w:val="center"/>
              <w:outlineLvl w:val="2"/>
              <w:rPr>
                <w:rFonts w:ascii="Fira Sans" w:hAnsi="Fira Sans"/>
                <w:color w:val="000000" w:themeColor="text1"/>
                <w:sz w:val="16"/>
                <w:szCs w:val="16"/>
              </w:rPr>
            </w:pPr>
            <w:r w:rsidRPr="001A3D3F">
              <w:rPr>
                <w:rFonts w:ascii="Fira Sans" w:hAnsi="Fira Sans"/>
                <w:color w:val="000000" w:themeColor="text1"/>
                <w:sz w:val="16"/>
                <w:szCs w:val="16"/>
              </w:rPr>
              <w:t>201</w:t>
            </w:r>
            <w:r>
              <w:rPr>
                <w:rFonts w:ascii="Fira Sans" w:hAnsi="Fira Sans"/>
                <w:color w:val="000000" w:themeColor="text1"/>
                <w:sz w:val="16"/>
                <w:szCs w:val="16"/>
              </w:rPr>
              <w:t>9</w:t>
            </w:r>
          </w:p>
        </w:tc>
        <w:tc>
          <w:tcPr>
            <w:tcW w:w="1701" w:type="dxa"/>
            <w:vMerge w:val="restart"/>
            <w:vAlign w:val="center"/>
          </w:tcPr>
          <w:p w:rsidR="00F24C51" w:rsidRPr="001A3D3F" w:rsidRDefault="00F24C51"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2018</w:t>
            </w:r>
            <w:r w:rsidRPr="001A3D3F">
              <w:rPr>
                <w:rFonts w:ascii="Fira Sans" w:hAnsi="Fira Sans"/>
                <w:color w:val="000000" w:themeColor="text1"/>
                <w:sz w:val="16"/>
                <w:szCs w:val="16"/>
              </w:rPr>
              <w:t>=100</w:t>
            </w:r>
          </w:p>
        </w:tc>
      </w:tr>
      <w:tr w:rsidR="00F24C51" w:rsidRPr="001A3D3F" w:rsidTr="00216B15">
        <w:trPr>
          <w:trHeight w:val="57"/>
        </w:trPr>
        <w:tc>
          <w:tcPr>
            <w:tcW w:w="2823" w:type="dxa"/>
            <w:vMerge/>
            <w:tcBorders>
              <w:bottom w:val="single" w:sz="12" w:space="0" w:color="212492"/>
            </w:tcBorders>
            <w:vAlign w:val="center"/>
          </w:tcPr>
          <w:p w:rsidR="00F24C51" w:rsidRPr="001A3D3F" w:rsidRDefault="00F24C51" w:rsidP="00216B15">
            <w:pPr>
              <w:pStyle w:val="Nagwek1"/>
              <w:tabs>
                <w:tab w:val="right" w:leader="dot" w:pos="4139"/>
              </w:tabs>
              <w:spacing w:before="0" w:after="0"/>
              <w:jc w:val="center"/>
              <w:outlineLvl w:val="0"/>
              <w:rPr>
                <w:rFonts w:ascii="Fira Sans" w:hAnsi="Fira Sans" w:cs="Arial"/>
                <w:color w:val="000000" w:themeColor="text1"/>
                <w:sz w:val="16"/>
                <w:szCs w:val="16"/>
              </w:rPr>
            </w:pPr>
          </w:p>
        </w:tc>
        <w:tc>
          <w:tcPr>
            <w:tcW w:w="3402" w:type="dxa"/>
            <w:gridSpan w:val="2"/>
            <w:tcBorders>
              <w:bottom w:val="single" w:sz="12" w:space="0" w:color="212492"/>
            </w:tcBorders>
            <w:vAlign w:val="center"/>
          </w:tcPr>
          <w:p w:rsidR="00F24C51" w:rsidRPr="001A3D3F" w:rsidRDefault="002810F6" w:rsidP="00216B15">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in million PLN</w:t>
            </w:r>
          </w:p>
        </w:tc>
        <w:tc>
          <w:tcPr>
            <w:tcW w:w="1701" w:type="dxa"/>
            <w:vMerge/>
            <w:tcBorders>
              <w:bottom w:val="single" w:sz="12" w:space="0" w:color="212492"/>
            </w:tcBorders>
            <w:vAlign w:val="center"/>
          </w:tcPr>
          <w:p w:rsidR="00F24C51" w:rsidRPr="001A3D3F" w:rsidRDefault="00F24C51" w:rsidP="00216B15">
            <w:pPr>
              <w:pStyle w:val="Nagwek3"/>
              <w:spacing w:before="0"/>
              <w:jc w:val="center"/>
              <w:outlineLvl w:val="2"/>
              <w:rPr>
                <w:rFonts w:ascii="Fira Sans" w:hAnsi="Fira Sans"/>
                <w:color w:val="000000" w:themeColor="text1"/>
                <w:sz w:val="16"/>
                <w:szCs w:val="16"/>
              </w:rPr>
            </w:pPr>
          </w:p>
        </w:tc>
      </w:tr>
      <w:tr w:rsidR="00F24C51" w:rsidRPr="001A3D3F" w:rsidTr="00216B15">
        <w:trPr>
          <w:trHeight w:hRule="exact" w:val="510"/>
        </w:trPr>
        <w:tc>
          <w:tcPr>
            <w:tcW w:w="2823" w:type="dxa"/>
            <w:tcBorders>
              <w:top w:val="single" w:sz="12" w:space="0" w:color="212492"/>
              <w:bottom w:val="single" w:sz="4" w:space="0" w:color="212492"/>
            </w:tcBorders>
            <w:vAlign w:val="center"/>
          </w:tcPr>
          <w:p w:rsidR="00F24C51" w:rsidRPr="001A3D3F" w:rsidRDefault="00F630F3" w:rsidP="00216B15">
            <w:pPr>
              <w:rPr>
                <w:sz w:val="16"/>
                <w:szCs w:val="16"/>
              </w:rPr>
            </w:pPr>
            <w:r>
              <w:rPr>
                <w:sz w:val="16"/>
                <w:szCs w:val="16"/>
              </w:rPr>
              <w:t>Investment income</w:t>
            </w:r>
          </w:p>
        </w:tc>
        <w:tc>
          <w:tcPr>
            <w:tcW w:w="1701" w:type="dxa"/>
            <w:tcBorders>
              <w:top w:val="single" w:sz="12" w:space="0" w:color="212492"/>
              <w:bottom w:val="single" w:sz="4" w:space="0" w:color="212492"/>
            </w:tcBorders>
            <w:vAlign w:val="bottom"/>
          </w:tcPr>
          <w:p w:rsidR="00F24C51" w:rsidRPr="001A3D3F" w:rsidRDefault="00F24C51" w:rsidP="00216B15">
            <w:pPr>
              <w:jc w:val="right"/>
              <w:rPr>
                <w:rFonts w:cs="Arial"/>
                <w:color w:val="000000"/>
                <w:sz w:val="16"/>
                <w:szCs w:val="16"/>
              </w:rPr>
            </w:pPr>
            <w:r>
              <w:rPr>
                <w:rFonts w:cs="Arial"/>
                <w:color w:val="000000"/>
                <w:sz w:val="16"/>
                <w:szCs w:val="16"/>
              </w:rPr>
              <w:t>10 281,8</w:t>
            </w:r>
          </w:p>
        </w:tc>
        <w:tc>
          <w:tcPr>
            <w:tcW w:w="1701" w:type="dxa"/>
            <w:tcBorders>
              <w:top w:val="single" w:sz="12" w:space="0" w:color="212492"/>
              <w:bottom w:val="single" w:sz="4" w:space="0" w:color="212492"/>
            </w:tcBorders>
            <w:vAlign w:val="bottom"/>
          </w:tcPr>
          <w:p w:rsidR="00F24C51" w:rsidRPr="001A3D3F" w:rsidRDefault="00F24C51" w:rsidP="00216B15">
            <w:pPr>
              <w:jc w:val="right"/>
              <w:rPr>
                <w:rFonts w:cs="Arial"/>
                <w:color w:val="000000"/>
                <w:sz w:val="16"/>
                <w:szCs w:val="16"/>
              </w:rPr>
            </w:pPr>
            <w:r>
              <w:rPr>
                <w:rFonts w:cs="Arial"/>
                <w:color w:val="000000"/>
                <w:sz w:val="16"/>
                <w:szCs w:val="16"/>
              </w:rPr>
              <w:t>9 313,1</w:t>
            </w:r>
          </w:p>
        </w:tc>
        <w:tc>
          <w:tcPr>
            <w:tcW w:w="1701" w:type="dxa"/>
            <w:tcBorders>
              <w:top w:val="single" w:sz="12" w:space="0" w:color="212492"/>
              <w:bottom w:val="single" w:sz="4" w:space="0" w:color="212492"/>
            </w:tcBorders>
            <w:vAlign w:val="bottom"/>
          </w:tcPr>
          <w:p w:rsidR="00F24C51" w:rsidRPr="001A3D3F" w:rsidRDefault="00F24C51" w:rsidP="00216B15">
            <w:pPr>
              <w:jc w:val="right"/>
              <w:rPr>
                <w:rFonts w:cs="Arial"/>
                <w:color w:val="000000"/>
                <w:sz w:val="16"/>
                <w:szCs w:val="16"/>
              </w:rPr>
            </w:pPr>
            <w:r>
              <w:rPr>
                <w:rFonts w:cs="Arial"/>
                <w:color w:val="000000"/>
                <w:sz w:val="16"/>
                <w:szCs w:val="16"/>
              </w:rPr>
              <w:t>90,6</w:t>
            </w:r>
          </w:p>
        </w:tc>
      </w:tr>
      <w:tr w:rsidR="00F24C51" w:rsidRPr="001A3D3F" w:rsidTr="00216B15">
        <w:trPr>
          <w:trHeight w:hRule="exact" w:val="510"/>
        </w:trPr>
        <w:tc>
          <w:tcPr>
            <w:tcW w:w="2823" w:type="dxa"/>
            <w:tcBorders>
              <w:top w:val="single" w:sz="4" w:space="0" w:color="212492"/>
            </w:tcBorders>
            <w:vAlign w:val="center"/>
          </w:tcPr>
          <w:p w:rsidR="00F24C51" w:rsidRPr="001A3D3F" w:rsidRDefault="00F630F3" w:rsidP="00216B15">
            <w:pPr>
              <w:rPr>
                <w:sz w:val="16"/>
                <w:szCs w:val="16"/>
              </w:rPr>
            </w:pPr>
            <w:r>
              <w:rPr>
                <w:sz w:val="16"/>
                <w:szCs w:val="16"/>
              </w:rPr>
              <w:t>Fund costs</w:t>
            </w:r>
            <w:r w:rsidR="00F24C51">
              <w:rPr>
                <w:sz w:val="16"/>
                <w:szCs w:val="16"/>
              </w:rPr>
              <w:t>:</w:t>
            </w:r>
          </w:p>
        </w:tc>
        <w:tc>
          <w:tcPr>
            <w:tcW w:w="1701" w:type="dxa"/>
            <w:tcBorders>
              <w:top w:val="single" w:sz="4" w:space="0" w:color="212492"/>
            </w:tcBorders>
            <w:vAlign w:val="bottom"/>
          </w:tcPr>
          <w:p w:rsidR="00F24C51" w:rsidRPr="001A3D3F" w:rsidRDefault="00F24C51" w:rsidP="00216B15">
            <w:pPr>
              <w:jc w:val="right"/>
              <w:rPr>
                <w:rFonts w:cs="Arial"/>
                <w:color w:val="000000"/>
                <w:sz w:val="16"/>
                <w:szCs w:val="16"/>
              </w:rPr>
            </w:pPr>
            <w:r>
              <w:rPr>
                <w:rFonts w:cs="Arial"/>
                <w:color w:val="000000"/>
                <w:sz w:val="16"/>
                <w:szCs w:val="16"/>
              </w:rPr>
              <w:t>6 250,1</w:t>
            </w:r>
          </w:p>
        </w:tc>
        <w:tc>
          <w:tcPr>
            <w:tcW w:w="1701" w:type="dxa"/>
            <w:tcBorders>
              <w:top w:val="single" w:sz="4" w:space="0" w:color="212492"/>
            </w:tcBorders>
            <w:vAlign w:val="bottom"/>
          </w:tcPr>
          <w:p w:rsidR="00F24C51" w:rsidRPr="001A3D3F" w:rsidRDefault="00F24C51" w:rsidP="00216B15">
            <w:pPr>
              <w:jc w:val="right"/>
              <w:rPr>
                <w:rFonts w:cs="Arial"/>
                <w:color w:val="000000"/>
                <w:sz w:val="16"/>
                <w:szCs w:val="16"/>
              </w:rPr>
            </w:pPr>
            <w:r>
              <w:rPr>
                <w:rFonts w:cs="Arial"/>
                <w:color w:val="000000"/>
                <w:sz w:val="16"/>
                <w:szCs w:val="16"/>
              </w:rPr>
              <w:t>5 454,2</w:t>
            </w:r>
          </w:p>
        </w:tc>
        <w:tc>
          <w:tcPr>
            <w:tcW w:w="1701" w:type="dxa"/>
            <w:tcBorders>
              <w:top w:val="single" w:sz="4" w:space="0" w:color="212492"/>
            </w:tcBorders>
            <w:vAlign w:val="bottom"/>
          </w:tcPr>
          <w:p w:rsidR="00F24C51" w:rsidRPr="001A3D3F" w:rsidRDefault="00F24C51" w:rsidP="00216B15">
            <w:pPr>
              <w:jc w:val="right"/>
              <w:rPr>
                <w:rFonts w:cs="Arial"/>
                <w:color w:val="000000"/>
                <w:sz w:val="16"/>
                <w:szCs w:val="16"/>
              </w:rPr>
            </w:pPr>
            <w:r>
              <w:rPr>
                <w:rFonts w:cs="Arial"/>
                <w:color w:val="000000"/>
                <w:sz w:val="16"/>
                <w:szCs w:val="16"/>
              </w:rPr>
              <w:t>87,3</w:t>
            </w:r>
          </w:p>
        </w:tc>
      </w:tr>
      <w:tr w:rsidR="00F24C51" w:rsidRPr="001A3D3F" w:rsidTr="00216B15">
        <w:trPr>
          <w:trHeight w:hRule="exact" w:val="510"/>
        </w:trPr>
        <w:tc>
          <w:tcPr>
            <w:tcW w:w="2823" w:type="dxa"/>
            <w:tcBorders>
              <w:top w:val="single" w:sz="4" w:space="0" w:color="212492"/>
            </w:tcBorders>
            <w:vAlign w:val="center"/>
          </w:tcPr>
          <w:p w:rsidR="00F24C51" w:rsidRDefault="00F24C51" w:rsidP="00216B15">
            <w:pPr>
              <w:rPr>
                <w:sz w:val="16"/>
                <w:szCs w:val="16"/>
              </w:rPr>
            </w:pPr>
            <w:r>
              <w:rPr>
                <w:sz w:val="16"/>
                <w:szCs w:val="16"/>
              </w:rPr>
              <w:t xml:space="preserve">     </w:t>
            </w:r>
            <w:r w:rsidR="00F630F3">
              <w:rPr>
                <w:sz w:val="16"/>
                <w:szCs w:val="16"/>
              </w:rPr>
              <w:t>Fund salary</w:t>
            </w:r>
          </w:p>
        </w:tc>
        <w:tc>
          <w:tcPr>
            <w:tcW w:w="1701" w:type="dxa"/>
            <w:tcBorders>
              <w:top w:val="single" w:sz="4" w:space="0" w:color="212492"/>
            </w:tcBorders>
            <w:vAlign w:val="bottom"/>
          </w:tcPr>
          <w:p w:rsidR="00F24C51" w:rsidRDefault="00F24C51" w:rsidP="00216B15">
            <w:pPr>
              <w:jc w:val="right"/>
              <w:rPr>
                <w:rFonts w:cs="Arial"/>
                <w:color w:val="000000"/>
                <w:sz w:val="16"/>
                <w:szCs w:val="16"/>
              </w:rPr>
            </w:pPr>
            <w:r>
              <w:rPr>
                <w:rFonts w:cs="Arial"/>
                <w:color w:val="000000"/>
                <w:sz w:val="16"/>
                <w:szCs w:val="16"/>
              </w:rPr>
              <w:t>3 730,7</w:t>
            </w:r>
          </w:p>
        </w:tc>
        <w:tc>
          <w:tcPr>
            <w:tcW w:w="1701" w:type="dxa"/>
            <w:tcBorders>
              <w:top w:val="single" w:sz="4" w:space="0" w:color="212492"/>
            </w:tcBorders>
            <w:vAlign w:val="bottom"/>
          </w:tcPr>
          <w:p w:rsidR="00F24C51" w:rsidRDefault="00F24C51" w:rsidP="00216B15">
            <w:pPr>
              <w:jc w:val="right"/>
              <w:rPr>
                <w:rFonts w:cs="Arial"/>
                <w:color w:val="000000"/>
                <w:sz w:val="16"/>
                <w:szCs w:val="16"/>
              </w:rPr>
            </w:pPr>
            <w:r>
              <w:rPr>
                <w:rFonts w:cs="Arial"/>
                <w:color w:val="000000"/>
                <w:sz w:val="16"/>
                <w:szCs w:val="16"/>
              </w:rPr>
              <w:t>3 386,8</w:t>
            </w:r>
          </w:p>
        </w:tc>
        <w:tc>
          <w:tcPr>
            <w:tcW w:w="1701" w:type="dxa"/>
            <w:tcBorders>
              <w:top w:val="single" w:sz="4" w:space="0" w:color="212492"/>
            </w:tcBorders>
            <w:vAlign w:val="bottom"/>
          </w:tcPr>
          <w:p w:rsidR="00F24C51" w:rsidRDefault="00F24C51" w:rsidP="00216B15">
            <w:pPr>
              <w:jc w:val="right"/>
              <w:rPr>
                <w:rFonts w:cs="Arial"/>
                <w:color w:val="000000"/>
                <w:sz w:val="16"/>
                <w:szCs w:val="16"/>
              </w:rPr>
            </w:pPr>
            <w:r>
              <w:rPr>
                <w:rFonts w:cs="Arial"/>
                <w:color w:val="000000"/>
                <w:sz w:val="16"/>
                <w:szCs w:val="16"/>
              </w:rPr>
              <w:t>90,8</w:t>
            </w:r>
          </w:p>
        </w:tc>
      </w:tr>
      <w:tr w:rsidR="00F24C51" w:rsidRPr="001A3D3F" w:rsidTr="00216B15">
        <w:trPr>
          <w:trHeight w:hRule="exact" w:val="769"/>
        </w:trPr>
        <w:tc>
          <w:tcPr>
            <w:tcW w:w="2823" w:type="dxa"/>
            <w:vAlign w:val="center"/>
          </w:tcPr>
          <w:p w:rsidR="00F24C51" w:rsidRPr="003B3875" w:rsidRDefault="00F630F3" w:rsidP="00216B15">
            <w:pPr>
              <w:rPr>
                <w:sz w:val="16"/>
                <w:szCs w:val="16"/>
                <w:lang w:val="en-US"/>
              </w:rPr>
            </w:pPr>
            <w:r w:rsidRPr="003B3875">
              <w:rPr>
                <w:sz w:val="16"/>
                <w:szCs w:val="16"/>
                <w:lang w:val="en-US"/>
              </w:rPr>
              <w:t>Realized profit/loss on sale of investment</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1 101,0</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3 059,8</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278,0</w:t>
            </w:r>
          </w:p>
        </w:tc>
      </w:tr>
      <w:tr w:rsidR="00F24C51" w:rsidRPr="001A3D3F" w:rsidTr="00216B15">
        <w:trPr>
          <w:trHeight w:hRule="exact" w:val="782"/>
        </w:trPr>
        <w:tc>
          <w:tcPr>
            <w:tcW w:w="2823" w:type="dxa"/>
            <w:vAlign w:val="center"/>
          </w:tcPr>
          <w:p w:rsidR="00F24C51" w:rsidRPr="003B3875" w:rsidRDefault="00F630F3" w:rsidP="00216B15">
            <w:pPr>
              <w:rPr>
                <w:sz w:val="16"/>
                <w:szCs w:val="16"/>
                <w:lang w:val="en-US"/>
              </w:rPr>
            </w:pPr>
            <w:r w:rsidRPr="003B3875">
              <w:rPr>
                <w:sz w:val="16"/>
                <w:szCs w:val="16"/>
                <w:lang w:val="en-US"/>
              </w:rPr>
              <w:t xml:space="preserve">Increase/decrease in unrealized profit/loss on investment valuation </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2 185,3</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6 435,9</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294,5</w:t>
            </w:r>
          </w:p>
        </w:tc>
      </w:tr>
      <w:tr w:rsidR="00F24C51" w:rsidRPr="001A3D3F" w:rsidTr="00216B15">
        <w:trPr>
          <w:trHeight w:hRule="exact" w:val="510"/>
        </w:trPr>
        <w:tc>
          <w:tcPr>
            <w:tcW w:w="2823" w:type="dxa"/>
            <w:vAlign w:val="center"/>
          </w:tcPr>
          <w:p w:rsidR="00F24C51" w:rsidRPr="003B3875" w:rsidRDefault="00BA381D" w:rsidP="00216B15">
            <w:pPr>
              <w:rPr>
                <w:sz w:val="16"/>
                <w:szCs w:val="16"/>
                <w:lang w:val="en-US"/>
              </w:rPr>
            </w:pPr>
            <w:r w:rsidRPr="003B3875">
              <w:rPr>
                <w:sz w:val="16"/>
                <w:szCs w:val="16"/>
                <w:lang w:val="en-US"/>
              </w:rPr>
              <w:t>The result of the operation</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7 342,7</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13 379,3</w:t>
            </w:r>
          </w:p>
        </w:tc>
        <w:tc>
          <w:tcPr>
            <w:tcW w:w="1701" w:type="dxa"/>
            <w:vAlign w:val="bottom"/>
          </w:tcPr>
          <w:p w:rsidR="00F24C51" w:rsidRPr="001A3D3F" w:rsidRDefault="00F24C51" w:rsidP="00216B15">
            <w:pPr>
              <w:jc w:val="right"/>
              <w:rPr>
                <w:rFonts w:cs="Arial"/>
                <w:color w:val="000000"/>
                <w:sz w:val="16"/>
                <w:szCs w:val="16"/>
              </w:rPr>
            </w:pPr>
            <w:r>
              <w:rPr>
                <w:rFonts w:cs="Arial"/>
                <w:color w:val="000000"/>
                <w:sz w:val="16"/>
                <w:szCs w:val="16"/>
              </w:rPr>
              <w:t>182,2</w:t>
            </w:r>
          </w:p>
        </w:tc>
      </w:tr>
    </w:tbl>
    <w:p w:rsidR="00981181" w:rsidRPr="000744E8" w:rsidRDefault="00981181" w:rsidP="002E3BE8">
      <w:pPr>
        <w:rPr>
          <w:shd w:val="clear" w:color="auto" w:fill="FFFFFF"/>
          <w:lang w:val="en-US"/>
        </w:rPr>
      </w:pPr>
    </w:p>
    <w:p w:rsidR="00EE1CE5" w:rsidRPr="000744E8" w:rsidRDefault="00EE1CE5" w:rsidP="002E3BE8">
      <w:pPr>
        <w:rPr>
          <w:shd w:val="clear" w:color="auto" w:fill="FFFFFF"/>
          <w:lang w:val="en-US"/>
        </w:rPr>
      </w:pPr>
    </w:p>
    <w:p w:rsidR="00EE1CE5" w:rsidRPr="000744E8" w:rsidRDefault="00EE1CE5" w:rsidP="002E3BE8">
      <w:pPr>
        <w:rPr>
          <w:shd w:val="clear" w:color="auto" w:fill="FFFFFF"/>
          <w:lang w:val="en-US"/>
        </w:rPr>
      </w:pPr>
    </w:p>
    <w:p w:rsidR="00EE1CE5" w:rsidRPr="000744E8" w:rsidRDefault="00EE1CE5" w:rsidP="002E3BE8">
      <w:pPr>
        <w:rPr>
          <w:shd w:val="clear" w:color="auto" w:fill="FFFFFF"/>
          <w:lang w:val="en-US"/>
        </w:rPr>
      </w:pPr>
    </w:p>
    <w:p w:rsidR="00EE1CE5" w:rsidRPr="000744E8" w:rsidRDefault="00EE1CE5" w:rsidP="002E3BE8">
      <w:pPr>
        <w:rPr>
          <w:shd w:val="clear" w:color="auto" w:fill="FFFFFF"/>
          <w:lang w:val="en-US"/>
        </w:rPr>
      </w:pPr>
    </w:p>
    <w:p w:rsidR="00EE1CE5" w:rsidRPr="000744E8" w:rsidRDefault="00EE1CE5" w:rsidP="002E3BE8">
      <w:pPr>
        <w:rPr>
          <w:shd w:val="clear" w:color="auto" w:fill="FFFFFF"/>
          <w:lang w:val="en-US"/>
        </w:rPr>
      </w:pPr>
    </w:p>
    <w:p w:rsidR="00EE1CE5" w:rsidRPr="009E7E5D" w:rsidRDefault="00EE1CE5" w:rsidP="00EE1CE5">
      <w:pPr>
        <w:jc w:val="both"/>
        <w:rPr>
          <w:rStyle w:val="tlid-translation"/>
          <w:lang w:val="en-US"/>
        </w:rPr>
      </w:pPr>
      <w:r w:rsidRPr="009E7E5D">
        <w:rPr>
          <w:rStyle w:val="tlid-translation"/>
          <w:lang w:val="en-US"/>
        </w:rPr>
        <w:t>In case of quoting Statistics Poland data, please provide information: "Sour</w:t>
      </w:r>
      <w:r>
        <w:rPr>
          <w:rStyle w:val="tlid-translation"/>
          <w:lang w:val="en-US"/>
        </w:rPr>
        <w:t>ce of data: Statistics Poland"</w:t>
      </w:r>
      <w:r w:rsidRPr="009E7E5D">
        <w:rPr>
          <w:rStyle w:val="tlid-translation"/>
          <w:lang w:val="en-US"/>
        </w:rPr>
        <w:t>and in case of publishing calculations made on data published by Statistics Poland, please include the following disclaimer: "Own study based on figures from Statistics Poland".</w:t>
      </w:r>
    </w:p>
    <w:p w:rsidR="00EE1CE5" w:rsidRPr="000744E8" w:rsidRDefault="00EE1CE5" w:rsidP="002E3BE8">
      <w:pPr>
        <w:rPr>
          <w:shd w:val="clear" w:color="auto" w:fill="FFFFFF"/>
          <w:lang w:val="en-US"/>
        </w:rPr>
      </w:pPr>
    </w:p>
    <w:p w:rsidR="00C034BC" w:rsidRPr="000744E8" w:rsidRDefault="00C034BC" w:rsidP="00B72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lang w:val="en-US"/>
        </w:rPr>
        <w:sectPr w:rsidR="00C034BC" w:rsidRPr="000744E8" w:rsidSect="003B18B6">
          <w:headerReference w:type="even" r:id="rId11"/>
          <w:headerReference w:type="default" r:id="rId12"/>
          <w:footerReference w:type="even"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p>
    <w:p w:rsidR="00765B99" w:rsidRPr="000744E8" w:rsidRDefault="00765B99" w:rsidP="00E76D26">
      <w:pPr>
        <w:rPr>
          <w:sz w:val="18"/>
          <w:lang w:val="en-US"/>
        </w:rPr>
        <w:sectPr w:rsidR="00765B99" w:rsidRPr="000744E8" w:rsidSect="00B72F9E">
          <w:type w:val="continuous"/>
          <w:pgSz w:w="11906" w:h="16838"/>
          <w:pgMar w:top="720" w:right="3119" w:bottom="720" w:left="720" w:header="284" w:footer="283" w:gutter="0"/>
          <w:cols w:space="708"/>
          <w:titlePg/>
          <w:docGrid w:linePitch="360"/>
        </w:sectPr>
      </w:pPr>
    </w:p>
    <w:p w:rsidR="000470AA" w:rsidRPr="000744E8"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3B3875" w:rsidTr="009A5961">
        <w:trPr>
          <w:trHeight w:val="1506"/>
        </w:trPr>
        <w:tc>
          <w:tcPr>
            <w:tcW w:w="4195" w:type="dxa"/>
          </w:tcPr>
          <w:p w:rsidR="0025563A" w:rsidRPr="000744E8" w:rsidRDefault="001D2736" w:rsidP="0025563A">
            <w:pPr>
              <w:spacing w:before="0" w:after="0" w:line="276" w:lineRule="auto"/>
              <w:ind w:left="-108"/>
              <w:rPr>
                <w:rFonts w:cs="Arial"/>
                <w:color w:val="000000" w:themeColor="text1"/>
                <w:sz w:val="20"/>
                <w:lang w:val="en-US"/>
              </w:rPr>
            </w:pPr>
            <w:r w:rsidRPr="000744E8">
              <w:rPr>
                <w:rFonts w:cs="Arial"/>
                <w:color w:val="000000" w:themeColor="text1"/>
                <w:sz w:val="20"/>
                <w:lang w:val="en-US"/>
              </w:rPr>
              <w:t>Prepared by</w:t>
            </w:r>
            <w:r w:rsidR="000470AA" w:rsidRPr="000744E8">
              <w:rPr>
                <w:rFonts w:cs="Arial"/>
                <w:color w:val="000000" w:themeColor="text1"/>
                <w:sz w:val="20"/>
                <w:lang w:val="en-US"/>
              </w:rPr>
              <w:t>:</w:t>
            </w:r>
          </w:p>
          <w:p w:rsidR="00FA4729" w:rsidRPr="000744E8" w:rsidRDefault="006A0213" w:rsidP="00FA4729">
            <w:pPr>
              <w:spacing w:before="0" w:after="0" w:line="276" w:lineRule="auto"/>
              <w:ind w:left="-108"/>
              <w:rPr>
                <w:rFonts w:cs="Arial"/>
                <w:b/>
                <w:color w:val="000000" w:themeColor="text1"/>
                <w:sz w:val="20"/>
                <w:lang w:val="en-US"/>
              </w:rPr>
            </w:pPr>
            <w:r w:rsidRPr="000744E8">
              <w:rPr>
                <w:rFonts w:cs="Arial"/>
                <w:b/>
                <w:color w:val="000000" w:themeColor="text1"/>
                <w:sz w:val="20"/>
                <w:lang w:val="en-US"/>
              </w:rPr>
              <w:t xml:space="preserve">Macroeconomic Studies and Finance </w:t>
            </w:r>
            <w:r w:rsidRPr="000744E8">
              <w:rPr>
                <w:rFonts w:cs="Arial"/>
                <w:b/>
                <w:color w:val="000000" w:themeColor="text1"/>
                <w:sz w:val="20"/>
                <w:lang w:val="en-US"/>
              </w:rPr>
              <w:br/>
              <w:t xml:space="preserve">Statistics </w:t>
            </w:r>
            <w:r w:rsidR="00FA4729" w:rsidRPr="000744E8">
              <w:rPr>
                <w:rFonts w:cs="Arial"/>
                <w:b/>
                <w:color w:val="000000" w:themeColor="text1"/>
                <w:sz w:val="20"/>
                <w:lang w:val="en-US"/>
              </w:rPr>
              <w:t>Department</w:t>
            </w:r>
          </w:p>
          <w:p w:rsidR="00FA4729" w:rsidRPr="000744E8" w:rsidRDefault="00FA4729" w:rsidP="00FA4729">
            <w:pPr>
              <w:spacing w:before="0" w:after="0" w:line="276" w:lineRule="auto"/>
              <w:ind w:left="-108"/>
              <w:rPr>
                <w:rFonts w:cs="Arial"/>
                <w:b/>
                <w:color w:val="000000" w:themeColor="text1"/>
                <w:sz w:val="20"/>
                <w:lang w:val="en-US"/>
              </w:rPr>
            </w:pPr>
            <w:r w:rsidRPr="000744E8">
              <w:rPr>
                <w:rFonts w:cs="Arial"/>
                <w:b/>
                <w:color w:val="000000" w:themeColor="text1"/>
                <w:sz w:val="20"/>
                <w:lang w:val="en-US"/>
              </w:rPr>
              <w:t xml:space="preserve">Director </w:t>
            </w:r>
            <w:r w:rsidR="00AD40D1" w:rsidRPr="000744E8">
              <w:rPr>
                <w:rFonts w:cs="Arial"/>
                <w:b/>
                <w:color w:val="000000" w:themeColor="text1"/>
                <w:sz w:val="20"/>
                <w:lang w:val="en-US"/>
              </w:rPr>
              <w:t>MirosławBłażej</w:t>
            </w:r>
          </w:p>
          <w:p w:rsidR="00F418D1" w:rsidRPr="008F3638" w:rsidRDefault="00F418D1" w:rsidP="00F418D1">
            <w:pPr>
              <w:pStyle w:val="Nagwek3"/>
              <w:spacing w:before="0" w:line="240" w:lineRule="auto"/>
              <w:ind w:left="-108"/>
              <w:rPr>
                <w:rFonts w:ascii="Fira Sans" w:hAnsi="Fira Sans" w:cs="Arial"/>
                <w:color w:val="000000" w:themeColor="text1"/>
                <w:sz w:val="20"/>
                <w:lang w:val="fi-FI"/>
              </w:rPr>
            </w:pPr>
            <w:r w:rsidRPr="003A56B5">
              <w:rPr>
                <w:rFonts w:ascii="Fira Sans" w:hAnsi="Fira Sans" w:cs="Arial"/>
                <w:color w:val="000000" w:themeColor="text1"/>
                <w:sz w:val="20"/>
                <w:lang w:val="fi-FI"/>
              </w:rPr>
              <w:t xml:space="preserve">Office: tel. (+48 22) </w:t>
            </w:r>
            <w:r w:rsidR="00AD40D1">
              <w:rPr>
                <w:rFonts w:ascii="Fira Sans" w:hAnsi="Fira Sans" w:cs="Arial"/>
                <w:color w:val="000000" w:themeColor="text1"/>
                <w:sz w:val="20"/>
                <w:lang w:val="fi-FI"/>
              </w:rPr>
              <w:t>6083773</w:t>
            </w:r>
          </w:p>
          <w:p w:rsidR="000470AA" w:rsidRPr="00A24587" w:rsidRDefault="000470AA" w:rsidP="009A5961">
            <w:pPr>
              <w:pStyle w:val="Nagwek3"/>
              <w:spacing w:before="0" w:line="240" w:lineRule="auto"/>
              <w:ind w:left="-108"/>
              <w:rPr>
                <w:rFonts w:ascii="Fira Sans" w:hAnsi="Fira Sans"/>
                <w:b/>
                <w:color w:val="000000" w:themeColor="text1"/>
                <w:sz w:val="20"/>
                <w:szCs w:val="20"/>
                <w:lang w:val="fi-FI"/>
              </w:rPr>
            </w:pPr>
          </w:p>
        </w:tc>
        <w:tc>
          <w:tcPr>
            <w:tcW w:w="3728" w:type="dxa"/>
          </w:tcPr>
          <w:p w:rsidR="00AC3FCE" w:rsidRPr="000744E8" w:rsidRDefault="001D2736" w:rsidP="00E23337">
            <w:pPr>
              <w:spacing w:before="0" w:after="0" w:line="276" w:lineRule="auto"/>
              <w:rPr>
                <w:rFonts w:cs="Arial"/>
                <w:b/>
                <w:color w:val="000000" w:themeColor="text1"/>
                <w:sz w:val="20"/>
                <w:lang w:val="en-US"/>
              </w:rPr>
            </w:pPr>
            <w:r w:rsidRPr="000744E8">
              <w:rPr>
                <w:rFonts w:cs="Arial"/>
                <w:color w:val="000000" w:themeColor="text1"/>
                <w:sz w:val="20"/>
                <w:lang w:val="en-US"/>
              </w:rPr>
              <w:t>Issued by</w:t>
            </w:r>
            <w:r w:rsidR="000470AA" w:rsidRPr="000744E8">
              <w:rPr>
                <w:rFonts w:cs="Arial"/>
                <w:color w:val="000000" w:themeColor="text1"/>
                <w:sz w:val="20"/>
                <w:lang w:val="en-US"/>
              </w:rPr>
              <w:t>:</w:t>
            </w:r>
            <w:r w:rsidR="000470AA" w:rsidRPr="000744E8">
              <w:rPr>
                <w:rFonts w:cs="Arial"/>
                <w:color w:val="000000" w:themeColor="text1"/>
                <w:sz w:val="20"/>
                <w:lang w:val="en-US"/>
              </w:rPr>
              <w:br/>
            </w:r>
            <w:r w:rsidR="00AC3FCE" w:rsidRPr="000744E8">
              <w:rPr>
                <w:rFonts w:cs="Arial"/>
                <w:b/>
                <w:color w:val="000000" w:themeColor="text1"/>
                <w:sz w:val="20"/>
                <w:lang w:val="en-US"/>
              </w:rPr>
              <w:t>The Spoke</w:t>
            </w:r>
            <w:r w:rsidR="004B381A" w:rsidRPr="000744E8">
              <w:rPr>
                <w:rFonts w:cs="Arial"/>
                <w:b/>
                <w:color w:val="000000" w:themeColor="text1"/>
                <w:sz w:val="20"/>
                <w:lang w:val="en-US"/>
              </w:rPr>
              <w:t>s</w:t>
            </w:r>
            <w:r w:rsidR="00AC3FCE" w:rsidRPr="000744E8">
              <w:rPr>
                <w:rFonts w:cs="Arial"/>
                <w:b/>
                <w:color w:val="000000" w:themeColor="text1"/>
                <w:sz w:val="20"/>
                <w:lang w:val="en-US"/>
              </w:rPr>
              <w:t>personfor</w:t>
            </w:r>
            <w:r w:rsidRPr="000744E8">
              <w:rPr>
                <w:rFonts w:cs="Arial"/>
                <w:b/>
                <w:color w:val="000000" w:themeColor="text1"/>
                <w:sz w:val="20"/>
                <w:lang w:val="en-US"/>
              </w:rPr>
              <w:t xml:space="preserve"> the President</w:t>
            </w:r>
          </w:p>
          <w:p w:rsidR="000470AA" w:rsidRPr="000744E8" w:rsidRDefault="002D5D08" w:rsidP="00E23337">
            <w:pPr>
              <w:spacing w:before="0" w:after="0" w:line="276" w:lineRule="auto"/>
              <w:rPr>
                <w:rFonts w:cs="Arial"/>
                <w:b/>
                <w:color w:val="000000" w:themeColor="text1"/>
                <w:sz w:val="20"/>
                <w:lang w:val="en-US"/>
              </w:rPr>
            </w:pPr>
            <w:r w:rsidRPr="000744E8">
              <w:rPr>
                <w:rFonts w:cs="Arial"/>
                <w:b/>
                <w:color w:val="000000" w:themeColor="text1"/>
                <w:sz w:val="20"/>
                <w:lang w:val="en-US"/>
              </w:rPr>
              <w:t>o</w:t>
            </w:r>
            <w:r w:rsidR="00AC3FCE" w:rsidRPr="000744E8">
              <w:rPr>
                <w:rFonts w:cs="Arial"/>
                <w:b/>
                <w:color w:val="000000" w:themeColor="text1"/>
                <w:sz w:val="20"/>
                <w:lang w:val="en-US"/>
              </w:rPr>
              <w:t>f Statistic</w:t>
            </w:r>
            <w:r w:rsidRPr="000744E8">
              <w:rPr>
                <w:rFonts w:cs="Arial"/>
                <w:b/>
                <w:color w:val="000000" w:themeColor="text1"/>
                <w:sz w:val="20"/>
                <w:lang w:val="en-US"/>
              </w:rPr>
              <w:t>s</w:t>
            </w:r>
            <w:r w:rsidR="00AC3FCE" w:rsidRPr="000744E8">
              <w:rPr>
                <w:rFonts w:cs="Arial"/>
                <w:b/>
                <w:color w:val="000000" w:themeColor="text1"/>
                <w:sz w:val="20"/>
                <w:lang w:val="en-US"/>
              </w:rPr>
              <w:t xml:space="preserve"> Poland</w:t>
            </w:r>
          </w:p>
          <w:p w:rsidR="00FA4729" w:rsidRPr="000744E8" w:rsidRDefault="00FA4729" w:rsidP="00FA4729">
            <w:pPr>
              <w:pStyle w:val="Nagwek3"/>
              <w:spacing w:before="0" w:line="240" w:lineRule="auto"/>
              <w:rPr>
                <w:rFonts w:ascii="Fira Sans" w:hAnsi="Fira Sans" w:cs="Arial"/>
                <w:b/>
                <w:color w:val="000000" w:themeColor="text1"/>
                <w:sz w:val="20"/>
                <w:szCs w:val="28"/>
                <w:lang w:val="en-US"/>
              </w:rPr>
            </w:pPr>
            <w:r w:rsidRPr="000744E8">
              <w:rPr>
                <w:rFonts w:ascii="Fira Sans" w:hAnsi="Fira Sans" w:cs="Arial"/>
                <w:b/>
                <w:color w:val="000000" w:themeColor="text1"/>
                <w:sz w:val="20"/>
                <w:szCs w:val="28"/>
                <w:lang w:val="en-US"/>
              </w:rPr>
              <w:t>Karolina</w:t>
            </w:r>
            <w:r w:rsidRPr="000744E8">
              <w:rPr>
                <w:rFonts w:ascii="Fira Sans" w:hAnsi="Fira Sans" w:cs="Arial"/>
                <w:b/>
                <w:color w:val="auto"/>
                <w:sz w:val="20"/>
                <w:szCs w:val="28"/>
                <w:lang w:val="en-US"/>
              </w:rPr>
              <w:t xml:space="preserve"> Banaszek</w:t>
            </w:r>
          </w:p>
          <w:p w:rsidR="00F418D1" w:rsidRPr="008F3638" w:rsidRDefault="00F418D1" w:rsidP="00F418D1">
            <w:pPr>
              <w:pStyle w:val="Nagwek3"/>
              <w:spacing w:before="0" w:line="240" w:lineRule="auto"/>
              <w:rPr>
                <w:rFonts w:ascii="Fira Sans" w:hAnsi="Fira Sans" w:cs="Arial"/>
                <w:color w:val="000000" w:themeColor="text1"/>
                <w:sz w:val="20"/>
                <w:lang w:val="fi-FI"/>
              </w:rPr>
            </w:pPr>
            <w:r>
              <w:rPr>
                <w:rFonts w:ascii="Fira Sans" w:hAnsi="Fira Sans" w:cs="Arial"/>
                <w:color w:val="000000" w:themeColor="text1"/>
                <w:sz w:val="20"/>
                <w:lang w:val="fi-FI"/>
              </w:rPr>
              <w:t>Mobile:</w:t>
            </w:r>
            <w:r w:rsidRPr="003A56B5">
              <w:rPr>
                <w:rFonts w:ascii="Fira Sans" w:hAnsi="Fira Sans" w:cs="Arial"/>
                <w:color w:val="000000" w:themeColor="text1"/>
                <w:sz w:val="20"/>
                <w:lang w:val="fi-FI"/>
              </w:rPr>
              <w:t xml:space="preserve"> (+48) </w:t>
            </w:r>
            <w:r w:rsidRPr="00F60BA8">
              <w:rPr>
                <w:rFonts w:ascii="Fira Sans" w:hAnsi="Fira Sans" w:cs="Arial"/>
                <w:color w:val="000000" w:themeColor="text1"/>
                <w:sz w:val="20"/>
                <w:lang w:val="fi-FI"/>
              </w:rPr>
              <w:t>695 255</w:t>
            </w:r>
            <w:r>
              <w:rPr>
                <w:rFonts w:ascii="Fira Sans" w:hAnsi="Fira Sans" w:cs="Arial"/>
                <w:color w:val="000000" w:themeColor="text1"/>
                <w:sz w:val="20"/>
                <w:lang w:val="fi-FI"/>
              </w:rPr>
              <w:t> </w:t>
            </w:r>
            <w:r w:rsidRPr="00F60BA8">
              <w:rPr>
                <w:rFonts w:ascii="Fira Sans" w:hAnsi="Fira Sans" w:cs="Arial"/>
                <w:color w:val="000000" w:themeColor="text1"/>
                <w:sz w:val="20"/>
                <w:lang w:val="fi-FI"/>
              </w:rPr>
              <w:t>011</w:t>
            </w:r>
          </w:p>
          <w:p w:rsidR="000470AA" w:rsidRPr="008F3638" w:rsidRDefault="000470AA" w:rsidP="00D00796">
            <w:pPr>
              <w:pStyle w:val="Nagwek3"/>
              <w:spacing w:before="0" w:line="240" w:lineRule="auto"/>
              <w:rPr>
                <w:rFonts w:ascii="Fira Sans" w:hAnsi="Fira Sans" w:cs="Arial"/>
                <w:color w:val="000000" w:themeColor="text1"/>
                <w:sz w:val="20"/>
                <w:szCs w:val="20"/>
                <w:lang w:val="en-US"/>
              </w:rPr>
            </w:pPr>
          </w:p>
        </w:tc>
      </w:tr>
    </w:tbl>
    <w:p w:rsidR="000470AA" w:rsidRPr="000744E8" w:rsidRDefault="000470AA" w:rsidP="000470AA">
      <w:pPr>
        <w:rPr>
          <w:sz w:val="20"/>
          <w:lang w:val="en-US"/>
        </w:rPr>
      </w:pPr>
    </w:p>
    <w:p w:rsidR="000470AA" w:rsidRPr="000744E8"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0470AA" w:rsidRPr="003B3875" w:rsidTr="00A24587">
        <w:trPr>
          <w:trHeight w:val="610"/>
        </w:trPr>
        <w:tc>
          <w:tcPr>
            <w:tcW w:w="2721" w:type="pct"/>
            <w:vMerge w:val="restart"/>
          </w:tcPr>
          <w:p w:rsidR="000470AA" w:rsidRPr="000744E8" w:rsidRDefault="001D2736" w:rsidP="00A24587">
            <w:pPr>
              <w:rPr>
                <w:b/>
                <w:sz w:val="20"/>
                <w:lang w:val="en-US"/>
              </w:rPr>
            </w:pPr>
            <w:r w:rsidRPr="000744E8">
              <w:rPr>
                <w:b/>
                <w:sz w:val="20"/>
                <w:lang w:val="en-US"/>
              </w:rPr>
              <w:t>Press Office</w:t>
            </w:r>
          </w:p>
          <w:p w:rsidR="00F418D1" w:rsidRPr="000744E8" w:rsidRDefault="00F418D1" w:rsidP="00F418D1">
            <w:pPr>
              <w:rPr>
                <w:sz w:val="20"/>
                <w:lang w:val="en-US"/>
              </w:rPr>
            </w:pPr>
            <w:r w:rsidRPr="003A56B5">
              <w:rPr>
                <w:rFonts w:cs="Arial"/>
                <w:color w:val="000000" w:themeColor="text1"/>
                <w:sz w:val="20"/>
                <w:szCs w:val="24"/>
                <w:lang w:val="fi-FI"/>
              </w:rPr>
              <w:t xml:space="preserve">Office: tel. (+48 22) </w:t>
            </w:r>
            <w:r w:rsidRPr="000744E8">
              <w:rPr>
                <w:sz w:val="20"/>
                <w:lang w:val="en-US"/>
              </w:rPr>
              <w:t xml:space="preserve">608 34 91, 608 38 04 </w:t>
            </w:r>
          </w:p>
          <w:p w:rsidR="000470AA" w:rsidRPr="000744E8" w:rsidRDefault="000470AA" w:rsidP="00A24587">
            <w:pPr>
              <w:rPr>
                <w:sz w:val="18"/>
                <w:lang w:val="en-US"/>
              </w:rPr>
            </w:pPr>
            <w:r w:rsidRPr="000744E8">
              <w:rPr>
                <w:b/>
                <w:sz w:val="20"/>
                <w:lang w:val="en-US"/>
              </w:rPr>
              <w:t>e-mail:</w:t>
            </w:r>
            <w:r w:rsidR="003B3875">
              <w:rPr>
                <w:b/>
                <w:sz w:val="20"/>
                <w:lang w:val="en-US"/>
              </w:rPr>
              <w:t xml:space="preserve"> </w:t>
            </w:r>
            <w:hyperlink r:id="rId17" w:history="1">
              <w:r w:rsidRPr="000744E8">
                <w:rPr>
                  <w:rStyle w:val="Hipercze"/>
                  <w:rFonts w:cstheme="minorBidi"/>
                  <w:b/>
                  <w:color w:val="auto"/>
                  <w:sz w:val="20"/>
                  <w:lang w:val="en-US"/>
                </w:rPr>
                <w:t>obslugaprasowa@stat.gov.pl</w:t>
              </w:r>
            </w:hyperlink>
          </w:p>
        </w:tc>
        <w:tc>
          <w:tcPr>
            <w:tcW w:w="369" w:type="pct"/>
            <w:vAlign w:val="center"/>
          </w:tcPr>
          <w:p w:rsidR="000470AA" w:rsidRPr="000744E8" w:rsidRDefault="000470AA" w:rsidP="000470AA">
            <w:pPr>
              <w:rPr>
                <w:sz w:val="18"/>
                <w:lang w:val="en-US"/>
              </w:rPr>
            </w:pPr>
            <w:r>
              <w:rPr>
                <w:noProof/>
                <w:sz w:val="20"/>
                <w:lang w:eastAsia="pl-PL"/>
              </w:rPr>
              <w:drawing>
                <wp:anchor distT="0" distB="0" distL="114300" distR="114300" simplePos="0" relativeHeight="251732992" behindDoc="0" locked="0" layoutInCell="1" allowOverlap="1">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0470AA" w:rsidRPr="000744E8" w:rsidRDefault="000470AA" w:rsidP="000470AA">
            <w:pPr>
              <w:rPr>
                <w:sz w:val="18"/>
                <w:lang w:val="en-US"/>
              </w:rPr>
            </w:pPr>
            <w:r w:rsidRPr="000744E8">
              <w:rPr>
                <w:sz w:val="20"/>
                <w:lang w:val="en-US"/>
              </w:rPr>
              <w:t>www.stat.gov.pl</w:t>
            </w:r>
            <w:r w:rsidR="001D2736" w:rsidRPr="000744E8">
              <w:rPr>
                <w:sz w:val="20"/>
                <w:lang w:val="en-US"/>
              </w:rPr>
              <w:t>/en/</w:t>
            </w:r>
          </w:p>
        </w:tc>
      </w:tr>
      <w:tr w:rsidR="000470AA" w:rsidTr="00A24587">
        <w:trPr>
          <w:trHeight w:val="436"/>
        </w:trPr>
        <w:tc>
          <w:tcPr>
            <w:tcW w:w="2721" w:type="pct"/>
            <w:vMerge/>
          </w:tcPr>
          <w:p w:rsidR="000470AA" w:rsidRPr="000744E8" w:rsidRDefault="000470AA" w:rsidP="00A24587">
            <w:pPr>
              <w:rPr>
                <w:sz w:val="18"/>
                <w:lang w:val="en-US"/>
              </w:rPr>
            </w:pPr>
          </w:p>
        </w:tc>
        <w:tc>
          <w:tcPr>
            <w:tcW w:w="369" w:type="pct"/>
            <w:vAlign w:val="center"/>
          </w:tcPr>
          <w:p w:rsidR="000470AA" w:rsidRPr="000744E8" w:rsidRDefault="000470AA" w:rsidP="000470AA">
            <w:pPr>
              <w:rPr>
                <w:sz w:val="18"/>
                <w:lang w:val="en-US"/>
              </w:rPr>
            </w:pPr>
            <w:r>
              <w:rPr>
                <w:noProof/>
                <w:sz w:val="20"/>
                <w:lang w:eastAsia="pl-PL"/>
              </w:rPr>
              <w:drawing>
                <wp:anchor distT="0" distB="0" distL="114300" distR="114300" simplePos="0" relativeHeight="251735040" behindDoc="0" locked="0" layoutInCell="1" allowOverlap="1">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1D2736" w:rsidP="000470AA">
            <w:pPr>
              <w:rPr>
                <w:sz w:val="18"/>
              </w:rPr>
            </w:pPr>
            <w:r>
              <w:rPr>
                <w:sz w:val="20"/>
              </w:rPr>
              <w:t>@StatPoland</w:t>
            </w:r>
          </w:p>
        </w:tc>
      </w:tr>
      <w:tr w:rsidR="000470AA" w:rsidTr="00A24587">
        <w:trPr>
          <w:trHeight w:val="436"/>
        </w:trPr>
        <w:tc>
          <w:tcPr>
            <w:tcW w:w="2721" w:type="pct"/>
            <w:vMerge/>
          </w:tcPr>
          <w:p w:rsidR="000470AA" w:rsidRDefault="000470AA" w:rsidP="00A24587">
            <w:pPr>
              <w:rPr>
                <w:sz w:val="18"/>
              </w:rPr>
            </w:pPr>
          </w:p>
        </w:tc>
        <w:tc>
          <w:tcPr>
            <w:tcW w:w="369" w:type="pct"/>
            <w:vAlign w:val="center"/>
          </w:tcPr>
          <w:p w:rsidR="000470AA" w:rsidRDefault="000470AA" w:rsidP="000470AA">
            <w:pPr>
              <w:rPr>
                <w:sz w:val="18"/>
              </w:rPr>
            </w:pPr>
            <w:r>
              <w:rPr>
                <w:noProof/>
                <w:sz w:val="20"/>
                <w:lang w:eastAsia="pl-PL"/>
              </w:rPr>
              <w:drawing>
                <wp:anchor distT="0" distB="0" distL="114300" distR="114300" simplePos="0" relativeHeight="251734016" behindDoc="0" locked="0" layoutInCell="1" allowOverlap="1">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0470AA" w:rsidRDefault="000470AA" w:rsidP="000470AA">
            <w:pPr>
              <w:rPr>
                <w:sz w:val="20"/>
              </w:rPr>
            </w:pPr>
            <w:r w:rsidRPr="003D5F42">
              <w:rPr>
                <w:sz w:val="20"/>
              </w:rPr>
              <w:t>@GlownyUrzadStatystyczny</w:t>
            </w:r>
          </w:p>
        </w:tc>
      </w:tr>
    </w:tbl>
    <w:p w:rsidR="00D261A2" w:rsidRPr="00001C5B" w:rsidRDefault="00487050" w:rsidP="00E76D26">
      <w:pPr>
        <w:rPr>
          <w:sz w:val="18"/>
        </w:rPr>
      </w:pPr>
      <w:r>
        <w:rPr>
          <w:noProof/>
          <w:sz w:val="18"/>
          <w:lang w:eastAsia="pl-PL"/>
        </w:rPr>
        <w:pict>
          <v:shape id="_x0000_s1031" type="#_x0000_t202" style="position:absolute;margin-left:1.5pt;margin-top:33.5pt;width:516.5pt;height:349.85pt;z-index:251691008;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vg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tTYpFFswwbr&#10;R9Le4bgFtLV0aNH94qynDai4/7kDJznTny31bzGdz+PKJGNevJ+R4U49m1MPWEFQFQ+cjcd1SGsW&#10;qVq8oj43KnXghcmBMk12kvCwhXF1Tu0U9fKvWD0B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EEPi+A+AgAAcwQAAA4A&#10;AAAAAAAAAAAAAAAALgIAAGRycy9lMm9Eb2MueG1sUEsBAi0AFAAGAAgAAAAhAG7AMXzfAAAACQEA&#10;AA8AAAAAAAAAAAAAAAAAmAQAAGRycy9kb3ducmV2LnhtbFBLBQYAAAAABAAEAPMAAACkBQAAAAA=&#10;" fillcolor="#f2f2f2 [3052]" strokecolor="white [3212]">
            <v:textbox>
              <w:txbxContent>
                <w:p w:rsidR="00AB6D25" w:rsidRDefault="00AB6D25" w:rsidP="00AB6D25">
                  <w:pPr>
                    <w:rPr>
                      <w:b/>
                    </w:rPr>
                  </w:pPr>
                </w:p>
                <w:p w:rsidR="00D338DC" w:rsidRPr="000744E8" w:rsidRDefault="00D338DC" w:rsidP="00D338DC">
                  <w:pPr>
                    <w:rPr>
                      <w:b/>
                      <w:color w:val="000000" w:themeColor="text1"/>
                      <w:szCs w:val="24"/>
                      <w:lang w:val="en-US"/>
                    </w:rPr>
                  </w:pPr>
                  <w:r w:rsidRPr="000744E8">
                    <w:rPr>
                      <w:b/>
                      <w:color w:val="000000" w:themeColor="text1"/>
                      <w:szCs w:val="24"/>
                      <w:lang w:val="en-US"/>
                    </w:rPr>
                    <w:t>Data available in databases</w:t>
                  </w:r>
                </w:p>
                <w:p w:rsidR="00D338DC" w:rsidRPr="00A84D60" w:rsidRDefault="00487050" w:rsidP="00D338DC">
                  <w:pPr>
                    <w:rPr>
                      <w:rStyle w:val="Hipercze"/>
                      <w:rFonts w:cs="Arial"/>
                      <w:color w:val="001D77"/>
                      <w:sz w:val="18"/>
                      <w:szCs w:val="30"/>
                      <w:shd w:val="clear" w:color="auto" w:fill="F0F0F0"/>
                      <w:lang w:val="en-US"/>
                    </w:rPr>
                  </w:pPr>
                  <w:hyperlink r:id="rId21" w:history="1">
                    <w:r w:rsidR="00D338DC" w:rsidRPr="00A84D60">
                      <w:rPr>
                        <w:rStyle w:val="Hipercze"/>
                        <w:rFonts w:cs="Arial"/>
                        <w:color w:val="001D77"/>
                        <w:sz w:val="18"/>
                        <w:szCs w:val="30"/>
                        <w:shd w:val="clear" w:color="auto" w:fill="F0F0F0"/>
                        <w:lang w:val="en-US"/>
                      </w:rPr>
                      <w:t>Macroeconomic Data Bank – Financial Results of Investment Funds and Investment Funds Companies</w:t>
                    </w:r>
                  </w:hyperlink>
                </w:p>
                <w:p w:rsidR="00AB6D25" w:rsidRPr="000744E8" w:rsidRDefault="00AB6D25" w:rsidP="00AB6D25">
                  <w:pPr>
                    <w:rPr>
                      <w:rStyle w:val="Hipercze"/>
                      <w:rFonts w:cstheme="minorBidi"/>
                      <w:b/>
                      <w:color w:val="auto"/>
                      <w:u w:val="none"/>
                      <w:lang w:val="en-US"/>
                    </w:rPr>
                  </w:pPr>
                </w:p>
                <w:p w:rsidR="00673C26" w:rsidRPr="000744E8" w:rsidRDefault="00673C26" w:rsidP="00AB6D25">
                  <w:pPr>
                    <w:rPr>
                      <w:b/>
                      <w:color w:val="000000" w:themeColor="text1"/>
                      <w:szCs w:val="24"/>
                      <w:lang w:val="en-US"/>
                    </w:rPr>
                  </w:pPr>
                </w:p>
                <w:p w:rsidR="00AB6D25" w:rsidRPr="000744E8" w:rsidRDefault="000C0DD6" w:rsidP="00AB6D25">
                  <w:pPr>
                    <w:rPr>
                      <w:b/>
                      <w:color w:val="000000" w:themeColor="text1"/>
                      <w:szCs w:val="24"/>
                      <w:lang w:val="en-US"/>
                    </w:rPr>
                  </w:pPr>
                  <w:r w:rsidRPr="000744E8">
                    <w:rPr>
                      <w:b/>
                      <w:color w:val="000000" w:themeColor="text1"/>
                      <w:szCs w:val="24"/>
                      <w:lang w:val="en-US"/>
                    </w:rPr>
                    <w:t>Terms used in official</w:t>
                  </w:r>
                  <w:r w:rsidR="00B1321E" w:rsidRPr="000744E8">
                    <w:rPr>
                      <w:b/>
                      <w:color w:val="000000" w:themeColor="text1"/>
                      <w:szCs w:val="24"/>
                      <w:lang w:val="en-US"/>
                    </w:rPr>
                    <w:t xml:space="preserve"> statis</w:t>
                  </w:r>
                  <w:r w:rsidR="00915AA6" w:rsidRPr="000744E8">
                    <w:rPr>
                      <w:b/>
                      <w:color w:val="000000" w:themeColor="text1"/>
                      <w:szCs w:val="24"/>
                      <w:lang w:val="en-US"/>
                    </w:rPr>
                    <w:t>tics</w:t>
                  </w:r>
                </w:p>
                <w:p w:rsidR="00D338DC" w:rsidRPr="00A84D60" w:rsidRDefault="00487050" w:rsidP="00D338DC">
                  <w:pPr>
                    <w:rPr>
                      <w:rStyle w:val="Hipercze"/>
                      <w:rFonts w:cs="Arial"/>
                      <w:color w:val="001D77"/>
                      <w:sz w:val="18"/>
                      <w:szCs w:val="30"/>
                      <w:shd w:val="clear" w:color="auto" w:fill="F0F0F0"/>
                      <w:lang w:val="en-US"/>
                    </w:rPr>
                  </w:pPr>
                  <w:hyperlink r:id="rId22" w:history="1">
                    <w:r w:rsidR="00D338DC" w:rsidRPr="00A84D60">
                      <w:rPr>
                        <w:rStyle w:val="Hipercze"/>
                        <w:rFonts w:cs="Arial"/>
                        <w:color w:val="001D77"/>
                        <w:sz w:val="18"/>
                        <w:szCs w:val="30"/>
                        <w:shd w:val="clear" w:color="auto" w:fill="F0F0F0"/>
                        <w:lang w:val="en-US"/>
                      </w:rPr>
                      <w:t>Investment Fund</w:t>
                    </w:r>
                  </w:hyperlink>
                </w:p>
                <w:p w:rsidR="00D338DC" w:rsidRPr="00A84D60" w:rsidRDefault="00487050" w:rsidP="00D338DC">
                  <w:pPr>
                    <w:rPr>
                      <w:rStyle w:val="Hipercze"/>
                      <w:rFonts w:cs="Arial"/>
                      <w:color w:val="001D77"/>
                      <w:sz w:val="18"/>
                      <w:szCs w:val="30"/>
                      <w:shd w:val="clear" w:color="auto" w:fill="F0F0F0"/>
                    </w:rPr>
                  </w:pPr>
                  <w:hyperlink r:id="rId23" w:history="1">
                    <w:r w:rsidR="00D338DC" w:rsidRPr="00A84D60">
                      <w:rPr>
                        <w:rStyle w:val="Hipercze"/>
                        <w:rFonts w:cs="Arial"/>
                        <w:color w:val="001D77"/>
                        <w:sz w:val="18"/>
                        <w:szCs w:val="30"/>
                        <w:shd w:val="clear" w:color="auto" w:fill="F0F0F0"/>
                      </w:rPr>
                      <w:t>Investment Fund Company</w:t>
                    </w:r>
                  </w:hyperlink>
                </w:p>
                <w:p w:rsidR="00DB4CC6" w:rsidRPr="00E72B1C" w:rsidRDefault="00DB4CC6" w:rsidP="00DB4CC6">
                  <w:pPr>
                    <w:rPr>
                      <w:rStyle w:val="Hipercze"/>
                      <w:rFonts w:cs="Arial"/>
                      <w:color w:val="001D77"/>
                      <w:sz w:val="18"/>
                      <w:szCs w:val="30"/>
                      <w:shd w:val="clear" w:color="auto" w:fill="F0F0F0"/>
                    </w:rPr>
                  </w:pPr>
                </w:p>
                <w:p w:rsidR="00AB6D25" w:rsidRPr="00505A92" w:rsidRDefault="00AB6D25" w:rsidP="00AB6D25">
                  <w:pPr>
                    <w:rPr>
                      <w:b/>
                      <w:color w:val="000000" w:themeColor="text1"/>
                      <w:szCs w:val="24"/>
                    </w:rPr>
                  </w:pPr>
                  <w:bookmarkStart w:id="0" w:name="_GoBack"/>
                  <w:bookmarkEnd w:id="0"/>
                </w:p>
              </w:txbxContent>
            </v:textbox>
            <w10:wrap type="square" anchorx="margin"/>
          </v:shape>
        </w:pict>
      </w:r>
    </w:p>
    <w:sectPr w:rsidR="00D261A2" w:rsidRPr="00001C5B" w:rsidSect="003B18B6">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050" w:rsidRDefault="00487050" w:rsidP="000662E2">
      <w:pPr>
        <w:spacing w:after="0" w:line="240" w:lineRule="auto"/>
      </w:pPr>
      <w:r>
        <w:separator/>
      </w:r>
    </w:p>
  </w:endnote>
  <w:endnote w:type="continuationSeparator" w:id="0">
    <w:p w:rsidR="00487050" w:rsidRDefault="0048705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altName w:val="Cambria Math"/>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altName w:val="Corbel"/>
    <w:panose1 w:val="020B0603050000020004"/>
    <w:charset w:val="EE"/>
    <w:family w:val="swiss"/>
    <w:pitch w:val="variable"/>
    <w:sig w:usb0="600002FF" w:usb1="00000001" w:usb2="00000000" w:usb3="00000000" w:csb0="0000019F" w:csb1="00000000"/>
  </w:font>
  <w:font w:name="Fira Sans Extra Condensed">
    <w:altName w:val="Corbel"/>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52C" w:rsidRDefault="00D6652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076485"/>
      <w:docPartObj>
        <w:docPartGallery w:val="Page Numbers (Bottom of Page)"/>
        <w:docPartUnique/>
      </w:docPartObj>
    </w:sdtPr>
    <w:sdtEndPr/>
    <w:sdtContent>
      <w:p w:rsidR="00EB556D" w:rsidRDefault="00773ACC" w:rsidP="003B18B6">
        <w:pPr>
          <w:pStyle w:val="Stopka"/>
          <w:jc w:val="center"/>
        </w:pPr>
        <w:r>
          <w:fldChar w:fldCharType="begin"/>
        </w:r>
        <w:r w:rsidR="00541E6E">
          <w:instrText>PAGE   \* MERGEFORMAT</w:instrText>
        </w:r>
        <w:r>
          <w:fldChar w:fldCharType="separate"/>
        </w:r>
        <w:r w:rsidR="00A84D60">
          <w:rPr>
            <w:noProof/>
          </w:rPr>
          <w:t>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56D" w:rsidRDefault="00EB556D" w:rsidP="003B18B6">
    <w:pPr>
      <w:pStyle w:val="Stopk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B6" w:rsidRDefault="00773ACC" w:rsidP="003B18B6">
    <w:pPr>
      <w:pStyle w:val="Stopka"/>
      <w:jc w:val="center"/>
    </w:pPr>
    <w:r>
      <w:fldChar w:fldCharType="begin"/>
    </w:r>
    <w:r w:rsidR="003B18B6">
      <w:instrText>PAGE   \* MERGEFORMAT</w:instrText>
    </w:r>
    <w:r>
      <w:fldChar w:fldCharType="separate"/>
    </w:r>
    <w:r w:rsidR="00A84D6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050" w:rsidRDefault="00487050" w:rsidP="000662E2">
      <w:pPr>
        <w:spacing w:after="0" w:line="240" w:lineRule="auto"/>
      </w:pPr>
      <w:r>
        <w:separator/>
      </w:r>
    </w:p>
  </w:footnote>
  <w:footnote w:type="continuationSeparator" w:id="0">
    <w:p w:rsidR="00487050" w:rsidRDefault="00487050"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52C" w:rsidRDefault="00D6652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487050">
    <w:pPr>
      <w:pStyle w:val="Nagwek"/>
    </w:pPr>
    <w:r>
      <w:rPr>
        <w:noProof/>
        <w:lang w:eastAsia="pl-PL"/>
      </w:rPr>
      <w:pict>
        <v:rect id="Prostokąt 24" o:spid="_x0000_s2052" style="position:absolute;margin-left:410.6pt;margin-top:-14.05pt;width:147.6pt;height:1785.8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w:r>
  </w:p>
  <w:p w:rsidR="000662E2" w:rsidRDefault="000662E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D30555">
    <w:pPr>
      <w:pStyle w:val="Nagwek"/>
      <w:rPr>
        <w:noProof/>
        <w:lang w:eastAsia="pl-PL"/>
      </w:rPr>
    </w:pPr>
    <w:r>
      <w:rPr>
        <w:noProof/>
        <w:lang w:eastAsia="pl-PL"/>
      </w:rPr>
      <w:drawing>
        <wp:anchor distT="0" distB="0" distL="114300" distR="114300" simplePos="0" relativeHeight="251671552" behindDoc="0" locked="0" layoutInCell="1" allowOverlap="1">
          <wp:simplePos x="0" y="0"/>
          <wp:positionH relativeFrom="column">
            <wp:posOffset>0</wp:posOffset>
          </wp:positionH>
          <wp:positionV relativeFrom="paragraph">
            <wp:posOffset>-635</wp:posOffset>
          </wp:positionV>
          <wp:extent cx="1955800" cy="744855"/>
          <wp:effectExtent l="0" t="0" r="0" b="0"/>
          <wp:wrapSquare wrapText="bothSides"/>
          <wp:docPr id="2" name="Obraz 2"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anchor>
      </w:drawing>
    </w:r>
    <w:r w:rsidR="00487050">
      <w:rPr>
        <w:noProof/>
        <w:lang w:eastAsia="pl-PL"/>
      </w:rPr>
      <w:pict>
        <v:shape id="Schemat blokowy: opóźnienie 6" o:spid="_x0000_s2051" style="position:absolute;margin-left:396.6pt;margin-top:15.65pt;width:162.25pt;height:28.15pt;flip:x;z-index:251668480;visibility:visible;mso-position-horizontal-relative:text;mso-position-vertical-relative:text;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w:r>
    <w:r w:rsidR="00487050">
      <w:rPr>
        <w:noProof/>
        <w:lang w:eastAsia="pl-PL"/>
      </w:rPr>
      <w:pict>
        <v:rect id="Prostokąt 10" o:spid="_x0000_s2050" style="position:absolute;margin-left:410.95pt;margin-top:40.3pt;width:147.4pt;height:1803.55pt;z-index:-251650048;visibility:visible;mso-position-horizontal-relative:text;mso-position-vertical-relative:text;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w:r>
  </w:p>
  <w:p w:rsidR="001C7430" w:rsidRDefault="001C7430">
    <w:pPr>
      <w:pStyle w:val="Nagwek"/>
      <w:rPr>
        <w:noProof/>
        <w:lang w:eastAsia="pl-PL"/>
      </w:rPr>
    </w:pPr>
  </w:p>
  <w:p w:rsidR="001C7430" w:rsidRDefault="001C7430">
    <w:pPr>
      <w:pStyle w:val="Nagwek"/>
      <w:rPr>
        <w:noProof/>
        <w:lang w:eastAsia="pl-PL"/>
      </w:rPr>
    </w:pPr>
  </w:p>
  <w:p w:rsidR="00F32749" w:rsidRDefault="00487050">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style="mso-next-textbox:#_x0000_s2049">
            <w:txbxContent>
              <w:p w:rsidR="00F37172" w:rsidRPr="00C97596" w:rsidRDefault="00D6652C" w:rsidP="00F37172">
                <w:pPr>
                  <w:jc w:val="both"/>
                  <w:rPr>
                    <w:rFonts w:ascii="Fira Sans SemiBold" w:hAnsi="Fira Sans SemiBold"/>
                    <w:color w:val="001D77"/>
                  </w:rPr>
                </w:pPr>
                <w:r>
                  <w:rPr>
                    <w:rFonts w:ascii="Fira Sans SemiBold" w:hAnsi="Fira Sans SemiBold"/>
                    <w:color w:val="001D77"/>
                  </w:rPr>
                  <w:t>18</w:t>
                </w:r>
                <w:r w:rsidR="00A810F9">
                  <w:rPr>
                    <w:rFonts w:ascii="Fira Sans SemiBold" w:hAnsi="Fira Sans SemiBold"/>
                    <w:color w:val="001D77"/>
                  </w:rPr>
                  <w:t>.</w:t>
                </w:r>
                <w:r>
                  <w:rPr>
                    <w:rFonts w:ascii="Fira Sans SemiBold" w:hAnsi="Fira Sans SemiBold"/>
                    <w:color w:val="001D77"/>
                  </w:rPr>
                  <w:t>08</w:t>
                </w:r>
                <w:r w:rsidR="00A810F9">
                  <w:rPr>
                    <w:rFonts w:ascii="Fira Sans SemiBold" w:hAnsi="Fira Sans SemiBold"/>
                    <w:color w:val="001D77"/>
                  </w:rPr>
                  <w:t>.</w:t>
                </w:r>
                <w:r w:rsidR="006F6D6B">
                  <w:rPr>
                    <w:rFonts w:ascii="Fira Sans SemiBold" w:hAnsi="Fira Sans SemiBold"/>
                    <w:color w:val="001D77"/>
                  </w:rPr>
                  <w:t>20</w:t>
                </w:r>
                <w:r w:rsidR="005867EC">
                  <w:rPr>
                    <w:rFonts w:ascii="Fira Sans SemiBold" w:hAnsi="Fira Sans SemiBold"/>
                    <w:color w:val="001D77"/>
                  </w:rPr>
                  <w:t>20</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6pt;height:125pt;visibility:visible;mso-wrap-style:square" o:bullet="t">
        <v:imagedata r:id="rId1" o:title=""/>
      </v:shape>
    </w:pict>
  </w:numPicBullet>
  <w:numPicBullet w:numPicBulletId="1">
    <w:pict>
      <v:shape id="_x0000_i1041" type="#_x0000_t75" style="width:123.6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9F585C"/>
    <w:multiLevelType w:val="hybridMultilevel"/>
    <w:tmpl w:val="3430A30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853"/>
    <w:rsid w:val="00001C5B"/>
    <w:rsid w:val="00003437"/>
    <w:rsid w:val="00003D68"/>
    <w:rsid w:val="00004288"/>
    <w:rsid w:val="0000709F"/>
    <w:rsid w:val="000108B8"/>
    <w:rsid w:val="000152F5"/>
    <w:rsid w:val="00040151"/>
    <w:rsid w:val="0004582E"/>
    <w:rsid w:val="000470AA"/>
    <w:rsid w:val="00057CA1"/>
    <w:rsid w:val="00057E5D"/>
    <w:rsid w:val="00064439"/>
    <w:rsid w:val="000662E2"/>
    <w:rsid w:val="00066883"/>
    <w:rsid w:val="000670DE"/>
    <w:rsid w:val="00073E55"/>
    <w:rsid w:val="000744E8"/>
    <w:rsid w:val="00074DD8"/>
    <w:rsid w:val="0007786A"/>
    <w:rsid w:val="000806F7"/>
    <w:rsid w:val="00080863"/>
    <w:rsid w:val="000845F3"/>
    <w:rsid w:val="0008514C"/>
    <w:rsid w:val="0009036F"/>
    <w:rsid w:val="00093C74"/>
    <w:rsid w:val="000A490C"/>
    <w:rsid w:val="000B0727"/>
    <w:rsid w:val="000C0DD6"/>
    <w:rsid w:val="000C135D"/>
    <w:rsid w:val="000C1856"/>
    <w:rsid w:val="000D1D43"/>
    <w:rsid w:val="000D1EAB"/>
    <w:rsid w:val="000D225C"/>
    <w:rsid w:val="000D2A5C"/>
    <w:rsid w:val="000D4173"/>
    <w:rsid w:val="000E0918"/>
    <w:rsid w:val="000E7435"/>
    <w:rsid w:val="001011C3"/>
    <w:rsid w:val="00101666"/>
    <w:rsid w:val="00110D87"/>
    <w:rsid w:val="00111869"/>
    <w:rsid w:val="00114DB9"/>
    <w:rsid w:val="00116087"/>
    <w:rsid w:val="0011784B"/>
    <w:rsid w:val="00130296"/>
    <w:rsid w:val="00135B14"/>
    <w:rsid w:val="00140CEE"/>
    <w:rsid w:val="001423B6"/>
    <w:rsid w:val="0014351A"/>
    <w:rsid w:val="001448A7"/>
    <w:rsid w:val="00146621"/>
    <w:rsid w:val="00162325"/>
    <w:rsid w:val="00162E0C"/>
    <w:rsid w:val="00184508"/>
    <w:rsid w:val="00185C9C"/>
    <w:rsid w:val="001951DA"/>
    <w:rsid w:val="00196ECA"/>
    <w:rsid w:val="001B01FA"/>
    <w:rsid w:val="001B1432"/>
    <w:rsid w:val="001B28F3"/>
    <w:rsid w:val="001C3269"/>
    <w:rsid w:val="001C63E6"/>
    <w:rsid w:val="001C7430"/>
    <w:rsid w:val="001D1DB4"/>
    <w:rsid w:val="001D2736"/>
    <w:rsid w:val="001E1986"/>
    <w:rsid w:val="001F33C7"/>
    <w:rsid w:val="001F7C01"/>
    <w:rsid w:val="002055B8"/>
    <w:rsid w:val="0022163F"/>
    <w:rsid w:val="00223CE0"/>
    <w:rsid w:val="00232648"/>
    <w:rsid w:val="0025563A"/>
    <w:rsid w:val="002574F9"/>
    <w:rsid w:val="00262720"/>
    <w:rsid w:val="00262B61"/>
    <w:rsid w:val="00267794"/>
    <w:rsid w:val="0027009D"/>
    <w:rsid w:val="00276811"/>
    <w:rsid w:val="002774EF"/>
    <w:rsid w:val="002800E4"/>
    <w:rsid w:val="002810F6"/>
    <w:rsid w:val="00282699"/>
    <w:rsid w:val="002926DF"/>
    <w:rsid w:val="00294E5A"/>
    <w:rsid w:val="00296697"/>
    <w:rsid w:val="002A4C82"/>
    <w:rsid w:val="002A6113"/>
    <w:rsid w:val="002B0472"/>
    <w:rsid w:val="002B6B12"/>
    <w:rsid w:val="002C187F"/>
    <w:rsid w:val="002C58F1"/>
    <w:rsid w:val="002D5D08"/>
    <w:rsid w:val="002E3BE8"/>
    <w:rsid w:val="002E6140"/>
    <w:rsid w:val="002E6985"/>
    <w:rsid w:val="002E71B6"/>
    <w:rsid w:val="002F77C8"/>
    <w:rsid w:val="00301F71"/>
    <w:rsid w:val="00304F22"/>
    <w:rsid w:val="00306C7C"/>
    <w:rsid w:val="00322EDD"/>
    <w:rsid w:val="00325FAD"/>
    <w:rsid w:val="00331527"/>
    <w:rsid w:val="00332320"/>
    <w:rsid w:val="00345A97"/>
    <w:rsid w:val="00347D72"/>
    <w:rsid w:val="00354FCD"/>
    <w:rsid w:val="00357611"/>
    <w:rsid w:val="003625C6"/>
    <w:rsid w:val="00363AC3"/>
    <w:rsid w:val="00367237"/>
    <w:rsid w:val="0037077F"/>
    <w:rsid w:val="00372411"/>
    <w:rsid w:val="00373882"/>
    <w:rsid w:val="00375B23"/>
    <w:rsid w:val="00382849"/>
    <w:rsid w:val="003843DB"/>
    <w:rsid w:val="00387F7B"/>
    <w:rsid w:val="00391300"/>
    <w:rsid w:val="00393761"/>
    <w:rsid w:val="00397D18"/>
    <w:rsid w:val="003A1B36"/>
    <w:rsid w:val="003A2056"/>
    <w:rsid w:val="003B1454"/>
    <w:rsid w:val="003B18B6"/>
    <w:rsid w:val="003B3875"/>
    <w:rsid w:val="003C59E0"/>
    <w:rsid w:val="003C6C8D"/>
    <w:rsid w:val="003D4F95"/>
    <w:rsid w:val="003D5C6E"/>
    <w:rsid w:val="003D5F42"/>
    <w:rsid w:val="003D60A9"/>
    <w:rsid w:val="003D726C"/>
    <w:rsid w:val="003E16C3"/>
    <w:rsid w:val="003F4C97"/>
    <w:rsid w:val="003F4FFD"/>
    <w:rsid w:val="003F5BD9"/>
    <w:rsid w:val="003F7A34"/>
    <w:rsid w:val="003F7FE6"/>
    <w:rsid w:val="00400193"/>
    <w:rsid w:val="00413C70"/>
    <w:rsid w:val="00413C93"/>
    <w:rsid w:val="004212E7"/>
    <w:rsid w:val="0042446D"/>
    <w:rsid w:val="00427BF8"/>
    <w:rsid w:val="00431C02"/>
    <w:rsid w:val="00437395"/>
    <w:rsid w:val="00445047"/>
    <w:rsid w:val="00447C60"/>
    <w:rsid w:val="00451A79"/>
    <w:rsid w:val="00463E39"/>
    <w:rsid w:val="004657FC"/>
    <w:rsid w:val="00466D03"/>
    <w:rsid w:val="004733F6"/>
    <w:rsid w:val="00474E69"/>
    <w:rsid w:val="00487050"/>
    <w:rsid w:val="004918FA"/>
    <w:rsid w:val="0049621B"/>
    <w:rsid w:val="004A4833"/>
    <w:rsid w:val="004B381A"/>
    <w:rsid w:val="004B6756"/>
    <w:rsid w:val="004C1895"/>
    <w:rsid w:val="004C6D40"/>
    <w:rsid w:val="004D0C49"/>
    <w:rsid w:val="004D29CF"/>
    <w:rsid w:val="004E4411"/>
    <w:rsid w:val="004F0C3C"/>
    <w:rsid w:val="004F2AC8"/>
    <w:rsid w:val="004F63FC"/>
    <w:rsid w:val="00505A92"/>
    <w:rsid w:val="005134BB"/>
    <w:rsid w:val="005144F4"/>
    <w:rsid w:val="005203F1"/>
    <w:rsid w:val="00521BC3"/>
    <w:rsid w:val="00524721"/>
    <w:rsid w:val="00531743"/>
    <w:rsid w:val="00533632"/>
    <w:rsid w:val="00536DD0"/>
    <w:rsid w:val="00541E6E"/>
    <w:rsid w:val="0054251F"/>
    <w:rsid w:val="005508B0"/>
    <w:rsid w:val="005520D8"/>
    <w:rsid w:val="00553E19"/>
    <w:rsid w:val="00556CF1"/>
    <w:rsid w:val="0055716A"/>
    <w:rsid w:val="005649D0"/>
    <w:rsid w:val="005762A7"/>
    <w:rsid w:val="005867EC"/>
    <w:rsid w:val="005916D7"/>
    <w:rsid w:val="005922C7"/>
    <w:rsid w:val="005A2B1D"/>
    <w:rsid w:val="005A698C"/>
    <w:rsid w:val="005B0D19"/>
    <w:rsid w:val="005B704A"/>
    <w:rsid w:val="005C1E18"/>
    <w:rsid w:val="005C33C7"/>
    <w:rsid w:val="005C57EB"/>
    <w:rsid w:val="005C6631"/>
    <w:rsid w:val="005E0799"/>
    <w:rsid w:val="005F0BEC"/>
    <w:rsid w:val="005F5A80"/>
    <w:rsid w:val="006044FF"/>
    <w:rsid w:val="00606FE1"/>
    <w:rsid w:val="00607CC5"/>
    <w:rsid w:val="00613D1D"/>
    <w:rsid w:val="00617934"/>
    <w:rsid w:val="00633014"/>
    <w:rsid w:val="0063437B"/>
    <w:rsid w:val="00641C79"/>
    <w:rsid w:val="0065657F"/>
    <w:rsid w:val="00660E51"/>
    <w:rsid w:val="00663999"/>
    <w:rsid w:val="006673CA"/>
    <w:rsid w:val="0067030C"/>
    <w:rsid w:val="00673C26"/>
    <w:rsid w:val="006812AF"/>
    <w:rsid w:val="0068327D"/>
    <w:rsid w:val="006907F9"/>
    <w:rsid w:val="00694AF0"/>
    <w:rsid w:val="00695EFB"/>
    <w:rsid w:val="006A0213"/>
    <w:rsid w:val="006A4686"/>
    <w:rsid w:val="006B0E9E"/>
    <w:rsid w:val="006B1AD5"/>
    <w:rsid w:val="006B3BED"/>
    <w:rsid w:val="006B5AE4"/>
    <w:rsid w:val="006C567C"/>
    <w:rsid w:val="006D1120"/>
    <w:rsid w:val="006D1507"/>
    <w:rsid w:val="006D3ED3"/>
    <w:rsid w:val="006D4054"/>
    <w:rsid w:val="006E02EC"/>
    <w:rsid w:val="006F3422"/>
    <w:rsid w:val="006F65A6"/>
    <w:rsid w:val="006F6D6B"/>
    <w:rsid w:val="00711EEC"/>
    <w:rsid w:val="00712DC6"/>
    <w:rsid w:val="007211B1"/>
    <w:rsid w:val="0073223E"/>
    <w:rsid w:val="00733213"/>
    <w:rsid w:val="007379EE"/>
    <w:rsid w:val="00741F80"/>
    <w:rsid w:val="00746187"/>
    <w:rsid w:val="00756ED3"/>
    <w:rsid w:val="0076254F"/>
    <w:rsid w:val="00765B99"/>
    <w:rsid w:val="00770D01"/>
    <w:rsid w:val="00770EF8"/>
    <w:rsid w:val="00773ACC"/>
    <w:rsid w:val="007801F5"/>
    <w:rsid w:val="00783CA4"/>
    <w:rsid w:val="007842FB"/>
    <w:rsid w:val="00786124"/>
    <w:rsid w:val="00790841"/>
    <w:rsid w:val="0079514B"/>
    <w:rsid w:val="007A2DC1"/>
    <w:rsid w:val="007A399B"/>
    <w:rsid w:val="007A496F"/>
    <w:rsid w:val="007C39DD"/>
    <w:rsid w:val="007C659C"/>
    <w:rsid w:val="007C7A53"/>
    <w:rsid w:val="007D3319"/>
    <w:rsid w:val="007D335D"/>
    <w:rsid w:val="007E3314"/>
    <w:rsid w:val="007E4B03"/>
    <w:rsid w:val="007F324B"/>
    <w:rsid w:val="00805400"/>
    <w:rsid w:val="0080553C"/>
    <w:rsid w:val="00805B46"/>
    <w:rsid w:val="00805F1C"/>
    <w:rsid w:val="00825DC2"/>
    <w:rsid w:val="0082726E"/>
    <w:rsid w:val="00834AD3"/>
    <w:rsid w:val="00834DF5"/>
    <w:rsid w:val="00843795"/>
    <w:rsid w:val="00847F0F"/>
    <w:rsid w:val="008513C3"/>
    <w:rsid w:val="00852448"/>
    <w:rsid w:val="008565F7"/>
    <w:rsid w:val="0086760D"/>
    <w:rsid w:val="0088258A"/>
    <w:rsid w:val="00886332"/>
    <w:rsid w:val="00886A7D"/>
    <w:rsid w:val="00894DFD"/>
    <w:rsid w:val="00895FF8"/>
    <w:rsid w:val="008A26D9"/>
    <w:rsid w:val="008A7B88"/>
    <w:rsid w:val="008B001E"/>
    <w:rsid w:val="008C0C29"/>
    <w:rsid w:val="008E11C5"/>
    <w:rsid w:val="008F0F38"/>
    <w:rsid w:val="008F3638"/>
    <w:rsid w:val="008F4441"/>
    <w:rsid w:val="008F6F31"/>
    <w:rsid w:val="008F74DF"/>
    <w:rsid w:val="009127BA"/>
    <w:rsid w:val="00915AA6"/>
    <w:rsid w:val="009227A6"/>
    <w:rsid w:val="00923638"/>
    <w:rsid w:val="009242B8"/>
    <w:rsid w:val="00924E2E"/>
    <w:rsid w:val="00933EC1"/>
    <w:rsid w:val="00942BA2"/>
    <w:rsid w:val="00946D1D"/>
    <w:rsid w:val="00950D8E"/>
    <w:rsid w:val="009530DB"/>
    <w:rsid w:val="00953676"/>
    <w:rsid w:val="0095512A"/>
    <w:rsid w:val="009677CC"/>
    <w:rsid w:val="009705EE"/>
    <w:rsid w:val="009720FB"/>
    <w:rsid w:val="00974637"/>
    <w:rsid w:val="00977927"/>
    <w:rsid w:val="00981181"/>
    <w:rsid w:val="0098135C"/>
    <w:rsid w:val="0098156A"/>
    <w:rsid w:val="00985CF5"/>
    <w:rsid w:val="00991BAC"/>
    <w:rsid w:val="009A5961"/>
    <w:rsid w:val="009A6EA0"/>
    <w:rsid w:val="009C0B60"/>
    <w:rsid w:val="009C1335"/>
    <w:rsid w:val="009C1AB2"/>
    <w:rsid w:val="009C7251"/>
    <w:rsid w:val="009D0C48"/>
    <w:rsid w:val="009E0985"/>
    <w:rsid w:val="009E2E91"/>
    <w:rsid w:val="009E5A64"/>
    <w:rsid w:val="009F7758"/>
    <w:rsid w:val="00A139F5"/>
    <w:rsid w:val="00A15F16"/>
    <w:rsid w:val="00A24587"/>
    <w:rsid w:val="00A30006"/>
    <w:rsid w:val="00A365F4"/>
    <w:rsid w:val="00A37DBC"/>
    <w:rsid w:val="00A47D80"/>
    <w:rsid w:val="00A53132"/>
    <w:rsid w:val="00A563F2"/>
    <w:rsid w:val="00A566E8"/>
    <w:rsid w:val="00A61128"/>
    <w:rsid w:val="00A67511"/>
    <w:rsid w:val="00A810F9"/>
    <w:rsid w:val="00A84D60"/>
    <w:rsid w:val="00A86ECC"/>
    <w:rsid w:val="00A86FCC"/>
    <w:rsid w:val="00A94074"/>
    <w:rsid w:val="00AA710D"/>
    <w:rsid w:val="00AB14A0"/>
    <w:rsid w:val="00AB5DFF"/>
    <w:rsid w:val="00AB6D25"/>
    <w:rsid w:val="00AC3FCE"/>
    <w:rsid w:val="00AD40D1"/>
    <w:rsid w:val="00AE2C62"/>
    <w:rsid w:val="00AE2D4B"/>
    <w:rsid w:val="00AE4F99"/>
    <w:rsid w:val="00AF4B1B"/>
    <w:rsid w:val="00B04B80"/>
    <w:rsid w:val="00B12859"/>
    <w:rsid w:val="00B1321E"/>
    <w:rsid w:val="00B14952"/>
    <w:rsid w:val="00B20267"/>
    <w:rsid w:val="00B2764F"/>
    <w:rsid w:val="00B30ABB"/>
    <w:rsid w:val="00B31E5A"/>
    <w:rsid w:val="00B3634C"/>
    <w:rsid w:val="00B521D5"/>
    <w:rsid w:val="00B653AB"/>
    <w:rsid w:val="00B65F9E"/>
    <w:rsid w:val="00B66B19"/>
    <w:rsid w:val="00B72F9E"/>
    <w:rsid w:val="00B73F22"/>
    <w:rsid w:val="00B914E9"/>
    <w:rsid w:val="00B91519"/>
    <w:rsid w:val="00B956EE"/>
    <w:rsid w:val="00BA2BA1"/>
    <w:rsid w:val="00BA381D"/>
    <w:rsid w:val="00BB1508"/>
    <w:rsid w:val="00BB4F09"/>
    <w:rsid w:val="00BB6A91"/>
    <w:rsid w:val="00BC1A9C"/>
    <w:rsid w:val="00BC39B4"/>
    <w:rsid w:val="00BD2D71"/>
    <w:rsid w:val="00BD38C3"/>
    <w:rsid w:val="00BD4E33"/>
    <w:rsid w:val="00BD6AFB"/>
    <w:rsid w:val="00BE13B8"/>
    <w:rsid w:val="00BE4CE8"/>
    <w:rsid w:val="00BF300F"/>
    <w:rsid w:val="00BF53A8"/>
    <w:rsid w:val="00C030DE"/>
    <w:rsid w:val="00C034BC"/>
    <w:rsid w:val="00C06732"/>
    <w:rsid w:val="00C22105"/>
    <w:rsid w:val="00C244B6"/>
    <w:rsid w:val="00C3702F"/>
    <w:rsid w:val="00C41F7D"/>
    <w:rsid w:val="00C42943"/>
    <w:rsid w:val="00C502EA"/>
    <w:rsid w:val="00C56F2C"/>
    <w:rsid w:val="00C64A37"/>
    <w:rsid w:val="00C71415"/>
    <w:rsid w:val="00C7158E"/>
    <w:rsid w:val="00C71E0A"/>
    <w:rsid w:val="00C7250B"/>
    <w:rsid w:val="00C7346B"/>
    <w:rsid w:val="00C77C0E"/>
    <w:rsid w:val="00C91687"/>
    <w:rsid w:val="00C9209D"/>
    <w:rsid w:val="00C924A8"/>
    <w:rsid w:val="00C945FE"/>
    <w:rsid w:val="00C96FAA"/>
    <w:rsid w:val="00C97A04"/>
    <w:rsid w:val="00CA107B"/>
    <w:rsid w:val="00CA2132"/>
    <w:rsid w:val="00CA484D"/>
    <w:rsid w:val="00CA4FB6"/>
    <w:rsid w:val="00CB41A7"/>
    <w:rsid w:val="00CC739E"/>
    <w:rsid w:val="00CD35A7"/>
    <w:rsid w:val="00CD58B7"/>
    <w:rsid w:val="00CE3AE7"/>
    <w:rsid w:val="00CF4099"/>
    <w:rsid w:val="00D00796"/>
    <w:rsid w:val="00D0492E"/>
    <w:rsid w:val="00D10F83"/>
    <w:rsid w:val="00D12408"/>
    <w:rsid w:val="00D261A2"/>
    <w:rsid w:val="00D30555"/>
    <w:rsid w:val="00D338DC"/>
    <w:rsid w:val="00D33CF4"/>
    <w:rsid w:val="00D4156C"/>
    <w:rsid w:val="00D5107C"/>
    <w:rsid w:val="00D55758"/>
    <w:rsid w:val="00D616D2"/>
    <w:rsid w:val="00D63B5F"/>
    <w:rsid w:val="00D64203"/>
    <w:rsid w:val="00D6652C"/>
    <w:rsid w:val="00D675E6"/>
    <w:rsid w:val="00D70EF7"/>
    <w:rsid w:val="00D8363D"/>
    <w:rsid w:val="00D8397C"/>
    <w:rsid w:val="00D85984"/>
    <w:rsid w:val="00D931B8"/>
    <w:rsid w:val="00D942FA"/>
    <w:rsid w:val="00D94EED"/>
    <w:rsid w:val="00D96026"/>
    <w:rsid w:val="00DA4463"/>
    <w:rsid w:val="00DA7C1C"/>
    <w:rsid w:val="00DB147A"/>
    <w:rsid w:val="00DB1B7A"/>
    <w:rsid w:val="00DB4CC6"/>
    <w:rsid w:val="00DC02DB"/>
    <w:rsid w:val="00DC6708"/>
    <w:rsid w:val="00DD0A47"/>
    <w:rsid w:val="00E01436"/>
    <w:rsid w:val="00E045BD"/>
    <w:rsid w:val="00E107FB"/>
    <w:rsid w:val="00E11D70"/>
    <w:rsid w:val="00E17B77"/>
    <w:rsid w:val="00E23337"/>
    <w:rsid w:val="00E259EA"/>
    <w:rsid w:val="00E31ACC"/>
    <w:rsid w:val="00E32061"/>
    <w:rsid w:val="00E341FB"/>
    <w:rsid w:val="00E3783E"/>
    <w:rsid w:val="00E42FF9"/>
    <w:rsid w:val="00E4714C"/>
    <w:rsid w:val="00E51AEB"/>
    <w:rsid w:val="00E522A7"/>
    <w:rsid w:val="00E54452"/>
    <w:rsid w:val="00E57D05"/>
    <w:rsid w:val="00E61ADF"/>
    <w:rsid w:val="00E64FC0"/>
    <w:rsid w:val="00E664C5"/>
    <w:rsid w:val="00E671A2"/>
    <w:rsid w:val="00E73765"/>
    <w:rsid w:val="00E76D26"/>
    <w:rsid w:val="00E84408"/>
    <w:rsid w:val="00E973A9"/>
    <w:rsid w:val="00E97A00"/>
    <w:rsid w:val="00EA548D"/>
    <w:rsid w:val="00EB1390"/>
    <w:rsid w:val="00EB2C71"/>
    <w:rsid w:val="00EB41FB"/>
    <w:rsid w:val="00EB4340"/>
    <w:rsid w:val="00EB4C27"/>
    <w:rsid w:val="00EB556D"/>
    <w:rsid w:val="00EB5A7D"/>
    <w:rsid w:val="00EB63FC"/>
    <w:rsid w:val="00EB6F31"/>
    <w:rsid w:val="00ED55C0"/>
    <w:rsid w:val="00ED682B"/>
    <w:rsid w:val="00ED6C96"/>
    <w:rsid w:val="00EE144A"/>
    <w:rsid w:val="00EE1462"/>
    <w:rsid w:val="00EE1CE5"/>
    <w:rsid w:val="00EE41D5"/>
    <w:rsid w:val="00EE669E"/>
    <w:rsid w:val="00EE76E6"/>
    <w:rsid w:val="00EF300F"/>
    <w:rsid w:val="00F037A4"/>
    <w:rsid w:val="00F05B0E"/>
    <w:rsid w:val="00F06B26"/>
    <w:rsid w:val="00F07C01"/>
    <w:rsid w:val="00F17477"/>
    <w:rsid w:val="00F24C51"/>
    <w:rsid w:val="00F27C8F"/>
    <w:rsid w:val="00F32749"/>
    <w:rsid w:val="00F32FEF"/>
    <w:rsid w:val="00F37172"/>
    <w:rsid w:val="00F416C8"/>
    <w:rsid w:val="00F418D1"/>
    <w:rsid w:val="00F4477E"/>
    <w:rsid w:val="00F47038"/>
    <w:rsid w:val="00F47563"/>
    <w:rsid w:val="00F47E4D"/>
    <w:rsid w:val="00F630F3"/>
    <w:rsid w:val="00F65C9A"/>
    <w:rsid w:val="00F670E8"/>
    <w:rsid w:val="00F67D8F"/>
    <w:rsid w:val="00F80028"/>
    <w:rsid w:val="00F802BE"/>
    <w:rsid w:val="00F85591"/>
    <w:rsid w:val="00F86024"/>
    <w:rsid w:val="00F8611A"/>
    <w:rsid w:val="00F94CCE"/>
    <w:rsid w:val="00FA4729"/>
    <w:rsid w:val="00FA5128"/>
    <w:rsid w:val="00FA5405"/>
    <w:rsid w:val="00FB42D4"/>
    <w:rsid w:val="00FB5906"/>
    <w:rsid w:val="00FB762F"/>
    <w:rsid w:val="00FC2AED"/>
    <w:rsid w:val="00FC553B"/>
    <w:rsid w:val="00FD4C0A"/>
    <w:rsid w:val="00FD5EA7"/>
    <w:rsid w:val="00FD670D"/>
    <w:rsid w:val="00FE7252"/>
    <w:rsid w:val="00FF59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1A1107D-7E3E-45B7-9364-62BFE7C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tlid-translation">
    <w:name w:val="tlid-translation"/>
    <w:basedOn w:val="Domylnaczcionkaakapitu"/>
    <w:rsid w:val="00A67511"/>
  </w:style>
  <w:style w:type="paragraph" w:styleId="HTML-wstpniesformatowany">
    <w:name w:val="HTML Preformatted"/>
    <w:basedOn w:val="Normalny"/>
    <w:link w:val="HTML-wstpniesformatowanyZnak"/>
    <w:uiPriority w:val="99"/>
    <w:unhideWhenUsed/>
    <w:rsid w:val="008A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A7B88"/>
    <w:rPr>
      <w:rFonts w:ascii="Courier New" w:eastAsia="Times New Roman" w:hAnsi="Courier New" w:cs="Courier New"/>
      <w:sz w:val="20"/>
      <w:szCs w:val="20"/>
      <w:lang w:eastAsia="pl-PL"/>
    </w:rPr>
  </w:style>
  <w:style w:type="table" w:customStyle="1" w:styleId="Siatkatabelijasna10">
    <w:name w:val="Siatka tabeli — jasna1"/>
    <w:basedOn w:val="Standardowy"/>
    <w:uiPriority w:val="40"/>
    <w:rsid w:val="00765B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5F0BEC"/>
    <w:rPr>
      <w:sz w:val="16"/>
      <w:szCs w:val="16"/>
    </w:rPr>
  </w:style>
  <w:style w:type="paragraph" w:styleId="Tekstkomentarza">
    <w:name w:val="annotation text"/>
    <w:basedOn w:val="Normalny"/>
    <w:link w:val="TekstkomentarzaZnak"/>
    <w:uiPriority w:val="99"/>
    <w:semiHidden/>
    <w:unhideWhenUsed/>
    <w:rsid w:val="005F0B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0BEC"/>
    <w:rPr>
      <w:rFonts w:ascii="Fira Sans" w:hAnsi="Fira Sans"/>
      <w:sz w:val="20"/>
      <w:szCs w:val="20"/>
    </w:rPr>
  </w:style>
  <w:style w:type="paragraph" w:styleId="NormalnyWeb">
    <w:name w:val="Normal (Web)"/>
    <w:basedOn w:val="Normalny"/>
    <w:uiPriority w:val="99"/>
    <w:semiHidden/>
    <w:unhideWhenUsed/>
    <w:rsid w:val="00B72F9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827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823">
      <w:bodyDiv w:val="1"/>
      <w:marLeft w:val="0"/>
      <w:marRight w:val="0"/>
      <w:marTop w:val="0"/>
      <w:marBottom w:val="0"/>
      <w:divBdr>
        <w:top w:val="none" w:sz="0" w:space="0" w:color="auto"/>
        <w:left w:val="none" w:sz="0" w:space="0" w:color="auto"/>
        <w:bottom w:val="none" w:sz="0" w:space="0" w:color="auto"/>
        <w:right w:val="none" w:sz="0" w:space="0" w:color="auto"/>
      </w:divBdr>
    </w:div>
    <w:div w:id="39323251">
      <w:bodyDiv w:val="1"/>
      <w:marLeft w:val="0"/>
      <w:marRight w:val="0"/>
      <w:marTop w:val="0"/>
      <w:marBottom w:val="0"/>
      <w:divBdr>
        <w:top w:val="none" w:sz="0" w:space="0" w:color="auto"/>
        <w:left w:val="none" w:sz="0" w:space="0" w:color="auto"/>
        <w:bottom w:val="none" w:sz="0" w:space="0" w:color="auto"/>
        <w:right w:val="none" w:sz="0" w:space="0" w:color="auto"/>
      </w:divBdr>
      <w:divsChild>
        <w:div w:id="129522127">
          <w:marLeft w:val="0"/>
          <w:marRight w:val="0"/>
          <w:marTop w:val="0"/>
          <w:marBottom w:val="0"/>
          <w:divBdr>
            <w:top w:val="none" w:sz="0" w:space="0" w:color="auto"/>
            <w:left w:val="none" w:sz="0" w:space="0" w:color="auto"/>
            <w:bottom w:val="none" w:sz="0" w:space="0" w:color="auto"/>
            <w:right w:val="none" w:sz="0" w:space="0" w:color="auto"/>
          </w:divBdr>
        </w:div>
      </w:divsChild>
    </w:div>
    <w:div w:id="75175245">
      <w:bodyDiv w:val="1"/>
      <w:marLeft w:val="0"/>
      <w:marRight w:val="0"/>
      <w:marTop w:val="0"/>
      <w:marBottom w:val="0"/>
      <w:divBdr>
        <w:top w:val="none" w:sz="0" w:space="0" w:color="auto"/>
        <w:left w:val="none" w:sz="0" w:space="0" w:color="auto"/>
        <w:bottom w:val="none" w:sz="0" w:space="0" w:color="auto"/>
        <w:right w:val="none" w:sz="0" w:space="0" w:color="auto"/>
      </w:divBdr>
      <w:divsChild>
        <w:div w:id="462816316">
          <w:marLeft w:val="0"/>
          <w:marRight w:val="0"/>
          <w:marTop w:val="0"/>
          <w:marBottom w:val="0"/>
          <w:divBdr>
            <w:top w:val="none" w:sz="0" w:space="0" w:color="auto"/>
            <w:left w:val="none" w:sz="0" w:space="0" w:color="auto"/>
            <w:bottom w:val="none" w:sz="0" w:space="0" w:color="auto"/>
            <w:right w:val="none" w:sz="0" w:space="0" w:color="auto"/>
          </w:divBdr>
          <w:divsChild>
            <w:div w:id="2059669899">
              <w:marLeft w:val="0"/>
              <w:marRight w:val="0"/>
              <w:marTop w:val="0"/>
              <w:marBottom w:val="0"/>
              <w:divBdr>
                <w:top w:val="none" w:sz="0" w:space="0" w:color="auto"/>
                <w:left w:val="none" w:sz="0" w:space="0" w:color="auto"/>
                <w:bottom w:val="none" w:sz="0" w:space="0" w:color="auto"/>
                <w:right w:val="none" w:sz="0" w:space="0" w:color="auto"/>
              </w:divBdr>
              <w:divsChild>
                <w:div w:id="1600721791">
                  <w:marLeft w:val="0"/>
                  <w:marRight w:val="0"/>
                  <w:marTop w:val="0"/>
                  <w:marBottom w:val="0"/>
                  <w:divBdr>
                    <w:top w:val="none" w:sz="0" w:space="0" w:color="auto"/>
                    <w:left w:val="none" w:sz="0" w:space="0" w:color="auto"/>
                    <w:bottom w:val="none" w:sz="0" w:space="0" w:color="auto"/>
                    <w:right w:val="none" w:sz="0" w:space="0" w:color="auto"/>
                  </w:divBdr>
                  <w:divsChild>
                    <w:div w:id="13731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93075">
      <w:bodyDiv w:val="1"/>
      <w:marLeft w:val="0"/>
      <w:marRight w:val="0"/>
      <w:marTop w:val="0"/>
      <w:marBottom w:val="0"/>
      <w:divBdr>
        <w:top w:val="none" w:sz="0" w:space="0" w:color="auto"/>
        <w:left w:val="none" w:sz="0" w:space="0" w:color="auto"/>
        <w:bottom w:val="none" w:sz="0" w:space="0" w:color="auto"/>
        <w:right w:val="none" w:sz="0" w:space="0" w:color="auto"/>
      </w:divBdr>
    </w:div>
    <w:div w:id="209806166">
      <w:bodyDiv w:val="1"/>
      <w:marLeft w:val="0"/>
      <w:marRight w:val="0"/>
      <w:marTop w:val="0"/>
      <w:marBottom w:val="0"/>
      <w:divBdr>
        <w:top w:val="none" w:sz="0" w:space="0" w:color="auto"/>
        <w:left w:val="none" w:sz="0" w:space="0" w:color="auto"/>
        <w:bottom w:val="none" w:sz="0" w:space="0" w:color="auto"/>
        <w:right w:val="none" w:sz="0" w:space="0" w:color="auto"/>
      </w:divBdr>
      <w:divsChild>
        <w:div w:id="1752389208">
          <w:marLeft w:val="0"/>
          <w:marRight w:val="0"/>
          <w:marTop w:val="0"/>
          <w:marBottom w:val="0"/>
          <w:divBdr>
            <w:top w:val="none" w:sz="0" w:space="0" w:color="auto"/>
            <w:left w:val="none" w:sz="0" w:space="0" w:color="auto"/>
            <w:bottom w:val="none" w:sz="0" w:space="0" w:color="auto"/>
            <w:right w:val="none" w:sz="0" w:space="0" w:color="auto"/>
          </w:divBdr>
        </w:div>
      </w:divsChild>
    </w:div>
    <w:div w:id="224535989">
      <w:bodyDiv w:val="1"/>
      <w:marLeft w:val="0"/>
      <w:marRight w:val="0"/>
      <w:marTop w:val="0"/>
      <w:marBottom w:val="0"/>
      <w:divBdr>
        <w:top w:val="none" w:sz="0" w:space="0" w:color="auto"/>
        <w:left w:val="none" w:sz="0" w:space="0" w:color="auto"/>
        <w:bottom w:val="none" w:sz="0" w:space="0" w:color="auto"/>
        <w:right w:val="none" w:sz="0" w:space="0" w:color="auto"/>
      </w:divBdr>
      <w:divsChild>
        <w:div w:id="1331786710">
          <w:marLeft w:val="0"/>
          <w:marRight w:val="0"/>
          <w:marTop w:val="0"/>
          <w:marBottom w:val="0"/>
          <w:divBdr>
            <w:top w:val="none" w:sz="0" w:space="0" w:color="auto"/>
            <w:left w:val="none" w:sz="0" w:space="0" w:color="auto"/>
            <w:bottom w:val="none" w:sz="0" w:space="0" w:color="auto"/>
            <w:right w:val="none" w:sz="0" w:space="0" w:color="auto"/>
          </w:divBdr>
          <w:divsChild>
            <w:div w:id="939223326">
              <w:marLeft w:val="0"/>
              <w:marRight w:val="0"/>
              <w:marTop w:val="0"/>
              <w:marBottom w:val="0"/>
              <w:divBdr>
                <w:top w:val="none" w:sz="0" w:space="0" w:color="auto"/>
                <w:left w:val="none" w:sz="0" w:space="0" w:color="auto"/>
                <w:bottom w:val="none" w:sz="0" w:space="0" w:color="auto"/>
                <w:right w:val="none" w:sz="0" w:space="0" w:color="auto"/>
              </w:divBdr>
              <w:divsChild>
                <w:div w:id="1062682823">
                  <w:marLeft w:val="0"/>
                  <w:marRight w:val="0"/>
                  <w:marTop w:val="0"/>
                  <w:marBottom w:val="0"/>
                  <w:divBdr>
                    <w:top w:val="none" w:sz="0" w:space="0" w:color="auto"/>
                    <w:left w:val="none" w:sz="0" w:space="0" w:color="auto"/>
                    <w:bottom w:val="none" w:sz="0" w:space="0" w:color="auto"/>
                    <w:right w:val="none" w:sz="0" w:space="0" w:color="auto"/>
                  </w:divBdr>
                  <w:divsChild>
                    <w:div w:id="13827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27089">
      <w:bodyDiv w:val="1"/>
      <w:marLeft w:val="0"/>
      <w:marRight w:val="0"/>
      <w:marTop w:val="0"/>
      <w:marBottom w:val="0"/>
      <w:divBdr>
        <w:top w:val="none" w:sz="0" w:space="0" w:color="auto"/>
        <w:left w:val="none" w:sz="0" w:space="0" w:color="auto"/>
        <w:bottom w:val="none" w:sz="0" w:space="0" w:color="auto"/>
        <w:right w:val="none" w:sz="0" w:space="0" w:color="auto"/>
      </w:divBdr>
    </w:div>
    <w:div w:id="304119125">
      <w:bodyDiv w:val="1"/>
      <w:marLeft w:val="0"/>
      <w:marRight w:val="0"/>
      <w:marTop w:val="0"/>
      <w:marBottom w:val="0"/>
      <w:divBdr>
        <w:top w:val="none" w:sz="0" w:space="0" w:color="auto"/>
        <w:left w:val="none" w:sz="0" w:space="0" w:color="auto"/>
        <w:bottom w:val="none" w:sz="0" w:space="0" w:color="auto"/>
        <w:right w:val="none" w:sz="0" w:space="0" w:color="auto"/>
      </w:divBdr>
      <w:divsChild>
        <w:div w:id="531769961">
          <w:marLeft w:val="0"/>
          <w:marRight w:val="0"/>
          <w:marTop w:val="0"/>
          <w:marBottom w:val="0"/>
          <w:divBdr>
            <w:top w:val="none" w:sz="0" w:space="0" w:color="auto"/>
            <w:left w:val="none" w:sz="0" w:space="0" w:color="auto"/>
            <w:bottom w:val="none" w:sz="0" w:space="0" w:color="auto"/>
            <w:right w:val="none" w:sz="0" w:space="0" w:color="auto"/>
          </w:divBdr>
          <w:divsChild>
            <w:div w:id="1932546815">
              <w:marLeft w:val="0"/>
              <w:marRight w:val="0"/>
              <w:marTop w:val="0"/>
              <w:marBottom w:val="0"/>
              <w:divBdr>
                <w:top w:val="none" w:sz="0" w:space="0" w:color="auto"/>
                <w:left w:val="none" w:sz="0" w:space="0" w:color="auto"/>
                <w:bottom w:val="none" w:sz="0" w:space="0" w:color="auto"/>
                <w:right w:val="none" w:sz="0" w:space="0" w:color="auto"/>
              </w:divBdr>
              <w:divsChild>
                <w:div w:id="99028626">
                  <w:marLeft w:val="0"/>
                  <w:marRight w:val="0"/>
                  <w:marTop w:val="0"/>
                  <w:marBottom w:val="0"/>
                  <w:divBdr>
                    <w:top w:val="none" w:sz="0" w:space="0" w:color="auto"/>
                    <w:left w:val="none" w:sz="0" w:space="0" w:color="auto"/>
                    <w:bottom w:val="none" w:sz="0" w:space="0" w:color="auto"/>
                    <w:right w:val="none" w:sz="0" w:space="0" w:color="auto"/>
                  </w:divBdr>
                  <w:divsChild>
                    <w:div w:id="18312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15732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629106">
      <w:bodyDiv w:val="1"/>
      <w:marLeft w:val="0"/>
      <w:marRight w:val="0"/>
      <w:marTop w:val="0"/>
      <w:marBottom w:val="0"/>
      <w:divBdr>
        <w:top w:val="none" w:sz="0" w:space="0" w:color="auto"/>
        <w:left w:val="none" w:sz="0" w:space="0" w:color="auto"/>
        <w:bottom w:val="none" w:sz="0" w:space="0" w:color="auto"/>
        <w:right w:val="none" w:sz="0" w:space="0" w:color="auto"/>
      </w:divBdr>
      <w:divsChild>
        <w:div w:id="1583178326">
          <w:marLeft w:val="0"/>
          <w:marRight w:val="0"/>
          <w:marTop w:val="0"/>
          <w:marBottom w:val="0"/>
          <w:divBdr>
            <w:top w:val="none" w:sz="0" w:space="0" w:color="auto"/>
            <w:left w:val="none" w:sz="0" w:space="0" w:color="auto"/>
            <w:bottom w:val="none" w:sz="0" w:space="0" w:color="auto"/>
            <w:right w:val="none" w:sz="0" w:space="0" w:color="auto"/>
          </w:divBdr>
        </w:div>
      </w:divsChild>
    </w:div>
    <w:div w:id="413551622">
      <w:bodyDiv w:val="1"/>
      <w:marLeft w:val="0"/>
      <w:marRight w:val="0"/>
      <w:marTop w:val="0"/>
      <w:marBottom w:val="0"/>
      <w:divBdr>
        <w:top w:val="none" w:sz="0" w:space="0" w:color="auto"/>
        <w:left w:val="none" w:sz="0" w:space="0" w:color="auto"/>
        <w:bottom w:val="none" w:sz="0" w:space="0" w:color="auto"/>
        <w:right w:val="none" w:sz="0" w:space="0" w:color="auto"/>
      </w:divBdr>
      <w:divsChild>
        <w:div w:id="1746880497">
          <w:marLeft w:val="0"/>
          <w:marRight w:val="0"/>
          <w:marTop w:val="0"/>
          <w:marBottom w:val="0"/>
          <w:divBdr>
            <w:top w:val="none" w:sz="0" w:space="0" w:color="auto"/>
            <w:left w:val="none" w:sz="0" w:space="0" w:color="auto"/>
            <w:bottom w:val="none" w:sz="0" w:space="0" w:color="auto"/>
            <w:right w:val="none" w:sz="0" w:space="0" w:color="auto"/>
          </w:divBdr>
          <w:divsChild>
            <w:div w:id="280691498">
              <w:marLeft w:val="0"/>
              <w:marRight w:val="0"/>
              <w:marTop w:val="0"/>
              <w:marBottom w:val="0"/>
              <w:divBdr>
                <w:top w:val="none" w:sz="0" w:space="0" w:color="auto"/>
                <w:left w:val="none" w:sz="0" w:space="0" w:color="auto"/>
                <w:bottom w:val="none" w:sz="0" w:space="0" w:color="auto"/>
                <w:right w:val="none" w:sz="0" w:space="0" w:color="auto"/>
              </w:divBdr>
              <w:divsChild>
                <w:div w:id="1987126495">
                  <w:marLeft w:val="0"/>
                  <w:marRight w:val="0"/>
                  <w:marTop w:val="0"/>
                  <w:marBottom w:val="0"/>
                  <w:divBdr>
                    <w:top w:val="none" w:sz="0" w:space="0" w:color="auto"/>
                    <w:left w:val="none" w:sz="0" w:space="0" w:color="auto"/>
                    <w:bottom w:val="none" w:sz="0" w:space="0" w:color="auto"/>
                    <w:right w:val="none" w:sz="0" w:space="0" w:color="auto"/>
                  </w:divBdr>
                  <w:divsChild>
                    <w:div w:id="17137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94279">
      <w:bodyDiv w:val="1"/>
      <w:marLeft w:val="0"/>
      <w:marRight w:val="0"/>
      <w:marTop w:val="0"/>
      <w:marBottom w:val="0"/>
      <w:divBdr>
        <w:top w:val="none" w:sz="0" w:space="0" w:color="auto"/>
        <w:left w:val="none" w:sz="0" w:space="0" w:color="auto"/>
        <w:bottom w:val="none" w:sz="0" w:space="0" w:color="auto"/>
        <w:right w:val="none" w:sz="0" w:space="0" w:color="auto"/>
      </w:divBdr>
    </w:div>
    <w:div w:id="480580939">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4289732">
      <w:bodyDiv w:val="1"/>
      <w:marLeft w:val="0"/>
      <w:marRight w:val="0"/>
      <w:marTop w:val="0"/>
      <w:marBottom w:val="0"/>
      <w:divBdr>
        <w:top w:val="none" w:sz="0" w:space="0" w:color="auto"/>
        <w:left w:val="none" w:sz="0" w:space="0" w:color="auto"/>
        <w:bottom w:val="none" w:sz="0" w:space="0" w:color="auto"/>
        <w:right w:val="none" w:sz="0" w:space="0" w:color="auto"/>
      </w:divBdr>
    </w:div>
    <w:div w:id="546531389">
      <w:bodyDiv w:val="1"/>
      <w:marLeft w:val="0"/>
      <w:marRight w:val="0"/>
      <w:marTop w:val="0"/>
      <w:marBottom w:val="0"/>
      <w:divBdr>
        <w:top w:val="none" w:sz="0" w:space="0" w:color="auto"/>
        <w:left w:val="none" w:sz="0" w:space="0" w:color="auto"/>
        <w:bottom w:val="none" w:sz="0" w:space="0" w:color="auto"/>
        <w:right w:val="none" w:sz="0" w:space="0" w:color="auto"/>
      </w:divBdr>
    </w:div>
    <w:div w:id="558175836">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32855198">
      <w:bodyDiv w:val="1"/>
      <w:marLeft w:val="0"/>
      <w:marRight w:val="0"/>
      <w:marTop w:val="0"/>
      <w:marBottom w:val="0"/>
      <w:divBdr>
        <w:top w:val="none" w:sz="0" w:space="0" w:color="auto"/>
        <w:left w:val="none" w:sz="0" w:space="0" w:color="auto"/>
        <w:bottom w:val="none" w:sz="0" w:space="0" w:color="auto"/>
        <w:right w:val="none" w:sz="0" w:space="0" w:color="auto"/>
      </w:divBdr>
      <w:divsChild>
        <w:div w:id="1880167917">
          <w:marLeft w:val="0"/>
          <w:marRight w:val="0"/>
          <w:marTop w:val="0"/>
          <w:marBottom w:val="0"/>
          <w:divBdr>
            <w:top w:val="none" w:sz="0" w:space="0" w:color="auto"/>
            <w:left w:val="none" w:sz="0" w:space="0" w:color="auto"/>
            <w:bottom w:val="none" w:sz="0" w:space="0" w:color="auto"/>
            <w:right w:val="none" w:sz="0" w:space="0" w:color="auto"/>
          </w:divBdr>
        </w:div>
      </w:divsChild>
    </w:div>
    <w:div w:id="750354384">
      <w:bodyDiv w:val="1"/>
      <w:marLeft w:val="0"/>
      <w:marRight w:val="0"/>
      <w:marTop w:val="0"/>
      <w:marBottom w:val="0"/>
      <w:divBdr>
        <w:top w:val="none" w:sz="0" w:space="0" w:color="auto"/>
        <w:left w:val="none" w:sz="0" w:space="0" w:color="auto"/>
        <w:bottom w:val="none" w:sz="0" w:space="0" w:color="auto"/>
        <w:right w:val="none" w:sz="0" w:space="0" w:color="auto"/>
      </w:divBdr>
      <w:divsChild>
        <w:div w:id="1778059332">
          <w:marLeft w:val="0"/>
          <w:marRight w:val="0"/>
          <w:marTop w:val="0"/>
          <w:marBottom w:val="0"/>
          <w:divBdr>
            <w:top w:val="none" w:sz="0" w:space="0" w:color="auto"/>
            <w:left w:val="none" w:sz="0" w:space="0" w:color="auto"/>
            <w:bottom w:val="none" w:sz="0" w:space="0" w:color="auto"/>
            <w:right w:val="none" w:sz="0" w:space="0" w:color="auto"/>
          </w:divBdr>
          <w:divsChild>
            <w:div w:id="801383045">
              <w:marLeft w:val="0"/>
              <w:marRight w:val="0"/>
              <w:marTop w:val="0"/>
              <w:marBottom w:val="0"/>
              <w:divBdr>
                <w:top w:val="none" w:sz="0" w:space="0" w:color="auto"/>
                <w:left w:val="none" w:sz="0" w:space="0" w:color="auto"/>
                <w:bottom w:val="none" w:sz="0" w:space="0" w:color="auto"/>
                <w:right w:val="none" w:sz="0" w:space="0" w:color="auto"/>
              </w:divBdr>
              <w:divsChild>
                <w:div w:id="2077822978">
                  <w:marLeft w:val="0"/>
                  <w:marRight w:val="0"/>
                  <w:marTop w:val="0"/>
                  <w:marBottom w:val="0"/>
                  <w:divBdr>
                    <w:top w:val="none" w:sz="0" w:space="0" w:color="auto"/>
                    <w:left w:val="none" w:sz="0" w:space="0" w:color="auto"/>
                    <w:bottom w:val="none" w:sz="0" w:space="0" w:color="auto"/>
                    <w:right w:val="none" w:sz="0" w:space="0" w:color="auto"/>
                  </w:divBdr>
                  <w:divsChild>
                    <w:div w:id="1639339170">
                      <w:marLeft w:val="0"/>
                      <w:marRight w:val="0"/>
                      <w:marTop w:val="0"/>
                      <w:marBottom w:val="0"/>
                      <w:divBdr>
                        <w:top w:val="none" w:sz="0" w:space="0" w:color="auto"/>
                        <w:left w:val="none" w:sz="0" w:space="0" w:color="auto"/>
                        <w:bottom w:val="none" w:sz="0" w:space="0" w:color="auto"/>
                        <w:right w:val="none" w:sz="0" w:space="0" w:color="auto"/>
                      </w:divBdr>
                      <w:divsChild>
                        <w:div w:id="2144424474">
                          <w:marLeft w:val="0"/>
                          <w:marRight w:val="0"/>
                          <w:marTop w:val="0"/>
                          <w:marBottom w:val="0"/>
                          <w:divBdr>
                            <w:top w:val="none" w:sz="0" w:space="0" w:color="auto"/>
                            <w:left w:val="none" w:sz="0" w:space="0" w:color="auto"/>
                            <w:bottom w:val="none" w:sz="0" w:space="0" w:color="auto"/>
                            <w:right w:val="none" w:sz="0" w:space="0" w:color="auto"/>
                          </w:divBdr>
                          <w:divsChild>
                            <w:div w:id="1726678473">
                              <w:marLeft w:val="0"/>
                              <w:marRight w:val="0"/>
                              <w:marTop w:val="0"/>
                              <w:marBottom w:val="0"/>
                              <w:divBdr>
                                <w:top w:val="none" w:sz="0" w:space="0" w:color="auto"/>
                                <w:left w:val="none" w:sz="0" w:space="0" w:color="auto"/>
                                <w:bottom w:val="none" w:sz="0" w:space="0" w:color="auto"/>
                                <w:right w:val="none" w:sz="0" w:space="0" w:color="auto"/>
                              </w:divBdr>
                              <w:divsChild>
                                <w:div w:id="350497691">
                                  <w:marLeft w:val="0"/>
                                  <w:marRight w:val="0"/>
                                  <w:marTop w:val="0"/>
                                  <w:marBottom w:val="0"/>
                                  <w:divBdr>
                                    <w:top w:val="none" w:sz="0" w:space="0" w:color="auto"/>
                                    <w:left w:val="none" w:sz="0" w:space="0" w:color="auto"/>
                                    <w:bottom w:val="none" w:sz="0" w:space="0" w:color="auto"/>
                                    <w:right w:val="none" w:sz="0" w:space="0" w:color="auto"/>
                                  </w:divBdr>
                                  <w:divsChild>
                                    <w:div w:id="1031612980">
                                      <w:marLeft w:val="0"/>
                                      <w:marRight w:val="0"/>
                                      <w:marTop w:val="0"/>
                                      <w:marBottom w:val="0"/>
                                      <w:divBdr>
                                        <w:top w:val="none" w:sz="0" w:space="0" w:color="auto"/>
                                        <w:left w:val="none" w:sz="0" w:space="0" w:color="auto"/>
                                        <w:bottom w:val="none" w:sz="0" w:space="0" w:color="auto"/>
                                        <w:right w:val="none" w:sz="0" w:space="0" w:color="auto"/>
                                      </w:divBdr>
                                      <w:divsChild>
                                        <w:div w:id="1218972160">
                                          <w:marLeft w:val="0"/>
                                          <w:marRight w:val="0"/>
                                          <w:marTop w:val="0"/>
                                          <w:marBottom w:val="0"/>
                                          <w:divBdr>
                                            <w:top w:val="none" w:sz="0" w:space="0" w:color="auto"/>
                                            <w:left w:val="none" w:sz="0" w:space="0" w:color="auto"/>
                                            <w:bottom w:val="none" w:sz="0" w:space="0" w:color="auto"/>
                                            <w:right w:val="none" w:sz="0" w:space="0" w:color="auto"/>
                                          </w:divBdr>
                                          <w:divsChild>
                                            <w:div w:id="434784763">
                                              <w:marLeft w:val="0"/>
                                              <w:marRight w:val="0"/>
                                              <w:marTop w:val="0"/>
                                              <w:marBottom w:val="495"/>
                                              <w:divBdr>
                                                <w:top w:val="none" w:sz="0" w:space="0" w:color="auto"/>
                                                <w:left w:val="none" w:sz="0" w:space="0" w:color="auto"/>
                                                <w:bottom w:val="none" w:sz="0" w:space="0" w:color="auto"/>
                                                <w:right w:val="none" w:sz="0" w:space="0" w:color="auto"/>
                                              </w:divBdr>
                                              <w:divsChild>
                                                <w:div w:id="102925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1364">
      <w:bodyDiv w:val="1"/>
      <w:marLeft w:val="0"/>
      <w:marRight w:val="0"/>
      <w:marTop w:val="0"/>
      <w:marBottom w:val="0"/>
      <w:divBdr>
        <w:top w:val="none" w:sz="0" w:space="0" w:color="auto"/>
        <w:left w:val="none" w:sz="0" w:space="0" w:color="auto"/>
        <w:bottom w:val="none" w:sz="0" w:space="0" w:color="auto"/>
        <w:right w:val="none" w:sz="0" w:space="0" w:color="auto"/>
      </w:divBdr>
    </w:div>
    <w:div w:id="758983896">
      <w:bodyDiv w:val="1"/>
      <w:marLeft w:val="0"/>
      <w:marRight w:val="0"/>
      <w:marTop w:val="0"/>
      <w:marBottom w:val="0"/>
      <w:divBdr>
        <w:top w:val="none" w:sz="0" w:space="0" w:color="auto"/>
        <w:left w:val="none" w:sz="0" w:space="0" w:color="auto"/>
        <w:bottom w:val="none" w:sz="0" w:space="0" w:color="auto"/>
        <w:right w:val="none" w:sz="0" w:space="0" w:color="auto"/>
      </w:divBdr>
    </w:div>
    <w:div w:id="822618723">
      <w:bodyDiv w:val="1"/>
      <w:marLeft w:val="0"/>
      <w:marRight w:val="0"/>
      <w:marTop w:val="0"/>
      <w:marBottom w:val="0"/>
      <w:divBdr>
        <w:top w:val="none" w:sz="0" w:space="0" w:color="auto"/>
        <w:left w:val="none" w:sz="0" w:space="0" w:color="auto"/>
        <w:bottom w:val="none" w:sz="0" w:space="0" w:color="auto"/>
        <w:right w:val="none" w:sz="0" w:space="0" w:color="auto"/>
      </w:divBdr>
    </w:div>
    <w:div w:id="865948387">
      <w:bodyDiv w:val="1"/>
      <w:marLeft w:val="0"/>
      <w:marRight w:val="0"/>
      <w:marTop w:val="0"/>
      <w:marBottom w:val="0"/>
      <w:divBdr>
        <w:top w:val="none" w:sz="0" w:space="0" w:color="auto"/>
        <w:left w:val="none" w:sz="0" w:space="0" w:color="auto"/>
        <w:bottom w:val="none" w:sz="0" w:space="0" w:color="auto"/>
        <w:right w:val="none" w:sz="0" w:space="0" w:color="auto"/>
      </w:divBdr>
    </w:div>
    <w:div w:id="897008161">
      <w:bodyDiv w:val="1"/>
      <w:marLeft w:val="0"/>
      <w:marRight w:val="0"/>
      <w:marTop w:val="0"/>
      <w:marBottom w:val="0"/>
      <w:divBdr>
        <w:top w:val="none" w:sz="0" w:space="0" w:color="auto"/>
        <w:left w:val="none" w:sz="0" w:space="0" w:color="auto"/>
        <w:bottom w:val="none" w:sz="0" w:space="0" w:color="auto"/>
        <w:right w:val="none" w:sz="0" w:space="0" w:color="auto"/>
      </w:divBdr>
      <w:divsChild>
        <w:div w:id="978922934">
          <w:marLeft w:val="0"/>
          <w:marRight w:val="0"/>
          <w:marTop w:val="0"/>
          <w:marBottom w:val="0"/>
          <w:divBdr>
            <w:top w:val="none" w:sz="0" w:space="0" w:color="auto"/>
            <w:left w:val="none" w:sz="0" w:space="0" w:color="auto"/>
            <w:bottom w:val="none" w:sz="0" w:space="0" w:color="auto"/>
            <w:right w:val="none" w:sz="0" w:space="0" w:color="auto"/>
          </w:divBdr>
        </w:div>
      </w:divsChild>
    </w:div>
    <w:div w:id="1002703625">
      <w:bodyDiv w:val="1"/>
      <w:marLeft w:val="0"/>
      <w:marRight w:val="0"/>
      <w:marTop w:val="0"/>
      <w:marBottom w:val="0"/>
      <w:divBdr>
        <w:top w:val="none" w:sz="0" w:space="0" w:color="auto"/>
        <w:left w:val="none" w:sz="0" w:space="0" w:color="auto"/>
        <w:bottom w:val="none" w:sz="0" w:space="0" w:color="auto"/>
        <w:right w:val="none" w:sz="0" w:space="0" w:color="auto"/>
      </w:divBdr>
      <w:divsChild>
        <w:div w:id="852690088">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08828127">
      <w:bodyDiv w:val="1"/>
      <w:marLeft w:val="0"/>
      <w:marRight w:val="0"/>
      <w:marTop w:val="0"/>
      <w:marBottom w:val="0"/>
      <w:divBdr>
        <w:top w:val="none" w:sz="0" w:space="0" w:color="auto"/>
        <w:left w:val="none" w:sz="0" w:space="0" w:color="auto"/>
        <w:bottom w:val="none" w:sz="0" w:space="0" w:color="auto"/>
        <w:right w:val="none" w:sz="0" w:space="0" w:color="auto"/>
      </w:divBdr>
    </w:div>
    <w:div w:id="1461261614">
      <w:bodyDiv w:val="1"/>
      <w:marLeft w:val="0"/>
      <w:marRight w:val="0"/>
      <w:marTop w:val="0"/>
      <w:marBottom w:val="0"/>
      <w:divBdr>
        <w:top w:val="none" w:sz="0" w:space="0" w:color="auto"/>
        <w:left w:val="none" w:sz="0" w:space="0" w:color="auto"/>
        <w:bottom w:val="none" w:sz="0" w:space="0" w:color="auto"/>
        <w:right w:val="none" w:sz="0" w:space="0" w:color="auto"/>
      </w:divBdr>
      <w:divsChild>
        <w:div w:id="976033435">
          <w:marLeft w:val="0"/>
          <w:marRight w:val="0"/>
          <w:marTop w:val="0"/>
          <w:marBottom w:val="0"/>
          <w:divBdr>
            <w:top w:val="none" w:sz="0" w:space="0" w:color="auto"/>
            <w:left w:val="none" w:sz="0" w:space="0" w:color="auto"/>
            <w:bottom w:val="none" w:sz="0" w:space="0" w:color="auto"/>
            <w:right w:val="none" w:sz="0" w:space="0" w:color="auto"/>
          </w:divBdr>
          <w:divsChild>
            <w:div w:id="1628193858">
              <w:marLeft w:val="0"/>
              <w:marRight w:val="0"/>
              <w:marTop w:val="0"/>
              <w:marBottom w:val="0"/>
              <w:divBdr>
                <w:top w:val="none" w:sz="0" w:space="0" w:color="auto"/>
                <w:left w:val="none" w:sz="0" w:space="0" w:color="auto"/>
                <w:bottom w:val="none" w:sz="0" w:space="0" w:color="auto"/>
                <w:right w:val="none" w:sz="0" w:space="0" w:color="auto"/>
              </w:divBdr>
              <w:divsChild>
                <w:div w:id="2002074601">
                  <w:marLeft w:val="0"/>
                  <w:marRight w:val="0"/>
                  <w:marTop w:val="0"/>
                  <w:marBottom w:val="0"/>
                  <w:divBdr>
                    <w:top w:val="none" w:sz="0" w:space="0" w:color="auto"/>
                    <w:left w:val="none" w:sz="0" w:space="0" w:color="auto"/>
                    <w:bottom w:val="none" w:sz="0" w:space="0" w:color="auto"/>
                    <w:right w:val="none" w:sz="0" w:space="0" w:color="auto"/>
                  </w:divBdr>
                  <w:divsChild>
                    <w:div w:id="15298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00">
      <w:bodyDiv w:val="1"/>
      <w:marLeft w:val="0"/>
      <w:marRight w:val="0"/>
      <w:marTop w:val="0"/>
      <w:marBottom w:val="0"/>
      <w:divBdr>
        <w:top w:val="none" w:sz="0" w:space="0" w:color="auto"/>
        <w:left w:val="none" w:sz="0" w:space="0" w:color="auto"/>
        <w:bottom w:val="none" w:sz="0" w:space="0" w:color="auto"/>
        <w:right w:val="none" w:sz="0" w:space="0" w:color="auto"/>
      </w:divBdr>
      <w:divsChild>
        <w:div w:id="232811617">
          <w:marLeft w:val="0"/>
          <w:marRight w:val="0"/>
          <w:marTop w:val="0"/>
          <w:marBottom w:val="0"/>
          <w:divBdr>
            <w:top w:val="none" w:sz="0" w:space="0" w:color="auto"/>
            <w:left w:val="none" w:sz="0" w:space="0" w:color="auto"/>
            <w:bottom w:val="none" w:sz="0" w:space="0" w:color="auto"/>
            <w:right w:val="none" w:sz="0" w:space="0" w:color="auto"/>
          </w:divBdr>
          <w:divsChild>
            <w:div w:id="256403383">
              <w:marLeft w:val="0"/>
              <w:marRight w:val="0"/>
              <w:marTop w:val="0"/>
              <w:marBottom w:val="0"/>
              <w:divBdr>
                <w:top w:val="none" w:sz="0" w:space="0" w:color="auto"/>
                <w:left w:val="none" w:sz="0" w:space="0" w:color="auto"/>
                <w:bottom w:val="none" w:sz="0" w:space="0" w:color="auto"/>
                <w:right w:val="none" w:sz="0" w:space="0" w:color="auto"/>
              </w:divBdr>
              <w:divsChild>
                <w:div w:id="709066361">
                  <w:marLeft w:val="0"/>
                  <w:marRight w:val="0"/>
                  <w:marTop w:val="0"/>
                  <w:marBottom w:val="0"/>
                  <w:divBdr>
                    <w:top w:val="none" w:sz="0" w:space="0" w:color="auto"/>
                    <w:left w:val="none" w:sz="0" w:space="0" w:color="auto"/>
                    <w:bottom w:val="none" w:sz="0" w:space="0" w:color="auto"/>
                    <w:right w:val="none" w:sz="0" w:space="0" w:color="auto"/>
                  </w:divBdr>
                  <w:divsChild>
                    <w:div w:id="9832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30929">
      <w:bodyDiv w:val="1"/>
      <w:marLeft w:val="0"/>
      <w:marRight w:val="0"/>
      <w:marTop w:val="0"/>
      <w:marBottom w:val="0"/>
      <w:divBdr>
        <w:top w:val="none" w:sz="0" w:space="0" w:color="auto"/>
        <w:left w:val="none" w:sz="0" w:space="0" w:color="auto"/>
        <w:bottom w:val="none" w:sz="0" w:space="0" w:color="auto"/>
        <w:right w:val="none" w:sz="0" w:space="0" w:color="auto"/>
      </w:divBdr>
    </w:div>
    <w:div w:id="1679042644">
      <w:bodyDiv w:val="1"/>
      <w:marLeft w:val="0"/>
      <w:marRight w:val="0"/>
      <w:marTop w:val="0"/>
      <w:marBottom w:val="0"/>
      <w:divBdr>
        <w:top w:val="none" w:sz="0" w:space="0" w:color="auto"/>
        <w:left w:val="none" w:sz="0" w:space="0" w:color="auto"/>
        <w:bottom w:val="none" w:sz="0" w:space="0" w:color="auto"/>
        <w:right w:val="none" w:sz="0" w:space="0" w:color="auto"/>
      </w:divBdr>
    </w:div>
    <w:div w:id="1737238080">
      <w:bodyDiv w:val="1"/>
      <w:marLeft w:val="0"/>
      <w:marRight w:val="0"/>
      <w:marTop w:val="0"/>
      <w:marBottom w:val="0"/>
      <w:divBdr>
        <w:top w:val="none" w:sz="0" w:space="0" w:color="auto"/>
        <w:left w:val="none" w:sz="0" w:space="0" w:color="auto"/>
        <w:bottom w:val="none" w:sz="0" w:space="0" w:color="auto"/>
        <w:right w:val="none" w:sz="0" w:space="0" w:color="auto"/>
      </w:divBdr>
      <w:divsChild>
        <w:div w:id="542179597">
          <w:marLeft w:val="0"/>
          <w:marRight w:val="0"/>
          <w:marTop w:val="0"/>
          <w:marBottom w:val="0"/>
          <w:divBdr>
            <w:top w:val="none" w:sz="0" w:space="0" w:color="auto"/>
            <w:left w:val="none" w:sz="0" w:space="0" w:color="auto"/>
            <w:bottom w:val="none" w:sz="0" w:space="0" w:color="auto"/>
            <w:right w:val="none" w:sz="0" w:space="0" w:color="auto"/>
          </w:divBdr>
        </w:div>
      </w:divsChild>
    </w:div>
    <w:div w:id="1745953807">
      <w:bodyDiv w:val="1"/>
      <w:marLeft w:val="0"/>
      <w:marRight w:val="0"/>
      <w:marTop w:val="0"/>
      <w:marBottom w:val="0"/>
      <w:divBdr>
        <w:top w:val="none" w:sz="0" w:space="0" w:color="auto"/>
        <w:left w:val="none" w:sz="0" w:space="0" w:color="auto"/>
        <w:bottom w:val="none" w:sz="0" w:space="0" w:color="auto"/>
        <w:right w:val="none" w:sz="0" w:space="0" w:color="auto"/>
      </w:divBdr>
    </w:div>
    <w:div w:id="1769227738">
      <w:bodyDiv w:val="1"/>
      <w:marLeft w:val="0"/>
      <w:marRight w:val="0"/>
      <w:marTop w:val="0"/>
      <w:marBottom w:val="0"/>
      <w:divBdr>
        <w:top w:val="none" w:sz="0" w:space="0" w:color="auto"/>
        <w:left w:val="none" w:sz="0" w:space="0" w:color="auto"/>
        <w:bottom w:val="none" w:sz="0" w:space="0" w:color="auto"/>
        <w:right w:val="none" w:sz="0" w:space="0" w:color="auto"/>
      </w:divBdr>
    </w:div>
    <w:div w:id="1878857630">
      <w:bodyDiv w:val="1"/>
      <w:marLeft w:val="0"/>
      <w:marRight w:val="0"/>
      <w:marTop w:val="0"/>
      <w:marBottom w:val="0"/>
      <w:divBdr>
        <w:top w:val="none" w:sz="0" w:space="0" w:color="auto"/>
        <w:left w:val="none" w:sz="0" w:space="0" w:color="auto"/>
        <w:bottom w:val="none" w:sz="0" w:space="0" w:color="auto"/>
        <w:right w:val="none" w:sz="0" w:space="0" w:color="auto"/>
      </w:divBdr>
      <w:divsChild>
        <w:div w:id="2066635819">
          <w:marLeft w:val="0"/>
          <w:marRight w:val="0"/>
          <w:marTop w:val="0"/>
          <w:marBottom w:val="0"/>
          <w:divBdr>
            <w:top w:val="none" w:sz="0" w:space="0" w:color="auto"/>
            <w:left w:val="none" w:sz="0" w:space="0" w:color="auto"/>
            <w:bottom w:val="none" w:sz="0" w:space="0" w:color="auto"/>
            <w:right w:val="none" w:sz="0" w:space="0" w:color="auto"/>
          </w:divBdr>
          <w:divsChild>
            <w:div w:id="1822113169">
              <w:marLeft w:val="0"/>
              <w:marRight w:val="0"/>
              <w:marTop w:val="0"/>
              <w:marBottom w:val="0"/>
              <w:divBdr>
                <w:top w:val="none" w:sz="0" w:space="0" w:color="auto"/>
                <w:left w:val="none" w:sz="0" w:space="0" w:color="auto"/>
                <w:bottom w:val="none" w:sz="0" w:space="0" w:color="auto"/>
                <w:right w:val="none" w:sz="0" w:space="0" w:color="auto"/>
              </w:divBdr>
              <w:divsChild>
                <w:div w:id="1580017252">
                  <w:marLeft w:val="0"/>
                  <w:marRight w:val="0"/>
                  <w:marTop w:val="0"/>
                  <w:marBottom w:val="0"/>
                  <w:divBdr>
                    <w:top w:val="none" w:sz="0" w:space="0" w:color="auto"/>
                    <w:left w:val="none" w:sz="0" w:space="0" w:color="auto"/>
                    <w:bottom w:val="none" w:sz="0" w:space="0" w:color="auto"/>
                    <w:right w:val="none" w:sz="0" w:space="0" w:color="auto"/>
                  </w:divBdr>
                  <w:divsChild>
                    <w:div w:id="87317850">
                      <w:marLeft w:val="0"/>
                      <w:marRight w:val="0"/>
                      <w:marTop w:val="0"/>
                      <w:marBottom w:val="0"/>
                      <w:divBdr>
                        <w:top w:val="none" w:sz="0" w:space="0" w:color="auto"/>
                        <w:left w:val="none" w:sz="0" w:space="0" w:color="auto"/>
                        <w:bottom w:val="none" w:sz="0" w:space="0" w:color="auto"/>
                        <w:right w:val="none" w:sz="0" w:space="0" w:color="auto"/>
                      </w:divBdr>
                      <w:divsChild>
                        <w:div w:id="676426737">
                          <w:marLeft w:val="0"/>
                          <w:marRight w:val="0"/>
                          <w:marTop w:val="0"/>
                          <w:marBottom w:val="0"/>
                          <w:divBdr>
                            <w:top w:val="none" w:sz="0" w:space="0" w:color="auto"/>
                            <w:left w:val="none" w:sz="0" w:space="0" w:color="auto"/>
                            <w:bottom w:val="none" w:sz="0" w:space="0" w:color="auto"/>
                            <w:right w:val="none" w:sz="0" w:space="0" w:color="auto"/>
                          </w:divBdr>
                          <w:divsChild>
                            <w:div w:id="1233739447">
                              <w:marLeft w:val="0"/>
                              <w:marRight w:val="0"/>
                              <w:marTop w:val="0"/>
                              <w:marBottom w:val="0"/>
                              <w:divBdr>
                                <w:top w:val="none" w:sz="0" w:space="0" w:color="auto"/>
                                <w:left w:val="none" w:sz="0" w:space="0" w:color="auto"/>
                                <w:bottom w:val="none" w:sz="0" w:space="0" w:color="auto"/>
                                <w:right w:val="none" w:sz="0" w:space="0" w:color="auto"/>
                              </w:divBdr>
                              <w:divsChild>
                                <w:div w:id="1530334024">
                                  <w:marLeft w:val="0"/>
                                  <w:marRight w:val="0"/>
                                  <w:marTop w:val="0"/>
                                  <w:marBottom w:val="0"/>
                                  <w:divBdr>
                                    <w:top w:val="none" w:sz="0" w:space="0" w:color="auto"/>
                                    <w:left w:val="none" w:sz="0" w:space="0" w:color="auto"/>
                                    <w:bottom w:val="none" w:sz="0" w:space="0" w:color="auto"/>
                                    <w:right w:val="none" w:sz="0" w:space="0" w:color="auto"/>
                                  </w:divBdr>
                                  <w:divsChild>
                                    <w:div w:id="481850879">
                                      <w:marLeft w:val="0"/>
                                      <w:marRight w:val="0"/>
                                      <w:marTop w:val="0"/>
                                      <w:marBottom w:val="0"/>
                                      <w:divBdr>
                                        <w:top w:val="none" w:sz="0" w:space="0" w:color="auto"/>
                                        <w:left w:val="none" w:sz="0" w:space="0" w:color="auto"/>
                                        <w:bottom w:val="none" w:sz="0" w:space="0" w:color="auto"/>
                                        <w:right w:val="none" w:sz="0" w:space="0" w:color="auto"/>
                                      </w:divBdr>
                                      <w:divsChild>
                                        <w:div w:id="577445854">
                                          <w:marLeft w:val="0"/>
                                          <w:marRight w:val="0"/>
                                          <w:marTop w:val="0"/>
                                          <w:marBottom w:val="0"/>
                                          <w:divBdr>
                                            <w:top w:val="none" w:sz="0" w:space="0" w:color="auto"/>
                                            <w:left w:val="none" w:sz="0" w:space="0" w:color="auto"/>
                                            <w:bottom w:val="none" w:sz="0" w:space="0" w:color="auto"/>
                                            <w:right w:val="none" w:sz="0" w:space="0" w:color="auto"/>
                                          </w:divBdr>
                                          <w:divsChild>
                                            <w:div w:id="744961095">
                                              <w:marLeft w:val="0"/>
                                              <w:marRight w:val="0"/>
                                              <w:marTop w:val="0"/>
                                              <w:marBottom w:val="495"/>
                                              <w:divBdr>
                                                <w:top w:val="none" w:sz="0" w:space="0" w:color="auto"/>
                                                <w:left w:val="none" w:sz="0" w:space="0" w:color="auto"/>
                                                <w:bottom w:val="none" w:sz="0" w:space="0" w:color="auto"/>
                                                <w:right w:val="none" w:sz="0" w:space="0" w:color="auto"/>
                                              </w:divBdr>
                                              <w:divsChild>
                                                <w:div w:id="1232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011454">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6821404">
      <w:bodyDiv w:val="1"/>
      <w:marLeft w:val="0"/>
      <w:marRight w:val="0"/>
      <w:marTop w:val="0"/>
      <w:marBottom w:val="0"/>
      <w:divBdr>
        <w:top w:val="none" w:sz="0" w:space="0" w:color="auto"/>
        <w:left w:val="none" w:sz="0" w:space="0" w:color="auto"/>
        <w:bottom w:val="none" w:sz="0" w:space="0" w:color="auto"/>
        <w:right w:val="none" w:sz="0" w:space="0" w:color="auto"/>
      </w:divBdr>
    </w:div>
    <w:div w:id="1954285546">
      <w:bodyDiv w:val="1"/>
      <w:marLeft w:val="0"/>
      <w:marRight w:val="0"/>
      <w:marTop w:val="0"/>
      <w:marBottom w:val="0"/>
      <w:divBdr>
        <w:top w:val="none" w:sz="0" w:space="0" w:color="auto"/>
        <w:left w:val="none" w:sz="0" w:space="0" w:color="auto"/>
        <w:bottom w:val="none" w:sz="0" w:space="0" w:color="auto"/>
        <w:right w:val="none" w:sz="0" w:space="0" w:color="auto"/>
      </w:divBdr>
      <w:divsChild>
        <w:div w:id="2049136863">
          <w:marLeft w:val="0"/>
          <w:marRight w:val="0"/>
          <w:marTop w:val="0"/>
          <w:marBottom w:val="0"/>
          <w:divBdr>
            <w:top w:val="none" w:sz="0" w:space="0" w:color="auto"/>
            <w:left w:val="none" w:sz="0" w:space="0" w:color="auto"/>
            <w:bottom w:val="none" w:sz="0" w:space="0" w:color="auto"/>
            <w:right w:val="none" w:sz="0" w:space="0" w:color="auto"/>
          </w:divBdr>
        </w:div>
      </w:divsChild>
    </w:div>
    <w:div w:id="1992320910">
      <w:bodyDiv w:val="1"/>
      <w:marLeft w:val="0"/>
      <w:marRight w:val="0"/>
      <w:marTop w:val="0"/>
      <w:marBottom w:val="0"/>
      <w:divBdr>
        <w:top w:val="none" w:sz="0" w:space="0" w:color="auto"/>
        <w:left w:val="none" w:sz="0" w:space="0" w:color="auto"/>
        <w:bottom w:val="none" w:sz="0" w:space="0" w:color="auto"/>
        <w:right w:val="none" w:sz="0" w:space="0" w:color="auto"/>
      </w:divBdr>
      <w:divsChild>
        <w:div w:id="1481115818">
          <w:marLeft w:val="0"/>
          <w:marRight w:val="0"/>
          <w:marTop w:val="0"/>
          <w:marBottom w:val="0"/>
          <w:divBdr>
            <w:top w:val="none" w:sz="0" w:space="0" w:color="auto"/>
            <w:left w:val="none" w:sz="0" w:space="0" w:color="auto"/>
            <w:bottom w:val="none" w:sz="0" w:space="0" w:color="auto"/>
            <w:right w:val="none" w:sz="0" w:space="0" w:color="auto"/>
          </w:divBdr>
          <w:divsChild>
            <w:div w:id="627392052">
              <w:marLeft w:val="0"/>
              <w:marRight w:val="0"/>
              <w:marTop w:val="0"/>
              <w:marBottom w:val="0"/>
              <w:divBdr>
                <w:top w:val="none" w:sz="0" w:space="0" w:color="auto"/>
                <w:left w:val="none" w:sz="0" w:space="0" w:color="auto"/>
                <w:bottom w:val="none" w:sz="0" w:space="0" w:color="auto"/>
                <w:right w:val="none" w:sz="0" w:space="0" w:color="auto"/>
              </w:divBdr>
              <w:divsChild>
                <w:div w:id="512500596">
                  <w:marLeft w:val="0"/>
                  <w:marRight w:val="0"/>
                  <w:marTop w:val="0"/>
                  <w:marBottom w:val="0"/>
                  <w:divBdr>
                    <w:top w:val="none" w:sz="0" w:space="0" w:color="auto"/>
                    <w:left w:val="none" w:sz="0" w:space="0" w:color="auto"/>
                    <w:bottom w:val="none" w:sz="0" w:space="0" w:color="auto"/>
                    <w:right w:val="none" w:sz="0" w:space="0" w:color="auto"/>
                  </w:divBdr>
                  <w:divsChild>
                    <w:div w:id="20484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46199">
      <w:bodyDiv w:val="1"/>
      <w:marLeft w:val="0"/>
      <w:marRight w:val="0"/>
      <w:marTop w:val="0"/>
      <w:marBottom w:val="0"/>
      <w:divBdr>
        <w:top w:val="none" w:sz="0" w:space="0" w:color="auto"/>
        <w:left w:val="none" w:sz="0" w:space="0" w:color="auto"/>
        <w:bottom w:val="none" w:sz="0" w:space="0" w:color="auto"/>
        <w:right w:val="none" w:sz="0" w:space="0" w:color="auto"/>
      </w:divBdr>
    </w:div>
    <w:div w:id="2049211328">
      <w:bodyDiv w:val="1"/>
      <w:marLeft w:val="0"/>
      <w:marRight w:val="0"/>
      <w:marTop w:val="0"/>
      <w:marBottom w:val="0"/>
      <w:divBdr>
        <w:top w:val="none" w:sz="0" w:space="0" w:color="auto"/>
        <w:left w:val="none" w:sz="0" w:space="0" w:color="auto"/>
        <w:bottom w:val="none" w:sz="0" w:space="0" w:color="auto"/>
        <w:right w:val="none" w:sz="0" w:space="0" w:color="auto"/>
      </w:divBdr>
      <w:divsChild>
        <w:div w:id="50738870">
          <w:marLeft w:val="0"/>
          <w:marRight w:val="0"/>
          <w:marTop w:val="0"/>
          <w:marBottom w:val="0"/>
          <w:divBdr>
            <w:top w:val="none" w:sz="0" w:space="0" w:color="auto"/>
            <w:left w:val="none" w:sz="0" w:space="0" w:color="auto"/>
            <w:bottom w:val="none" w:sz="0" w:space="0" w:color="auto"/>
            <w:right w:val="none" w:sz="0" w:space="0" w:color="auto"/>
          </w:divBdr>
          <w:divsChild>
            <w:div w:id="14816941">
              <w:marLeft w:val="0"/>
              <w:marRight w:val="0"/>
              <w:marTop w:val="0"/>
              <w:marBottom w:val="0"/>
              <w:divBdr>
                <w:top w:val="none" w:sz="0" w:space="0" w:color="auto"/>
                <w:left w:val="none" w:sz="0" w:space="0" w:color="auto"/>
                <w:bottom w:val="none" w:sz="0" w:space="0" w:color="auto"/>
                <w:right w:val="none" w:sz="0" w:space="0" w:color="auto"/>
              </w:divBdr>
              <w:divsChild>
                <w:div w:id="1954899425">
                  <w:marLeft w:val="0"/>
                  <w:marRight w:val="0"/>
                  <w:marTop w:val="0"/>
                  <w:marBottom w:val="0"/>
                  <w:divBdr>
                    <w:top w:val="none" w:sz="0" w:space="0" w:color="auto"/>
                    <w:left w:val="none" w:sz="0" w:space="0" w:color="auto"/>
                    <w:bottom w:val="none" w:sz="0" w:space="0" w:color="auto"/>
                    <w:right w:val="none" w:sz="0" w:space="0" w:color="auto"/>
                  </w:divBdr>
                  <w:divsChild>
                    <w:div w:id="18132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90924">
      <w:bodyDiv w:val="1"/>
      <w:marLeft w:val="0"/>
      <w:marRight w:val="0"/>
      <w:marTop w:val="0"/>
      <w:marBottom w:val="0"/>
      <w:divBdr>
        <w:top w:val="none" w:sz="0" w:space="0" w:color="auto"/>
        <w:left w:val="none" w:sz="0" w:space="0" w:color="auto"/>
        <w:bottom w:val="none" w:sz="0" w:space="0" w:color="auto"/>
        <w:right w:val="none" w:sz="0" w:space="0" w:color="auto"/>
      </w:divBdr>
      <w:divsChild>
        <w:div w:id="2070304871">
          <w:marLeft w:val="0"/>
          <w:marRight w:val="0"/>
          <w:marTop w:val="0"/>
          <w:marBottom w:val="0"/>
          <w:divBdr>
            <w:top w:val="none" w:sz="0" w:space="0" w:color="auto"/>
            <w:left w:val="none" w:sz="0" w:space="0" w:color="auto"/>
            <w:bottom w:val="none" w:sz="0" w:space="0" w:color="auto"/>
            <w:right w:val="none" w:sz="0" w:space="0" w:color="auto"/>
          </w:divBdr>
          <w:divsChild>
            <w:div w:id="605239557">
              <w:marLeft w:val="0"/>
              <w:marRight w:val="0"/>
              <w:marTop w:val="0"/>
              <w:marBottom w:val="0"/>
              <w:divBdr>
                <w:top w:val="none" w:sz="0" w:space="0" w:color="auto"/>
                <w:left w:val="none" w:sz="0" w:space="0" w:color="auto"/>
                <w:bottom w:val="none" w:sz="0" w:space="0" w:color="auto"/>
                <w:right w:val="none" w:sz="0" w:space="0" w:color="auto"/>
              </w:divBdr>
              <w:divsChild>
                <w:div w:id="99573511">
                  <w:marLeft w:val="0"/>
                  <w:marRight w:val="0"/>
                  <w:marTop w:val="0"/>
                  <w:marBottom w:val="0"/>
                  <w:divBdr>
                    <w:top w:val="none" w:sz="0" w:space="0" w:color="auto"/>
                    <w:left w:val="none" w:sz="0" w:space="0" w:color="auto"/>
                    <w:bottom w:val="none" w:sz="0" w:space="0" w:color="auto"/>
                    <w:right w:val="none" w:sz="0" w:space="0" w:color="auto"/>
                  </w:divBdr>
                  <w:divsChild>
                    <w:div w:id="6212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1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dm.stat.gov.pl/"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obslugaprasowa@stat.gov.p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stat.gov.pl/metainformacje/slownik-pojec/pojecia-stosowane-w-statystyce-publicznej/1646,pojecie.html" TargetMode="Externa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stat.gov.pl/metainformacje/slownik-pojec/pojecia-stosowane-w-statystyce-publicznej/1526,pojecie.html"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0x00FBEB7090D5ED8B4AADA9FC396769AC9B</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Odbiorcy2 xmlns="8C029B3F-2CC4-4A59-AF0D-A90575FA3373" xsi:nil="true"/>
    <Osoba xmlns="8C029B3F-2CC4-4A59-AF0D-A90575FA3373">STAT\KULCZYCKAJ</Osoba>
    <NazwaPliku xmlns="8C029B3F-2CC4-4A59-AF0D-A90575FA3373">News release_Financial results of FI in 2019 EN GUS-1.DOCX.DOCX</NazwaPliku>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BAB6-5F41-42A6-ABC0-F18899749704}">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2.xml><?xml version="1.0" encoding="utf-8"?>
<ds:datastoreItem xmlns:ds="http://schemas.openxmlformats.org/officeDocument/2006/customXml" ds:itemID="{084BA3E5-2A0D-4538-8951-EDD7888D3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A7CEF-0135-403B-8522-4147D372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974</Words>
  <Characters>5848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2017-11-07T13:05:00Z</cp:lastPrinted>
  <dcterms:created xsi:type="dcterms:W3CDTF">2020-08-12T12:16:00Z</dcterms:created>
  <dcterms:modified xsi:type="dcterms:W3CDTF">2020-08-17T12:59:00Z</dcterms:modified>
</cp:coreProperties>
</file>