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B2279B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B71225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B71225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12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B2279B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B71225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B71225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12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B71225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November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B71855" w:rsidRDefault="001F31E6" w:rsidP="00B71855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781175" cy="13811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F31E6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04800" cy="361950"/>
                                  <wp:effectExtent l="0" t="0" r="0" b="0"/>
                                  <wp:docPr id="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048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BE457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A2F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a </w:t>
                            </w:r>
                            <w:r w:rsidR="00453C6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decrease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prices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of basic ag</w:t>
                            </w:r>
                            <w:r w:rsidR="00000D7A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r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icultural products 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 comparison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with </w:t>
                            </w:r>
                            <w:r w:rsidR="005157B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November</w:t>
                            </w:r>
                            <w:r w:rsidR="00C7735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35pt;width:140.25pt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" fillcolor="#001d77" stroked="f">
                <v:textbox>
                  <w:txbxContent>
                    <w:p w:rsidR="00133140" w:rsidRPr="000F45BD" w:rsidRDefault="001F31E6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04800" cy="361950"/>
                            <wp:effectExtent l="0" t="0" r="0" b="0"/>
                            <wp:docPr id="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048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BE457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A2F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a </w:t>
                      </w:r>
                      <w:r w:rsidR="00453C6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decrease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prices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of basic ag</w:t>
                      </w:r>
                      <w:r w:rsidR="00000D7A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r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icultural products 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 comparison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with </w:t>
                      </w:r>
                      <w:r w:rsidR="005157B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November</w:t>
                      </w:r>
                      <w:r w:rsidR="00C7735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BE4579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decreased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November 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2020  in comparison with the previous month (by 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2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while compared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 to the</w:t>
      </w:r>
      <w:r w:rsidR="00BE4579" w:rsidRPr="00E456CD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corresponding period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of the last year (by 4.7%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).</w:t>
      </w:r>
      <w:r w:rsidR="00F11006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665E55" w:rsidRPr="000F45BD" w:rsidRDefault="00665E55" w:rsidP="00B71855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113D95" w:rsidRPr="000F45BD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Default="002B7B1C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120650</wp:posOffset>
                </wp:positionV>
                <wp:extent cx="1410335" cy="1488440"/>
                <wp:effectExtent l="0" t="0" r="0" b="0"/>
                <wp:wrapTight wrapText="bothSides">
                  <wp:wrapPolygon edited="0">
                    <wp:start x="875" y="0"/>
                    <wp:lineTo x="875" y="21287"/>
                    <wp:lineTo x="20423" y="21287"/>
                    <wp:lineTo x="20423" y="0"/>
                    <wp:lineTo x="875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A29" w:rsidRDefault="002F7A29" w:rsidP="002F7A2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fall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 procurement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agricultural products in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November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this year compared to </w:t>
                            </w:r>
                            <w:r w:rsidR="00E84AA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 this year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was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related to rye, </w:t>
                            </w:r>
                            <w:r w:rsidR="006720D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cattle</w:t>
                            </w:r>
                            <w:r w:rsidR="007017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for </w:t>
                            </w:r>
                            <w:r w:rsidR="006720D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slaughter, pigs fo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 sl</w:t>
                            </w:r>
                            <w:r w:rsidR="007017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aughter and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poultry prices</w:t>
                            </w:r>
                          </w:p>
                          <w:p w:rsidR="009C699E" w:rsidRPr="00661C39" w:rsidRDefault="009C699E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7.25pt;margin-top:9.5pt;width:111.05pt;height:117.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" filled="f" stroked="f">
                <v:textbox>
                  <w:txbxContent>
                    <w:p w:rsidR="002F7A29" w:rsidRDefault="002F7A29" w:rsidP="002F7A2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fall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 procurement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agricultural products in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November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this year compared to </w:t>
                      </w:r>
                      <w:r w:rsidR="00E84AA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 this year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was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related to rye, </w:t>
                      </w:r>
                      <w:r w:rsidR="006720D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cattle</w:t>
                      </w:r>
                      <w:r w:rsidR="007017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for </w:t>
                      </w:r>
                      <w:r w:rsidR="006720D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slaughter, pigs fo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 sl</w:t>
                      </w:r>
                      <w:r w:rsidR="007017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aughter and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poultry prices</w:t>
                      </w:r>
                    </w:p>
                    <w:p w:rsidR="009C699E" w:rsidRPr="00661C39" w:rsidRDefault="009C699E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D5941">
        <w:rPr>
          <w:noProof/>
          <w:lang w:eastAsia="pl-PL"/>
        </w:rPr>
        <w:drawing>
          <wp:inline distT="0" distB="0" distL="0" distR="0" wp14:anchorId="4C2D1073" wp14:editId="1BA21C78">
            <wp:extent cx="4933950" cy="1781175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326D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1B5E70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 the corresponding month of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002762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162560</wp:posOffset>
                </wp:positionV>
                <wp:extent cx="1212215" cy="2257425"/>
                <wp:effectExtent l="0" t="0" r="0" b="0"/>
                <wp:wrapTight wrapText="bothSides">
                  <wp:wrapPolygon edited="0">
                    <wp:start x="1018" y="0"/>
                    <wp:lineTo x="1018" y="21327"/>
                    <wp:lineTo x="20367" y="21327"/>
                    <wp:lineTo x="20367" y="0"/>
                    <wp:lineTo x="101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3B" w:rsidRPr="00661C39" w:rsidRDefault="00472016" w:rsidP="002E573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he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procurement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index of basic agricultural products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E573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7A203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November</w:t>
                            </w:r>
                            <w:r w:rsidR="002E573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02AE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this year</w:t>
                            </w:r>
                            <w:r w:rsidR="002E573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400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compared to </w:t>
                            </w:r>
                            <w:r w:rsidR="00EC61F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      the </w:t>
                            </w:r>
                            <w:r w:rsidR="004400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corresponding month of the last year</w:t>
                            </w:r>
                            <w:r w:rsidR="0000276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C01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mainly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shaped </w:t>
                            </w:r>
                            <w:r w:rsidR="008C01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by </w:t>
                            </w:r>
                            <w:r w:rsidR="00097E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 long-lasting decline in prices of pigs for slaughter and</w:t>
                            </w:r>
                            <w:r w:rsidR="008C01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97E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poultry</w:t>
                            </w:r>
                          </w:p>
                          <w:p w:rsidR="00BA56B8" w:rsidRPr="00661C39" w:rsidRDefault="00BA56B8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9.25pt;margin-top:12.8pt;width:95.45pt;height:177.7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" filled="f" stroked="f">
                <v:textbox>
                  <w:txbxContent>
                    <w:p w:rsidR="002E573B" w:rsidRPr="00661C39" w:rsidRDefault="00472016" w:rsidP="002E573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he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procurement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index of basic agricultural products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E573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7A203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November</w:t>
                      </w:r>
                      <w:r w:rsidR="002E573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02AE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this year</w:t>
                      </w:r>
                      <w:r w:rsidR="002E573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400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compared to </w:t>
                      </w:r>
                      <w:r w:rsidR="00EC61F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      the </w:t>
                      </w:r>
                      <w:r w:rsidR="004400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corresponding month of the last year</w:t>
                      </w:r>
                      <w:r w:rsidR="0000276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C01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mainly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shaped </w:t>
                      </w:r>
                      <w:r w:rsidR="008C01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by </w:t>
                      </w:r>
                      <w:r w:rsidR="00097E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 long-lasting decline in prices of pigs for slaughter and</w:t>
                      </w:r>
                      <w:r w:rsidR="008C01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97E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poultry</w:t>
                      </w:r>
                    </w:p>
                    <w:p w:rsidR="00BA56B8" w:rsidRPr="00661C39" w:rsidRDefault="00BA56B8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B5260">
        <w:rPr>
          <w:noProof/>
          <w:lang w:eastAsia="pl-PL"/>
        </w:rPr>
        <w:drawing>
          <wp:inline distT="0" distB="0" distL="0" distR="0" wp14:anchorId="2723D6FB" wp14:editId="3267E46C">
            <wp:extent cx="5172075" cy="2057400"/>
            <wp:effectExtent l="0" t="0" r="952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1091" w:rsidRDefault="00A01091" w:rsidP="00326DEB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F17791">
        <w:rPr>
          <w:rFonts w:ascii="Fira Sans" w:hAnsi="Fira Sans"/>
          <w:sz w:val="19"/>
          <w:szCs w:val="18"/>
          <w:lang w:val="en-US"/>
        </w:rPr>
        <w:t>November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2020 compared to </w:t>
      </w:r>
      <w:r w:rsidR="00D336D1">
        <w:rPr>
          <w:rFonts w:ascii="Fira Sans" w:hAnsi="Fira Sans"/>
          <w:sz w:val="19"/>
          <w:szCs w:val="18"/>
          <w:lang w:val="en-US"/>
        </w:rPr>
        <w:t>October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0B1C57">
        <w:rPr>
          <w:rFonts w:ascii="Fira Sans" w:hAnsi="Fira Sans"/>
          <w:sz w:val="19"/>
          <w:szCs w:val="18"/>
          <w:lang w:val="en-US"/>
        </w:rPr>
        <w:t>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 xml:space="preserve">prices </w:t>
      </w:r>
      <w:r w:rsidR="006D6788">
        <w:rPr>
          <w:rFonts w:ascii="Fira Sans" w:hAnsi="Fira Sans"/>
          <w:sz w:val="19"/>
          <w:szCs w:val="18"/>
          <w:lang w:val="en-US"/>
        </w:rPr>
        <w:t xml:space="preserve">of </w:t>
      </w:r>
      <w:r w:rsidR="00C6164F">
        <w:rPr>
          <w:rFonts w:ascii="Fira Sans" w:hAnsi="Fira Sans"/>
          <w:sz w:val="19"/>
          <w:szCs w:val="18"/>
          <w:lang w:val="en-US"/>
        </w:rPr>
        <w:t>potatoes</w:t>
      </w:r>
      <w:r w:rsidR="00C6164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D336D1">
        <w:rPr>
          <w:rFonts w:ascii="Fira Sans" w:hAnsi="Fira Sans"/>
          <w:sz w:val="19"/>
          <w:szCs w:val="18"/>
          <w:lang w:val="en-US"/>
        </w:rPr>
        <w:t>, animals for slaughter</w:t>
      </w:r>
      <w:r w:rsidR="00472016">
        <w:rPr>
          <w:rFonts w:ascii="Fira Sans" w:hAnsi="Fira Sans"/>
          <w:sz w:val="19"/>
          <w:szCs w:val="18"/>
          <w:lang w:val="en-US"/>
        </w:rPr>
        <w:t xml:space="preserve"> as well as poultry</w:t>
      </w:r>
      <w:r w:rsidR="00D336D1">
        <w:rPr>
          <w:rFonts w:ascii="Fira Sans" w:hAnsi="Fira Sans"/>
          <w:sz w:val="19"/>
          <w:szCs w:val="18"/>
          <w:lang w:val="en-US"/>
        </w:rPr>
        <w:t xml:space="preserve"> </w:t>
      </w:r>
      <w:r w:rsidR="00472016">
        <w:rPr>
          <w:rFonts w:ascii="Fira Sans" w:hAnsi="Fira Sans"/>
          <w:sz w:val="19"/>
          <w:szCs w:val="18"/>
          <w:lang w:val="en-US"/>
        </w:rPr>
        <w:t>decreased</w:t>
      </w:r>
      <w:r w:rsidR="00753625">
        <w:rPr>
          <w:rFonts w:ascii="Fira Sans" w:hAnsi="Fira Sans"/>
          <w:sz w:val="19"/>
          <w:szCs w:val="18"/>
          <w:lang w:val="en-US"/>
        </w:rPr>
        <w:t>.</w:t>
      </w:r>
      <w:r w:rsidR="008D3D8E">
        <w:rPr>
          <w:rFonts w:ascii="Fira Sans" w:hAnsi="Fira Sans"/>
          <w:sz w:val="19"/>
          <w:szCs w:val="18"/>
          <w:lang w:val="en-US"/>
        </w:rPr>
        <w:t xml:space="preserve"> </w:t>
      </w:r>
      <w:r w:rsidR="005C4E32">
        <w:rPr>
          <w:rFonts w:ascii="Fira Sans" w:hAnsi="Fira Sans"/>
          <w:sz w:val="19"/>
          <w:szCs w:val="18"/>
          <w:lang w:val="en-US"/>
        </w:rPr>
        <w:t>However, procurement prices of cereal grain</w:t>
      </w:r>
      <w:r w:rsidR="00811010">
        <w:rPr>
          <w:rFonts w:ascii="Fira Sans" w:hAnsi="Fira Sans"/>
          <w:sz w:val="19"/>
          <w:szCs w:val="18"/>
          <w:lang w:val="en-US"/>
        </w:rPr>
        <w:t>, except rye</w:t>
      </w:r>
      <w:r w:rsidR="005C4E32">
        <w:rPr>
          <w:rFonts w:ascii="Fira Sans" w:hAnsi="Fira Sans"/>
          <w:sz w:val="19"/>
          <w:szCs w:val="18"/>
          <w:lang w:val="en-US"/>
        </w:rPr>
        <w:t xml:space="preserve"> increased</w:t>
      </w:r>
      <w:r w:rsidR="00811010">
        <w:rPr>
          <w:rFonts w:ascii="Fira Sans" w:hAnsi="Fira Sans"/>
          <w:sz w:val="19"/>
          <w:szCs w:val="18"/>
          <w:lang w:val="en-US"/>
        </w:rPr>
        <w:t>.</w:t>
      </w:r>
    </w:p>
    <w:p w:rsidR="006C7BA6" w:rsidRPr="00661C39" w:rsidRDefault="006C7BA6" w:rsidP="006C7BA6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lastRenderedPageBreak/>
        <w:t>The 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 </w:t>
      </w:r>
      <w:r>
        <w:rPr>
          <w:rFonts w:ascii="Fira Sans" w:hAnsi="Fira Sans"/>
          <w:sz w:val="19"/>
          <w:szCs w:val="18"/>
          <w:lang w:val="en-US"/>
        </w:rPr>
        <w:t xml:space="preserve">maize, potatoes, pigs for slaughter and poultry in November 2020 were lower </w:t>
      </w:r>
      <w:r w:rsidR="00707F35">
        <w:rPr>
          <w:rFonts w:ascii="Fira Sans" w:hAnsi="Fira Sans"/>
          <w:sz w:val="19"/>
          <w:szCs w:val="18"/>
          <w:lang w:val="en-US"/>
        </w:rPr>
        <w:t xml:space="preserve">than in the </w:t>
      </w:r>
      <w:r w:rsidRPr="00A356AC">
        <w:rPr>
          <w:rFonts w:ascii="Fira Sans" w:hAnsi="Fira Sans"/>
          <w:sz w:val="19"/>
          <w:szCs w:val="18"/>
          <w:lang w:val="en-US"/>
        </w:rPr>
        <w:t>corresponding month of the previous year</w:t>
      </w:r>
      <w:r>
        <w:rPr>
          <w:rFonts w:ascii="Fira Sans" w:hAnsi="Fira Sans"/>
          <w:sz w:val="19"/>
          <w:szCs w:val="18"/>
          <w:lang w:val="en-US"/>
        </w:rPr>
        <w:t>.</w:t>
      </w:r>
      <w:r w:rsidRPr="00A356AC">
        <w:rPr>
          <w:rFonts w:ascii="Fira Sans" w:hAnsi="Fira Sans"/>
          <w:sz w:val="19"/>
          <w:szCs w:val="18"/>
          <w:lang w:val="en-US"/>
        </w:rPr>
        <w:t xml:space="preserve"> </w:t>
      </w:r>
    </w:p>
    <w:p w:rsidR="009D059F" w:rsidRDefault="009D059F" w:rsidP="006D4F91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p w:rsidR="00B125DF" w:rsidRPr="000F45BD" w:rsidRDefault="00B125DF" w:rsidP="006D4F91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DE2558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November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 prices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 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8D0221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8D0221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Cereal grain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13E97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AC65E1" w:rsidRDefault="00513E97" w:rsidP="00513E9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E602AF" w:rsidRDefault="00513E97" w:rsidP="00513E9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AC65E1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3559E2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644504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09764F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192A02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F41CC6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B55D95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6D05C7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223D14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644504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9D4654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B33CF9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Potatoes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D12B1C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AF12A2" w:rsidRDefault="00513E97" w:rsidP="00513E9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661C3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0F45BD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C92A85" w:rsidRDefault="00513E97" w:rsidP="00513E97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C92A85" w:rsidRDefault="00513E97" w:rsidP="00513E97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 calves)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89790F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FE0EFB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of which young cattle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C3447" w:rsidRDefault="00513E97" w:rsidP="00513E97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3C7EE8">
              <w:rPr>
                <w:rFonts w:ascii="Fira Sans" w:hAnsi="Fira Sans" w:cs="Arial"/>
                <w:sz w:val="16"/>
                <w:szCs w:val="16"/>
              </w:rPr>
              <w:t>6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 w:rsidRPr="003C7EE8">
              <w:rPr>
                <w:rFonts w:ascii="Fira Sans" w:hAnsi="Fira Sans" w:cs="Arial"/>
                <w:sz w:val="16"/>
                <w:szCs w:val="16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A253EA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253EA">
              <w:rPr>
                <w:rFonts w:ascii="Fira Sans" w:hAnsi="Fira Sans" w:cs="Arial"/>
                <w:sz w:val="16"/>
                <w:szCs w:val="16"/>
              </w:rPr>
              <w:t>99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 w:rsidRPr="00A253EA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A253EA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253EA">
              <w:rPr>
                <w:rFonts w:ascii="Fira Sans" w:hAnsi="Fira Sans" w:cs="Arial"/>
                <w:sz w:val="16"/>
                <w:szCs w:val="16"/>
              </w:rPr>
              <w:t>101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 w:rsidRPr="00A253EA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0A33A8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537E7D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82746B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5408B1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E97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4656E0" w:rsidRDefault="00513E97" w:rsidP="00513E9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Cows’ milk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7C5F30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E47093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13E97" w:rsidRPr="00371C64" w:rsidRDefault="00513E97" w:rsidP="00513E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</w:t>
            </w:r>
            <w:r w:rsidR="00316D71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E97" w:rsidRPr="00BA24FC" w:rsidRDefault="00513E97" w:rsidP="00513E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No data due to the </w:t>
      </w:r>
      <w:r w:rsidR="00B7424B">
        <w:rPr>
          <w:rFonts w:ascii="Fira Sans" w:hAnsi="Fira Sans"/>
          <w:spacing w:val="-4"/>
          <w:sz w:val="16"/>
          <w:szCs w:val="16"/>
          <w:lang w:val="en-US"/>
        </w:rPr>
        <w:t xml:space="preserve">valid 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decision to close the marketplaces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because of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9D059F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:rsidR="00D770E1" w:rsidRDefault="00D770E1" w:rsidP="005B10FD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8D0B81" w:rsidRDefault="008D0B8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November 2020 procurement prices of </w:t>
      </w:r>
      <w:r w:rsidRPr="00EB2DA3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(82.30 PLN</w:t>
      </w:r>
      <w:r w:rsidR="00E44E82">
        <w:rPr>
          <w:rFonts w:ascii="Fira Sans" w:hAnsi="Fira Sans"/>
          <w:sz w:val="19"/>
          <w:szCs w:val="18"/>
          <w:lang w:val="en-US"/>
        </w:rPr>
        <w:t xml:space="preserve"> per </w:t>
      </w:r>
      <w:r>
        <w:rPr>
          <w:rFonts w:ascii="Fira Sans" w:hAnsi="Fira Sans"/>
          <w:sz w:val="19"/>
          <w:szCs w:val="18"/>
          <w:lang w:val="en-US"/>
        </w:rPr>
        <w:t>dt) were higher both in relation to the previous month and in</w:t>
      </w:r>
      <w:r w:rsidR="006508B3">
        <w:rPr>
          <w:rFonts w:ascii="Fira Sans" w:hAnsi="Fira Sans"/>
          <w:sz w:val="19"/>
          <w:szCs w:val="18"/>
          <w:lang w:val="en-US"/>
        </w:rPr>
        <w:t xml:space="preserve"> an </w:t>
      </w:r>
      <w:r>
        <w:rPr>
          <w:rFonts w:ascii="Fira Sans" w:hAnsi="Fira Sans"/>
          <w:sz w:val="19"/>
          <w:szCs w:val="18"/>
          <w:lang w:val="en-US"/>
        </w:rPr>
        <w:t xml:space="preserve">annual terms - </w:t>
      </w:r>
      <w:r>
        <w:rPr>
          <w:rFonts w:ascii="Fira Sans" w:hAnsi="Fira Sans"/>
          <w:sz w:val="19"/>
          <w:lang w:val="en-US"/>
        </w:rPr>
        <w:t xml:space="preserve">respectively by 7.7% and by 20.5%. </w:t>
      </w:r>
    </w:p>
    <w:p w:rsidR="00E97A14" w:rsidRDefault="002524DE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82550</wp:posOffset>
                </wp:positionV>
                <wp:extent cx="1329690" cy="1619250"/>
                <wp:effectExtent l="0" t="0" r="0" b="0"/>
                <wp:wrapTight wrapText="bothSides">
                  <wp:wrapPolygon edited="0">
                    <wp:start x="928" y="0"/>
                    <wp:lineTo x="928" y="21346"/>
                    <wp:lineTo x="20424" y="21346"/>
                    <wp:lineTo x="20424" y="0"/>
                    <wp:lineTo x="928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03" w:rsidRPr="00661C39" w:rsidRDefault="00031A03" w:rsidP="00031A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524D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November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this year both as related to </w:t>
                            </w:r>
                            <w:r w:rsidR="002524D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 and to the corresponding month of the previous year prices of potatoes</w:t>
                            </w:r>
                            <w:r w:rsidR="00E44E8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pigs for slaughter</w:t>
                            </w:r>
                            <w:r w:rsidR="00391D2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poul</w:t>
                            </w:r>
                            <w:r w:rsidR="006948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try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decreased </w:t>
                            </w:r>
                          </w:p>
                          <w:p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42.5pt;margin-top:6.5pt;width:104.7pt;height:127.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" filled="f" stroked="f">
                <v:textbox>
                  <w:txbxContent>
                    <w:p w:rsidR="00031A03" w:rsidRPr="00661C39" w:rsidRDefault="00031A03" w:rsidP="00031A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524D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November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this year both as related to </w:t>
                      </w:r>
                      <w:r w:rsidR="002524D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 and to the corresponding month of the previous year prices of potatoes</w:t>
                      </w:r>
                      <w:r w:rsidR="00E44E8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pigs for slaughter</w:t>
                      </w:r>
                      <w:r w:rsidR="00391D2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poul</w:t>
                      </w:r>
                      <w:r w:rsidR="006948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try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decreased </w:t>
                      </w:r>
                    </w:p>
                    <w:p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97A14">
        <w:rPr>
          <w:rFonts w:ascii="Fira Sans" w:hAnsi="Fira Sans"/>
          <w:sz w:val="19"/>
          <w:lang w:val="en-US"/>
        </w:rPr>
        <w:t xml:space="preserve">For </w:t>
      </w:r>
      <w:r w:rsidR="00E97A14"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5470C" w:rsidRPr="0025470C">
        <w:rPr>
          <w:rFonts w:ascii="Fira Sans" w:hAnsi="Fira Sans"/>
          <w:sz w:val="19"/>
          <w:szCs w:val="18"/>
          <w:lang w:val="en-US"/>
        </w:rPr>
        <w:t>in procurement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E0CA5">
        <w:rPr>
          <w:rFonts w:ascii="Fira Sans" w:hAnsi="Fira Sans"/>
          <w:sz w:val="19"/>
          <w:lang w:val="en-US"/>
        </w:rPr>
        <w:t>were</w:t>
      </w:r>
      <w:r w:rsidR="002E0CA5" w:rsidRPr="00661C39">
        <w:rPr>
          <w:rFonts w:ascii="Fira Sans" w:hAnsi="Fira Sans"/>
          <w:sz w:val="19"/>
          <w:lang w:val="en-US"/>
        </w:rPr>
        <w:t xml:space="preserve"> paid</w:t>
      </w:r>
      <w:r w:rsidR="002E0CA5">
        <w:rPr>
          <w:rFonts w:ascii="Fira Sans" w:hAnsi="Fira Sans"/>
          <w:sz w:val="19"/>
          <w:lang w:val="en-US"/>
        </w:rPr>
        <w:t xml:space="preserve"> 59.88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2E0CA5">
        <w:rPr>
          <w:rFonts w:ascii="Fira Sans" w:hAnsi="Fira Sans"/>
          <w:sz w:val="19"/>
          <w:lang w:val="en-US"/>
        </w:rPr>
        <w:t>dt, i.e. by 0.6% less than in October this year, but by 10.2% more in comparison with corresponding month of the previous year.</w:t>
      </w:r>
    </w:p>
    <w:p w:rsidR="00635CF7" w:rsidRDefault="00D76589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November 2020 </w:t>
      </w:r>
      <w:r w:rsidR="00635CF7">
        <w:rPr>
          <w:rFonts w:ascii="Fira Sans" w:hAnsi="Fira Sans"/>
          <w:sz w:val="19"/>
          <w:lang w:val="en-US"/>
        </w:rPr>
        <w:t xml:space="preserve">the </w:t>
      </w:r>
      <w:r>
        <w:rPr>
          <w:rFonts w:ascii="Fira Sans" w:hAnsi="Fira Sans"/>
          <w:sz w:val="19"/>
          <w:lang w:val="en-US"/>
        </w:rPr>
        <w:t xml:space="preserve">price of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 xml:space="preserve">in procurement 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amounted</w:t>
      </w:r>
      <w:r w:rsidR="00EE095C">
        <w:rPr>
          <w:rFonts w:ascii="Fira Sans" w:hAnsi="Fira Sans"/>
          <w:sz w:val="19"/>
          <w:lang w:val="en-US"/>
        </w:rPr>
        <w:t xml:space="preserve"> to </w:t>
      </w:r>
      <w:r w:rsidR="00F55C9E">
        <w:rPr>
          <w:rFonts w:ascii="Fira Sans" w:hAnsi="Fira Sans"/>
          <w:sz w:val="19"/>
          <w:lang w:val="en-US"/>
        </w:rPr>
        <w:t xml:space="preserve"> on average</w:t>
      </w:r>
      <w:r>
        <w:rPr>
          <w:rFonts w:ascii="Fira Sans" w:hAnsi="Fira Sans"/>
          <w:sz w:val="19"/>
          <w:lang w:val="en-US"/>
        </w:rPr>
        <w:t xml:space="preserve"> </w:t>
      </w:r>
      <w:r w:rsidR="00587877">
        <w:rPr>
          <w:rFonts w:ascii="Fira Sans" w:hAnsi="Fira Sans"/>
          <w:sz w:val="19"/>
          <w:lang w:val="en-US"/>
        </w:rPr>
        <w:t>30</w:t>
      </w:r>
      <w:r w:rsidR="00A7781D">
        <w:rPr>
          <w:rFonts w:ascii="Fira Sans" w:hAnsi="Fira Sans"/>
          <w:sz w:val="19"/>
          <w:lang w:val="en-US"/>
        </w:rPr>
        <w:t>.</w:t>
      </w:r>
      <w:r w:rsidR="00587877">
        <w:rPr>
          <w:rFonts w:ascii="Fira Sans" w:hAnsi="Fira Sans"/>
          <w:sz w:val="19"/>
          <w:lang w:val="en-US"/>
        </w:rPr>
        <w:t>67</w:t>
      </w:r>
      <w:r w:rsidR="0051442B" w:rsidRPr="00661C39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dt</w:t>
      </w:r>
      <w:r>
        <w:rPr>
          <w:rFonts w:ascii="Fira Sans" w:hAnsi="Fira Sans"/>
          <w:sz w:val="19"/>
          <w:lang w:val="en-US"/>
        </w:rPr>
        <w:t xml:space="preserve">. </w:t>
      </w:r>
      <w:r w:rsidR="00635CF7">
        <w:rPr>
          <w:rFonts w:ascii="Fira Sans" w:hAnsi="Fira Sans"/>
          <w:sz w:val="19"/>
          <w:lang w:val="en-US"/>
        </w:rPr>
        <w:t>On a monthly basis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>the fall in prices by 1.1% was recorded and in annual terms – by 22.8%.</w:t>
      </w:r>
    </w:p>
    <w:p w:rsidR="003E47A5" w:rsidRPr="00A02323" w:rsidRDefault="00AD797D" w:rsidP="003E47A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 of </w:t>
      </w:r>
      <w:r>
        <w:rPr>
          <w:rFonts w:ascii="Fira Sans" w:hAnsi="Fira Sans"/>
          <w:b/>
          <w:sz w:val="19"/>
          <w:lang w:val="en-US"/>
        </w:rPr>
        <w:t>cattle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was</w:t>
      </w:r>
      <w:r w:rsidRPr="00661C39">
        <w:rPr>
          <w:rFonts w:ascii="Fira Sans" w:hAnsi="Fira Sans"/>
          <w:sz w:val="19"/>
          <w:lang w:val="en-US"/>
        </w:rPr>
        <w:t xml:space="preserve"> at the level of </w:t>
      </w:r>
      <w:r>
        <w:rPr>
          <w:rFonts w:ascii="Fira Sans" w:hAnsi="Fira Sans"/>
          <w:sz w:val="19"/>
          <w:lang w:val="en-US"/>
        </w:rPr>
        <w:t>6</w:t>
      </w:r>
      <w:r w:rsidRPr="00661C39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40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 and </w:t>
      </w:r>
      <w:r w:rsidR="003E47A5">
        <w:rPr>
          <w:rFonts w:ascii="Fira Sans" w:hAnsi="Fira Sans"/>
          <w:sz w:val="19"/>
          <w:lang w:val="en-US"/>
        </w:rPr>
        <w:t>was</w:t>
      </w:r>
      <w:r>
        <w:rPr>
          <w:rFonts w:ascii="Fira Sans" w:hAnsi="Fira Sans"/>
          <w:sz w:val="19"/>
          <w:lang w:val="en-US"/>
        </w:rPr>
        <w:t xml:space="preserve"> lower by 0.7% than in October 2020 but </w:t>
      </w:r>
      <w:r w:rsidR="003E47A5">
        <w:rPr>
          <w:rFonts w:ascii="Fira Sans" w:hAnsi="Fira Sans"/>
          <w:sz w:val="19"/>
          <w:lang w:val="en-US"/>
        </w:rPr>
        <w:t xml:space="preserve">was higher </w:t>
      </w:r>
      <w:r w:rsidR="003E47A5" w:rsidRPr="00674B36">
        <w:rPr>
          <w:rFonts w:ascii="Fira Sans" w:hAnsi="Fira Sans"/>
          <w:sz w:val="19"/>
          <w:lang w:val="en-US"/>
        </w:rPr>
        <w:t xml:space="preserve">in comparison with </w:t>
      </w:r>
      <w:r w:rsidR="003E47A5">
        <w:rPr>
          <w:rFonts w:ascii="Fira Sans" w:hAnsi="Fira Sans"/>
          <w:sz w:val="19"/>
          <w:lang w:val="en-US"/>
        </w:rPr>
        <w:t>November 2019</w:t>
      </w:r>
      <w:r w:rsidR="000B39A7">
        <w:rPr>
          <w:rFonts w:ascii="Fira Sans" w:hAnsi="Fira Sans"/>
          <w:sz w:val="19"/>
          <w:lang w:val="en-US"/>
        </w:rPr>
        <w:t xml:space="preserve"> - by 1.0%</w:t>
      </w:r>
    </w:p>
    <w:p w:rsidR="00085645" w:rsidRDefault="00085645" w:rsidP="0008564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November </w:t>
      </w:r>
      <w:r w:rsidR="00E44E82">
        <w:rPr>
          <w:rFonts w:ascii="Fira Sans" w:hAnsi="Fira Sans"/>
          <w:sz w:val="19"/>
          <w:lang w:val="en-US"/>
        </w:rPr>
        <w:t xml:space="preserve">2020 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price of </w:t>
      </w:r>
      <w:r>
        <w:rPr>
          <w:rFonts w:ascii="Fira Sans" w:hAnsi="Fira Sans"/>
          <w:b/>
          <w:sz w:val="19"/>
          <w:lang w:val="en-US"/>
        </w:rPr>
        <w:t>pigs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>
        <w:rPr>
          <w:rFonts w:ascii="Fira Sans" w:hAnsi="Fira Sans"/>
          <w:sz w:val="19"/>
          <w:lang w:val="en-US"/>
        </w:rPr>
        <w:t>4</w:t>
      </w:r>
      <w:r w:rsidRPr="00661C39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 xml:space="preserve">18 </w:t>
      </w:r>
      <w:r w:rsidRPr="00661C39"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kg) </w:t>
      </w:r>
      <w:r>
        <w:rPr>
          <w:rFonts w:ascii="Fira Sans" w:hAnsi="Fira Sans"/>
          <w:sz w:val="19"/>
          <w:lang w:val="en-US"/>
        </w:rPr>
        <w:t>decreased</w:t>
      </w:r>
      <w:r w:rsidR="007A0AF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 xml:space="preserve">on a monthly basis </w:t>
      </w:r>
      <w:r w:rsidR="007A0AF1">
        <w:rPr>
          <w:rFonts w:ascii="Fira Sans" w:hAnsi="Fira Sans"/>
          <w:sz w:val="19"/>
          <w:lang w:val="en-US"/>
        </w:rPr>
        <w:t>(</w:t>
      </w:r>
      <w:r>
        <w:rPr>
          <w:rFonts w:ascii="Fira Sans" w:hAnsi="Fira Sans"/>
          <w:sz w:val="19"/>
          <w:lang w:val="en-US"/>
        </w:rPr>
        <w:t xml:space="preserve">by </w:t>
      </w:r>
      <w:r w:rsidR="007A0AF1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7A0AF1">
        <w:rPr>
          <w:rFonts w:ascii="Fira Sans" w:hAnsi="Fira Sans"/>
          <w:sz w:val="19"/>
          <w:lang w:val="en-US"/>
        </w:rPr>
        <w:t>3</w:t>
      </w:r>
      <w:r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 </w:t>
      </w:r>
      <w:r w:rsidR="007A0AF1">
        <w:rPr>
          <w:rFonts w:ascii="Fira Sans" w:hAnsi="Fira Sans"/>
          <w:sz w:val="19"/>
          <w:lang w:val="en-US"/>
        </w:rPr>
        <w:t>as well as</w:t>
      </w:r>
      <w:r>
        <w:rPr>
          <w:rFonts w:ascii="Fira Sans" w:hAnsi="Fira Sans"/>
          <w:sz w:val="19"/>
          <w:lang w:val="en-US"/>
        </w:rPr>
        <w:t xml:space="preserve"> on an annual basis </w:t>
      </w:r>
      <w:r w:rsidR="007A0AF1">
        <w:rPr>
          <w:rFonts w:ascii="Fira Sans" w:hAnsi="Fira Sans"/>
          <w:sz w:val="19"/>
          <w:lang w:val="en-US"/>
        </w:rPr>
        <w:t>(</w:t>
      </w:r>
      <w:r w:rsidRPr="00661C39">
        <w:rPr>
          <w:rFonts w:ascii="Fira Sans" w:hAnsi="Fira Sans"/>
          <w:sz w:val="19"/>
          <w:lang w:val="en-US"/>
        </w:rPr>
        <w:t>by</w:t>
      </w:r>
      <w:r>
        <w:rPr>
          <w:rFonts w:ascii="Fira Sans" w:hAnsi="Fira Sans"/>
          <w:sz w:val="19"/>
          <w:lang w:val="en-US"/>
        </w:rPr>
        <w:t xml:space="preserve"> </w:t>
      </w:r>
      <w:r w:rsidR="00EC6CFA">
        <w:rPr>
          <w:rFonts w:ascii="Fira Sans" w:hAnsi="Fira Sans"/>
          <w:sz w:val="19"/>
          <w:lang w:val="en-US"/>
        </w:rPr>
        <w:t>28</w:t>
      </w:r>
      <w:r w:rsidRPr="00661C39">
        <w:rPr>
          <w:rFonts w:ascii="Fira Sans" w:hAnsi="Fira Sans"/>
          <w:sz w:val="19"/>
          <w:lang w:val="en-US"/>
        </w:rPr>
        <w:t>.</w:t>
      </w:r>
      <w:r w:rsidR="00EC6CFA">
        <w:rPr>
          <w:rFonts w:ascii="Fira Sans" w:hAnsi="Fira Sans"/>
          <w:sz w:val="19"/>
          <w:lang w:val="en-US"/>
        </w:rPr>
        <w:t>8</w:t>
      </w:r>
      <w:r w:rsidRPr="00661C39"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>.</w:t>
      </w:r>
      <w:r w:rsidRPr="00661C39">
        <w:rPr>
          <w:rFonts w:ascii="Fira Sans" w:hAnsi="Fira Sans"/>
          <w:sz w:val="19"/>
          <w:lang w:val="en-US"/>
        </w:rPr>
        <w:t xml:space="preserve"> </w:t>
      </w:r>
    </w:p>
    <w:p w:rsidR="00A92B92" w:rsidRPr="00A92B92" w:rsidRDefault="00A92B92" w:rsidP="00A92B92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A92B92">
        <w:rPr>
          <w:rFonts w:ascii="Fira Sans" w:hAnsi="Fira Sans"/>
          <w:sz w:val="19"/>
          <w:lang w:val="en-US"/>
        </w:rPr>
        <w:t xml:space="preserve">Procurement price of </w:t>
      </w:r>
      <w:r w:rsidRPr="00A92B92">
        <w:rPr>
          <w:rFonts w:ascii="Fira Sans" w:hAnsi="Fira Sans"/>
          <w:b/>
          <w:sz w:val="19"/>
          <w:lang w:val="en-US"/>
        </w:rPr>
        <w:t xml:space="preserve">poultry for slaughter </w:t>
      </w:r>
      <w:r w:rsidRPr="00A92B92">
        <w:rPr>
          <w:rFonts w:ascii="Fira Sans" w:hAnsi="Fira Sans"/>
          <w:sz w:val="19"/>
          <w:lang w:val="en-US"/>
        </w:rPr>
        <w:t xml:space="preserve">on a monthly basis dropped by </w:t>
      </w:r>
      <w:r>
        <w:rPr>
          <w:rFonts w:ascii="Fira Sans" w:hAnsi="Fira Sans"/>
          <w:sz w:val="19"/>
          <w:lang w:val="en-US"/>
        </w:rPr>
        <w:t>3</w:t>
      </w:r>
      <w:r w:rsidRPr="00A92B92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3</w:t>
      </w:r>
      <w:r w:rsidRPr="00A92B92">
        <w:rPr>
          <w:rFonts w:ascii="Fira Sans" w:hAnsi="Fira Sans"/>
          <w:sz w:val="19"/>
          <w:lang w:val="en-US"/>
        </w:rPr>
        <w:t>% to the level 3.</w:t>
      </w:r>
      <w:r>
        <w:rPr>
          <w:rFonts w:ascii="Fira Sans" w:hAnsi="Fira Sans"/>
          <w:sz w:val="19"/>
          <w:lang w:val="en-US"/>
        </w:rPr>
        <w:t>36</w:t>
      </w:r>
      <w:r w:rsidRPr="00A92B92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</w:t>
      </w:r>
      <w:r w:rsidRPr="00A92B92">
        <w:rPr>
          <w:rFonts w:ascii="Fira Sans" w:hAnsi="Fira Sans"/>
          <w:sz w:val="19"/>
          <w:lang w:val="en-US"/>
        </w:rPr>
        <w:t xml:space="preserve">per kg and </w:t>
      </w:r>
      <w:r w:rsidR="005C4FCE">
        <w:rPr>
          <w:rFonts w:ascii="Fira Sans" w:hAnsi="Fira Sans"/>
          <w:sz w:val="19"/>
          <w:lang w:val="en-US"/>
        </w:rPr>
        <w:t>as related to</w:t>
      </w:r>
      <w:r w:rsidRPr="00A92B92">
        <w:rPr>
          <w:rFonts w:ascii="Fira Sans" w:hAnsi="Fira Sans"/>
          <w:sz w:val="19"/>
          <w:lang w:val="en-US"/>
        </w:rPr>
        <w:t xml:space="preserve"> the corresponding month of the last year</w:t>
      </w:r>
      <w:r w:rsidR="00113FF1">
        <w:rPr>
          <w:rFonts w:ascii="Fira Sans" w:hAnsi="Fira Sans"/>
          <w:sz w:val="19"/>
          <w:lang w:val="en-US"/>
        </w:rPr>
        <w:t xml:space="preserve"> – by 11.2%.</w:t>
      </w:r>
    </w:p>
    <w:p w:rsidR="00D84472" w:rsidRDefault="00486FBD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sz w:val="19"/>
          <w:lang w:val="en-US"/>
        </w:rPr>
        <w:t xml:space="preserve">In November 2020 149.98 PLN was paid </w:t>
      </w:r>
      <w:r w:rsidR="00E44E82">
        <w:rPr>
          <w:rFonts w:ascii="Fira Sans" w:hAnsi="Fira Sans"/>
          <w:sz w:val="19"/>
          <w:lang w:val="en-US"/>
        </w:rPr>
        <w:t xml:space="preserve">per </w:t>
      </w:r>
      <w:r>
        <w:rPr>
          <w:rFonts w:ascii="Fira Sans" w:hAnsi="Fira Sans"/>
          <w:sz w:val="19"/>
          <w:lang w:val="en-US"/>
        </w:rPr>
        <w:t>1 hl of</w:t>
      </w:r>
      <w:r w:rsidR="00EE095C">
        <w:rPr>
          <w:rFonts w:ascii="Fira Sans" w:hAnsi="Fira Sans"/>
          <w:sz w:val="19"/>
          <w:lang w:val="en-US"/>
        </w:rPr>
        <w:t xml:space="preserve"> </w:t>
      </w:r>
      <w:r w:rsidR="00EE095C" w:rsidRPr="00965B0A">
        <w:rPr>
          <w:rFonts w:ascii="Fira Sans" w:hAnsi="Fira Sans"/>
          <w:b/>
          <w:sz w:val="19"/>
          <w:lang w:val="en-US"/>
        </w:rPr>
        <w:t>cows’</w:t>
      </w:r>
      <w:r>
        <w:rPr>
          <w:rFonts w:ascii="Fira Sans" w:hAnsi="Fira Sans"/>
          <w:sz w:val="19"/>
          <w:lang w:val="en-US"/>
        </w:rPr>
        <w:t xml:space="preserve"> </w:t>
      </w:r>
      <w:r w:rsidRPr="00D16EF1">
        <w:rPr>
          <w:rFonts w:ascii="Fira Sans" w:hAnsi="Fira Sans"/>
          <w:b/>
          <w:sz w:val="19"/>
          <w:lang w:val="en-US"/>
        </w:rPr>
        <w:t>milk</w:t>
      </w:r>
      <w:r w:rsidR="007F07B0">
        <w:rPr>
          <w:rFonts w:ascii="Fira Sans" w:hAnsi="Fira Sans"/>
          <w:b/>
          <w:sz w:val="19"/>
          <w:lang w:val="en-US"/>
        </w:rPr>
        <w:t xml:space="preserve"> </w:t>
      </w:r>
      <w:r w:rsidR="007F07B0" w:rsidRPr="007F07B0">
        <w:rPr>
          <w:rFonts w:ascii="Fira Sans" w:hAnsi="Fira Sans"/>
          <w:sz w:val="19"/>
          <w:lang w:val="en-US"/>
        </w:rPr>
        <w:t>in procurement</w:t>
      </w:r>
      <w:r>
        <w:rPr>
          <w:rFonts w:ascii="Fira Sans" w:hAnsi="Fira Sans"/>
          <w:sz w:val="19"/>
          <w:lang w:val="en-US"/>
        </w:rPr>
        <w:t xml:space="preserve"> i.e more </w:t>
      </w:r>
      <w:r w:rsidR="00F74656" w:rsidRPr="001E0B3C">
        <w:rPr>
          <w:rFonts w:ascii="Fira Sans" w:hAnsi="Fira Sans"/>
          <w:sz w:val="19"/>
          <w:lang w:val="en-US"/>
        </w:rPr>
        <w:t xml:space="preserve">in comparison with </w:t>
      </w:r>
      <w:r w:rsidR="00F74656">
        <w:rPr>
          <w:rFonts w:ascii="Fira Sans" w:hAnsi="Fira Sans"/>
          <w:sz w:val="19"/>
          <w:lang w:val="en-US"/>
        </w:rPr>
        <w:t xml:space="preserve">the </w:t>
      </w:r>
      <w:r w:rsidR="00F74656" w:rsidRPr="001E0B3C">
        <w:rPr>
          <w:rFonts w:ascii="Fira Sans" w:hAnsi="Fira Sans"/>
          <w:sz w:val="19"/>
          <w:lang w:val="en-US"/>
        </w:rPr>
        <w:t xml:space="preserve">previous month (by </w:t>
      </w:r>
      <w:r w:rsidR="00F74656">
        <w:rPr>
          <w:rFonts w:ascii="Fira Sans" w:hAnsi="Fira Sans"/>
          <w:sz w:val="19"/>
          <w:lang w:val="en-US"/>
        </w:rPr>
        <w:t>3</w:t>
      </w:r>
      <w:r w:rsidR="00F74656" w:rsidRPr="001E0B3C">
        <w:rPr>
          <w:rFonts w:ascii="Fira Sans" w:hAnsi="Fira Sans"/>
          <w:sz w:val="19"/>
          <w:lang w:val="en-US"/>
        </w:rPr>
        <w:t xml:space="preserve">.7%) as well as with </w:t>
      </w:r>
      <w:r w:rsidR="00F74656">
        <w:rPr>
          <w:rFonts w:ascii="Fira Sans" w:hAnsi="Fira Sans"/>
          <w:sz w:val="19"/>
          <w:lang w:val="en-US"/>
        </w:rPr>
        <w:t>November</w:t>
      </w:r>
      <w:r w:rsidR="00F74656" w:rsidRPr="001E0B3C">
        <w:rPr>
          <w:rFonts w:ascii="Fira Sans" w:hAnsi="Fira Sans"/>
          <w:sz w:val="19"/>
          <w:lang w:val="en-US"/>
        </w:rPr>
        <w:t xml:space="preserve"> last year (by </w:t>
      </w:r>
      <w:r w:rsidR="00F74656">
        <w:rPr>
          <w:rFonts w:ascii="Fira Sans" w:hAnsi="Fira Sans"/>
          <w:sz w:val="19"/>
          <w:lang w:val="en-US"/>
        </w:rPr>
        <w:t>8</w:t>
      </w:r>
      <w:r w:rsidR="001223EE">
        <w:rPr>
          <w:rFonts w:ascii="Fira Sans" w:hAnsi="Fira Sans"/>
          <w:sz w:val="19"/>
          <w:lang w:val="en-US"/>
        </w:rPr>
        <w:t>.5</w:t>
      </w:r>
      <w:r w:rsidR="00F74656" w:rsidRPr="001E0B3C">
        <w:rPr>
          <w:rFonts w:ascii="Fira Sans" w:hAnsi="Fira Sans"/>
          <w:sz w:val="19"/>
          <w:lang w:val="en-US"/>
        </w:rPr>
        <w:t>%).</w:t>
      </w:r>
    </w:p>
    <w:p w:rsidR="009F0ECC" w:rsidRDefault="009F0ECC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5F2B06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0CB74146" wp14:editId="55734865">
            <wp:extent cx="5122545" cy="2990850"/>
            <wp:effectExtent l="0" t="0" r="1905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A23FCB" w:rsidRDefault="00A23FC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C55BC6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E17267B" wp14:editId="73CBEFB8">
            <wp:extent cx="5122545" cy="3514725"/>
            <wp:effectExtent l="0" t="0" r="1905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0615F6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D3563B" w:rsidRDefault="00D3563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8784D" w:rsidRDefault="00B8784D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lastRenderedPageBreak/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897571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6738DC3" wp14:editId="4E63D42C">
            <wp:extent cx="4991100" cy="3209925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A44482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64286019" wp14:editId="0090DF8D">
            <wp:extent cx="5122545" cy="3238500"/>
            <wp:effectExtent l="0" t="0" r="1905" b="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1BB3" w:rsidRDefault="00391BB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</w:p>
    <w:p w:rsidR="00506FBD" w:rsidRDefault="00506FBD" w:rsidP="0046678C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:rsidR="00A87B6A" w:rsidRPr="000F45BD" w:rsidRDefault="00A87B6A" w:rsidP="0046678C">
      <w:pPr>
        <w:pStyle w:val="tytuwykresu"/>
        <w:spacing w:before="40"/>
        <w:rPr>
          <w:rFonts w:cs="Arial"/>
          <w:color w:val="000000"/>
          <w:sz w:val="20"/>
          <w:lang w:val="en-US"/>
        </w:rPr>
        <w:sectPr w:rsidR="00A87B6A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661C3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Departament</w:t>
            </w:r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Spokesperon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r w:rsidR="0084287F">
              <w:rPr>
                <w:rFonts w:ascii="Fira Sans" w:hAnsi="Fira Sans"/>
                <w:sz w:val="20"/>
              </w:rPr>
              <w:t>StatPoland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4B0FAE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Information on the socio-economic situation of the country in 20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4B0FAE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201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4B0FAE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2014-2018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4B0FAE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4B0FAE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4B0FA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4B0FA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 prices</w:t>
                              </w:r>
                            </w:hyperlink>
                          </w:p>
                          <w:p w:rsidR="00713967" w:rsidRPr="00B94304" w:rsidRDefault="004B0FA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4B0FA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prices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F2468F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Information on the socio-economic situation of the country in 20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F2468F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201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F2468F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2014-2018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F2468F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F2468F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F2468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F2468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F2468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F2468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2"/>
      <w:headerReference w:type="first" r:id="rId4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AE" w:rsidRDefault="004B0FAE" w:rsidP="000662E2">
      <w:pPr>
        <w:spacing w:after="0" w:line="240" w:lineRule="auto"/>
      </w:pPr>
      <w:r>
        <w:separator/>
      </w:r>
    </w:p>
  </w:endnote>
  <w:endnote w:type="continuationSeparator" w:id="0">
    <w:p w:rsidR="004B0FAE" w:rsidRDefault="004B0F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C11BE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C11BE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AE" w:rsidRDefault="004B0FAE" w:rsidP="000662E2">
      <w:pPr>
        <w:spacing w:after="0" w:line="240" w:lineRule="auto"/>
      </w:pPr>
      <w:r>
        <w:separator/>
      </w:r>
    </w:p>
  </w:footnote>
  <w:footnote w:type="continuationSeparator" w:id="0">
    <w:p w:rsidR="004B0FAE" w:rsidRDefault="004B0FAE" w:rsidP="000662E2">
      <w:pPr>
        <w:spacing w:after="0" w:line="240" w:lineRule="auto"/>
      </w:pPr>
      <w:r>
        <w:continuationSeparator/>
      </w:r>
    </w:p>
  </w:footnote>
  <w:footnote w:id="1">
    <w:p w:rsidR="00BE4579" w:rsidRPr="00661C39" w:rsidRDefault="00BE4579" w:rsidP="00BE4579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2762"/>
    <w:rsid w:val="00003437"/>
    <w:rsid w:val="00003531"/>
    <w:rsid w:val="00003C9C"/>
    <w:rsid w:val="0000454C"/>
    <w:rsid w:val="000054E3"/>
    <w:rsid w:val="000055E7"/>
    <w:rsid w:val="0000560B"/>
    <w:rsid w:val="0000668B"/>
    <w:rsid w:val="00006690"/>
    <w:rsid w:val="00006A05"/>
    <w:rsid w:val="0000709F"/>
    <w:rsid w:val="00007526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25"/>
    <w:rsid w:val="000152F5"/>
    <w:rsid w:val="00015664"/>
    <w:rsid w:val="00015F80"/>
    <w:rsid w:val="00017AE5"/>
    <w:rsid w:val="00020239"/>
    <w:rsid w:val="0002066A"/>
    <w:rsid w:val="00020DDD"/>
    <w:rsid w:val="0002303D"/>
    <w:rsid w:val="0002385D"/>
    <w:rsid w:val="000240AE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1A03"/>
    <w:rsid w:val="00032E2D"/>
    <w:rsid w:val="00032FB4"/>
    <w:rsid w:val="00033484"/>
    <w:rsid w:val="00033D83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B1C"/>
    <w:rsid w:val="00057A85"/>
    <w:rsid w:val="00057CA1"/>
    <w:rsid w:val="00060730"/>
    <w:rsid w:val="00060BE6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D3E"/>
    <w:rsid w:val="00065F0B"/>
    <w:rsid w:val="00065F11"/>
    <w:rsid w:val="0006609E"/>
    <w:rsid w:val="000662E2"/>
    <w:rsid w:val="000664CD"/>
    <w:rsid w:val="00066883"/>
    <w:rsid w:val="00066D6F"/>
    <w:rsid w:val="00066DF3"/>
    <w:rsid w:val="00071592"/>
    <w:rsid w:val="00071652"/>
    <w:rsid w:val="00071959"/>
    <w:rsid w:val="00071C6F"/>
    <w:rsid w:val="000723BA"/>
    <w:rsid w:val="00072C7C"/>
    <w:rsid w:val="000740C0"/>
    <w:rsid w:val="000744C0"/>
    <w:rsid w:val="00075BE3"/>
    <w:rsid w:val="00075F18"/>
    <w:rsid w:val="0007647F"/>
    <w:rsid w:val="00077C73"/>
    <w:rsid w:val="00077D0A"/>
    <w:rsid w:val="000806F7"/>
    <w:rsid w:val="00082265"/>
    <w:rsid w:val="00082865"/>
    <w:rsid w:val="00082A1A"/>
    <w:rsid w:val="00082E3E"/>
    <w:rsid w:val="000833A1"/>
    <w:rsid w:val="00083D81"/>
    <w:rsid w:val="0008459C"/>
    <w:rsid w:val="00084AFB"/>
    <w:rsid w:val="00084E1C"/>
    <w:rsid w:val="0008542E"/>
    <w:rsid w:val="00085645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0D8"/>
    <w:rsid w:val="00093582"/>
    <w:rsid w:val="00093BF6"/>
    <w:rsid w:val="00094684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97E79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013"/>
    <w:rsid w:val="000A3A62"/>
    <w:rsid w:val="000A463C"/>
    <w:rsid w:val="000A4C6C"/>
    <w:rsid w:val="000A56DC"/>
    <w:rsid w:val="000A5CA7"/>
    <w:rsid w:val="000A62D8"/>
    <w:rsid w:val="000A642B"/>
    <w:rsid w:val="000A6D2A"/>
    <w:rsid w:val="000A7C99"/>
    <w:rsid w:val="000B04C5"/>
    <w:rsid w:val="000B0727"/>
    <w:rsid w:val="000B08BA"/>
    <w:rsid w:val="000B1C57"/>
    <w:rsid w:val="000B2A6F"/>
    <w:rsid w:val="000B39A7"/>
    <w:rsid w:val="000B4137"/>
    <w:rsid w:val="000B47B4"/>
    <w:rsid w:val="000B5193"/>
    <w:rsid w:val="000B54C0"/>
    <w:rsid w:val="000B5A17"/>
    <w:rsid w:val="000B691F"/>
    <w:rsid w:val="000B6AB6"/>
    <w:rsid w:val="000B6BF0"/>
    <w:rsid w:val="000B75B7"/>
    <w:rsid w:val="000B773F"/>
    <w:rsid w:val="000B7911"/>
    <w:rsid w:val="000B7B6C"/>
    <w:rsid w:val="000C001F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E00A2"/>
    <w:rsid w:val="000E05CA"/>
    <w:rsid w:val="000E0918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73D"/>
    <w:rsid w:val="000F0944"/>
    <w:rsid w:val="000F0C6A"/>
    <w:rsid w:val="000F11C3"/>
    <w:rsid w:val="000F17D8"/>
    <w:rsid w:val="000F1DF0"/>
    <w:rsid w:val="000F1F10"/>
    <w:rsid w:val="000F2BAF"/>
    <w:rsid w:val="000F2E5E"/>
    <w:rsid w:val="000F3964"/>
    <w:rsid w:val="000F3CA1"/>
    <w:rsid w:val="000F4482"/>
    <w:rsid w:val="000F45BD"/>
    <w:rsid w:val="000F4A02"/>
    <w:rsid w:val="000F523E"/>
    <w:rsid w:val="000F5A18"/>
    <w:rsid w:val="000F5E76"/>
    <w:rsid w:val="000F6141"/>
    <w:rsid w:val="000F647B"/>
    <w:rsid w:val="000F78B6"/>
    <w:rsid w:val="000F7F34"/>
    <w:rsid w:val="001005FB"/>
    <w:rsid w:val="00100B9F"/>
    <w:rsid w:val="001011C3"/>
    <w:rsid w:val="001018E2"/>
    <w:rsid w:val="00101D99"/>
    <w:rsid w:val="00102047"/>
    <w:rsid w:val="001028A7"/>
    <w:rsid w:val="00102FF5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3FF1"/>
    <w:rsid w:val="001149A5"/>
    <w:rsid w:val="00114DB9"/>
    <w:rsid w:val="001151A1"/>
    <w:rsid w:val="00116087"/>
    <w:rsid w:val="0011626D"/>
    <w:rsid w:val="0011635B"/>
    <w:rsid w:val="00117C76"/>
    <w:rsid w:val="001206EA"/>
    <w:rsid w:val="00120FED"/>
    <w:rsid w:val="001211B1"/>
    <w:rsid w:val="001223EE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2393"/>
    <w:rsid w:val="00132C84"/>
    <w:rsid w:val="00133140"/>
    <w:rsid w:val="001336E3"/>
    <w:rsid w:val="00133E8A"/>
    <w:rsid w:val="001341F0"/>
    <w:rsid w:val="001345C8"/>
    <w:rsid w:val="0013511E"/>
    <w:rsid w:val="00135203"/>
    <w:rsid w:val="00136685"/>
    <w:rsid w:val="00136923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4B1F"/>
    <w:rsid w:val="00156B5A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8A9"/>
    <w:rsid w:val="001652B9"/>
    <w:rsid w:val="00165B50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2E2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1525"/>
    <w:rsid w:val="00181945"/>
    <w:rsid w:val="001820A2"/>
    <w:rsid w:val="0018210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D50"/>
    <w:rsid w:val="001B22E2"/>
    <w:rsid w:val="001B2C05"/>
    <w:rsid w:val="001B2CD3"/>
    <w:rsid w:val="001B2FC3"/>
    <w:rsid w:val="001B3151"/>
    <w:rsid w:val="001B338B"/>
    <w:rsid w:val="001B33E5"/>
    <w:rsid w:val="001B4BB8"/>
    <w:rsid w:val="001B5146"/>
    <w:rsid w:val="001B5E70"/>
    <w:rsid w:val="001B5FF5"/>
    <w:rsid w:val="001B6542"/>
    <w:rsid w:val="001B7B13"/>
    <w:rsid w:val="001B7CC3"/>
    <w:rsid w:val="001C0587"/>
    <w:rsid w:val="001C0B59"/>
    <w:rsid w:val="001C1462"/>
    <w:rsid w:val="001C202E"/>
    <w:rsid w:val="001C3093"/>
    <w:rsid w:val="001C3269"/>
    <w:rsid w:val="001C3883"/>
    <w:rsid w:val="001C40EC"/>
    <w:rsid w:val="001C44D2"/>
    <w:rsid w:val="001C48F2"/>
    <w:rsid w:val="001C4FAF"/>
    <w:rsid w:val="001C50BC"/>
    <w:rsid w:val="001C5B16"/>
    <w:rsid w:val="001C60C1"/>
    <w:rsid w:val="001C707C"/>
    <w:rsid w:val="001C7E09"/>
    <w:rsid w:val="001D06D4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2A5"/>
    <w:rsid w:val="001D5E68"/>
    <w:rsid w:val="001D6CCC"/>
    <w:rsid w:val="001D7241"/>
    <w:rsid w:val="001D726E"/>
    <w:rsid w:val="001D73E1"/>
    <w:rsid w:val="001D7B0F"/>
    <w:rsid w:val="001E009B"/>
    <w:rsid w:val="001E07FB"/>
    <w:rsid w:val="001E17F5"/>
    <w:rsid w:val="001E1C2E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9C8"/>
    <w:rsid w:val="001F2F51"/>
    <w:rsid w:val="001F3009"/>
    <w:rsid w:val="001F31E6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2F5A"/>
    <w:rsid w:val="00203BC6"/>
    <w:rsid w:val="002040D1"/>
    <w:rsid w:val="00204FA1"/>
    <w:rsid w:val="0020567E"/>
    <w:rsid w:val="002059EF"/>
    <w:rsid w:val="00205CCB"/>
    <w:rsid w:val="0020676D"/>
    <w:rsid w:val="00207A22"/>
    <w:rsid w:val="00207C4A"/>
    <w:rsid w:val="0021004E"/>
    <w:rsid w:val="002103B9"/>
    <w:rsid w:val="00212390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5CF0"/>
    <w:rsid w:val="0022601D"/>
    <w:rsid w:val="00226FAC"/>
    <w:rsid w:val="002270CF"/>
    <w:rsid w:val="00227FCB"/>
    <w:rsid w:val="002314EB"/>
    <w:rsid w:val="0023159C"/>
    <w:rsid w:val="00231F58"/>
    <w:rsid w:val="00232B69"/>
    <w:rsid w:val="002331DA"/>
    <w:rsid w:val="002351B7"/>
    <w:rsid w:val="002359B7"/>
    <w:rsid w:val="00236FC5"/>
    <w:rsid w:val="00237277"/>
    <w:rsid w:val="00237BF1"/>
    <w:rsid w:val="00237E10"/>
    <w:rsid w:val="00240A07"/>
    <w:rsid w:val="00240E7F"/>
    <w:rsid w:val="002410D2"/>
    <w:rsid w:val="00242755"/>
    <w:rsid w:val="00242A4E"/>
    <w:rsid w:val="00242ED6"/>
    <w:rsid w:val="002438FE"/>
    <w:rsid w:val="00244414"/>
    <w:rsid w:val="002444C6"/>
    <w:rsid w:val="00245870"/>
    <w:rsid w:val="00245963"/>
    <w:rsid w:val="0024603F"/>
    <w:rsid w:val="00246A8B"/>
    <w:rsid w:val="00246FF2"/>
    <w:rsid w:val="00247F7D"/>
    <w:rsid w:val="002505FD"/>
    <w:rsid w:val="002512D0"/>
    <w:rsid w:val="002524DE"/>
    <w:rsid w:val="00252553"/>
    <w:rsid w:val="00252FFD"/>
    <w:rsid w:val="002539F4"/>
    <w:rsid w:val="002544CF"/>
    <w:rsid w:val="0025470C"/>
    <w:rsid w:val="002562B0"/>
    <w:rsid w:val="00256A5C"/>
    <w:rsid w:val="0025717E"/>
    <w:rsid w:val="002574F9"/>
    <w:rsid w:val="00257831"/>
    <w:rsid w:val="00257D7C"/>
    <w:rsid w:val="00260A77"/>
    <w:rsid w:val="00260FF0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66A53"/>
    <w:rsid w:val="002675E0"/>
    <w:rsid w:val="002700F2"/>
    <w:rsid w:val="002701DE"/>
    <w:rsid w:val="00270FE4"/>
    <w:rsid w:val="00272203"/>
    <w:rsid w:val="00272695"/>
    <w:rsid w:val="002726B0"/>
    <w:rsid w:val="0027340D"/>
    <w:rsid w:val="00274691"/>
    <w:rsid w:val="00275D0C"/>
    <w:rsid w:val="0027610A"/>
    <w:rsid w:val="00276811"/>
    <w:rsid w:val="00276E4C"/>
    <w:rsid w:val="0027727C"/>
    <w:rsid w:val="002774DA"/>
    <w:rsid w:val="00281881"/>
    <w:rsid w:val="00281E52"/>
    <w:rsid w:val="00282699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5BC"/>
    <w:rsid w:val="00293930"/>
    <w:rsid w:val="00294769"/>
    <w:rsid w:val="00294A7C"/>
    <w:rsid w:val="0029598B"/>
    <w:rsid w:val="00295E89"/>
    <w:rsid w:val="00296697"/>
    <w:rsid w:val="00297F35"/>
    <w:rsid w:val="002A0C67"/>
    <w:rsid w:val="002A4581"/>
    <w:rsid w:val="002A469F"/>
    <w:rsid w:val="002A5CC2"/>
    <w:rsid w:val="002A6A73"/>
    <w:rsid w:val="002A7B26"/>
    <w:rsid w:val="002B0472"/>
    <w:rsid w:val="002B0602"/>
    <w:rsid w:val="002B0A26"/>
    <w:rsid w:val="002B0F65"/>
    <w:rsid w:val="002B31BC"/>
    <w:rsid w:val="002B373F"/>
    <w:rsid w:val="002B3EFC"/>
    <w:rsid w:val="002B436C"/>
    <w:rsid w:val="002B6845"/>
    <w:rsid w:val="002B68EF"/>
    <w:rsid w:val="002B6B12"/>
    <w:rsid w:val="002B7B1C"/>
    <w:rsid w:val="002C0852"/>
    <w:rsid w:val="002C24B0"/>
    <w:rsid w:val="002C4871"/>
    <w:rsid w:val="002C574B"/>
    <w:rsid w:val="002C6058"/>
    <w:rsid w:val="002C7311"/>
    <w:rsid w:val="002C73BD"/>
    <w:rsid w:val="002C77A2"/>
    <w:rsid w:val="002C7846"/>
    <w:rsid w:val="002D0806"/>
    <w:rsid w:val="002D0969"/>
    <w:rsid w:val="002D11EB"/>
    <w:rsid w:val="002D2736"/>
    <w:rsid w:val="002D3139"/>
    <w:rsid w:val="002D38E5"/>
    <w:rsid w:val="002D42C7"/>
    <w:rsid w:val="002D4BBD"/>
    <w:rsid w:val="002D517B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0CA5"/>
    <w:rsid w:val="002E1444"/>
    <w:rsid w:val="002E1B93"/>
    <w:rsid w:val="002E29CD"/>
    <w:rsid w:val="002E2EA2"/>
    <w:rsid w:val="002E38F8"/>
    <w:rsid w:val="002E44EE"/>
    <w:rsid w:val="002E466E"/>
    <w:rsid w:val="002E573B"/>
    <w:rsid w:val="002E59C9"/>
    <w:rsid w:val="002E5E9D"/>
    <w:rsid w:val="002E6140"/>
    <w:rsid w:val="002E66DC"/>
    <w:rsid w:val="002E6985"/>
    <w:rsid w:val="002E6A5F"/>
    <w:rsid w:val="002E6DF3"/>
    <w:rsid w:val="002E6E44"/>
    <w:rsid w:val="002E6F8C"/>
    <w:rsid w:val="002E7125"/>
    <w:rsid w:val="002E71B6"/>
    <w:rsid w:val="002E74D4"/>
    <w:rsid w:val="002F0CE7"/>
    <w:rsid w:val="002F1483"/>
    <w:rsid w:val="002F2453"/>
    <w:rsid w:val="002F3821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2F7A29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6D71"/>
    <w:rsid w:val="003175A2"/>
    <w:rsid w:val="003175E9"/>
    <w:rsid w:val="0031763A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26DEB"/>
    <w:rsid w:val="00330DCA"/>
    <w:rsid w:val="0033123E"/>
    <w:rsid w:val="00331948"/>
    <w:rsid w:val="00332320"/>
    <w:rsid w:val="00332DEC"/>
    <w:rsid w:val="0033366D"/>
    <w:rsid w:val="003336AD"/>
    <w:rsid w:val="0033484A"/>
    <w:rsid w:val="0033577F"/>
    <w:rsid w:val="003367F1"/>
    <w:rsid w:val="0033794A"/>
    <w:rsid w:val="00340033"/>
    <w:rsid w:val="00340B9B"/>
    <w:rsid w:val="003429C6"/>
    <w:rsid w:val="00342AA1"/>
    <w:rsid w:val="00342DE0"/>
    <w:rsid w:val="003431C5"/>
    <w:rsid w:val="003431F4"/>
    <w:rsid w:val="0034324D"/>
    <w:rsid w:val="00343856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3B8B"/>
    <w:rsid w:val="00354354"/>
    <w:rsid w:val="00354371"/>
    <w:rsid w:val="0035442C"/>
    <w:rsid w:val="003547D3"/>
    <w:rsid w:val="00355553"/>
    <w:rsid w:val="003558EB"/>
    <w:rsid w:val="00356D06"/>
    <w:rsid w:val="00356DB0"/>
    <w:rsid w:val="00357CE6"/>
    <w:rsid w:val="00360006"/>
    <w:rsid w:val="00360261"/>
    <w:rsid w:val="0036045A"/>
    <w:rsid w:val="0036047D"/>
    <w:rsid w:val="00361323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0D2"/>
    <w:rsid w:val="00367237"/>
    <w:rsid w:val="0036795A"/>
    <w:rsid w:val="00367BE4"/>
    <w:rsid w:val="00370192"/>
    <w:rsid w:val="003701FD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4539"/>
    <w:rsid w:val="00374C06"/>
    <w:rsid w:val="00374C3C"/>
    <w:rsid w:val="00374D9D"/>
    <w:rsid w:val="003751F2"/>
    <w:rsid w:val="00375988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E36"/>
    <w:rsid w:val="00386177"/>
    <w:rsid w:val="00387C8C"/>
    <w:rsid w:val="0039060D"/>
    <w:rsid w:val="003919D7"/>
    <w:rsid w:val="00391BB3"/>
    <w:rsid w:val="00391D25"/>
    <w:rsid w:val="00392155"/>
    <w:rsid w:val="00393962"/>
    <w:rsid w:val="00393A33"/>
    <w:rsid w:val="0039412E"/>
    <w:rsid w:val="0039417E"/>
    <w:rsid w:val="003956B3"/>
    <w:rsid w:val="00396338"/>
    <w:rsid w:val="00396F14"/>
    <w:rsid w:val="00397138"/>
    <w:rsid w:val="00397D18"/>
    <w:rsid w:val="003A0560"/>
    <w:rsid w:val="003A0876"/>
    <w:rsid w:val="003A1417"/>
    <w:rsid w:val="003A1A43"/>
    <w:rsid w:val="003A1B36"/>
    <w:rsid w:val="003A229B"/>
    <w:rsid w:val="003A2697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752D"/>
    <w:rsid w:val="003B7EC0"/>
    <w:rsid w:val="003C121E"/>
    <w:rsid w:val="003C14A2"/>
    <w:rsid w:val="003C176B"/>
    <w:rsid w:val="003C27C0"/>
    <w:rsid w:val="003C3308"/>
    <w:rsid w:val="003C366A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C1D"/>
    <w:rsid w:val="003D2D18"/>
    <w:rsid w:val="003D37E4"/>
    <w:rsid w:val="003D4270"/>
    <w:rsid w:val="003D4522"/>
    <w:rsid w:val="003D4F95"/>
    <w:rsid w:val="003D5941"/>
    <w:rsid w:val="003D5CE9"/>
    <w:rsid w:val="003D5E1A"/>
    <w:rsid w:val="003D5F42"/>
    <w:rsid w:val="003D60A9"/>
    <w:rsid w:val="003D641F"/>
    <w:rsid w:val="003D6693"/>
    <w:rsid w:val="003D698B"/>
    <w:rsid w:val="003D6E11"/>
    <w:rsid w:val="003D74B0"/>
    <w:rsid w:val="003D7B05"/>
    <w:rsid w:val="003E0955"/>
    <w:rsid w:val="003E09E1"/>
    <w:rsid w:val="003E1744"/>
    <w:rsid w:val="003E1B4A"/>
    <w:rsid w:val="003E1CC5"/>
    <w:rsid w:val="003E3302"/>
    <w:rsid w:val="003E3878"/>
    <w:rsid w:val="003E47A5"/>
    <w:rsid w:val="003E4AF6"/>
    <w:rsid w:val="003E50D0"/>
    <w:rsid w:val="003E5AA9"/>
    <w:rsid w:val="003E6589"/>
    <w:rsid w:val="003E73C4"/>
    <w:rsid w:val="003E7BC5"/>
    <w:rsid w:val="003F011E"/>
    <w:rsid w:val="003F0D64"/>
    <w:rsid w:val="003F17D3"/>
    <w:rsid w:val="003F2F2A"/>
    <w:rsid w:val="003F4B9D"/>
    <w:rsid w:val="003F5C9F"/>
    <w:rsid w:val="003F7602"/>
    <w:rsid w:val="003F7C8C"/>
    <w:rsid w:val="003F7FE6"/>
    <w:rsid w:val="0040123B"/>
    <w:rsid w:val="004012CB"/>
    <w:rsid w:val="00402118"/>
    <w:rsid w:val="00402AEA"/>
    <w:rsid w:val="00402BDC"/>
    <w:rsid w:val="00406404"/>
    <w:rsid w:val="00406502"/>
    <w:rsid w:val="00406EE5"/>
    <w:rsid w:val="00407676"/>
    <w:rsid w:val="0040794E"/>
    <w:rsid w:val="00410120"/>
    <w:rsid w:val="00410948"/>
    <w:rsid w:val="00410E0B"/>
    <w:rsid w:val="00411708"/>
    <w:rsid w:val="0041222D"/>
    <w:rsid w:val="00412580"/>
    <w:rsid w:val="004137F0"/>
    <w:rsid w:val="00413C24"/>
    <w:rsid w:val="00413F31"/>
    <w:rsid w:val="004143BA"/>
    <w:rsid w:val="0041441E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446D"/>
    <w:rsid w:val="00424619"/>
    <w:rsid w:val="00424BD6"/>
    <w:rsid w:val="00424C40"/>
    <w:rsid w:val="00424FC0"/>
    <w:rsid w:val="00425D9C"/>
    <w:rsid w:val="00426089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0A7"/>
    <w:rsid w:val="00440DA4"/>
    <w:rsid w:val="00440F03"/>
    <w:rsid w:val="00442692"/>
    <w:rsid w:val="00443C99"/>
    <w:rsid w:val="00444690"/>
    <w:rsid w:val="00445047"/>
    <w:rsid w:val="0044541F"/>
    <w:rsid w:val="00446151"/>
    <w:rsid w:val="00447F34"/>
    <w:rsid w:val="00450CEE"/>
    <w:rsid w:val="00451EFA"/>
    <w:rsid w:val="00452C3B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6DEF"/>
    <w:rsid w:val="00457388"/>
    <w:rsid w:val="00457D9C"/>
    <w:rsid w:val="00461508"/>
    <w:rsid w:val="004618FB"/>
    <w:rsid w:val="004620CF"/>
    <w:rsid w:val="0046443A"/>
    <w:rsid w:val="0046457D"/>
    <w:rsid w:val="004656E0"/>
    <w:rsid w:val="004657FC"/>
    <w:rsid w:val="0046631D"/>
    <w:rsid w:val="0046678C"/>
    <w:rsid w:val="00466A8C"/>
    <w:rsid w:val="00467984"/>
    <w:rsid w:val="00467C68"/>
    <w:rsid w:val="0047059B"/>
    <w:rsid w:val="00470D45"/>
    <w:rsid w:val="00470DCE"/>
    <w:rsid w:val="00470FF5"/>
    <w:rsid w:val="00471315"/>
    <w:rsid w:val="00472016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1B54"/>
    <w:rsid w:val="004840C0"/>
    <w:rsid w:val="00484D5C"/>
    <w:rsid w:val="00484F26"/>
    <w:rsid w:val="0048611F"/>
    <w:rsid w:val="004866F8"/>
    <w:rsid w:val="00486E04"/>
    <w:rsid w:val="00486FBD"/>
    <w:rsid w:val="00490049"/>
    <w:rsid w:val="004903B6"/>
    <w:rsid w:val="00492C50"/>
    <w:rsid w:val="0049330E"/>
    <w:rsid w:val="004935FC"/>
    <w:rsid w:val="004945F7"/>
    <w:rsid w:val="00494A6D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691"/>
    <w:rsid w:val="004A3B58"/>
    <w:rsid w:val="004A4FF3"/>
    <w:rsid w:val="004A6298"/>
    <w:rsid w:val="004A7DE9"/>
    <w:rsid w:val="004B0516"/>
    <w:rsid w:val="004B0FAE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2831"/>
    <w:rsid w:val="004C3066"/>
    <w:rsid w:val="004C3464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D45"/>
    <w:rsid w:val="004D5E7B"/>
    <w:rsid w:val="004D6D59"/>
    <w:rsid w:val="004D6F5D"/>
    <w:rsid w:val="004D76BC"/>
    <w:rsid w:val="004D77D8"/>
    <w:rsid w:val="004E0172"/>
    <w:rsid w:val="004E0785"/>
    <w:rsid w:val="004E10FE"/>
    <w:rsid w:val="004E241D"/>
    <w:rsid w:val="004E25E8"/>
    <w:rsid w:val="004E2F7E"/>
    <w:rsid w:val="004E4F33"/>
    <w:rsid w:val="004E5C45"/>
    <w:rsid w:val="004E6B3D"/>
    <w:rsid w:val="004E7827"/>
    <w:rsid w:val="004E799F"/>
    <w:rsid w:val="004E7B11"/>
    <w:rsid w:val="004F030D"/>
    <w:rsid w:val="004F096E"/>
    <w:rsid w:val="004F0C3C"/>
    <w:rsid w:val="004F0F29"/>
    <w:rsid w:val="004F14DF"/>
    <w:rsid w:val="004F162D"/>
    <w:rsid w:val="004F2A5F"/>
    <w:rsid w:val="004F3628"/>
    <w:rsid w:val="004F4001"/>
    <w:rsid w:val="004F575F"/>
    <w:rsid w:val="004F59DD"/>
    <w:rsid w:val="004F60C6"/>
    <w:rsid w:val="004F63FC"/>
    <w:rsid w:val="004F7959"/>
    <w:rsid w:val="005000A4"/>
    <w:rsid w:val="00500813"/>
    <w:rsid w:val="00500E4F"/>
    <w:rsid w:val="005011D1"/>
    <w:rsid w:val="005011FF"/>
    <w:rsid w:val="00502030"/>
    <w:rsid w:val="0050277F"/>
    <w:rsid w:val="00503573"/>
    <w:rsid w:val="00504601"/>
    <w:rsid w:val="0050466E"/>
    <w:rsid w:val="005048AB"/>
    <w:rsid w:val="005059A8"/>
    <w:rsid w:val="00505A92"/>
    <w:rsid w:val="00505C76"/>
    <w:rsid w:val="0050636E"/>
    <w:rsid w:val="00506FBD"/>
    <w:rsid w:val="005075ED"/>
    <w:rsid w:val="00507890"/>
    <w:rsid w:val="00507B04"/>
    <w:rsid w:val="00507C68"/>
    <w:rsid w:val="00510774"/>
    <w:rsid w:val="005115B4"/>
    <w:rsid w:val="005130E1"/>
    <w:rsid w:val="00513C35"/>
    <w:rsid w:val="00513E97"/>
    <w:rsid w:val="0051442B"/>
    <w:rsid w:val="005144DB"/>
    <w:rsid w:val="005157B8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DF5"/>
    <w:rsid w:val="00525564"/>
    <w:rsid w:val="005255FB"/>
    <w:rsid w:val="005263EB"/>
    <w:rsid w:val="00526537"/>
    <w:rsid w:val="00526A72"/>
    <w:rsid w:val="0053099E"/>
    <w:rsid w:val="005312A3"/>
    <w:rsid w:val="00531632"/>
    <w:rsid w:val="00532001"/>
    <w:rsid w:val="00532EF9"/>
    <w:rsid w:val="00532FF8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2855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3C20"/>
    <w:rsid w:val="005644E7"/>
    <w:rsid w:val="00565FD3"/>
    <w:rsid w:val="0056664B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8748D"/>
    <w:rsid w:val="00587877"/>
    <w:rsid w:val="00590D04"/>
    <w:rsid w:val="00590FFD"/>
    <w:rsid w:val="00591320"/>
    <w:rsid w:val="005916D7"/>
    <w:rsid w:val="0059189F"/>
    <w:rsid w:val="00593195"/>
    <w:rsid w:val="00595CEC"/>
    <w:rsid w:val="00597794"/>
    <w:rsid w:val="00597D52"/>
    <w:rsid w:val="005A0542"/>
    <w:rsid w:val="005A0D09"/>
    <w:rsid w:val="005A110B"/>
    <w:rsid w:val="005A1CA4"/>
    <w:rsid w:val="005A2282"/>
    <w:rsid w:val="005A230D"/>
    <w:rsid w:val="005A315F"/>
    <w:rsid w:val="005A45B3"/>
    <w:rsid w:val="005A5677"/>
    <w:rsid w:val="005A5F08"/>
    <w:rsid w:val="005A5F33"/>
    <w:rsid w:val="005A60C5"/>
    <w:rsid w:val="005A6352"/>
    <w:rsid w:val="005A651F"/>
    <w:rsid w:val="005A698C"/>
    <w:rsid w:val="005A76FE"/>
    <w:rsid w:val="005B008D"/>
    <w:rsid w:val="005B00E1"/>
    <w:rsid w:val="005B0502"/>
    <w:rsid w:val="005B09B1"/>
    <w:rsid w:val="005B10FD"/>
    <w:rsid w:val="005B17B9"/>
    <w:rsid w:val="005B1E98"/>
    <w:rsid w:val="005B2464"/>
    <w:rsid w:val="005B397D"/>
    <w:rsid w:val="005B46C4"/>
    <w:rsid w:val="005B4A9F"/>
    <w:rsid w:val="005B4F6A"/>
    <w:rsid w:val="005C0383"/>
    <w:rsid w:val="005C11AC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4E32"/>
    <w:rsid w:val="005C4FCE"/>
    <w:rsid w:val="005C5687"/>
    <w:rsid w:val="005C572D"/>
    <w:rsid w:val="005C5733"/>
    <w:rsid w:val="005C5AC5"/>
    <w:rsid w:val="005C5F3F"/>
    <w:rsid w:val="005C613E"/>
    <w:rsid w:val="005C70EF"/>
    <w:rsid w:val="005C7AFA"/>
    <w:rsid w:val="005C7E09"/>
    <w:rsid w:val="005D031D"/>
    <w:rsid w:val="005D0646"/>
    <w:rsid w:val="005D1D90"/>
    <w:rsid w:val="005D3ACB"/>
    <w:rsid w:val="005D40E2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730"/>
    <w:rsid w:val="005E291A"/>
    <w:rsid w:val="005E38B5"/>
    <w:rsid w:val="005E4185"/>
    <w:rsid w:val="005E42C9"/>
    <w:rsid w:val="005E4B59"/>
    <w:rsid w:val="005E543E"/>
    <w:rsid w:val="005E671E"/>
    <w:rsid w:val="005E6D68"/>
    <w:rsid w:val="005E76C0"/>
    <w:rsid w:val="005E7890"/>
    <w:rsid w:val="005F1265"/>
    <w:rsid w:val="005F265B"/>
    <w:rsid w:val="005F2B06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3D8"/>
    <w:rsid w:val="005F6742"/>
    <w:rsid w:val="005F7CDE"/>
    <w:rsid w:val="005F7CFC"/>
    <w:rsid w:val="006004C8"/>
    <w:rsid w:val="006005DD"/>
    <w:rsid w:val="006009DB"/>
    <w:rsid w:val="00600D78"/>
    <w:rsid w:val="00603389"/>
    <w:rsid w:val="006035C3"/>
    <w:rsid w:val="00603DBF"/>
    <w:rsid w:val="00603EF9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140"/>
    <w:rsid w:val="006316CD"/>
    <w:rsid w:val="006317C6"/>
    <w:rsid w:val="00631EDA"/>
    <w:rsid w:val="00632905"/>
    <w:rsid w:val="0063332A"/>
    <w:rsid w:val="0063437B"/>
    <w:rsid w:val="006359F5"/>
    <w:rsid w:val="00635BAB"/>
    <w:rsid w:val="00635CF7"/>
    <w:rsid w:val="00636475"/>
    <w:rsid w:val="006367CB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8B3"/>
    <w:rsid w:val="00650AF2"/>
    <w:rsid w:val="00650DD7"/>
    <w:rsid w:val="00651C52"/>
    <w:rsid w:val="006527B4"/>
    <w:rsid w:val="00652E05"/>
    <w:rsid w:val="00653646"/>
    <w:rsid w:val="006537E1"/>
    <w:rsid w:val="00653A13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A15"/>
    <w:rsid w:val="006644F5"/>
    <w:rsid w:val="00665418"/>
    <w:rsid w:val="00665808"/>
    <w:rsid w:val="00665E55"/>
    <w:rsid w:val="00666682"/>
    <w:rsid w:val="00666A3D"/>
    <w:rsid w:val="00666F6F"/>
    <w:rsid w:val="006673CA"/>
    <w:rsid w:val="00667532"/>
    <w:rsid w:val="00667F18"/>
    <w:rsid w:val="00667F9F"/>
    <w:rsid w:val="00670F4C"/>
    <w:rsid w:val="006720DB"/>
    <w:rsid w:val="006752FE"/>
    <w:rsid w:val="00677BED"/>
    <w:rsid w:val="00680455"/>
    <w:rsid w:val="00680DD6"/>
    <w:rsid w:val="00682501"/>
    <w:rsid w:val="006828EB"/>
    <w:rsid w:val="00683090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5"/>
    <w:rsid w:val="00692A72"/>
    <w:rsid w:val="00693174"/>
    <w:rsid w:val="0069412F"/>
    <w:rsid w:val="00694784"/>
    <w:rsid w:val="0069486B"/>
    <w:rsid w:val="00695127"/>
    <w:rsid w:val="00697161"/>
    <w:rsid w:val="00697272"/>
    <w:rsid w:val="00697454"/>
    <w:rsid w:val="006A1109"/>
    <w:rsid w:val="006A11E0"/>
    <w:rsid w:val="006A15C9"/>
    <w:rsid w:val="006A183F"/>
    <w:rsid w:val="006A3452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E9E"/>
    <w:rsid w:val="006B1148"/>
    <w:rsid w:val="006B126F"/>
    <w:rsid w:val="006B1271"/>
    <w:rsid w:val="006B17C8"/>
    <w:rsid w:val="006B2001"/>
    <w:rsid w:val="006B2275"/>
    <w:rsid w:val="006B2B97"/>
    <w:rsid w:val="006B2E89"/>
    <w:rsid w:val="006B33D8"/>
    <w:rsid w:val="006B3F72"/>
    <w:rsid w:val="006B46C5"/>
    <w:rsid w:val="006B487A"/>
    <w:rsid w:val="006B51A3"/>
    <w:rsid w:val="006B5260"/>
    <w:rsid w:val="006B542A"/>
    <w:rsid w:val="006B5AE4"/>
    <w:rsid w:val="006B60CA"/>
    <w:rsid w:val="006B6DB5"/>
    <w:rsid w:val="006B7D87"/>
    <w:rsid w:val="006B7DF6"/>
    <w:rsid w:val="006C042D"/>
    <w:rsid w:val="006C0AC2"/>
    <w:rsid w:val="006C0E15"/>
    <w:rsid w:val="006C11BE"/>
    <w:rsid w:val="006C1BDE"/>
    <w:rsid w:val="006C2278"/>
    <w:rsid w:val="006C2B48"/>
    <w:rsid w:val="006C2CC3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BA6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4F91"/>
    <w:rsid w:val="006D540C"/>
    <w:rsid w:val="006D612C"/>
    <w:rsid w:val="006D6332"/>
    <w:rsid w:val="006D6503"/>
    <w:rsid w:val="006D6788"/>
    <w:rsid w:val="006D6CF9"/>
    <w:rsid w:val="006D7090"/>
    <w:rsid w:val="006E02EC"/>
    <w:rsid w:val="006E08A4"/>
    <w:rsid w:val="006E0A6F"/>
    <w:rsid w:val="006E1DDA"/>
    <w:rsid w:val="006E2BFD"/>
    <w:rsid w:val="006E49D2"/>
    <w:rsid w:val="006E4CDA"/>
    <w:rsid w:val="006E64A8"/>
    <w:rsid w:val="006E65EF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5C9D"/>
    <w:rsid w:val="006F5D8B"/>
    <w:rsid w:val="006F76C1"/>
    <w:rsid w:val="006F7A4B"/>
    <w:rsid w:val="00700158"/>
    <w:rsid w:val="00700D52"/>
    <w:rsid w:val="0070171E"/>
    <w:rsid w:val="007024CD"/>
    <w:rsid w:val="00703DC0"/>
    <w:rsid w:val="00704035"/>
    <w:rsid w:val="007053D5"/>
    <w:rsid w:val="00705CB0"/>
    <w:rsid w:val="00706309"/>
    <w:rsid w:val="007066A3"/>
    <w:rsid w:val="00706DD3"/>
    <w:rsid w:val="00706F4E"/>
    <w:rsid w:val="00707CF2"/>
    <w:rsid w:val="00707ECB"/>
    <w:rsid w:val="00707F35"/>
    <w:rsid w:val="00712027"/>
    <w:rsid w:val="007131F0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2703C"/>
    <w:rsid w:val="007300BC"/>
    <w:rsid w:val="007304B9"/>
    <w:rsid w:val="00730884"/>
    <w:rsid w:val="007309C1"/>
    <w:rsid w:val="00730E35"/>
    <w:rsid w:val="007316E0"/>
    <w:rsid w:val="007320DE"/>
    <w:rsid w:val="007322C7"/>
    <w:rsid w:val="00733D27"/>
    <w:rsid w:val="00733DA6"/>
    <w:rsid w:val="00734951"/>
    <w:rsid w:val="00734CBE"/>
    <w:rsid w:val="00734E28"/>
    <w:rsid w:val="007357A2"/>
    <w:rsid w:val="00736417"/>
    <w:rsid w:val="00736C0B"/>
    <w:rsid w:val="0073718F"/>
    <w:rsid w:val="00740322"/>
    <w:rsid w:val="007405F4"/>
    <w:rsid w:val="00740AFA"/>
    <w:rsid w:val="00740F7E"/>
    <w:rsid w:val="00740F9B"/>
    <w:rsid w:val="00742610"/>
    <w:rsid w:val="007431BF"/>
    <w:rsid w:val="0074395E"/>
    <w:rsid w:val="00744346"/>
    <w:rsid w:val="00744556"/>
    <w:rsid w:val="00744AA8"/>
    <w:rsid w:val="007456A5"/>
    <w:rsid w:val="00746187"/>
    <w:rsid w:val="007465CF"/>
    <w:rsid w:val="0074773B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4F3"/>
    <w:rsid w:val="00752CD8"/>
    <w:rsid w:val="00752D23"/>
    <w:rsid w:val="007530C0"/>
    <w:rsid w:val="00753625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5527"/>
    <w:rsid w:val="00765F07"/>
    <w:rsid w:val="00766661"/>
    <w:rsid w:val="00770224"/>
    <w:rsid w:val="00772292"/>
    <w:rsid w:val="00772D94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724F"/>
    <w:rsid w:val="007976BD"/>
    <w:rsid w:val="00797FBA"/>
    <w:rsid w:val="007A0AF1"/>
    <w:rsid w:val="007A18B3"/>
    <w:rsid w:val="007A2038"/>
    <w:rsid w:val="007A2410"/>
    <w:rsid w:val="007A2DC1"/>
    <w:rsid w:val="007A4B8A"/>
    <w:rsid w:val="007A508F"/>
    <w:rsid w:val="007A5500"/>
    <w:rsid w:val="007A5EDD"/>
    <w:rsid w:val="007A6A73"/>
    <w:rsid w:val="007A7CA3"/>
    <w:rsid w:val="007A7CCC"/>
    <w:rsid w:val="007A7E0A"/>
    <w:rsid w:val="007B19E9"/>
    <w:rsid w:val="007B1A36"/>
    <w:rsid w:val="007B2346"/>
    <w:rsid w:val="007B285E"/>
    <w:rsid w:val="007B3380"/>
    <w:rsid w:val="007B33D5"/>
    <w:rsid w:val="007B4120"/>
    <w:rsid w:val="007B4772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C6EF9"/>
    <w:rsid w:val="007D072A"/>
    <w:rsid w:val="007D0C3C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3BA"/>
    <w:rsid w:val="007E3C22"/>
    <w:rsid w:val="007E46FA"/>
    <w:rsid w:val="007E4B03"/>
    <w:rsid w:val="007E5284"/>
    <w:rsid w:val="007E6BE2"/>
    <w:rsid w:val="007E7373"/>
    <w:rsid w:val="007E7A46"/>
    <w:rsid w:val="007F07B0"/>
    <w:rsid w:val="007F0AFD"/>
    <w:rsid w:val="007F0D21"/>
    <w:rsid w:val="007F1173"/>
    <w:rsid w:val="007F14F2"/>
    <w:rsid w:val="007F18D8"/>
    <w:rsid w:val="007F2AC2"/>
    <w:rsid w:val="007F2BE5"/>
    <w:rsid w:val="007F306D"/>
    <w:rsid w:val="007F324B"/>
    <w:rsid w:val="007F3410"/>
    <w:rsid w:val="007F3E45"/>
    <w:rsid w:val="007F45D8"/>
    <w:rsid w:val="007F5592"/>
    <w:rsid w:val="007F6092"/>
    <w:rsid w:val="007F6ECC"/>
    <w:rsid w:val="007F7EAF"/>
    <w:rsid w:val="00800D06"/>
    <w:rsid w:val="00801431"/>
    <w:rsid w:val="00802001"/>
    <w:rsid w:val="00803467"/>
    <w:rsid w:val="008039E1"/>
    <w:rsid w:val="00803E14"/>
    <w:rsid w:val="00804484"/>
    <w:rsid w:val="008046F6"/>
    <w:rsid w:val="00804CD0"/>
    <w:rsid w:val="00805216"/>
    <w:rsid w:val="0080553C"/>
    <w:rsid w:val="00805A3C"/>
    <w:rsid w:val="00805B46"/>
    <w:rsid w:val="0080666A"/>
    <w:rsid w:val="00806F6A"/>
    <w:rsid w:val="00807069"/>
    <w:rsid w:val="0080760D"/>
    <w:rsid w:val="0080761A"/>
    <w:rsid w:val="00807BA7"/>
    <w:rsid w:val="00807C47"/>
    <w:rsid w:val="0081068C"/>
    <w:rsid w:val="00810DEF"/>
    <w:rsid w:val="00811010"/>
    <w:rsid w:val="00811F04"/>
    <w:rsid w:val="0081216E"/>
    <w:rsid w:val="00812512"/>
    <w:rsid w:val="008147E0"/>
    <w:rsid w:val="008152E5"/>
    <w:rsid w:val="008155BE"/>
    <w:rsid w:val="008157D7"/>
    <w:rsid w:val="00815A82"/>
    <w:rsid w:val="0081606C"/>
    <w:rsid w:val="00816213"/>
    <w:rsid w:val="00816657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63A"/>
    <w:rsid w:val="008279D3"/>
    <w:rsid w:val="00827CF4"/>
    <w:rsid w:val="0083133D"/>
    <w:rsid w:val="00831F69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509"/>
    <w:rsid w:val="00843795"/>
    <w:rsid w:val="0084406B"/>
    <w:rsid w:val="0084428E"/>
    <w:rsid w:val="008444DF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47E2"/>
    <w:rsid w:val="00855A96"/>
    <w:rsid w:val="00855A9F"/>
    <w:rsid w:val="0085624B"/>
    <w:rsid w:val="00856648"/>
    <w:rsid w:val="008602AB"/>
    <w:rsid w:val="0086037C"/>
    <w:rsid w:val="008610A6"/>
    <w:rsid w:val="008615DD"/>
    <w:rsid w:val="0086171E"/>
    <w:rsid w:val="00862AA3"/>
    <w:rsid w:val="008630C8"/>
    <w:rsid w:val="00864080"/>
    <w:rsid w:val="008644EF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443"/>
    <w:rsid w:val="00874989"/>
    <w:rsid w:val="00874E27"/>
    <w:rsid w:val="00874E38"/>
    <w:rsid w:val="00875905"/>
    <w:rsid w:val="00875A6F"/>
    <w:rsid w:val="00876DD6"/>
    <w:rsid w:val="0087758F"/>
    <w:rsid w:val="0087770B"/>
    <w:rsid w:val="00877DF9"/>
    <w:rsid w:val="00881FD6"/>
    <w:rsid w:val="0088258A"/>
    <w:rsid w:val="00882CCF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3DC4"/>
    <w:rsid w:val="008956F7"/>
    <w:rsid w:val="00897149"/>
    <w:rsid w:val="0089720B"/>
    <w:rsid w:val="00897571"/>
    <w:rsid w:val="008A02ED"/>
    <w:rsid w:val="008A0475"/>
    <w:rsid w:val="008A0908"/>
    <w:rsid w:val="008A0A17"/>
    <w:rsid w:val="008A22FC"/>
    <w:rsid w:val="008A2389"/>
    <w:rsid w:val="008A26D9"/>
    <w:rsid w:val="008A39CE"/>
    <w:rsid w:val="008A40E3"/>
    <w:rsid w:val="008A7184"/>
    <w:rsid w:val="008A7716"/>
    <w:rsid w:val="008B06CF"/>
    <w:rsid w:val="008B0BD6"/>
    <w:rsid w:val="008B21A3"/>
    <w:rsid w:val="008B2AD1"/>
    <w:rsid w:val="008B2FE5"/>
    <w:rsid w:val="008B3A10"/>
    <w:rsid w:val="008B5CD0"/>
    <w:rsid w:val="008B652B"/>
    <w:rsid w:val="008B66CC"/>
    <w:rsid w:val="008B6749"/>
    <w:rsid w:val="008B67EC"/>
    <w:rsid w:val="008B6EA3"/>
    <w:rsid w:val="008B7944"/>
    <w:rsid w:val="008C013B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09A"/>
    <w:rsid w:val="008C7B36"/>
    <w:rsid w:val="008C7FB0"/>
    <w:rsid w:val="008D0143"/>
    <w:rsid w:val="008D01B9"/>
    <w:rsid w:val="008D0221"/>
    <w:rsid w:val="008D094F"/>
    <w:rsid w:val="008D0B81"/>
    <w:rsid w:val="008D18CC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B54"/>
    <w:rsid w:val="00901D20"/>
    <w:rsid w:val="009043FA"/>
    <w:rsid w:val="009046B7"/>
    <w:rsid w:val="00904AE7"/>
    <w:rsid w:val="009056AE"/>
    <w:rsid w:val="0090648B"/>
    <w:rsid w:val="00906640"/>
    <w:rsid w:val="0090669A"/>
    <w:rsid w:val="009103ED"/>
    <w:rsid w:val="00910C98"/>
    <w:rsid w:val="00911FCE"/>
    <w:rsid w:val="00912639"/>
    <w:rsid w:val="00917178"/>
    <w:rsid w:val="00917989"/>
    <w:rsid w:val="00917C6C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997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962"/>
    <w:rsid w:val="0095237B"/>
    <w:rsid w:val="00952E2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1D11"/>
    <w:rsid w:val="00962BD1"/>
    <w:rsid w:val="00963416"/>
    <w:rsid w:val="0096391E"/>
    <w:rsid w:val="00963AB0"/>
    <w:rsid w:val="00964491"/>
    <w:rsid w:val="009647CB"/>
    <w:rsid w:val="009649C9"/>
    <w:rsid w:val="00965B0A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81B"/>
    <w:rsid w:val="00986EFC"/>
    <w:rsid w:val="009872DC"/>
    <w:rsid w:val="00987F2A"/>
    <w:rsid w:val="00990A3E"/>
    <w:rsid w:val="0099132B"/>
    <w:rsid w:val="0099143D"/>
    <w:rsid w:val="00992338"/>
    <w:rsid w:val="00993416"/>
    <w:rsid w:val="009935D8"/>
    <w:rsid w:val="00993726"/>
    <w:rsid w:val="00993E30"/>
    <w:rsid w:val="00994394"/>
    <w:rsid w:val="00994BF9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9F7"/>
    <w:rsid w:val="009B4EE0"/>
    <w:rsid w:val="009B55DA"/>
    <w:rsid w:val="009B5AD2"/>
    <w:rsid w:val="009B6210"/>
    <w:rsid w:val="009B78E9"/>
    <w:rsid w:val="009C051C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59F"/>
    <w:rsid w:val="009D06CA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455D"/>
    <w:rsid w:val="009D591C"/>
    <w:rsid w:val="009D6D1B"/>
    <w:rsid w:val="009E0168"/>
    <w:rsid w:val="009E0574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07AE"/>
    <w:rsid w:val="009F0ECC"/>
    <w:rsid w:val="009F1845"/>
    <w:rsid w:val="009F2576"/>
    <w:rsid w:val="009F3DD7"/>
    <w:rsid w:val="009F49F4"/>
    <w:rsid w:val="009F4BA5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6260"/>
    <w:rsid w:val="00A06651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EC3"/>
    <w:rsid w:val="00A170A9"/>
    <w:rsid w:val="00A17D7F"/>
    <w:rsid w:val="00A20B50"/>
    <w:rsid w:val="00A220D8"/>
    <w:rsid w:val="00A22444"/>
    <w:rsid w:val="00A225D2"/>
    <w:rsid w:val="00A23FCB"/>
    <w:rsid w:val="00A24C54"/>
    <w:rsid w:val="00A253C7"/>
    <w:rsid w:val="00A261D4"/>
    <w:rsid w:val="00A26484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030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48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6BB"/>
    <w:rsid w:val="00A63CC4"/>
    <w:rsid w:val="00A64343"/>
    <w:rsid w:val="00A64ECB"/>
    <w:rsid w:val="00A658B0"/>
    <w:rsid w:val="00A65C41"/>
    <w:rsid w:val="00A665B9"/>
    <w:rsid w:val="00A66778"/>
    <w:rsid w:val="00A66F9A"/>
    <w:rsid w:val="00A70DA1"/>
    <w:rsid w:val="00A71000"/>
    <w:rsid w:val="00A713D0"/>
    <w:rsid w:val="00A717DE"/>
    <w:rsid w:val="00A72F83"/>
    <w:rsid w:val="00A73769"/>
    <w:rsid w:val="00A73A61"/>
    <w:rsid w:val="00A74227"/>
    <w:rsid w:val="00A748C7"/>
    <w:rsid w:val="00A75291"/>
    <w:rsid w:val="00A75BC8"/>
    <w:rsid w:val="00A77626"/>
    <w:rsid w:val="00A7781D"/>
    <w:rsid w:val="00A77C47"/>
    <w:rsid w:val="00A77F7C"/>
    <w:rsid w:val="00A77FC3"/>
    <w:rsid w:val="00A800A1"/>
    <w:rsid w:val="00A80FF5"/>
    <w:rsid w:val="00A81107"/>
    <w:rsid w:val="00A81235"/>
    <w:rsid w:val="00A82660"/>
    <w:rsid w:val="00A82991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2527"/>
    <w:rsid w:val="00A929FA"/>
    <w:rsid w:val="00A92B19"/>
    <w:rsid w:val="00A92B92"/>
    <w:rsid w:val="00A9340E"/>
    <w:rsid w:val="00A936E1"/>
    <w:rsid w:val="00A93918"/>
    <w:rsid w:val="00A97A0E"/>
    <w:rsid w:val="00AA0A84"/>
    <w:rsid w:val="00AA0B2B"/>
    <w:rsid w:val="00AA2F43"/>
    <w:rsid w:val="00AA33A8"/>
    <w:rsid w:val="00AA35CC"/>
    <w:rsid w:val="00AA3A3D"/>
    <w:rsid w:val="00AA4800"/>
    <w:rsid w:val="00AA4B14"/>
    <w:rsid w:val="00AA59FE"/>
    <w:rsid w:val="00AA5C62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954"/>
    <w:rsid w:val="00AB3D3E"/>
    <w:rsid w:val="00AB3E11"/>
    <w:rsid w:val="00AB3F4B"/>
    <w:rsid w:val="00AB4BBB"/>
    <w:rsid w:val="00AB587B"/>
    <w:rsid w:val="00AB6123"/>
    <w:rsid w:val="00AB635D"/>
    <w:rsid w:val="00AB6D25"/>
    <w:rsid w:val="00AB7938"/>
    <w:rsid w:val="00AB7F1C"/>
    <w:rsid w:val="00AC02E7"/>
    <w:rsid w:val="00AC0C7B"/>
    <w:rsid w:val="00AC10DF"/>
    <w:rsid w:val="00AC1770"/>
    <w:rsid w:val="00AC1942"/>
    <w:rsid w:val="00AC1F5F"/>
    <w:rsid w:val="00AC3371"/>
    <w:rsid w:val="00AC3742"/>
    <w:rsid w:val="00AC3E26"/>
    <w:rsid w:val="00AC40AE"/>
    <w:rsid w:val="00AC4C4A"/>
    <w:rsid w:val="00AC5B14"/>
    <w:rsid w:val="00AC60C7"/>
    <w:rsid w:val="00AC6387"/>
    <w:rsid w:val="00AC675E"/>
    <w:rsid w:val="00AC6D6A"/>
    <w:rsid w:val="00AD0323"/>
    <w:rsid w:val="00AD06AD"/>
    <w:rsid w:val="00AD0E41"/>
    <w:rsid w:val="00AD1310"/>
    <w:rsid w:val="00AD26A9"/>
    <w:rsid w:val="00AD2DC1"/>
    <w:rsid w:val="00AD444C"/>
    <w:rsid w:val="00AD456D"/>
    <w:rsid w:val="00AD48CD"/>
    <w:rsid w:val="00AD4B17"/>
    <w:rsid w:val="00AD5123"/>
    <w:rsid w:val="00AD6249"/>
    <w:rsid w:val="00AD797D"/>
    <w:rsid w:val="00AE01A0"/>
    <w:rsid w:val="00AE1EED"/>
    <w:rsid w:val="00AE2D4B"/>
    <w:rsid w:val="00AE2DDB"/>
    <w:rsid w:val="00AE47F0"/>
    <w:rsid w:val="00AE4F99"/>
    <w:rsid w:val="00AE626C"/>
    <w:rsid w:val="00AE6F15"/>
    <w:rsid w:val="00AE771B"/>
    <w:rsid w:val="00AE7949"/>
    <w:rsid w:val="00AE7B3F"/>
    <w:rsid w:val="00AE7D3D"/>
    <w:rsid w:val="00AF01B2"/>
    <w:rsid w:val="00AF06E1"/>
    <w:rsid w:val="00AF15C6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FE"/>
    <w:rsid w:val="00B01136"/>
    <w:rsid w:val="00B01155"/>
    <w:rsid w:val="00B01533"/>
    <w:rsid w:val="00B02064"/>
    <w:rsid w:val="00B03638"/>
    <w:rsid w:val="00B0366F"/>
    <w:rsid w:val="00B04175"/>
    <w:rsid w:val="00B05438"/>
    <w:rsid w:val="00B06227"/>
    <w:rsid w:val="00B10211"/>
    <w:rsid w:val="00B125DF"/>
    <w:rsid w:val="00B12CC4"/>
    <w:rsid w:val="00B1362B"/>
    <w:rsid w:val="00B138C0"/>
    <w:rsid w:val="00B14952"/>
    <w:rsid w:val="00B152C9"/>
    <w:rsid w:val="00B168D2"/>
    <w:rsid w:val="00B1691A"/>
    <w:rsid w:val="00B16A9B"/>
    <w:rsid w:val="00B171BA"/>
    <w:rsid w:val="00B17E1B"/>
    <w:rsid w:val="00B2134B"/>
    <w:rsid w:val="00B2194A"/>
    <w:rsid w:val="00B2215B"/>
    <w:rsid w:val="00B22545"/>
    <w:rsid w:val="00B2279B"/>
    <w:rsid w:val="00B228F5"/>
    <w:rsid w:val="00B22BA1"/>
    <w:rsid w:val="00B22DFE"/>
    <w:rsid w:val="00B23EBD"/>
    <w:rsid w:val="00B240EB"/>
    <w:rsid w:val="00B2462B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06F"/>
    <w:rsid w:val="00B3556C"/>
    <w:rsid w:val="00B40010"/>
    <w:rsid w:val="00B41619"/>
    <w:rsid w:val="00B41969"/>
    <w:rsid w:val="00B41AC9"/>
    <w:rsid w:val="00B4311B"/>
    <w:rsid w:val="00B4375E"/>
    <w:rsid w:val="00B438BA"/>
    <w:rsid w:val="00B440B8"/>
    <w:rsid w:val="00B4459D"/>
    <w:rsid w:val="00B44E67"/>
    <w:rsid w:val="00B4565C"/>
    <w:rsid w:val="00B45D46"/>
    <w:rsid w:val="00B462A1"/>
    <w:rsid w:val="00B47C5B"/>
    <w:rsid w:val="00B47D3F"/>
    <w:rsid w:val="00B51A57"/>
    <w:rsid w:val="00B52112"/>
    <w:rsid w:val="00B52BD8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1BEC"/>
    <w:rsid w:val="00B624E9"/>
    <w:rsid w:val="00B62871"/>
    <w:rsid w:val="00B6292F"/>
    <w:rsid w:val="00B62CFE"/>
    <w:rsid w:val="00B63352"/>
    <w:rsid w:val="00B63556"/>
    <w:rsid w:val="00B64845"/>
    <w:rsid w:val="00B64C85"/>
    <w:rsid w:val="00B6525E"/>
    <w:rsid w:val="00B653AB"/>
    <w:rsid w:val="00B65F9E"/>
    <w:rsid w:val="00B66281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1225"/>
    <w:rsid w:val="00B71475"/>
    <w:rsid w:val="00B71855"/>
    <w:rsid w:val="00B71B74"/>
    <w:rsid w:val="00B7235F"/>
    <w:rsid w:val="00B72E2F"/>
    <w:rsid w:val="00B73612"/>
    <w:rsid w:val="00B7424B"/>
    <w:rsid w:val="00B74623"/>
    <w:rsid w:val="00B74EC0"/>
    <w:rsid w:val="00B759DD"/>
    <w:rsid w:val="00B761C1"/>
    <w:rsid w:val="00B761FC"/>
    <w:rsid w:val="00B76E7A"/>
    <w:rsid w:val="00B7774E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94F"/>
    <w:rsid w:val="00B83FC5"/>
    <w:rsid w:val="00B85B0E"/>
    <w:rsid w:val="00B8679E"/>
    <w:rsid w:val="00B86A70"/>
    <w:rsid w:val="00B86DC4"/>
    <w:rsid w:val="00B8784D"/>
    <w:rsid w:val="00B87889"/>
    <w:rsid w:val="00B87B0F"/>
    <w:rsid w:val="00B914E9"/>
    <w:rsid w:val="00B92916"/>
    <w:rsid w:val="00B946BB"/>
    <w:rsid w:val="00B95145"/>
    <w:rsid w:val="00B956EE"/>
    <w:rsid w:val="00B96047"/>
    <w:rsid w:val="00B96C90"/>
    <w:rsid w:val="00B97998"/>
    <w:rsid w:val="00BA07CF"/>
    <w:rsid w:val="00BA0C2D"/>
    <w:rsid w:val="00BA0E78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DF3"/>
    <w:rsid w:val="00BB2FC1"/>
    <w:rsid w:val="00BB3B7F"/>
    <w:rsid w:val="00BB4747"/>
    <w:rsid w:val="00BB624C"/>
    <w:rsid w:val="00BB768F"/>
    <w:rsid w:val="00BB7D28"/>
    <w:rsid w:val="00BC01E2"/>
    <w:rsid w:val="00BC022B"/>
    <w:rsid w:val="00BC1F7C"/>
    <w:rsid w:val="00BC27E7"/>
    <w:rsid w:val="00BC29BD"/>
    <w:rsid w:val="00BC3E9C"/>
    <w:rsid w:val="00BC4B00"/>
    <w:rsid w:val="00BC54E6"/>
    <w:rsid w:val="00BC56C8"/>
    <w:rsid w:val="00BC5D4E"/>
    <w:rsid w:val="00BC6015"/>
    <w:rsid w:val="00BC6C2E"/>
    <w:rsid w:val="00BD0860"/>
    <w:rsid w:val="00BD214B"/>
    <w:rsid w:val="00BD23B3"/>
    <w:rsid w:val="00BD2DDA"/>
    <w:rsid w:val="00BD34B6"/>
    <w:rsid w:val="00BD3AA2"/>
    <w:rsid w:val="00BD3AD5"/>
    <w:rsid w:val="00BD4B70"/>
    <w:rsid w:val="00BD4E33"/>
    <w:rsid w:val="00BD5271"/>
    <w:rsid w:val="00BD5E10"/>
    <w:rsid w:val="00BD60C7"/>
    <w:rsid w:val="00BD6478"/>
    <w:rsid w:val="00BE094A"/>
    <w:rsid w:val="00BE0956"/>
    <w:rsid w:val="00BE131C"/>
    <w:rsid w:val="00BE1FB4"/>
    <w:rsid w:val="00BE2638"/>
    <w:rsid w:val="00BE2C8D"/>
    <w:rsid w:val="00BE2E0F"/>
    <w:rsid w:val="00BE34A5"/>
    <w:rsid w:val="00BE3A55"/>
    <w:rsid w:val="00BE455E"/>
    <w:rsid w:val="00BE4579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FB3"/>
    <w:rsid w:val="00BF1E98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BD9"/>
    <w:rsid w:val="00BF6FE5"/>
    <w:rsid w:val="00BF7284"/>
    <w:rsid w:val="00BF75C9"/>
    <w:rsid w:val="00C009C4"/>
    <w:rsid w:val="00C00A6E"/>
    <w:rsid w:val="00C00BF5"/>
    <w:rsid w:val="00C0125E"/>
    <w:rsid w:val="00C013E6"/>
    <w:rsid w:val="00C01489"/>
    <w:rsid w:val="00C01726"/>
    <w:rsid w:val="00C030DE"/>
    <w:rsid w:val="00C0379E"/>
    <w:rsid w:val="00C041B3"/>
    <w:rsid w:val="00C05487"/>
    <w:rsid w:val="00C0592A"/>
    <w:rsid w:val="00C06780"/>
    <w:rsid w:val="00C06950"/>
    <w:rsid w:val="00C06A88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217A"/>
    <w:rsid w:val="00C326CF"/>
    <w:rsid w:val="00C3328F"/>
    <w:rsid w:val="00C33916"/>
    <w:rsid w:val="00C34AB0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D1C"/>
    <w:rsid w:val="00C43E0B"/>
    <w:rsid w:val="00C44E36"/>
    <w:rsid w:val="00C4523F"/>
    <w:rsid w:val="00C4577D"/>
    <w:rsid w:val="00C4726F"/>
    <w:rsid w:val="00C4735E"/>
    <w:rsid w:val="00C47A6B"/>
    <w:rsid w:val="00C47D32"/>
    <w:rsid w:val="00C51B9B"/>
    <w:rsid w:val="00C52068"/>
    <w:rsid w:val="00C53CB4"/>
    <w:rsid w:val="00C540DF"/>
    <w:rsid w:val="00C55277"/>
    <w:rsid w:val="00C55544"/>
    <w:rsid w:val="00C55BC6"/>
    <w:rsid w:val="00C571D6"/>
    <w:rsid w:val="00C57244"/>
    <w:rsid w:val="00C6025E"/>
    <w:rsid w:val="00C6164F"/>
    <w:rsid w:val="00C61FD7"/>
    <w:rsid w:val="00C61FFB"/>
    <w:rsid w:val="00C62133"/>
    <w:rsid w:val="00C6218D"/>
    <w:rsid w:val="00C62478"/>
    <w:rsid w:val="00C62D1C"/>
    <w:rsid w:val="00C62E3A"/>
    <w:rsid w:val="00C63697"/>
    <w:rsid w:val="00C64334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1BA2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353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6E7B"/>
    <w:rsid w:val="00C90019"/>
    <w:rsid w:val="00C90962"/>
    <w:rsid w:val="00C91687"/>
    <w:rsid w:val="00C9221A"/>
    <w:rsid w:val="00C924A8"/>
    <w:rsid w:val="00C9276F"/>
    <w:rsid w:val="00C93210"/>
    <w:rsid w:val="00C93F22"/>
    <w:rsid w:val="00C944C4"/>
    <w:rsid w:val="00C945FE"/>
    <w:rsid w:val="00C954FE"/>
    <w:rsid w:val="00C9611F"/>
    <w:rsid w:val="00C9674F"/>
    <w:rsid w:val="00C96EAC"/>
    <w:rsid w:val="00C96FAA"/>
    <w:rsid w:val="00C97538"/>
    <w:rsid w:val="00C97A04"/>
    <w:rsid w:val="00CA0A3A"/>
    <w:rsid w:val="00CA107B"/>
    <w:rsid w:val="00CA1341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6462"/>
    <w:rsid w:val="00CA7B7B"/>
    <w:rsid w:val="00CA7C87"/>
    <w:rsid w:val="00CB1C25"/>
    <w:rsid w:val="00CB30D1"/>
    <w:rsid w:val="00CB31CA"/>
    <w:rsid w:val="00CB37B0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015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6A3"/>
    <w:rsid w:val="00CD0936"/>
    <w:rsid w:val="00CD0A2B"/>
    <w:rsid w:val="00CD0E08"/>
    <w:rsid w:val="00CD103D"/>
    <w:rsid w:val="00CD26D8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744"/>
    <w:rsid w:val="00CE49B8"/>
    <w:rsid w:val="00CE5A42"/>
    <w:rsid w:val="00CE66FD"/>
    <w:rsid w:val="00CE7825"/>
    <w:rsid w:val="00CE7CE8"/>
    <w:rsid w:val="00CE7F75"/>
    <w:rsid w:val="00CF01FB"/>
    <w:rsid w:val="00CF0476"/>
    <w:rsid w:val="00CF04B4"/>
    <w:rsid w:val="00CF10FB"/>
    <w:rsid w:val="00CF11C0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6AF"/>
    <w:rsid w:val="00D01C08"/>
    <w:rsid w:val="00D01E21"/>
    <w:rsid w:val="00D025F3"/>
    <w:rsid w:val="00D02743"/>
    <w:rsid w:val="00D029D0"/>
    <w:rsid w:val="00D05D30"/>
    <w:rsid w:val="00D05FA7"/>
    <w:rsid w:val="00D075C5"/>
    <w:rsid w:val="00D10042"/>
    <w:rsid w:val="00D11189"/>
    <w:rsid w:val="00D11AA1"/>
    <w:rsid w:val="00D122F8"/>
    <w:rsid w:val="00D123D0"/>
    <w:rsid w:val="00D1323D"/>
    <w:rsid w:val="00D144A6"/>
    <w:rsid w:val="00D16EF1"/>
    <w:rsid w:val="00D20E75"/>
    <w:rsid w:val="00D215E4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ACA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6D1"/>
    <w:rsid w:val="00D33863"/>
    <w:rsid w:val="00D338F8"/>
    <w:rsid w:val="00D34617"/>
    <w:rsid w:val="00D3563B"/>
    <w:rsid w:val="00D35ABF"/>
    <w:rsid w:val="00D36A5E"/>
    <w:rsid w:val="00D36FC0"/>
    <w:rsid w:val="00D37BB9"/>
    <w:rsid w:val="00D37E99"/>
    <w:rsid w:val="00D401E4"/>
    <w:rsid w:val="00D40CAD"/>
    <w:rsid w:val="00D40CBF"/>
    <w:rsid w:val="00D413CF"/>
    <w:rsid w:val="00D41F03"/>
    <w:rsid w:val="00D42AFD"/>
    <w:rsid w:val="00D42BF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9FC"/>
    <w:rsid w:val="00D5347D"/>
    <w:rsid w:val="00D53948"/>
    <w:rsid w:val="00D53CB6"/>
    <w:rsid w:val="00D53FE1"/>
    <w:rsid w:val="00D540E8"/>
    <w:rsid w:val="00D54900"/>
    <w:rsid w:val="00D54F80"/>
    <w:rsid w:val="00D55103"/>
    <w:rsid w:val="00D55142"/>
    <w:rsid w:val="00D5632E"/>
    <w:rsid w:val="00D5637B"/>
    <w:rsid w:val="00D56B64"/>
    <w:rsid w:val="00D56FC6"/>
    <w:rsid w:val="00D57132"/>
    <w:rsid w:val="00D57156"/>
    <w:rsid w:val="00D57E8A"/>
    <w:rsid w:val="00D60C1F"/>
    <w:rsid w:val="00D616D2"/>
    <w:rsid w:val="00D61B6D"/>
    <w:rsid w:val="00D61EA7"/>
    <w:rsid w:val="00D61F51"/>
    <w:rsid w:val="00D61F90"/>
    <w:rsid w:val="00D62FA8"/>
    <w:rsid w:val="00D63074"/>
    <w:rsid w:val="00D63B5F"/>
    <w:rsid w:val="00D63BB9"/>
    <w:rsid w:val="00D63D5A"/>
    <w:rsid w:val="00D643D6"/>
    <w:rsid w:val="00D65656"/>
    <w:rsid w:val="00D65740"/>
    <w:rsid w:val="00D666D4"/>
    <w:rsid w:val="00D66C25"/>
    <w:rsid w:val="00D66EF5"/>
    <w:rsid w:val="00D6738D"/>
    <w:rsid w:val="00D675F9"/>
    <w:rsid w:val="00D67AEF"/>
    <w:rsid w:val="00D703C8"/>
    <w:rsid w:val="00D70951"/>
    <w:rsid w:val="00D70C64"/>
    <w:rsid w:val="00D70EF7"/>
    <w:rsid w:val="00D72229"/>
    <w:rsid w:val="00D7255C"/>
    <w:rsid w:val="00D726EE"/>
    <w:rsid w:val="00D72FC1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6589"/>
    <w:rsid w:val="00D76B69"/>
    <w:rsid w:val="00D770E1"/>
    <w:rsid w:val="00D7722F"/>
    <w:rsid w:val="00D776B2"/>
    <w:rsid w:val="00D803EB"/>
    <w:rsid w:val="00D811D2"/>
    <w:rsid w:val="00D81632"/>
    <w:rsid w:val="00D81A44"/>
    <w:rsid w:val="00D82A72"/>
    <w:rsid w:val="00D82C75"/>
    <w:rsid w:val="00D8397C"/>
    <w:rsid w:val="00D84257"/>
    <w:rsid w:val="00D84472"/>
    <w:rsid w:val="00D844EE"/>
    <w:rsid w:val="00D84A46"/>
    <w:rsid w:val="00D85184"/>
    <w:rsid w:val="00D85353"/>
    <w:rsid w:val="00D85549"/>
    <w:rsid w:val="00D858BA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021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EBC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0F9"/>
    <w:rsid w:val="00DA6D4B"/>
    <w:rsid w:val="00DA7C1D"/>
    <w:rsid w:val="00DA7CE5"/>
    <w:rsid w:val="00DA7FF7"/>
    <w:rsid w:val="00DB0907"/>
    <w:rsid w:val="00DB147A"/>
    <w:rsid w:val="00DB1B7A"/>
    <w:rsid w:val="00DB30C8"/>
    <w:rsid w:val="00DB3274"/>
    <w:rsid w:val="00DB350A"/>
    <w:rsid w:val="00DB36DA"/>
    <w:rsid w:val="00DB3CD9"/>
    <w:rsid w:val="00DB3FDE"/>
    <w:rsid w:val="00DB4087"/>
    <w:rsid w:val="00DB4443"/>
    <w:rsid w:val="00DB51B4"/>
    <w:rsid w:val="00DB5226"/>
    <w:rsid w:val="00DB550C"/>
    <w:rsid w:val="00DB57CE"/>
    <w:rsid w:val="00DB599D"/>
    <w:rsid w:val="00DB5A91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E22"/>
    <w:rsid w:val="00DC42F7"/>
    <w:rsid w:val="00DC4CFA"/>
    <w:rsid w:val="00DC51C8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50E3"/>
    <w:rsid w:val="00DD52CE"/>
    <w:rsid w:val="00DD6945"/>
    <w:rsid w:val="00DD6CCB"/>
    <w:rsid w:val="00DD7814"/>
    <w:rsid w:val="00DE08D5"/>
    <w:rsid w:val="00DE146B"/>
    <w:rsid w:val="00DE2558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F0A00"/>
    <w:rsid w:val="00DF0DE3"/>
    <w:rsid w:val="00DF1833"/>
    <w:rsid w:val="00DF1BC8"/>
    <w:rsid w:val="00DF2827"/>
    <w:rsid w:val="00DF2D14"/>
    <w:rsid w:val="00DF382B"/>
    <w:rsid w:val="00DF3C45"/>
    <w:rsid w:val="00DF42EA"/>
    <w:rsid w:val="00DF45C5"/>
    <w:rsid w:val="00DF476C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3530"/>
    <w:rsid w:val="00E03D47"/>
    <w:rsid w:val="00E045BD"/>
    <w:rsid w:val="00E04C02"/>
    <w:rsid w:val="00E04CC8"/>
    <w:rsid w:val="00E0528D"/>
    <w:rsid w:val="00E05459"/>
    <w:rsid w:val="00E05981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6D"/>
    <w:rsid w:val="00E178F3"/>
    <w:rsid w:val="00E17B77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1D33"/>
    <w:rsid w:val="00E32061"/>
    <w:rsid w:val="00E32A88"/>
    <w:rsid w:val="00E33FC7"/>
    <w:rsid w:val="00E34E11"/>
    <w:rsid w:val="00E352B8"/>
    <w:rsid w:val="00E35BFF"/>
    <w:rsid w:val="00E35D65"/>
    <w:rsid w:val="00E368E1"/>
    <w:rsid w:val="00E370F3"/>
    <w:rsid w:val="00E37869"/>
    <w:rsid w:val="00E37F2F"/>
    <w:rsid w:val="00E4066E"/>
    <w:rsid w:val="00E40A17"/>
    <w:rsid w:val="00E4162A"/>
    <w:rsid w:val="00E41A33"/>
    <w:rsid w:val="00E426C0"/>
    <w:rsid w:val="00E426CD"/>
    <w:rsid w:val="00E42C3E"/>
    <w:rsid w:val="00E42FF9"/>
    <w:rsid w:val="00E43767"/>
    <w:rsid w:val="00E43880"/>
    <w:rsid w:val="00E43F09"/>
    <w:rsid w:val="00E43FD8"/>
    <w:rsid w:val="00E444EA"/>
    <w:rsid w:val="00E4471B"/>
    <w:rsid w:val="00E44C0F"/>
    <w:rsid w:val="00E44D60"/>
    <w:rsid w:val="00E44E82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969"/>
    <w:rsid w:val="00E47B2B"/>
    <w:rsid w:val="00E47D5C"/>
    <w:rsid w:val="00E504A0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43D"/>
    <w:rsid w:val="00E556C9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1C8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77B46"/>
    <w:rsid w:val="00E80633"/>
    <w:rsid w:val="00E80F43"/>
    <w:rsid w:val="00E816F6"/>
    <w:rsid w:val="00E81D1F"/>
    <w:rsid w:val="00E8342D"/>
    <w:rsid w:val="00E83942"/>
    <w:rsid w:val="00E84777"/>
    <w:rsid w:val="00E84888"/>
    <w:rsid w:val="00E84AA3"/>
    <w:rsid w:val="00E84EBA"/>
    <w:rsid w:val="00E854AF"/>
    <w:rsid w:val="00E864D2"/>
    <w:rsid w:val="00E86624"/>
    <w:rsid w:val="00E86D8E"/>
    <w:rsid w:val="00E86E65"/>
    <w:rsid w:val="00E87E3C"/>
    <w:rsid w:val="00E90C23"/>
    <w:rsid w:val="00E91653"/>
    <w:rsid w:val="00E920B2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DA"/>
    <w:rsid w:val="00E95ADB"/>
    <w:rsid w:val="00E95C4B"/>
    <w:rsid w:val="00E95F93"/>
    <w:rsid w:val="00E96E40"/>
    <w:rsid w:val="00E9781B"/>
    <w:rsid w:val="00E97A14"/>
    <w:rsid w:val="00EA01F1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5C0F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2DA3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1F8"/>
    <w:rsid w:val="00EC62A3"/>
    <w:rsid w:val="00EC6420"/>
    <w:rsid w:val="00EC67B5"/>
    <w:rsid w:val="00EC6CFA"/>
    <w:rsid w:val="00EC7FCC"/>
    <w:rsid w:val="00ED0279"/>
    <w:rsid w:val="00ED11AB"/>
    <w:rsid w:val="00ED13F7"/>
    <w:rsid w:val="00ED3151"/>
    <w:rsid w:val="00ED32B4"/>
    <w:rsid w:val="00ED3542"/>
    <w:rsid w:val="00ED4FDD"/>
    <w:rsid w:val="00ED55C0"/>
    <w:rsid w:val="00ED5908"/>
    <w:rsid w:val="00ED62C2"/>
    <w:rsid w:val="00ED670D"/>
    <w:rsid w:val="00ED682B"/>
    <w:rsid w:val="00EE027D"/>
    <w:rsid w:val="00EE095C"/>
    <w:rsid w:val="00EE176B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1E6D"/>
    <w:rsid w:val="00EF2275"/>
    <w:rsid w:val="00EF3C9B"/>
    <w:rsid w:val="00EF47A0"/>
    <w:rsid w:val="00EF58D7"/>
    <w:rsid w:val="00EF686D"/>
    <w:rsid w:val="00EF7B65"/>
    <w:rsid w:val="00EF7B92"/>
    <w:rsid w:val="00F00196"/>
    <w:rsid w:val="00F001A8"/>
    <w:rsid w:val="00F00806"/>
    <w:rsid w:val="00F02279"/>
    <w:rsid w:val="00F036BD"/>
    <w:rsid w:val="00F037A4"/>
    <w:rsid w:val="00F037E7"/>
    <w:rsid w:val="00F03AE0"/>
    <w:rsid w:val="00F03FEA"/>
    <w:rsid w:val="00F04FC6"/>
    <w:rsid w:val="00F05545"/>
    <w:rsid w:val="00F072F9"/>
    <w:rsid w:val="00F073D0"/>
    <w:rsid w:val="00F10C4B"/>
    <w:rsid w:val="00F11006"/>
    <w:rsid w:val="00F11B41"/>
    <w:rsid w:val="00F121A7"/>
    <w:rsid w:val="00F1268D"/>
    <w:rsid w:val="00F12E36"/>
    <w:rsid w:val="00F13D23"/>
    <w:rsid w:val="00F15007"/>
    <w:rsid w:val="00F15FE1"/>
    <w:rsid w:val="00F16D68"/>
    <w:rsid w:val="00F17264"/>
    <w:rsid w:val="00F17791"/>
    <w:rsid w:val="00F20C16"/>
    <w:rsid w:val="00F21675"/>
    <w:rsid w:val="00F21B3D"/>
    <w:rsid w:val="00F22774"/>
    <w:rsid w:val="00F229C7"/>
    <w:rsid w:val="00F22C60"/>
    <w:rsid w:val="00F2468F"/>
    <w:rsid w:val="00F2486B"/>
    <w:rsid w:val="00F24F3A"/>
    <w:rsid w:val="00F25162"/>
    <w:rsid w:val="00F25231"/>
    <w:rsid w:val="00F25DA4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2D9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1922"/>
    <w:rsid w:val="00F52B89"/>
    <w:rsid w:val="00F533FF"/>
    <w:rsid w:val="00F53E18"/>
    <w:rsid w:val="00F53EA6"/>
    <w:rsid w:val="00F53F9B"/>
    <w:rsid w:val="00F54D0D"/>
    <w:rsid w:val="00F54FDE"/>
    <w:rsid w:val="00F550DC"/>
    <w:rsid w:val="00F55C9E"/>
    <w:rsid w:val="00F5619A"/>
    <w:rsid w:val="00F5668E"/>
    <w:rsid w:val="00F56A3E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71BDD"/>
    <w:rsid w:val="00F720E6"/>
    <w:rsid w:val="00F721CD"/>
    <w:rsid w:val="00F7265E"/>
    <w:rsid w:val="00F72CC6"/>
    <w:rsid w:val="00F73919"/>
    <w:rsid w:val="00F73B32"/>
    <w:rsid w:val="00F74656"/>
    <w:rsid w:val="00F749DA"/>
    <w:rsid w:val="00F74B8C"/>
    <w:rsid w:val="00F74FA7"/>
    <w:rsid w:val="00F74FC1"/>
    <w:rsid w:val="00F75B48"/>
    <w:rsid w:val="00F75CFF"/>
    <w:rsid w:val="00F76212"/>
    <w:rsid w:val="00F7680C"/>
    <w:rsid w:val="00F7753D"/>
    <w:rsid w:val="00F77788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51C0"/>
    <w:rsid w:val="00F86024"/>
    <w:rsid w:val="00F8603C"/>
    <w:rsid w:val="00F8611A"/>
    <w:rsid w:val="00F867A1"/>
    <w:rsid w:val="00F86954"/>
    <w:rsid w:val="00F872C2"/>
    <w:rsid w:val="00F90052"/>
    <w:rsid w:val="00F90614"/>
    <w:rsid w:val="00F90DD2"/>
    <w:rsid w:val="00F90EEE"/>
    <w:rsid w:val="00F91250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1F55"/>
    <w:rsid w:val="00FA21B5"/>
    <w:rsid w:val="00FA4270"/>
    <w:rsid w:val="00FA4353"/>
    <w:rsid w:val="00FA43B7"/>
    <w:rsid w:val="00FA4C74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58E0"/>
    <w:rsid w:val="00FC5F26"/>
    <w:rsid w:val="00FC666F"/>
    <w:rsid w:val="00FC6D31"/>
    <w:rsid w:val="00FC6E6B"/>
    <w:rsid w:val="00FC76E2"/>
    <w:rsid w:val="00FD0303"/>
    <w:rsid w:val="00FD054F"/>
    <w:rsid w:val="00FD098D"/>
    <w:rsid w:val="00FD0A15"/>
    <w:rsid w:val="00FD1343"/>
    <w:rsid w:val="00FD179A"/>
    <w:rsid w:val="00FD3C4C"/>
    <w:rsid w:val="00FD471F"/>
    <w:rsid w:val="00FD5142"/>
    <w:rsid w:val="00FD51B5"/>
    <w:rsid w:val="00FD5BC1"/>
    <w:rsid w:val="00FD6D55"/>
    <w:rsid w:val="00FD6F1D"/>
    <w:rsid w:val="00FD78A9"/>
    <w:rsid w:val="00FD7B34"/>
    <w:rsid w:val="00FE039E"/>
    <w:rsid w:val="00FE1003"/>
    <w:rsid w:val="00FE118A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2719"/>
    <w:rsid w:val="00FF356A"/>
    <w:rsid w:val="00FF41ED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42018,2,15.html" TargetMode="External"/><Relationship Id="rId39" Type="http://schemas.openxmlformats.org/officeDocument/2006/relationships/hyperlink" Target="https://stat.gov.pl/metainformacje/slownik-pojec/pojecia-stosowane-w-statystyce-publicznej/3234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obszary-tematyczne/rolnictwo-lesnictwo/rolnictwo/skup-i-ceny-produktow-rolnych-w-2018-roku,7,15.html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s://stat.gov.pl/metainformacje/slownik-pojec/pojecia-stosowane-w-statystyce-publicznej/529,pojecie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hyperlink" Target="https://stat.gov.pl/en/topics/prices-trade/prices/prices-in-the-national-economy-in-20142018,2,15.html" TargetMode="External"/><Relationship Id="rId43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8" Type="http://schemas.openxmlformats.org/officeDocument/2006/relationships/hyperlink" Target="https://stat.gov.pl/metainformacje/slownik-pojec/pojecia-stosowane-w-statystyce-publicznej/2331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948175396994292E-2"/>
          <c:y val="0.10971521607927351"/>
          <c:w val="0.94066863263713663"/>
          <c:h val="0.7008368071638105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099605792522E-2"/>
                  <c:y val="4.5845018035847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794331573680071E-2"/>
                  <c:y val="-3.28882083144570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788549331072113E-2"/>
                  <c:y val="-1.565560017770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476818776031396E-2"/>
                  <c:y val="-4.75292994792763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46665819344E-2"/>
                      <c:h val="5.90127639400753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16338836024E-2"/>
                  <c:y val="5.17456173593274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68358009302891E-2"/>
                  <c:y val="5.05312504386148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70605701314412E-2"/>
                  <c:y val="-4.67281429393518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5878454382391437E-2"/>
                  <c:y val="5.98823810125338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77399446690783E-2"/>
                  <c:y val="5.822560949934733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709026236585294E-2"/>
                  <c:y val="-5.1824217160020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714964683468718E-2"/>
                  <c:y val="-5.81088326526029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761995966722E-2"/>
                  <c:y val="6.14729041222787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453723689944259E-2"/>
                  <c:y val="-6.02697657445226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7332664498018835E-2"/>
                  <c:y val="5.281289036731370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175609805531071E-2"/>
                      <c:h val="0.2143545693151992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4.2391592942774142E-2"/>
                  <c:y val="5.39037433155078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0164979377577898E-2"/>
                  <c:y val="-6.703945429281232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2.0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5.2162263500846275E-2"/>
                  <c:y val="5.675158252277288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4177788587237407E-2"/>
                  <c:y val="4.246887588249329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5.4269522233088847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0965250965248E-2"/>
                  <c:y val="-4.091203840161691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35513128427E-2"/>
                  <c:y val="-6.2328799809114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1.3176055695740924E-2"/>
                  <c:y val="4.997150757224859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5.529347548276977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wskaźnik!$B$4:$B$26</c:f>
              <c:numCache>
                <c:formatCode>0.0</c:formatCode>
                <c:ptCount val="23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  <c:pt idx="20">
                  <c:v>1.3</c:v>
                </c:pt>
                <c:pt idx="21">
                  <c:v>1.4</c:v>
                </c:pt>
                <c:pt idx="22">
                  <c:v>-0.2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89924304"/>
        <c:axId val="789923760"/>
        <c:extLst/>
      </c:lineChart>
      <c:catAx>
        <c:axId val="78992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78992376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789923760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0234193698760627E-2"/>
              <c:y val="2.717307395399104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78992430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18503211960383E-2"/>
          <c:y val="9.5946813754879637E-2"/>
          <c:w val="0.91695963418937276"/>
          <c:h val="0.6787753307486310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70223413470031E-2"/>
                  <c:y val="-3.7182381867232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4118E-2"/>
                  <c:y val="-4.11315202618656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68665113327E-2"/>
                  <c:y val="-3.56708544847027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399576266716585E-2"/>
                  <c:y val="-2.6375759352189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680633453545674E-2"/>
                  <c:y val="-2.09369384221421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37812009E-2"/>
                  <c:y val="-3.77916604803618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148209374380693E-2"/>
                  <c:y val="-4.88871124611961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9988205899E-2"/>
                  <c:y val="-4.34885487029857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939371528927E-2"/>
                  <c:y val="-4.01454894280346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580883881227647E-2"/>
                  <c:y val="-5.4268622513556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228692347254E-2"/>
                  <c:y val="-4.97062283175367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48086028812605E-2"/>
                  <c:y val="-4.92610228818552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7133104551413002E-2"/>
                  <c:y val="-3.83792647591992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-7.0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-4.2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1208412484351239E-2"/>
                  <c:y val="7.18760154980626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147924189034379E-2"/>
                  <c:y val="6.1557305336832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9931624520047476E-2"/>
                  <c:y val="4.91702776590799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5.8750114799186017E-3"/>
                  <c:y val="5.39971392464830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wskaźnik!$A$4:$A$26</c:f>
              <c:strCache>
                <c:ptCount val="23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wskaźnik!$B$4:$B$26</c:f>
              <c:numCache>
                <c:formatCode>0.0</c:formatCode>
                <c:ptCount val="23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  <c:pt idx="20">
                  <c:v>-4.9000000000000004</c:v>
                </c:pt>
                <c:pt idx="21">
                  <c:v>-3.8</c:v>
                </c:pt>
                <c:pt idx="22">
                  <c:v>-4.7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89922672"/>
        <c:axId val="789925392"/>
        <c:extLst/>
      </c:lineChart>
      <c:catAx>
        <c:axId val="78992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78992539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789925392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0510820125384879E-2"/>
              <c:y val="2.717401441571072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789922672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08662100576957E-2"/>
          <c:y val="9.3516483342339779E-2"/>
          <c:w val="0.91899280533406735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zyto'!$A$4:$A$26</c:f>
              <c:strCache>
                <c:ptCount val="23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'pszenica i zyto'!$B$4:$B$26</c:f>
              <c:numCache>
                <c:formatCode>0.00</c:formatCode>
                <c:ptCount val="23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  <c:pt idx="20">
                  <c:v>71.38</c:v>
                </c:pt>
                <c:pt idx="21">
                  <c:v>76.42</c:v>
                </c:pt>
                <c:pt idx="22">
                  <c:v>82.3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zyto'!$A$4:$A$26</c:f>
              <c:strCache>
                <c:ptCount val="23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'pszenica i zyto'!$C$4:$C$26</c:f>
              <c:numCache>
                <c:formatCode>0.00</c:formatCode>
                <c:ptCount val="23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  <c:pt idx="20">
                  <c:v>84.86</c:v>
                </c:pt>
                <c:pt idx="21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zyto'!$A$4:$A$26</c:f>
              <c:strCache>
                <c:ptCount val="23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'pszenica i zyto'!$D$4:$D$26</c:f>
              <c:numCache>
                <c:formatCode>0.00</c:formatCode>
                <c:ptCount val="23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  <c:pt idx="20">
                  <c:v>56.21</c:v>
                </c:pt>
                <c:pt idx="21">
                  <c:v>60.24</c:v>
                </c:pt>
                <c:pt idx="22">
                  <c:v>59.88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zyto'!$A$4:$A$26</c:f>
              <c:strCache>
                <c:ptCount val="23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'pszenica i zyto'!$E$4:$E$26</c:f>
              <c:numCache>
                <c:formatCode>0.00</c:formatCode>
                <c:ptCount val="23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  <c:pt idx="20">
                  <c:v>66.260000000000005</c:v>
                </c:pt>
                <c:pt idx="21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9922128"/>
        <c:axId val="789923216"/>
      </c:lineChart>
      <c:catAx>
        <c:axId val="78992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9923216"/>
        <c:crosses val="autoZero"/>
        <c:auto val="1"/>
        <c:lblAlgn val="ctr"/>
        <c:lblOffset val="100"/>
        <c:noMultiLvlLbl val="0"/>
      </c:catAx>
      <c:valAx>
        <c:axId val="78992321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3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3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3.22105515910528E-5"/>
              <c:y val="3.594613369253609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992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3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010654860035387E-2"/>
          <c:y val="7.1242609969083909E-2"/>
          <c:w val="0.89562941858002221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'ziemniaki 4'!$B$4:$B$26</c:f>
              <c:numCache>
                <c:formatCode>0.00</c:formatCode>
                <c:ptCount val="23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  <c:pt idx="20">
                  <c:v>32.479999999999997</c:v>
                </c:pt>
                <c:pt idx="21">
                  <c:v>31</c:v>
                </c:pt>
                <c:pt idx="22">
                  <c:v>30.67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'ziemniaki 4'!$C$4:$C$26</c:f>
              <c:numCache>
                <c:formatCode>General</c:formatCode>
                <c:ptCount val="23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  <c:pt idx="20" formatCode="0.00">
                  <c:v>111.36</c:v>
                </c:pt>
                <c:pt idx="21" formatCode="0.00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2113728"/>
        <c:axId val="792109376"/>
        <c:extLst/>
      </c:lineChart>
      <c:catAx>
        <c:axId val="792113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7921093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9210937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3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7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79211372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89616767721119794"/>
          <c:w val="0.67859576447174885"/>
          <c:h val="8.980344756218491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184605503709581E-2"/>
          <c:y val="7.1001982087290388E-2"/>
          <c:w val="0.95769056201556046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'bydło_trzoda 5'!$B$4:$B$26</c:f>
              <c:numCache>
                <c:formatCode>0.00</c:formatCode>
                <c:ptCount val="23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  <c:pt idx="20">
                  <c:v>6.4</c:v>
                </c:pt>
                <c:pt idx="21">
                  <c:v>6.44</c:v>
                </c:pt>
                <c:pt idx="22">
                  <c:v>6.4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'bydło_trzoda 5'!$C$4:$C$26</c:f>
              <c:numCache>
                <c:formatCode>0.00</c:formatCode>
                <c:ptCount val="23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  <c:pt idx="20">
                  <c:v>7.08</c:v>
                </c:pt>
                <c:pt idx="21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'bydło_trzoda 5'!$D$4:$D$26</c:f>
              <c:numCache>
                <c:formatCode>0.00</c:formatCode>
                <c:ptCount val="23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  <c:pt idx="20">
                  <c:v>4.74</c:v>
                </c:pt>
                <c:pt idx="21">
                  <c:v>4.51</c:v>
                </c:pt>
                <c:pt idx="22">
                  <c:v>4.18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'bydło_trzoda 5'!$E$4:$E$26</c:f>
              <c:numCache>
                <c:formatCode>0.00</c:formatCode>
                <c:ptCount val="23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  <c:pt idx="20">
                  <c:v>5.55</c:v>
                </c:pt>
                <c:pt idx="21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2109920"/>
        <c:axId val="792111552"/>
      </c:lineChart>
      <c:catAx>
        <c:axId val="79210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92111552"/>
        <c:crosses val="autoZero"/>
        <c:auto val="1"/>
        <c:lblAlgn val="ctr"/>
        <c:lblOffset val="100"/>
        <c:noMultiLvlLbl val="0"/>
      </c:catAx>
      <c:valAx>
        <c:axId val="792111552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3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8.3107932119172142E-4"/>
              <c:y val="1.584602569988731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9210992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81798300975736815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7906548405138456E-2"/>
          <c:y val="7.3393368932332143E-2"/>
          <c:w val="0.91163493927334949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'drób_mleko 6'!$B$4:$B$26</c:f>
              <c:numCache>
                <c:formatCode>General</c:formatCode>
                <c:ptCount val="23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  <c:pt idx="20" formatCode="0.00">
                  <c:v>3.51</c:v>
                </c:pt>
                <c:pt idx="21" formatCode="0.00">
                  <c:v>3.48</c:v>
                </c:pt>
                <c:pt idx="22" formatCode="0.00">
                  <c:v>3.36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2112096"/>
        <c:axId val="792110464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6'!$A$4:$A$26</c:f>
              <c:strCache>
                <c:ptCount val="23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'drób_mleko 6'!$C$4:$C$26</c:f>
              <c:numCache>
                <c:formatCode>General</c:formatCode>
                <c:ptCount val="23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  <c:pt idx="20">
                  <c:v>138.16999999999999</c:v>
                </c:pt>
                <c:pt idx="21">
                  <c:v>144.59</c:v>
                </c:pt>
                <c:pt idx="22">
                  <c:v>149.97999999999999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2108832"/>
        <c:axId val="792112640"/>
        <c:extLst/>
      </c:lineChart>
      <c:catAx>
        <c:axId val="79211209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92110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92110464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8408115497277456E-4"/>
              <c:y val="1.0745715609078272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92112096"/>
        <c:crosses val="autoZero"/>
        <c:crossBetween val="between"/>
        <c:majorUnit val="1"/>
      </c:valAx>
      <c:catAx>
        <c:axId val="792108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92112640"/>
        <c:crosses val="autoZero"/>
        <c:auto val="0"/>
        <c:lblAlgn val="ctr"/>
        <c:lblOffset val="100"/>
        <c:noMultiLvlLbl val="0"/>
      </c:catAx>
      <c:valAx>
        <c:axId val="79211264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3498561906964084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9210883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70943759400844697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4BE5-7F86-4AF5-84BC-365405BE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Joanna</dc:creator>
  <cp:lastModifiedBy>Kotowska Joanna</cp:lastModifiedBy>
  <cp:revision>2</cp:revision>
  <cp:lastPrinted>2020-02-21T08:34:00Z</cp:lastPrinted>
  <dcterms:created xsi:type="dcterms:W3CDTF">2020-12-21T11:03:00Z</dcterms:created>
  <dcterms:modified xsi:type="dcterms:W3CDTF">2020-12-21T11:03:00Z</dcterms:modified>
</cp:coreProperties>
</file>