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AC5FD" w14:textId="77777777" w:rsidR="00FB5D78" w:rsidRPr="000F45BD" w:rsidRDefault="009D45E8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596EB1A" wp14:editId="09C5E56B">
                <wp:simplePos x="0" y="0"/>
                <wp:positionH relativeFrom="column">
                  <wp:posOffset>5457825</wp:posOffset>
                </wp:positionH>
                <wp:positionV relativeFrom="paragraph">
                  <wp:posOffset>92075</wp:posOffset>
                </wp:positionV>
                <wp:extent cx="12420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5BE7F" w14:textId="77777777" w:rsidR="00FB5D78" w:rsidRPr="00F75CFF" w:rsidRDefault="00FD098D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25748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3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A32FD9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25748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9688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9.75pt;margin-top:7.25pt;width:97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" filled="f" stroked="f">
                <v:textbox>
                  <w:txbxContent>
                    <w:p w:rsidR="00FB5D78" w:rsidRPr="00F75CFF" w:rsidRDefault="00FD098D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25748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3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A32FD9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25748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25748B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October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2020 </w:t>
      </w:r>
    </w:p>
    <w:p w14:paraId="70AA721E" w14:textId="77777777"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14:paraId="55E8E8CD" w14:textId="77777777" w:rsidR="00670F4C" w:rsidRPr="000F45BD" w:rsidRDefault="009D45E8" w:rsidP="00C3782D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07FEEA5A" wp14:editId="5971462D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75260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59952" w14:textId="77777777" w:rsidR="005332AB" w:rsidRPr="005332AB" w:rsidRDefault="009D45E8" w:rsidP="005332AB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C448D7A" wp14:editId="3CF44AC0">
                                  <wp:extent cx="323850" cy="352425"/>
                                  <wp:effectExtent l="0" t="0" r="0" b="9525"/>
                                  <wp:docPr id="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23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25748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25748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5332AB" w:rsidRPr="005332A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a decrease in procurement prices of basic agricultural products in comparison with </w:t>
                            </w:r>
                            <w:r w:rsidR="0025748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October</w:t>
                            </w:r>
                            <w:r w:rsidR="00FE1465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5332AB" w:rsidRPr="005332A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2019</w:t>
                            </w:r>
                          </w:p>
                          <w:p w14:paraId="00B78EAC" w14:textId="77777777" w:rsidR="00133140" w:rsidRPr="000F45BD" w:rsidRDefault="00133140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8C31" id="_x0000_s1027" type="#_x0000_t202" style="position:absolute;margin-left:0;margin-top:6.35pt;width:138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" fillcolor="#001d77" stroked="f">
                <v:textbox>
                  <w:txbxContent>
                    <w:p w:rsidR="005332AB" w:rsidRPr="005332AB" w:rsidRDefault="009D45E8" w:rsidP="005332AB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FD8454D">
                            <wp:extent cx="323850" cy="352425"/>
                            <wp:effectExtent l="0" t="0" r="0" b="9525"/>
                            <wp:docPr id="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23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25748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25748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5332AB" w:rsidRPr="005332A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a decrease in procurement prices of basic agricultural products in comparison with </w:t>
                      </w:r>
                      <w:r w:rsidR="0025748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October</w:t>
                      </w:r>
                      <w:r w:rsidR="00FE1465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5332AB" w:rsidRPr="005332A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2019</w:t>
                      </w:r>
                    </w:p>
                    <w:p w:rsidR="00133140" w:rsidRPr="000F45BD" w:rsidRDefault="00133140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EC01B6" w:rsidRPr="00EC01B6">
        <w:rPr>
          <w:rFonts w:ascii="Fira Sans" w:hAnsi="Fira Sans"/>
          <w:b/>
          <w:sz w:val="19"/>
          <w:szCs w:val="20"/>
          <w:vertAlign w:val="superscript"/>
          <w:lang w:eastAsia="pl-PL"/>
        </w:rPr>
        <w:footnoteReference w:id="1"/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57486D">
        <w:rPr>
          <w:rFonts w:ascii="Fira Sans" w:hAnsi="Fira Sans"/>
          <w:b/>
          <w:sz w:val="19"/>
          <w:szCs w:val="20"/>
          <w:lang w:val="en-US" w:eastAsia="pl-PL"/>
        </w:rPr>
        <w:t>increased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AF6195">
        <w:rPr>
          <w:rFonts w:ascii="Fira Sans" w:hAnsi="Fira Sans"/>
          <w:b/>
          <w:sz w:val="19"/>
          <w:szCs w:val="20"/>
          <w:lang w:val="en-US" w:eastAsia="pl-PL"/>
        </w:rPr>
        <w:t>October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 xml:space="preserve"> 2020  as related to the previous month by </w:t>
      </w:r>
      <w:r w:rsidR="0057486D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AF6195">
        <w:rPr>
          <w:rFonts w:ascii="Fira Sans" w:hAnsi="Fira Sans"/>
          <w:b/>
          <w:sz w:val="19"/>
          <w:szCs w:val="20"/>
          <w:lang w:val="en-US" w:eastAsia="pl-PL"/>
        </w:rPr>
        <w:t>4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>%</w:t>
      </w:r>
      <w:r w:rsidR="00841F82">
        <w:rPr>
          <w:rFonts w:ascii="Fira Sans" w:hAnsi="Fira Sans"/>
          <w:b/>
          <w:sz w:val="19"/>
          <w:szCs w:val="20"/>
          <w:lang w:val="en-US" w:eastAsia="pl-PL"/>
        </w:rPr>
        <w:t>,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341EC5">
        <w:rPr>
          <w:rFonts w:ascii="Fira Sans" w:hAnsi="Fira Sans"/>
          <w:b/>
          <w:sz w:val="19"/>
          <w:szCs w:val="20"/>
          <w:lang w:val="en-US" w:eastAsia="pl-PL"/>
        </w:rPr>
        <w:t>while were</w:t>
      </w:r>
      <w:r w:rsidR="00533C32">
        <w:rPr>
          <w:rFonts w:ascii="Fira Sans" w:hAnsi="Fira Sans"/>
          <w:b/>
          <w:sz w:val="19"/>
          <w:szCs w:val="20"/>
          <w:lang w:val="en-US" w:eastAsia="pl-PL"/>
        </w:rPr>
        <w:t xml:space="preserve"> still lower 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 xml:space="preserve">compared with the corresponding period of the previous year </w:t>
      </w:r>
      <w:r w:rsidR="0057486D">
        <w:rPr>
          <w:rFonts w:ascii="Fira Sans" w:hAnsi="Fira Sans"/>
          <w:b/>
          <w:sz w:val="19"/>
          <w:szCs w:val="20"/>
          <w:lang w:val="en-US" w:eastAsia="pl-PL"/>
        </w:rPr>
        <w:t>decreased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533C32">
        <w:rPr>
          <w:rFonts w:ascii="Fira Sans" w:hAnsi="Fira Sans"/>
          <w:b/>
          <w:sz w:val="19"/>
          <w:szCs w:val="20"/>
          <w:lang w:val="en-US" w:eastAsia="pl-PL"/>
        </w:rPr>
        <w:t xml:space="preserve"> - 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 xml:space="preserve">by </w:t>
      </w:r>
      <w:r w:rsidR="00AF6195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AF6195">
        <w:rPr>
          <w:rFonts w:ascii="Fira Sans" w:hAnsi="Fira Sans"/>
          <w:b/>
          <w:sz w:val="19"/>
          <w:szCs w:val="20"/>
          <w:lang w:val="en-US" w:eastAsia="pl-PL"/>
        </w:rPr>
        <w:t>8</w:t>
      </w:r>
      <w:r w:rsidR="00EC01B6" w:rsidRPr="00EC01B6">
        <w:rPr>
          <w:rFonts w:ascii="Fira Sans" w:hAnsi="Fira Sans"/>
          <w:b/>
          <w:sz w:val="19"/>
          <w:szCs w:val="20"/>
          <w:lang w:val="en-US" w:eastAsia="pl-PL"/>
        </w:rPr>
        <w:t>%</w:t>
      </w:r>
      <w:r w:rsidR="0036246E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50457F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14:paraId="6337DCB5" w14:textId="77777777" w:rsidR="00113D95" w:rsidRPr="000F45BD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14:paraId="711AFC98" w14:textId="77777777"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14:paraId="33594230" w14:textId="77777777" w:rsidR="00C24635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14:paraId="024D05BB" w14:textId="77777777" w:rsidR="009F5F76" w:rsidRPr="000F45BD" w:rsidRDefault="009F5F76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14:paraId="5FE185B0" w14:textId="77777777"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651D4D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</w:t>
      </w:r>
      <w:r w:rsidR="00EC5F1B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14:paraId="69D297F7" w14:textId="7FBFCA92" w:rsidR="00BC4B00" w:rsidRDefault="00545387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5F713C99" wp14:editId="75EDB5EB">
                <wp:simplePos x="0" y="0"/>
                <wp:positionH relativeFrom="column">
                  <wp:posOffset>5347970</wp:posOffset>
                </wp:positionH>
                <wp:positionV relativeFrom="paragraph">
                  <wp:posOffset>121920</wp:posOffset>
                </wp:positionV>
                <wp:extent cx="1617980" cy="1488440"/>
                <wp:effectExtent l="0" t="0" r="0" b="0"/>
                <wp:wrapTight wrapText="bothSides">
                  <wp:wrapPolygon edited="0">
                    <wp:start x="763" y="0"/>
                    <wp:lineTo x="763" y="21287"/>
                    <wp:lineTo x="20600" y="21287"/>
                    <wp:lineTo x="20600" y="0"/>
                    <wp:lineTo x="763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ABD84" w14:textId="77777777" w:rsidR="00EB2B33" w:rsidRPr="00EB2B33" w:rsidRDefault="00815D7B" w:rsidP="00EB2B33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Higher</w:t>
                            </w:r>
                            <w:r w:rsidR="00EB2B33" w:rsidRPr="00EB2B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procurement prices of basic agricultural products in </w:t>
                            </w:r>
                            <w:r w:rsidR="00B9797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October</w:t>
                            </w:r>
                            <w:r w:rsidR="006D2F1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B2B33" w:rsidRPr="00EB2B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2020 in relation to </w:t>
                            </w:r>
                            <w:r w:rsidR="00AB589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September</w:t>
                            </w:r>
                            <w:r w:rsidR="00EB2B33" w:rsidRPr="00EB2B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 were the result of </w:t>
                            </w:r>
                            <w:r w:rsidR="009B04A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prices growth </w:t>
                            </w:r>
                            <w:r w:rsidR="00EB2B33" w:rsidRPr="00EB2B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</w:t>
                            </w:r>
                            <w:r w:rsidR="00D34D7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wheat, rye, cattle for slaughter and cow’s</w:t>
                            </w:r>
                            <w:r w:rsidR="009266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milk </w:t>
                            </w:r>
                          </w:p>
                          <w:p w14:paraId="63C538B2" w14:textId="77777777"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13C9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21.1pt;margin-top:9.6pt;width:127.4pt;height:117.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" filled="f" stroked="f">
                <v:textbox>
                  <w:txbxContent>
                    <w:p w14:paraId="347ABD84" w14:textId="77777777" w:rsidR="00EB2B33" w:rsidRPr="00EB2B33" w:rsidRDefault="00815D7B" w:rsidP="00EB2B33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Higher</w:t>
                      </w:r>
                      <w:r w:rsidR="00EB2B33" w:rsidRPr="00EB2B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procurement prices of basic agricultural products in </w:t>
                      </w:r>
                      <w:r w:rsidR="00B9797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October</w:t>
                      </w:r>
                      <w:r w:rsidR="006D2F1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B2B33" w:rsidRPr="00EB2B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2020 in relation to </w:t>
                      </w:r>
                      <w:r w:rsidR="00AB589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September</w:t>
                      </w:r>
                      <w:r w:rsidR="00EB2B33" w:rsidRPr="00EB2B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 were the result of </w:t>
                      </w:r>
                      <w:r w:rsidR="009B04A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prices growth </w:t>
                      </w:r>
                      <w:r w:rsidR="00EB2B33" w:rsidRPr="00EB2B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</w:t>
                      </w:r>
                      <w:r w:rsidR="00D34D7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wheat, rye, cattle for slaughter and cow’s</w:t>
                      </w:r>
                      <w:r w:rsidR="009266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milk </w:t>
                      </w:r>
                    </w:p>
                    <w:p w14:paraId="63C538B2" w14:textId="77777777"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D361D">
        <w:rPr>
          <w:noProof/>
          <w:lang w:eastAsia="pl-PL"/>
        </w:rPr>
        <w:drawing>
          <wp:inline distT="0" distB="0" distL="0" distR="0" wp14:anchorId="699E1120" wp14:editId="7BCB4DCE">
            <wp:extent cx="4829175" cy="1714500"/>
            <wp:effectExtent l="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D45E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14925FA2" wp14:editId="4E6B81AC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C40B5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419AB"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s8T7&#10;6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F1CC635" w14:textId="77777777" w:rsidR="00347B4E" w:rsidRPr="000F45BD" w:rsidRDefault="00347B4E" w:rsidP="00A9527D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5F1B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9B04AF">
        <w:rPr>
          <w:rFonts w:ascii="Fira Sans" w:hAnsi="Fira Sans"/>
          <w:b/>
          <w:sz w:val="18"/>
          <w:szCs w:val="18"/>
          <w:lang w:val="en-US"/>
        </w:rPr>
        <w:t xml:space="preserve"> corresponding month of  the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14:paraId="1DECB32D" w14:textId="038E46E2" w:rsidR="009F2576" w:rsidRDefault="00545387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3B67A00" wp14:editId="36B3175E">
                <wp:simplePos x="0" y="0"/>
                <wp:positionH relativeFrom="column">
                  <wp:posOffset>5347970</wp:posOffset>
                </wp:positionH>
                <wp:positionV relativeFrom="paragraph">
                  <wp:posOffset>107315</wp:posOffset>
                </wp:positionV>
                <wp:extent cx="1566545" cy="1553845"/>
                <wp:effectExtent l="0" t="0" r="0" b="0"/>
                <wp:wrapTight wrapText="bothSides">
                  <wp:wrapPolygon edited="0">
                    <wp:start x="788" y="0"/>
                    <wp:lineTo x="788" y="21185"/>
                    <wp:lineTo x="20751" y="21185"/>
                    <wp:lineTo x="20751" y="0"/>
                    <wp:lineTo x="788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155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14C3" w14:textId="77777777" w:rsidR="00FD3413" w:rsidRPr="00FD3413" w:rsidRDefault="00FD3413" w:rsidP="00FD3413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341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fall in procurement prices of basic agricultural products in </w:t>
                            </w:r>
                            <w:r w:rsidR="00926D8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October</w:t>
                            </w:r>
                            <w:r w:rsidRPr="00FD341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this year compared to the same month of the last year was mainly related to pigs for slaughter and poultry prices</w:t>
                            </w:r>
                          </w:p>
                          <w:p w14:paraId="74175122" w14:textId="77777777" w:rsidR="00BA56B8" w:rsidRPr="00661C39" w:rsidRDefault="00661C39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7A00" id="_x0000_s1030" type="#_x0000_t202" style="position:absolute;margin-left:421.1pt;margin-top:8.45pt;width:123.35pt;height:122.3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" filled="f" stroked="f">
                <v:textbox>
                  <w:txbxContent>
                    <w:p w14:paraId="32C614C3" w14:textId="77777777" w:rsidR="00FD3413" w:rsidRPr="00FD3413" w:rsidRDefault="00FD3413" w:rsidP="00FD3413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341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fall in procurement prices of basic agricultural products in </w:t>
                      </w:r>
                      <w:r w:rsidR="00926D8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October</w:t>
                      </w:r>
                      <w:r w:rsidRPr="00FD341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this year compared to the same month of the last year was mainly related to pigs for slaughter and poultry prices</w:t>
                      </w:r>
                    </w:p>
                    <w:p w14:paraId="74175122" w14:textId="77777777" w:rsidR="00BA56B8" w:rsidRPr="00661C39" w:rsidRDefault="00661C39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034CA">
        <w:rPr>
          <w:noProof/>
          <w:lang w:eastAsia="pl-PL"/>
        </w:rPr>
        <w:drawing>
          <wp:inline distT="0" distB="0" distL="0" distR="0" wp14:anchorId="0D5A89B1" wp14:editId="044203ED">
            <wp:extent cx="5019675" cy="1809750"/>
            <wp:effectExtent l="0" t="0" r="9525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A2899C" w14:textId="77777777"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14:paraId="2285EB5B" w14:textId="5662DB8E" w:rsidR="00FB3731" w:rsidRDefault="000F5AA0" w:rsidP="00FB3731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I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n </w:t>
      </w:r>
      <w:r w:rsidR="00B83DD9">
        <w:rPr>
          <w:rFonts w:ascii="Fira Sans" w:hAnsi="Fira Sans"/>
          <w:sz w:val="19"/>
          <w:szCs w:val="18"/>
          <w:lang w:val="en-US"/>
        </w:rPr>
        <w:t>October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 2020 compared to the </w:t>
      </w:r>
      <w:r w:rsidR="00B83DD9">
        <w:rPr>
          <w:rFonts w:ascii="Fira Sans" w:hAnsi="Fira Sans"/>
          <w:sz w:val="19"/>
          <w:szCs w:val="18"/>
          <w:lang w:val="en-US"/>
        </w:rPr>
        <w:t>September</w:t>
      </w:r>
      <w:r w:rsidR="000B1C57">
        <w:rPr>
          <w:rFonts w:ascii="Fira Sans" w:hAnsi="Fira Sans"/>
          <w:sz w:val="19"/>
          <w:szCs w:val="18"/>
          <w:lang w:val="en-US"/>
        </w:rPr>
        <w:t xml:space="preserve"> this year</w:t>
      </w:r>
      <w:r w:rsidR="006F225B">
        <w:rPr>
          <w:rFonts w:ascii="Fira Sans" w:hAnsi="Fira Sans"/>
          <w:sz w:val="19"/>
          <w:szCs w:val="18"/>
          <w:lang w:val="en-US"/>
        </w:rPr>
        <w:t>,</w:t>
      </w:r>
      <w:r w:rsidR="00C71700">
        <w:rPr>
          <w:rFonts w:ascii="Fira Sans" w:hAnsi="Fira Sans"/>
          <w:sz w:val="19"/>
          <w:szCs w:val="18"/>
          <w:lang w:val="en-US"/>
        </w:rPr>
        <w:t xml:space="preserve"> 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procurement prices of most agricultural products </w:t>
      </w:r>
      <w:r w:rsidR="00D872C8">
        <w:rPr>
          <w:rFonts w:ascii="Fira Sans" w:hAnsi="Fira Sans"/>
          <w:sz w:val="19"/>
          <w:szCs w:val="18"/>
          <w:lang w:val="en-US"/>
        </w:rPr>
        <w:t>increased</w:t>
      </w:r>
      <w:r w:rsidR="002A2514">
        <w:rPr>
          <w:rFonts w:ascii="Fira Sans" w:hAnsi="Fira Sans"/>
          <w:sz w:val="19"/>
          <w:szCs w:val="18"/>
          <w:lang w:val="en-US"/>
        </w:rPr>
        <w:t xml:space="preserve"> except maize and poult</w:t>
      </w:r>
      <w:r w:rsidR="00601632">
        <w:rPr>
          <w:rFonts w:ascii="Fira Sans" w:hAnsi="Fira Sans"/>
          <w:sz w:val="19"/>
          <w:szCs w:val="18"/>
          <w:lang w:val="en-US"/>
        </w:rPr>
        <w:t>r</w:t>
      </w:r>
      <w:r w:rsidR="002A2514">
        <w:rPr>
          <w:rFonts w:ascii="Fira Sans" w:hAnsi="Fira Sans"/>
          <w:sz w:val="19"/>
          <w:szCs w:val="18"/>
          <w:lang w:val="en-US"/>
        </w:rPr>
        <w:t>y p</w:t>
      </w:r>
      <w:r w:rsidR="00601632">
        <w:rPr>
          <w:rFonts w:ascii="Fira Sans" w:hAnsi="Fira Sans"/>
          <w:sz w:val="19"/>
          <w:szCs w:val="18"/>
          <w:lang w:val="en-US"/>
        </w:rPr>
        <w:t>rices.</w:t>
      </w:r>
      <w:r w:rsidR="009D26C5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206976">
        <w:rPr>
          <w:rFonts w:ascii="Fira Sans" w:hAnsi="Fira Sans"/>
          <w:sz w:val="19"/>
          <w:szCs w:val="18"/>
          <w:lang w:val="en-US"/>
        </w:rPr>
        <w:t>However</w:t>
      </w:r>
      <w:r w:rsidR="000F6B48">
        <w:rPr>
          <w:rFonts w:ascii="Fira Sans" w:hAnsi="Fira Sans"/>
          <w:sz w:val="19"/>
          <w:szCs w:val="18"/>
          <w:lang w:val="en-US"/>
        </w:rPr>
        <w:t xml:space="preserve"> </w:t>
      </w:r>
      <w:r w:rsidR="00C81504">
        <w:rPr>
          <w:rFonts w:ascii="Fira Sans" w:hAnsi="Fira Sans"/>
          <w:sz w:val="19"/>
          <w:szCs w:val="18"/>
          <w:lang w:val="en-US"/>
        </w:rPr>
        <w:t>decrease</w:t>
      </w:r>
      <w:r w:rsidR="000F6B48">
        <w:rPr>
          <w:rFonts w:ascii="Fira Sans" w:hAnsi="Fira Sans"/>
          <w:sz w:val="19"/>
          <w:szCs w:val="18"/>
          <w:lang w:val="en-US"/>
        </w:rPr>
        <w:t xml:space="preserve"> in prices of most </w:t>
      </w:r>
      <w:r w:rsidR="000F6B48" w:rsidRPr="00661C39">
        <w:rPr>
          <w:rFonts w:ascii="Fira Sans" w:hAnsi="Fira Sans"/>
          <w:sz w:val="19"/>
          <w:szCs w:val="18"/>
          <w:lang w:val="en-US"/>
        </w:rPr>
        <w:t>agricultural products</w:t>
      </w:r>
      <w:r w:rsidR="00FE19DD">
        <w:rPr>
          <w:rFonts w:ascii="Fira Sans" w:hAnsi="Fira Sans"/>
          <w:sz w:val="19"/>
          <w:szCs w:val="18"/>
          <w:lang w:val="en-US"/>
        </w:rPr>
        <w:t xml:space="preserve"> was</w:t>
      </w:r>
      <w:r w:rsidR="00C81504">
        <w:rPr>
          <w:rFonts w:ascii="Fira Sans" w:hAnsi="Fira Sans"/>
          <w:sz w:val="19"/>
          <w:szCs w:val="18"/>
          <w:lang w:val="en-US"/>
        </w:rPr>
        <w:t xml:space="preserve"> </w:t>
      </w:r>
      <w:r w:rsidR="00FE19DD">
        <w:rPr>
          <w:rFonts w:ascii="Fira Sans" w:hAnsi="Fira Sans"/>
          <w:sz w:val="19"/>
          <w:szCs w:val="18"/>
          <w:lang w:val="en-US"/>
        </w:rPr>
        <w:t>observed</w:t>
      </w:r>
      <w:r w:rsidR="008D3D8E">
        <w:rPr>
          <w:rFonts w:ascii="Fira Sans" w:hAnsi="Fira Sans"/>
          <w:sz w:val="19"/>
          <w:szCs w:val="18"/>
          <w:lang w:val="en-US"/>
        </w:rPr>
        <w:t xml:space="preserve"> on marketplaces. </w:t>
      </w:r>
      <w:r w:rsidR="00644749">
        <w:rPr>
          <w:rFonts w:ascii="Fira Sans" w:hAnsi="Fira Sans"/>
          <w:sz w:val="19"/>
          <w:szCs w:val="18"/>
          <w:lang w:val="en-US"/>
        </w:rPr>
        <w:t>On b</w:t>
      </w:r>
      <w:r w:rsidR="00512463">
        <w:rPr>
          <w:rFonts w:ascii="Fira Sans" w:hAnsi="Fira Sans"/>
          <w:sz w:val="19"/>
          <w:szCs w:val="18"/>
          <w:lang w:val="en-US"/>
        </w:rPr>
        <w:t xml:space="preserve">oth </w:t>
      </w:r>
      <w:r w:rsidR="00644749">
        <w:rPr>
          <w:rFonts w:ascii="Fira Sans" w:hAnsi="Fira Sans"/>
          <w:sz w:val="19"/>
          <w:szCs w:val="18"/>
          <w:lang w:val="en-US"/>
        </w:rPr>
        <w:t xml:space="preserve">markets </w:t>
      </w:r>
      <w:r w:rsidR="00281C11">
        <w:rPr>
          <w:rFonts w:ascii="Fira Sans" w:hAnsi="Fira Sans"/>
          <w:sz w:val="19"/>
          <w:szCs w:val="18"/>
          <w:lang w:val="en-US"/>
        </w:rPr>
        <w:t xml:space="preserve">were less paid </w:t>
      </w:r>
      <w:r w:rsidR="004C49F9">
        <w:rPr>
          <w:rFonts w:ascii="Fira Sans" w:hAnsi="Fira Sans"/>
          <w:sz w:val="19"/>
          <w:szCs w:val="18"/>
          <w:lang w:val="en-US"/>
        </w:rPr>
        <w:t xml:space="preserve"> for </w:t>
      </w:r>
      <w:r w:rsidR="002A3E9F">
        <w:rPr>
          <w:rFonts w:ascii="Fira Sans" w:hAnsi="Fira Sans"/>
          <w:sz w:val="19"/>
          <w:szCs w:val="18"/>
          <w:lang w:val="en-US"/>
        </w:rPr>
        <w:t>potatoes and</w:t>
      </w:r>
      <w:r w:rsidR="009A5E69">
        <w:rPr>
          <w:rFonts w:ascii="Fira Sans" w:hAnsi="Fira Sans"/>
          <w:sz w:val="19"/>
          <w:szCs w:val="18"/>
          <w:lang w:val="en-US"/>
        </w:rPr>
        <w:t xml:space="preserve"> pigs for slaughter</w:t>
      </w:r>
      <w:r w:rsidR="00281C11">
        <w:rPr>
          <w:rFonts w:ascii="Fira Sans" w:hAnsi="Fira Sans"/>
          <w:sz w:val="19"/>
          <w:szCs w:val="18"/>
          <w:lang w:val="en-US"/>
        </w:rPr>
        <w:t>.</w:t>
      </w:r>
      <w:r w:rsidR="009A5E69">
        <w:rPr>
          <w:rFonts w:ascii="Fira Sans" w:hAnsi="Fira Sans"/>
          <w:sz w:val="19"/>
          <w:szCs w:val="18"/>
          <w:lang w:val="en-US"/>
        </w:rPr>
        <w:t xml:space="preserve"> </w:t>
      </w:r>
    </w:p>
    <w:p w14:paraId="06A2D90E" w14:textId="77777777" w:rsidR="00070E78" w:rsidRPr="00661C39" w:rsidRDefault="00070E78" w:rsidP="00070E78">
      <w:pPr>
        <w:spacing w:before="120" w:after="120" w:line="240" w:lineRule="auto"/>
        <w:rPr>
          <w:rFonts w:ascii="Fira Sans" w:hAnsi="Fira Sans"/>
          <w:sz w:val="19"/>
          <w:szCs w:val="18"/>
          <w:lang w:val="en-US"/>
        </w:rPr>
      </w:pPr>
    </w:p>
    <w:p w14:paraId="306D9D24" w14:textId="77777777" w:rsidR="00A356AC" w:rsidRPr="00A356AC" w:rsidRDefault="00A356AC" w:rsidP="00A356A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A356AC">
        <w:rPr>
          <w:rFonts w:ascii="Fira Sans" w:hAnsi="Fira Sans"/>
          <w:sz w:val="19"/>
          <w:szCs w:val="18"/>
          <w:lang w:val="en-US"/>
        </w:rPr>
        <w:t xml:space="preserve">Compared with the corresponding month of the previous year, in </w:t>
      </w:r>
      <w:r w:rsidR="00CC5A70">
        <w:rPr>
          <w:rFonts w:ascii="Fira Sans" w:hAnsi="Fira Sans"/>
          <w:sz w:val="19"/>
          <w:szCs w:val="18"/>
          <w:lang w:val="en-US"/>
        </w:rPr>
        <w:t>October</w:t>
      </w:r>
      <w:r w:rsidRPr="00A356AC">
        <w:rPr>
          <w:rFonts w:ascii="Fira Sans" w:hAnsi="Fira Sans"/>
          <w:sz w:val="19"/>
          <w:szCs w:val="18"/>
          <w:lang w:val="en-US"/>
        </w:rPr>
        <w:t xml:space="preserve"> 2020, in procurement </w:t>
      </w:r>
      <w:r w:rsidR="00CE52DE">
        <w:rPr>
          <w:rFonts w:ascii="Fira Sans" w:hAnsi="Fira Sans"/>
          <w:sz w:val="19"/>
          <w:szCs w:val="18"/>
          <w:lang w:val="en-US"/>
        </w:rPr>
        <w:t xml:space="preserve">the </w:t>
      </w:r>
      <w:r w:rsidR="00CC5A70">
        <w:rPr>
          <w:rFonts w:ascii="Fira Sans" w:hAnsi="Fira Sans"/>
          <w:sz w:val="19"/>
          <w:szCs w:val="18"/>
          <w:lang w:val="en-US"/>
        </w:rPr>
        <w:t>prices</w:t>
      </w:r>
      <w:r w:rsidRPr="00A356AC">
        <w:rPr>
          <w:rFonts w:ascii="Fira Sans" w:hAnsi="Fira Sans"/>
          <w:sz w:val="19"/>
          <w:szCs w:val="18"/>
          <w:lang w:val="en-US"/>
        </w:rPr>
        <w:t xml:space="preserve"> of most agricultural products w</w:t>
      </w:r>
      <w:r w:rsidR="00CC5A70">
        <w:rPr>
          <w:rFonts w:ascii="Fira Sans" w:hAnsi="Fira Sans"/>
          <w:sz w:val="19"/>
          <w:szCs w:val="18"/>
          <w:lang w:val="en-US"/>
        </w:rPr>
        <w:t>ere</w:t>
      </w:r>
      <w:r w:rsidRPr="00A356AC">
        <w:rPr>
          <w:rFonts w:ascii="Fira Sans" w:hAnsi="Fira Sans"/>
          <w:sz w:val="19"/>
          <w:szCs w:val="18"/>
          <w:lang w:val="en-US"/>
        </w:rPr>
        <w:t xml:space="preserve"> </w:t>
      </w:r>
      <w:r w:rsidR="00CC5A70">
        <w:rPr>
          <w:rFonts w:ascii="Fira Sans" w:hAnsi="Fira Sans"/>
          <w:sz w:val="19"/>
          <w:szCs w:val="18"/>
          <w:lang w:val="en-US"/>
        </w:rPr>
        <w:t>higher, except prices of poultry.</w:t>
      </w:r>
      <w:r w:rsidRPr="00A356AC">
        <w:rPr>
          <w:rFonts w:ascii="Fira Sans" w:hAnsi="Fira Sans"/>
          <w:sz w:val="19"/>
          <w:szCs w:val="18"/>
          <w:lang w:val="en-US"/>
        </w:rPr>
        <w:t xml:space="preserve"> </w:t>
      </w:r>
      <w:r w:rsidR="00641B68">
        <w:rPr>
          <w:rFonts w:ascii="Fira Sans" w:hAnsi="Fira Sans"/>
          <w:sz w:val="19"/>
          <w:szCs w:val="18"/>
          <w:lang w:val="en-US"/>
        </w:rPr>
        <w:t xml:space="preserve">In marketplace transactions </w:t>
      </w:r>
      <w:r w:rsidRPr="00A356AC">
        <w:rPr>
          <w:rFonts w:ascii="Fira Sans" w:hAnsi="Fira Sans"/>
          <w:sz w:val="19"/>
          <w:szCs w:val="18"/>
          <w:lang w:val="en-US"/>
        </w:rPr>
        <w:t>the prices of</w:t>
      </w:r>
      <w:r w:rsidR="00B44C81">
        <w:rPr>
          <w:rFonts w:ascii="Fira Sans" w:hAnsi="Fira Sans"/>
          <w:sz w:val="19"/>
          <w:szCs w:val="18"/>
          <w:lang w:val="en-US"/>
        </w:rPr>
        <w:t xml:space="preserve"> </w:t>
      </w:r>
      <w:r w:rsidRPr="00A356AC">
        <w:rPr>
          <w:rFonts w:ascii="Fira Sans" w:hAnsi="Fira Sans"/>
          <w:sz w:val="19"/>
          <w:szCs w:val="18"/>
          <w:lang w:val="en-US"/>
        </w:rPr>
        <w:t xml:space="preserve"> </w:t>
      </w:r>
      <w:r w:rsidR="00B44C81" w:rsidRPr="00661C39">
        <w:rPr>
          <w:rFonts w:ascii="Fira Sans" w:hAnsi="Fira Sans"/>
          <w:sz w:val="19"/>
          <w:szCs w:val="18"/>
          <w:lang w:val="en-US"/>
        </w:rPr>
        <w:t>most agricultural products</w:t>
      </w:r>
      <w:r w:rsidR="00B44C81">
        <w:rPr>
          <w:rFonts w:ascii="Fira Sans" w:hAnsi="Fira Sans"/>
          <w:sz w:val="19"/>
          <w:szCs w:val="18"/>
          <w:lang w:val="en-US"/>
        </w:rPr>
        <w:t xml:space="preserve"> were lower. On both markets the prices of oats, potatoes and pigs for slaughter decreased but prices of maize and cattle for slaughter increased</w:t>
      </w:r>
      <w:r w:rsidR="005E6E19">
        <w:rPr>
          <w:rFonts w:ascii="Fira Sans" w:hAnsi="Fira Sans"/>
          <w:sz w:val="19"/>
          <w:szCs w:val="18"/>
          <w:lang w:val="en-US"/>
        </w:rPr>
        <w:t>.</w:t>
      </w:r>
    </w:p>
    <w:p w14:paraId="78324A9D" w14:textId="7BB2EB12" w:rsidR="00B125DF" w:rsidRPr="000F45BD" w:rsidRDefault="00641B68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lastRenderedPageBreak/>
        <w:t>T</w:t>
      </w:r>
      <w:r w:rsidR="00B125DF"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able 1. Prices of agricultural products (excluding VAT) in </w:t>
      </w:r>
      <w:r w:rsidR="00CE52DE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October </w:t>
      </w:r>
      <w:r w:rsidR="00B125DF"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2020 </w:t>
      </w:r>
    </w:p>
    <w:p w14:paraId="3C654F63" w14:textId="77777777" w:rsidR="004656E0" w:rsidRPr="000F45BD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14:paraId="526D269A" w14:textId="77777777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5A3679A" w14:textId="77777777"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CA423B" w14:textId="77777777"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25BAF9E" w14:textId="77777777"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</w:tr>
      <w:tr w:rsidR="004656E0" w:rsidRPr="004656E0" w14:paraId="34C01575" w14:textId="77777777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06EB27E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1C26FBA" w14:textId="77777777" w:rsidR="004656E0" w:rsidRPr="004656E0" w:rsidRDefault="00992D3E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B45183F" w14:textId="77777777" w:rsidR="004656E0" w:rsidRPr="004656E0" w:rsidRDefault="00992D3E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14:paraId="607EB4BA" w14:textId="77777777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8040AE9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E236B94" w14:textId="77777777"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FE2EBEE" w14:textId="77777777" w:rsidR="004656E0" w:rsidRPr="004656E0" w:rsidRDefault="00DD05F7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0F81B0CD" w14:textId="77777777" w:rsidR="004656E0" w:rsidRPr="004656E0" w:rsidRDefault="00992D3E" w:rsidP="00992D3E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D6869CF" w14:textId="77777777"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9B01307" w14:textId="77777777" w:rsidR="004656E0" w:rsidRPr="004656E0" w:rsidRDefault="00DD05F7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AB83" w14:textId="77777777" w:rsidR="004656E0" w:rsidRPr="004656E0" w:rsidRDefault="00992D3E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4656E0" w:rsidRPr="004656E0" w14:paraId="5993C6A4" w14:textId="77777777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14:paraId="77E8323C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21DC32DE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79826EC" w14:textId="77777777"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4319EF05" w14:textId="77777777"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54F37100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A42F334" w14:textId="77777777"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14:paraId="1578E271" w14:textId="77777777"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14:paraId="2E8B0C71" w14:textId="77777777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86742" w14:textId="77777777"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2FDE151C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75DCAD9B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2DFD1CBB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6243EA81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62883605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D51E2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139FB" w:rsidRPr="004656E0" w14:paraId="02DD8FD9" w14:textId="77777777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90D84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3838DB" w14:textId="77777777" w:rsidR="005139FB" w:rsidRPr="00673D07" w:rsidRDefault="005139FB" w:rsidP="005139FB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73D07">
              <w:rPr>
                <w:rFonts w:ascii="Fira Sans" w:hAnsi="Fira Sans" w:cs="Arial"/>
                <w:sz w:val="16"/>
                <w:szCs w:val="16"/>
              </w:rPr>
              <w:t>76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673D07">
              <w:rPr>
                <w:rFonts w:ascii="Fira Sans" w:hAnsi="Fira Sans" w:cs="Arial"/>
                <w:sz w:val="16"/>
                <w:szCs w:val="16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BE9CA00" w14:textId="77777777" w:rsidR="005139FB" w:rsidRPr="00673D07" w:rsidRDefault="005139FB" w:rsidP="005139FB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73D07">
              <w:rPr>
                <w:rFonts w:ascii="Fira Sans" w:hAnsi="Fira Sans" w:cs="Arial"/>
                <w:sz w:val="16"/>
                <w:szCs w:val="16"/>
              </w:rPr>
              <w:t>107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673D07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2F754CA" w14:textId="77777777" w:rsidR="005139FB" w:rsidRPr="00673D07" w:rsidRDefault="005139FB" w:rsidP="005139FB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73D07">
              <w:rPr>
                <w:rFonts w:ascii="Fira Sans" w:hAnsi="Fira Sans" w:cs="Arial"/>
                <w:sz w:val="16"/>
                <w:szCs w:val="16"/>
              </w:rPr>
              <w:t>115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673D07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57CADB5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84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B210146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99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AB278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96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5139FB" w:rsidRPr="004656E0" w14:paraId="00FCDDE6" w14:textId="77777777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8E41AAD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E02416" w14:textId="77777777" w:rsidR="005139FB" w:rsidRPr="00196429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6429">
              <w:rPr>
                <w:rFonts w:ascii="Fira Sans" w:hAnsi="Fira Sans" w:cs="Arial"/>
                <w:sz w:val="16"/>
                <w:szCs w:val="16"/>
              </w:rPr>
              <w:t>60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196429">
              <w:rPr>
                <w:rFonts w:ascii="Fira Sans" w:hAnsi="Fira Sans" w:cs="Arial"/>
                <w:sz w:val="16"/>
                <w:szCs w:val="16"/>
              </w:rPr>
              <w:t>24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D5242A" w14:textId="77777777" w:rsidR="005139FB" w:rsidRPr="00196429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6429">
              <w:rPr>
                <w:rFonts w:ascii="Fira Sans" w:hAnsi="Fira Sans" w:cs="Arial"/>
                <w:sz w:val="16"/>
                <w:szCs w:val="16"/>
              </w:rPr>
              <w:t>107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196429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D95B73" w14:textId="77777777" w:rsidR="005139FB" w:rsidRPr="00196429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6429">
              <w:rPr>
                <w:rFonts w:ascii="Fira Sans" w:hAnsi="Fira Sans" w:cs="Arial"/>
                <w:sz w:val="16"/>
                <w:szCs w:val="16"/>
              </w:rPr>
              <w:t>110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196429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963A7F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65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04EED4F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EF2BB01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5139FB" w:rsidRPr="004656E0" w14:paraId="7DB5F86B" w14:textId="77777777" w:rsidTr="000D1463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96D6F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34833F6" w14:textId="77777777" w:rsidR="005139FB" w:rsidRPr="008264C5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264C5">
              <w:rPr>
                <w:rFonts w:ascii="Fira Sans" w:hAnsi="Fira Sans" w:cs="Arial"/>
                <w:sz w:val="16"/>
                <w:szCs w:val="16"/>
              </w:rPr>
              <w:t>66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8264C5">
              <w:rPr>
                <w:rFonts w:ascii="Fira Sans" w:hAnsi="Fira Sans" w:cs="Arial"/>
                <w:sz w:val="16"/>
                <w:szCs w:val="16"/>
              </w:rPr>
              <w:t>38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3FE3452" w14:textId="77777777" w:rsidR="005139FB" w:rsidRPr="008264C5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264C5">
              <w:rPr>
                <w:rFonts w:ascii="Fira Sans" w:hAnsi="Fira Sans" w:cs="Arial"/>
                <w:sz w:val="16"/>
                <w:szCs w:val="16"/>
              </w:rPr>
              <w:t>101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8264C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A29DA00" w14:textId="77777777" w:rsidR="005139FB" w:rsidRPr="008264C5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264C5">
              <w:rPr>
                <w:rFonts w:ascii="Fira Sans" w:hAnsi="Fira Sans" w:cs="Arial"/>
                <w:sz w:val="16"/>
                <w:szCs w:val="16"/>
              </w:rPr>
              <w:t>101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8264C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29CEBEB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77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137FDE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D5E43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93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5139FB" w:rsidRPr="004656E0" w14:paraId="758BB095" w14:textId="77777777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9081708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66878FA" w14:textId="77777777" w:rsidR="005139FB" w:rsidRPr="00B17502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17502">
              <w:rPr>
                <w:rFonts w:ascii="Fira Sans" w:hAnsi="Fira Sans" w:cs="Arial"/>
                <w:sz w:val="16"/>
                <w:szCs w:val="16"/>
              </w:rPr>
              <w:t>63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B17502">
              <w:rPr>
                <w:rFonts w:ascii="Fira Sans" w:hAnsi="Fira Sans" w:cs="Arial"/>
                <w:sz w:val="16"/>
                <w:szCs w:val="16"/>
              </w:rPr>
              <w:t>53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0F5FE51" w14:textId="77777777" w:rsidR="005139FB" w:rsidRPr="00B17502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17502">
              <w:rPr>
                <w:rFonts w:ascii="Fira Sans" w:hAnsi="Fira Sans" w:cs="Arial"/>
                <w:sz w:val="16"/>
                <w:szCs w:val="16"/>
              </w:rPr>
              <w:t>104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B17502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82A27B0" w14:textId="77777777" w:rsidR="005139FB" w:rsidRPr="00F11614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EB5765">
              <w:rPr>
                <w:rFonts w:ascii="Fira Sans" w:hAnsi="Fira Sans" w:cs="Arial"/>
                <w:sz w:val="16"/>
                <w:szCs w:val="16"/>
              </w:rPr>
              <w:t>102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EB576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4188F9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73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130650A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10D66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5139FB" w:rsidRPr="004656E0" w14:paraId="18F56F51" w14:textId="77777777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B023C9E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FDC2FDE" w14:textId="77777777" w:rsidR="005139FB" w:rsidRPr="005E403B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403B">
              <w:rPr>
                <w:rFonts w:ascii="Fira Sans" w:hAnsi="Fira Sans" w:cs="Arial"/>
                <w:sz w:val="16"/>
                <w:szCs w:val="16"/>
              </w:rPr>
              <w:t>56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5E403B">
              <w:rPr>
                <w:rFonts w:ascii="Fira Sans" w:hAnsi="Fira Sans" w:cs="Arial"/>
                <w:sz w:val="16"/>
                <w:szCs w:val="16"/>
              </w:rPr>
              <w:t>07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2559DF" w14:textId="77777777" w:rsidR="005139FB" w:rsidRPr="005E403B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403B">
              <w:rPr>
                <w:rFonts w:ascii="Fira Sans" w:hAnsi="Fira Sans" w:cs="Arial"/>
                <w:sz w:val="16"/>
                <w:szCs w:val="16"/>
              </w:rPr>
              <w:t>101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5E403B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CF5B486" w14:textId="77777777" w:rsidR="005139FB" w:rsidRPr="005E403B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E403B">
              <w:rPr>
                <w:rFonts w:ascii="Fira Sans" w:hAnsi="Fira Sans" w:cs="Arial"/>
                <w:sz w:val="16"/>
                <w:szCs w:val="16"/>
              </w:rPr>
              <w:t>92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5E403B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91B63E8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67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AD46BFB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F7EEF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5139FB" w:rsidRPr="004656E0" w14:paraId="4207E6FA" w14:textId="77777777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C3DC3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9A1252" w14:textId="77777777" w:rsidR="005139FB" w:rsidRPr="008062FC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062FC">
              <w:rPr>
                <w:rFonts w:ascii="Fira Sans" w:hAnsi="Fira Sans" w:cs="Arial"/>
                <w:sz w:val="16"/>
                <w:szCs w:val="16"/>
              </w:rPr>
              <w:t>50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8062FC">
              <w:rPr>
                <w:rFonts w:ascii="Fira Sans" w:hAnsi="Fira Sans" w:cs="Arial"/>
                <w:sz w:val="16"/>
                <w:szCs w:val="16"/>
              </w:rPr>
              <w:t>88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BBD9B46" w14:textId="77777777" w:rsidR="005139FB" w:rsidRPr="008062FC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062FC">
              <w:rPr>
                <w:rFonts w:ascii="Fira Sans" w:hAnsi="Fira Sans" w:cs="Arial"/>
                <w:sz w:val="16"/>
                <w:szCs w:val="16"/>
              </w:rPr>
              <w:t>62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8062FC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3FA8AD9" w14:textId="77777777" w:rsidR="005139FB" w:rsidRPr="008062FC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062FC">
              <w:rPr>
                <w:rFonts w:ascii="Fira Sans" w:hAnsi="Fira Sans" w:cs="Arial"/>
                <w:sz w:val="16"/>
                <w:szCs w:val="16"/>
              </w:rPr>
              <w:t>103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8062FC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DAD6612" w14:textId="77777777" w:rsidR="005139FB" w:rsidRPr="00FF553E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FF553E">
              <w:rPr>
                <w:rFonts w:ascii="Fira Sans" w:hAnsi="Fira Sans"/>
                <w:sz w:val="16"/>
                <w:szCs w:val="16"/>
              </w:rPr>
              <w:t>10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031A611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102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CB8BC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108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5139FB" w:rsidRPr="004656E0" w14:paraId="358A6867" w14:textId="77777777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434E734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967C53" w14:textId="77777777" w:rsidR="005139FB" w:rsidRPr="000548BF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548BF">
              <w:rPr>
                <w:rFonts w:ascii="Fira Sans" w:hAnsi="Fira Sans" w:cs="Arial"/>
                <w:sz w:val="16"/>
                <w:szCs w:val="16"/>
              </w:rPr>
              <w:t>31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0548BF">
              <w:rPr>
                <w:rFonts w:ascii="Fira Sans" w:hAnsi="Fira Sans" w:cs="Arial"/>
                <w:sz w:val="16"/>
                <w:szCs w:val="16"/>
              </w:rPr>
              <w:t>00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42C4C19" w14:textId="77777777" w:rsidR="005139FB" w:rsidRPr="000548BF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548BF">
              <w:rPr>
                <w:rFonts w:ascii="Fira Sans" w:hAnsi="Fira Sans" w:cs="Arial"/>
                <w:sz w:val="16"/>
                <w:szCs w:val="16"/>
              </w:rPr>
              <w:t>95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0548BF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2705404" w14:textId="77777777" w:rsidR="005139FB" w:rsidRPr="000548BF" w:rsidRDefault="005139FB" w:rsidP="005139F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548BF">
              <w:rPr>
                <w:rFonts w:ascii="Fira Sans" w:hAnsi="Fira Sans" w:cs="Arial"/>
                <w:sz w:val="16"/>
                <w:szCs w:val="16"/>
              </w:rPr>
              <w:t>83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0548BF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A53FDE4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533FBE89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106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F7D7C23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C1039E9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5139FB" w:rsidRPr="005A2855" w14:paraId="7E012180" w14:textId="77777777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3F935" w14:textId="77777777" w:rsidR="005139FB" w:rsidRPr="000F45BD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40C2C29" w14:textId="77777777" w:rsidR="005139FB" w:rsidRPr="005A2855" w:rsidRDefault="005139FB" w:rsidP="005139FB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2070CCB" w14:textId="77777777" w:rsidR="005139FB" w:rsidRPr="005A2855" w:rsidRDefault="005139FB" w:rsidP="005139FB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38290CD" w14:textId="77777777" w:rsidR="005139FB" w:rsidRPr="005A2855" w:rsidRDefault="005139FB" w:rsidP="005139FB">
            <w:pPr>
              <w:rPr>
                <w:rFonts w:ascii="Fira Sans" w:hAnsi="Fira Sans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F9E622" w14:textId="77777777" w:rsidR="005139FB" w:rsidRPr="005A2855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  <w:lang w:val="en-US"/>
              </w:rPr>
            </w:pPr>
            <w:r w:rsidRPr="005A2855">
              <w:rPr>
                <w:rFonts w:ascii="Fira Sans" w:hAnsi="Fira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7FE8224" w14:textId="77777777" w:rsidR="005139FB" w:rsidRPr="005A2855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  <w:lang w:val="en-US"/>
              </w:rPr>
            </w:pPr>
            <w:r w:rsidRPr="005A2855">
              <w:rPr>
                <w:rFonts w:ascii="Fira Sans" w:hAnsi="Fira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3661C" w14:textId="77777777" w:rsidR="005139FB" w:rsidRPr="005A2855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  <w:lang w:val="en-US"/>
              </w:rPr>
            </w:pPr>
          </w:p>
        </w:tc>
      </w:tr>
      <w:tr w:rsidR="005139FB" w:rsidRPr="004656E0" w14:paraId="7D2CEC66" w14:textId="77777777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F29D5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FA48D73" w14:textId="77777777" w:rsidR="005139FB" w:rsidRPr="005617E9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617E9">
              <w:rPr>
                <w:rFonts w:ascii="Fira Sans" w:hAnsi="Fira Sans" w:cs="Arial"/>
                <w:sz w:val="16"/>
                <w:szCs w:val="16"/>
              </w:rPr>
              <w:t>6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5617E9">
              <w:rPr>
                <w:rFonts w:ascii="Fira Sans" w:hAnsi="Fira Sans" w:cs="Arial"/>
                <w:sz w:val="16"/>
                <w:szCs w:val="16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6D329AE" w14:textId="77777777" w:rsidR="005139FB" w:rsidRPr="005617E9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617E9">
              <w:rPr>
                <w:rFonts w:ascii="Fira Sans" w:hAnsi="Fira Sans" w:cs="Arial"/>
                <w:sz w:val="16"/>
                <w:szCs w:val="16"/>
              </w:rPr>
              <w:t>100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5617E9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DF2B4D3" w14:textId="77777777" w:rsidR="005139FB" w:rsidRPr="005617E9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617E9">
              <w:rPr>
                <w:rFonts w:ascii="Fira Sans" w:hAnsi="Fira Sans" w:cs="Arial"/>
                <w:sz w:val="16"/>
                <w:szCs w:val="16"/>
              </w:rPr>
              <w:t>106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5617E9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31000D6" w14:textId="77777777" w:rsidR="005139FB" w:rsidRPr="00AE517A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AE517A">
              <w:rPr>
                <w:rFonts w:ascii="Fira Sans" w:hAnsi="Fira Sans"/>
                <w:sz w:val="16"/>
                <w:szCs w:val="16"/>
              </w:rPr>
              <w:t>7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 w:rsidRPr="00AE517A">
              <w:rPr>
                <w:rFonts w:ascii="Fira Sans" w:hAnsi="Fira Sans"/>
                <w:sz w:val="16"/>
                <w:szCs w:val="16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FCC0B8" w14:textId="77777777" w:rsidR="005139FB" w:rsidRPr="00AE517A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AE517A">
              <w:rPr>
                <w:rFonts w:ascii="Fira Sans" w:hAnsi="Fira Sans"/>
                <w:sz w:val="16"/>
                <w:szCs w:val="16"/>
              </w:rPr>
              <w:t>99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 w:rsidRPr="00AE517A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67A4EC6" w14:textId="77777777" w:rsidR="005139FB" w:rsidRPr="00AE517A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AE517A">
              <w:rPr>
                <w:rFonts w:ascii="Fira Sans" w:hAnsi="Fira Sans"/>
                <w:sz w:val="16"/>
                <w:szCs w:val="16"/>
              </w:rPr>
              <w:t>109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 w:rsidRPr="00AE517A"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5139FB" w:rsidRPr="004656E0" w14:paraId="63BB7A6F" w14:textId="77777777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60987" w14:textId="77777777" w:rsidR="005139FB" w:rsidRPr="004656E0" w:rsidRDefault="005139FB" w:rsidP="005139FB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E585F47" w14:textId="77777777" w:rsidR="005139FB" w:rsidRPr="008371B5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371B5">
              <w:rPr>
                <w:rFonts w:ascii="Fira Sans" w:hAnsi="Fira Sans" w:cs="Arial"/>
                <w:sz w:val="16"/>
                <w:szCs w:val="16"/>
              </w:rPr>
              <w:t>6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8371B5">
              <w:rPr>
                <w:rFonts w:ascii="Fira Sans" w:hAnsi="Fira Sans" w:cs="Arial"/>
                <w:sz w:val="16"/>
                <w:szCs w:val="16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F4BFB77" w14:textId="77777777" w:rsidR="005139FB" w:rsidRPr="008371B5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371B5">
              <w:rPr>
                <w:rFonts w:ascii="Fira Sans" w:hAnsi="Fira Sans" w:cs="Arial"/>
                <w:sz w:val="16"/>
                <w:szCs w:val="16"/>
              </w:rPr>
              <w:t>101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8371B5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0FAC172" w14:textId="77777777" w:rsidR="005139FB" w:rsidRPr="008371B5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371B5">
              <w:rPr>
                <w:rFonts w:ascii="Fira Sans" w:hAnsi="Fira Sans" w:cs="Arial"/>
                <w:sz w:val="16"/>
                <w:szCs w:val="16"/>
              </w:rPr>
              <w:t>107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8371B5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DC1B9D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D1C30C6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7F47E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109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5139FB" w:rsidRPr="004656E0" w14:paraId="5D1C66B5" w14:textId="77777777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4ED7C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277CE0" w14:textId="77777777" w:rsidR="005139FB" w:rsidRPr="0012756F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4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12756F">
              <w:rPr>
                <w:rFonts w:ascii="Fira Sans" w:hAnsi="Fira Sans" w:cs="Arial"/>
                <w:sz w:val="16"/>
                <w:szCs w:val="16"/>
              </w:rPr>
              <w:t>51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0EE5425" w14:textId="77777777" w:rsidR="005139FB" w:rsidRPr="0012756F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95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1F072E" w14:textId="77777777" w:rsidR="005139FB" w:rsidRPr="0012756F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76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12756F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632D3A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6CAE8C7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95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10AE9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88</w:t>
            </w:r>
            <w:r w:rsidR="00F3765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5139FB" w:rsidRPr="004656E0" w14:paraId="619289CD" w14:textId="77777777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59D1455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621CDE8" w14:textId="77777777" w:rsidR="005139FB" w:rsidRPr="0012756F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3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12756F">
              <w:rPr>
                <w:rFonts w:ascii="Fira Sans" w:hAnsi="Fira Sans" w:cs="Arial"/>
                <w:sz w:val="16"/>
                <w:szCs w:val="16"/>
              </w:rPr>
              <w:t>48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E50CA2" w14:textId="77777777" w:rsidR="005139FB" w:rsidRPr="0012756F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99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12756F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322640A" w14:textId="77777777" w:rsidR="005139FB" w:rsidRPr="0012756F" w:rsidRDefault="005139FB" w:rsidP="005139F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2756F">
              <w:rPr>
                <w:rFonts w:ascii="Fira Sans" w:hAnsi="Fira Sans" w:cs="Arial"/>
                <w:sz w:val="16"/>
                <w:szCs w:val="16"/>
              </w:rPr>
              <w:t>89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12756F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64AE85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6880AD1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C13E059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5139FB" w:rsidRPr="004656E0" w14:paraId="57F3FA85" w14:textId="77777777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D64A6" w14:textId="77777777" w:rsidR="005139FB" w:rsidRPr="004656E0" w:rsidRDefault="005139FB" w:rsidP="005139FB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5CB12B6" w14:textId="77777777" w:rsidR="005139FB" w:rsidRPr="00F11614" w:rsidRDefault="005139FB" w:rsidP="005139FB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C54C8">
              <w:rPr>
                <w:rFonts w:ascii="Fira Sans" w:hAnsi="Fira Sans" w:cs="Arial"/>
                <w:sz w:val="16"/>
                <w:szCs w:val="16"/>
              </w:rPr>
              <w:t>144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A99CB3A" w14:textId="77777777" w:rsidR="005139FB" w:rsidRPr="00F11614" w:rsidRDefault="005139FB" w:rsidP="005139FB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F255AC">
              <w:rPr>
                <w:rFonts w:ascii="Fira Sans" w:hAnsi="Fira Sans" w:cs="Arial"/>
                <w:sz w:val="16"/>
                <w:szCs w:val="16"/>
              </w:rPr>
              <w:t>104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F255AC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9163454" w14:textId="77777777" w:rsidR="005139FB" w:rsidRPr="00F11614" w:rsidRDefault="005139FB" w:rsidP="005139FB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28130A">
              <w:rPr>
                <w:rFonts w:ascii="Fira Sans" w:hAnsi="Fira Sans" w:cs="Arial"/>
                <w:sz w:val="16"/>
                <w:szCs w:val="16"/>
              </w:rPr>
              <w:t>108</w:t>
            </w:r>
            <w:r w:rsidR="00F3765E">
              <w:rPr>
                <w:rFonts w:ascii="Fira Sans" w:hAnsi="Fira Sans" w:cs="Arial"/>
                <w:sz w:val="16"/>
                <w:szCs w:val="16"/>
              </w:rPr>
              <w:t>.</w:t>
            </w:r>
            <w:r w:rsidRPr="0028130A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3E2668F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F85794E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B7AD4" w14:textId="77777777" w:rsidR="005139FB" w:rsidRPr="00BA24FC" w:rsidRDefault="005139FB" w:rsidP="005139F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45DEA28C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090EB3B9" w14:textId="77777777"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14:paraId="1411720A" w14:textId="77777777"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14:paraId="7C509516" w14:textId="77777777" w:rsidR="00A53BF5" w:rsidRDefault="00A53BF5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14:paraId="3A747AAF" w14:textId="77777777" w:rsidR="006836BF" w:rsidRPr="00374C3C" w:rsidRDefault="006836BF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065DB5">
        <w:rPr>
          <w:rFonts w:ascii="Fira Sans SemiBold" w:hAnsi="Fira Sans SemiBold"/>
          <w:color w:val="001D77"/>
          <w:sz w:val="19"/>
          <w:szCs w:val="18"/>
          <w:lang w:val="en-US"/>
        </w:rPr>
        <w:t>October</w:t>
      </w: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2020</w:t>
      </w:r>
    </w:p>
    <w:p w14:paraId="219351A2" w14:textId="77777777" w:rsidR="00AD18FD" w:rsidRDefault="00616453" w:rsidP="00AD18F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1F4769">
        <w:rPr>
          <w:rFonts w:ascii="Fira Sans" w:hAnsi="Fira Sans"/>
          <w:sz w:val="19"/>
          <w:szCs w:val="18"/>
          <w:lang w:val="en-US"/>
        </w:rPr>
        <w:t>October</w:t>
      </w:r>
      <w:r>
        <w:rPr>
          <w:rFonts w:ascii="Fira Sans" w:hAnsi="Fira Sans"/>
          <w:sz w:val="19"/>
          <w:szCs w:val="18"/>
          <w:lang w:val="en-US"/>
        </w:rPr>
        <w:t xml:space="preserve"> 2020 </w:t>
      </w:r>
      <w:r w:rsidR="009D2AA7">
        <w:rPr>
          <w:rFonts w:ascii="Fira Sans" w:hAnsi="Fira Sans"/>
          <w:sz w:val="19"/>
          <w:szCs w:val="18"/>
          <w:lang w:val="en-US"/>
        </w:rPr>
        <w:t>procurement prices of wheat (</w:t>
      </w:r>
      <w:r w:rsidR="00E149A6">
        <w:rPr>
          <w:rFonts w:ascii="Fira Sans" w:hAnsi="Fira Sans"/>
          <w:sz w:val="19"/>
          <w:szCs w:val="18"/>
          <w:lang w:val="en-US"/>
        </w:rPr>
        <w:t>76</w:t>
      </w:r>
      <w:r w:rsidR="00C32FA6">
        <w:rPr>
          <w:rFonts w:ascii="Fira Sans" w:hAnsi="Fira Sans"/>
          <w:sz w:val="19"/>
          <w:szCs w:val="18"/>
          <w:lang w:val="en-US"/>
        </w:rPr>
        <w:t>.</w:t>
      </w:r>
      <w:r w:rsidR="00E149A6">
        <w:rPr>
          <w:rFonts w:ascii="Fira Sans" w:hAnsi="Fira Sans"/>
          <w:sz w:val="19"/>
          <w:szCs w:val="18"/>
          <w:lang w:val="en-US"/>
        </w:rPr>
        <w:t>42</w:t>
      </w:r>
      <w:r w:rsidR="009B470C">
        <w:rPr>
          <w:rFonts w:ascii="Fira Sans" w:hAnsi="Fira Sans"/>
          <w:sz w:val="19"/>
          <w:szCs w:val="18"/>
          <w:lang w:val="en-US"/>
        </w:rPr>
        <w:t xml:space="preserve"> PLN/</w:t>
      </w:r>
      <w:proofErr w:type="spellStart"/>
      <w:r w:rsidR="009B470C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9B470C">
        <w:rPr>
          <w:rFonts w:ascii="Fira Sans" w:hAnsi="Fira Sans"/>
          <w:sz w:val="19"/>
          <w:szCs w:val="18"/>
          <w:lang w:val="en-US"/>
        </w:rPr>
        <w:t>)</w:t>
      </w:r>
      <w:r w:rsidR="009D2AA7">
        <w:rPr>
          <w:rFonts w:ascii="Fira Sans" w:hAnsi="Fira Sans"/>
          <w:sz w:val="19"/>
          <w:szCs w:val="18"/>
          <w:lang w:val="en-US"/>
        </w:rPr>
        <w:t xml:space="preserve"> </w:t>
      </w:r>
      <w:r>
        <w:rPr>
          <w:rFonts w:ascii="Fira Sans" w:hAnsi="Fira Sans"/>
          <w:sz w:val="19"/>
          <w:szCs w:val="18"/>
          <w:lang w:val="en-US"/>
        </w:rPr>
        <w:t xml:space="preserve">were </w:t>
      </w:r>
      <w:r w:rsidR="00292E3E">
        <w:rPr>
          <w:rFonts w:ascii="Fira Sans" w:hAnsi="Fira Sans"/>
          <w:sz w:val="19"/>
          <w:szCs w:val="18"/>
          <w:lang w:val="en-US"/>
        </w:rPr>
        <w:t>higher</w:t>
      </w:r>
      <w:r w:rsidR="00D45D8F">
        <w:rPr>
          <w:rFonts w:ascii="Fira Sans" w:hAnsi="Fira Sans"/>
          <w:sz w:val="19"/>
          <w:szCs w:val="18"/>
          <w:lang w:val="en-US"/>
        </w:rPr>
        <w:t xml:space="preserve"> both </w:t>
      </w:r>
      <w:r>
        <w:rPr>
          <w:rFonts w:ascii="Fira Sans" w:hAnsi="Fira Sans"/>
          <w:sz w:val="19"/>
          <w:szCs w:val="18"/>
          <w:lang w:val="en-US"/>
        </w:rPr>
        <w:t>in</w:t>
      </w:r>
      <w:r w:rsidR="00D45D8F">
        <w:rPr>
          <w:rFonts w:ascii="Fira Sans" w:hAnsi="Fira Sans"/>
          <w:sz w:val="19"/>
          <w:szCs w:val="18"/>
          <w:lang w:val="en-US"/>
        </w:rPr>
        <w:t xml:space="preserve"> relation to </w:t>
      </w:r>
      <w:r w:rsidR="000917E5">
        <w:rPr>
          <w:rFonts w:ascii="Fira Sans" w:hAnsi="Fira Sans"/>
          <w:sz w:val="19"/>
          <w:szCs w:val="18"/>
          <w:lang w:val="en-US"/>
        </w:rPr>
        <w:t xml:space="preserve">the </w:t>
      </w:r>
      <w:r w:rsidR="00F34458">
        <w:rPr>
          <w:rFonts w:ascii="Fira Sans" w:hAnsi="Fira Sans"/>
          <w:sz w:val="19"/>
          <w:szCs w:val="18"/>
          <w:lang w:val="en-US"/>
        </w:rPr>
        <w:t>previous month</w:t>
      </w:r>
      <w:r w:rsidR="00984B59">
        <w:rPr>
          <w:rFonts w:ascii="Fira Sans" w:hAnsi="Fira Sans"/>
          <w:sz w:val="19"/>
          <w:szCs w:val="18"/>
          <w:lang w:val="en-US"/>
        </w:rPr>
        <w:t xml:space="preserve"> and in annual terms -</w:t>
      </w:r>
      <w:r>
        <w:rPr>
          <w:rFonts w:ascii="Fira Sans" w:hAnsi="Fira Sans"/>
          <w:sz w:val="19"/>
          <w:szCs w:val="18"/>
          <w:lang w:val="en-US"/>
        </w:rPr>
        <w:t xml:space="preserve"> </w:t>
      </w:r>
      <w:r w:rsidR="00984B59">
        <w:rPr>
          <w:rFonts w:ascii="Fira Sans" w:hAnsi="Fira Sans"/>
          <w:sz w:val="19"/>
          <w:lang w:val="en-US"/>
        </w:rPr>
        <w:t xml:space="preserve">respectively by </w:t>
      </w:r>
      <w:r w:rsidR="00B43FA5">
        <w:rPr>
          <w:rFonts w:ascii="Fira Sans" w:hAnsi="Fira Sans"/>
          <w:sz w:val="19"/>
          <w:lang w:val="en-US"/>
        </w:rPr>
        <w:t>7</w:t>
      </w:r>
      <w:r w:rsidR="00984B59">
        <w:rPr>
          <w:rFonts w:ascii="Fira Sans" w:hAnsi="Fira Sans"/>
          <w:sz w:val="19"/>
          <w:lang w:val="en-US"/>
        </w:rPr>
        <w:t>.</w:t>
      </w:r>
      <w:r w:rsidR="00B43FA5">
        <w:rPr>
          <w:rFonts w:ascii="Fira Sans" w:hAnsi="Fira Sans"/>
          <w:sz w:val="19"/>
          <w:lang w:val="en-US"/>
        </w:rPr>
        <w:t>1</w:t>
      </w:r>
      <w:r w:rsidR="00984B59">
        <w:rPr>
          <w:rFonts w:ascii="Fira Sans" w:hAnsi="Fira Sans"/>
          <w:sz w:val="19"/>
          <w:lang w:val="en-US"/>
        </w:rPr>
        <w:t xml:space="preserve">% and by </w:t>
      </w:r>
      <w:r w:rsidR="00B43FA5">
        <w:rPr>
          <w:rFonts w:ascii="Fira Sans" w:hAnsi="Fira Sans"/>
          <w:sz w:val="19"/>
          <w:lang w:val="en-US"/>
        </w:rPr>
        <w:t>15</w:t>
      </w:r>
      <w:r w:rsidR="00C32FA6">
        <w:rPr>
          <w:rFonts w:ascii="Fira Sans" w:hAnsi="Fira Sans"/>
          <w:sz w:val="19"/>
          <w:lang w:val="en-US"/>
        </w:rPr>
        <w:t>.</w:t>
      </w:r>
      <w:r w:rsidR="00DA39D3">
        <w:rPr>
          <w:rFonts w:ascii="Fira Sans" w:hAnsi="Fira Sans"/>
          <w:sz w:val="19"/>
          <w:lang w:val="en-US"/>
        </w:rPr>
        <w:t>0</w:t>
      </w:r>
      <w:r w:rsidR="00984B59">
        <w:rPr>
          <w:rFonts w:ascii="Fira Sans" w:hAnsi="Fira Sans"/>
          <w:sz w:val="19"/>
          <w:lang w:val="en-US"/>
        </w:rPr>
        <w:t>%.</w:t>
      </w:r>
      <w:r w:rsidR="00AD18FD">
        <w:rPr>
          <w:rFonts w:ascii="Fira Sans" w:hAnsi="Fira Sans"/>
          <w:sz w:val="19"/>
          <w:lang w:val="en-US"/>
        </w:rPr>
        <w:t xml:space="preserve"> </w:t>
      </w:r>
      <w:r w:rsidR="00AD18FD">
        <w:rPr>
          <w:rFonts w:ascii="Fira Sans" w:hAnsi="Fira Sans"/>
          <w:sz w:val="19"/>
          <w:szCs w:val="18"/>
          <w:lang w:val="en-US"/>
        </w:rPr>
        <w:t xml:space="preserve">On </w:t>
      </w:r>
      <w:r w:rsidR="00AD18FD" w:rsidRPr="00661C39">
        <w:rPr>
          <w:rFonts w:ascii="Fira Sans" w:hAnsi="Fira Sans"/>
          <w:sz w:val="19"/>
          <w:szCs w:val="18"/>
          <w:lang w:val="en-US"/>
        </w:rPr>
        <w:t xml:space="preserve">marketplaces </w:t>
      </w:r>
      <w:r w:rsidR="00AD18FD">
        <w:rPr>
          <w:rFonts w:ascii="Fira Sans" w:hAnsi="Fira Sans"/>
          <w:sz w:val="19"/>
          <w:szCs w:val="18"/>
          <w:lang w:val="en-US"/>
        </w:rPr>
        <w:t xml:space="preserve">per 1 </w:t>
      </w:r>
      <w:proofErr w:type="spellStart"/>
      <w:r w:rsidR="00AD18FD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AD18FD">
        <w:rPr>
          <w:rFonts w:ascii="Fira Sans" w:hAnsi="Fira Sans"/>
          <w:sz w:val="19"/>
          <w:szCs w:val="18"/>
          <w:lang w:val="en-US"/>
        </w:rPr>
        <w:t xml:space="preserve"> of wheat was paid 84.</w:t>
      </w:r>
      <w:r w:rsidR="00597F41">
        <w:rPr>
          <w:rFonts w:ascii="Fira Sans" w:hAnsi="Fira Sans"/>
          <w:sz w:val="19"/>
          <w:szCs w:val="18"/>
          <w:lang w:val="en-US"/>
        </w:rPr>
        <w:t>62</w:t>
      </w:r>
      <w:r w:rsidR="00AD18FD">
        <w:rPr>
          <w:rFonts w:ascii="Fira Sans" w:hAnsi="Fira Sans"/>
          <w:sz w:val="19"/>
          <w:szCs w:val="18"/>
          <w:lang w:val="en-US"/>
        </w:rPr>
        <w:t xml:space="preserve"> PLN, i.e. less in comparison with </w:t>
      </w:r>
      <w:r w:rsidR="00597F41">
        <w:rPr>
          <w:rFonts w:ascii="Fira Sans" w:hAnsi="Fira Sans"/>
          <w:sz w:val="19"/>
          <w:szCs w:val="18"/>
          <w:lang w:val="en-US"/>
        </w:rPr>
        <w:t>September</w:t>
      </w:r>
      <w:r w:rsidR="00AD18FD">
        <w:rPr>
          <w:rFonts w:ascii="Fira Sans" w:hAnsi="Fira Sans"/>
          <w:sz w:val="19"/>
          <w:szCs w:val="18"/>
          <w:lang w:val="en-US"/>
        </w:rPr>
        <w:t xml:space="preserve"> this year (by 0.</w:t>
      </w:r>
      <w:r w:rsidR="00597F41">
        <w:rPr>
          <w:rFonts w:ascii="Fira Sans" w:hAnsi="Fira Sans"/>
          <w:sz w:val="19"/>
          <w:szCs w:val="18"/>
          <w:lang w:val="en-US"/>
        </w:rPr>
        <w:t>3</w:t>
      </w:r>
      <w:r w:rsidR="00AD18FD">
        <w:rPr>
          <w:rFonts w:ascii="Fira Sans" w:hAnsi="Fira Sans"/>
          <w:sz w:val="19"/>
          <w:szCs w:val="18"/>
          <w:lang w:val="en-US"/>
        </w:rPr>
        <w:t xml:space="preserve">%) </w:t>
      </w:r>
      <w:r w:rsidR="00091EFC">
        <w:rPr>
          <w:rFonts w:ascii="Fira Sans" w:hAnsi="Fira Sans"/>
          <w:sz w:val="19"/>
          <w:szCs w:val="18"/>
          <w:lang w:val="en-US"/>
        </w:rPr>
        <w:t xml:space="preserve">as well as </w:t>
      </w:r>
      <w:r w:rsidR="00AD18FD">
        <w:rPr>
          <w:rFonts w:ascii="Fira Sans" w:hAnsi="Fira Sans"/>
          <w:sz w:val="19"/>
          <w:szCs w:val="18"/>
          <w:lang w:val="en-US"/>
        </w:rPr>
        <w:t xml:space="preserve">with </w:t>
      </w:r>
      <w:r w:rsidR="00597F41">
        <w:rPr>
          <w:rFonts w:ascii="Fira Sans" w:hAnsi="Fira Sans"/>
          <w:sz w:val="19"/>
          <w:szCs w:val="18"/>
          <w:lang w:val="en-US"/>
        </w:rPr>
        <w:t>October</w:t>
      </w:r>
      <w:r w:rsidR="00AD18FD">
        <w:rPr>
          <w:rFonts w:ascii="Fira Sans" w:hAnsi="Fira Sans"/>
          <w:sz w:val="19"/>
          <w:szCs w:val="18"/>
          <w:lang w:val="en-US"/>
        </w:rPr>
        <w:t xml:space="preserve"> last year (by </w:t>
      </w:r>
      <w:r w:rsidR="00597F41">
        <w:rPr>
          <w:rFonts w:ascii="Fira Sans" w:hAnsi="Fira Sans"/>
          <w:sz w:val="19"/>
          <w:szCs w:val="18"/>
          <w:lang w:val="en-US"/>
        </w:rPr>
        <w:t>3</w:t>
      </w:r>
      <w:r w:rsidR="00AD18FD">
        <w:rPr>
          <w:rFonts w:ascii="Fira Sans" w:hAnsi="Fira Sans"/>
          <w:sz w:val="19"/>
          <w:szCs w:val="18"/>
          <w:lang w:val="en-US"/>
        </w:rPr>
        <w:t>.</w:t>
      </w:r>
      <w:r w:rsidR="00597F41">
        <w:rPr>
          <w:rFonts w:ascii="Fira Sans" w:hAnsi="Fira Sans"/>
          <w:sz w:val="19"/>
          <w:szCs w:val="18"/>
          <w:lang w:val="en-US"/>
        </w:rPr>
        <w:t>7</w:t>
      </w:r>
      <w:r w:rsidR="00AD18FD">
        <w:rPr>
          <w:rFonts w:ascii="Fira Sans" w:hAnsi="Fira Sans"/>
          <w:sz w:val="19"/>
          <w:szCs w:val="18"/>
          <w:lang w:val="en-US"/>
        </w:rPr>
        <w:t>%).</w:t>
      </w:r>
    </w:p>
    <w:p w14:paraId="2BAF8753" w14:textId="77777777" w:rsidR="00C32FA6" w:rsidRDefault="00FC7C8A" w:rsidP="00984CD5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F</w:t>
      </w:r>
      <w:r w:rsidR="00984CD5" w:rsidRPr="00661C39">
        <w:rPr>
          <w:rFonts w:ascii="Fira Sans" w:hAnsi="Fira Sans"/>
          <w:sz w:val="19"/>
          <w:szCs w:val="18"/>
          <w:lang w:val="en-US"/>
        </w:rPr>
        <w:t xml:space="preserve">or </w:t>
      </w:r>
      <w:r w:rsidR="004272B9">
        <w:rPr>
          <w:rFonts w:ascii="Fira Sans" w:hAnsi="Fira Sans"/>
          <w:b/>
          <w:sz w:val="19"/>
          <w:szCs w:val="18"/>
          <w:lang w:val="en-US"/>
        </w:rPr>
        <w:t>rye</w:t>
      </w:r>
      <w:r w:rsidR="009C068D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9C068D" w:rsidRPr="009C068D">
        <w:rPr>
          <w:rFonts w:ascii="Fira Sans" w:hAnsi="Fira Sans"/>
          <w:sz w:val="19"/>
          <w:szCs w:val="18"/>
          <w:lang w:val="en-US"/>
        </w:rPr>
        <w:t>in procurement</w:t>
      </w:r>
      <w:r w:rsidR="00984CD5">
        <w:rPr>
          <w:rFonts w:ascii="Fira Sans" w:hAnsi="Fira Sans"/>
          <w:sz w:val="19"/>
          <w:szCs w:val="18"/>
          <w:lang w:val="en-US"/>
        </w:rPr>
        <w:t xml:space="preserve"> </w:t>
      </w:r>
      <w:r w:rsidR="000917E5" w:rsidRPr="00661C39">
        <w:rPr>
          <w:rFonts w:ascii="Fira Sans" w:hAnsi="Fira Sans"/>
          <w:sz w:val="19"/>
          <w:szCs w:val="18"/>
          <w:lang w:val="en-US"/>
        </w:rPr>
        <w:t>w</w:t>
      </w:r>
      <w:r w:rsidR="000917E5">
        <w:rPr>
          <w:rFonts w:ascii="Fira Sans" w:hAnsi="Fira Sans"/>
          <w:sz w:val="19"/>
          <w:szCs w:val="18"/>
          <w:lang w:val="en-US"/>
        </w:rPr>
        <w:t>as</w:t>
      </w:r>
      <w:r w:rsidR="000917E5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348A5" w:rsidRPr="00661C39">
        <w:rPr>
          <w:rFonts w:ascii="Fira Sans" w:hAnsi="Fira Sans"/>
          <w:sz w:val="19"/>
          <w:szCs w:val="18"/>
          <w:lang w:val="en-US"/>
        </w:rPr>
        <w:t xml:space="preserve">paid </w:t>
      </w:r>
      <w:r w:rsidR="00D34DEF">
        <w:rPr>
          <w:rFonts w:ascii="Fira Sans" w:hAnsi="Fira Sans"/>
          <w:sz w:val="19"/>
          <w:szCs w:val="18"/>
          <w:lang w:val="en-US"/>
        </w:rPr>
        <w:t>60</w:t>
      </w:r>
      <w:r w:rsidR="008348A5">
        <w:rPr>
          <w:rFonts w:ascii="Fira Sans" w:hAnsi="Fira Sans"/>
          <w:sz w:val="19"/>
          <w:szCs w:val="18"/>
          <w:lang w:val="en-US"/>
        </w:rPr>
        <w:t>.</w:t>
      </w:r>
      <w:r w:rsidR="009D0A7A">
        <w:rPr>
          <w:rFonts w:ascii="Fira Sans" w:hAnsi="Fira Sans"/>
          <w:sz w:val="19"/>
          <w:szCs w:val="18"/>
          <w:lang w:val="en-US"/>
        </w:rPr>
        <w:t>2</w:t>
      </w:r>
      <w:r w:rsidR="00D34DEF">
        <w:rPr>
          <w:rFonts w:ascii="Fira Sans" w:hAnsi="Fira Sans"/>
          <w:sz w:val="19"/>
          <w:szCs w:val="18"/>
          <w:lang w:val="en-US"/>
        </w:rPr>
        <w:t>4</w:t>
      </w:r>
      <w:r w:rsidR="008348A5" w:rsidRPr="00661C39">
        <w:rPr>
          <w:rFonts w:ascii="Fira Sans" w:hAnsi="Fira Sans"/>
          <w:sz w:val="19"/>
          <w:szCs w:val="18"/>
          <w:lang w:val="en-US"/>
        </w:rPr>
        <w:t xml:space="preserve"> PL</w:t>
      </w:r>
      <w:r w:rsidR="008348A5">
        <w:rPr>
          <w:rFonts w:ascii="Fira Sans" w:hAnsi="Fira Sans"/>
          <w:sz w:val="19"/>
          <w:szCs w:val="18"/>
          <w:lang w:val="en-US"/>
        </w:rPr>
        <w:t>N</w:t>
      </w:r>
      <w:r w:rsidR="008348A5" w:rsidRPr="00661C39">
        <w:rPr>
          <w:rFonts w:ascii="Fira Sans" w:hAnsi="Fira Sans"/>
          <w:sz w:val="19"/>
          <w:szCs w:val="18"/>
          <w:lang w:val="en-US"/>
        </w:rPr>
        <w:t>/</w:t>
      </w:r>
      <w:proofErr w:type="spellStart"/>
      <w:r w:rsidR="008348A5" w:rsidRPr="00661C39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8348A5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984CD5" w:rsidRPr="00661C39">
        <w:rPr>
          <w:rFonts w:ascii="Fira Sans" w:hAnsi="Fira Sans"/>
          <w:sz w:val="19"/>
          <w:szCs w:val="18"/>
          <w:lang w:val="en-US"/>
        </w:rPr>
        <w:t>i.e.</w:t>
      </w:r>
      <w:r w:rsidR="009C068D">
        <w:rPr>
          <w:rFonts w:ascii="Fira Sans" w:hAnsi="Fira Sans"/>
          <w:sz w:val="19"/>
          <w:szCs w:val="18"/>
          <w:lang w:val="en-US"/>
        </w:rPr>
        <w:t xml:space="preserve"> by </w:t>
      </w:r>
      <w:r w:rsidR="00D34DEF">
        <w:rPr>
          <w:rFonts w:ascii="Fira Sans" w:hAnsi="Fira Sans"/>
          <w:sz w:val="19"/>
          <w:szCs w:val="18"/>
          <w:lang w:val="en-US"/>
        </w:rPr>
        <w:t>7</w:t>
      </w:r>
      <w:r w:rsidR="009C068D">
        <w:rPr>
          <w:rFonts w:ascii="Fira Sans" w:hAnsi="Fira Sans"/>
          <w:sz w:val="19"/>
          <w:szCs w:val="18"/>
          <w:lang w:val="en-US"/>
        </w:rPr>
        <w:t>.</w:t>
      </w:r>
      <w:r w:rsidR="00D34DEF">
        <w:rPr>
          <w:rFonts w:ascii="Fira Sans" w:hAnsi="Fira Sans"/>
          <w:sz w:val="19"/>
          <w:szCs w:val="18"/>
          <w:lang w:val="en-US"/>
        </w:rPr>
        <w:t>2</w:t>
      </w:r>
      <w:r w:rsidR="009C068D">
        <w:rPr>
          <w:rFonts w:ascii="Fira Sans" w:hAnsi="Fira Sans"/>
          <w:sz w:val="19"/>
          <w:szCs w:val="18"/>
          <w:lang w:val="en-US"/>
        </w:rPr>
        <w:t>%</w:t>
      </w:r>
      <w:r w:rsidR="00984CD5">
        <w:rPr>
          <w:rFonts w:ascii="Fira Sans" w:hAnsi="Fira Sans"/>
          <w:sz w:val="19"/>
          <w:szCs w:val="18"/>
          <w:lang w:val="en-US"/>
        </w:rPr>
        <w:t xml:space="preserve"> </w:t>
      </w:r>
      <w:r w:rsidR="009D0A7A">
        <w:rPr>
          <w:rFonts w:ascii="Fira Sans" w:hAnsi="Fira Sans"/>
          <w:sz w:val="19"/>
          <w:szCs w:val="18"/>
          <w:lang w:val="en-US"/>
        </w:rPr>
        <w:t>more</w:t>
      </w:r>
      <w:r w:rsidR="00984CD5">
        <w:rPr>
          <w:rFonts w:ascii="Fira Sans" w:hAnsi="Fira Sans"/>
          <w:sz w:val="19"/>
          <w:szCs w:val="18"/>
          <w:lang w:val="en-US"/>
        </w:rPr>
        <w:t xml:space="preserve"> </w:t>
      </w:r>
      <w:r w:rsidR="0047303B">
        <w:rPr>
          <w:rFonts w:ascii="Fira Sans" w:hAnsi="Fira Sans"/>
          <w:sz w:val="19"/>
          <w:szCs w:val="18"/>
          <w:lang w:val="en-US"/>
        </w:rPr>
        <w:t xml:space="preserve">than in </w:t>
      </w:r>
      <w:r w:rsidR="00D34DEF">
        <w:rPr>
          <w:rFonts w:ascii="Fira Sans" w:hAnsi="Fira Sans"/>
          <w:sz w:val="19"/>
          <w:szCs w:val="18"/>
          <w:lang w:val="en-US"/>
        </w:rPr>
        <w:t>September</w:t>
      </w:r>
      <w:r w:rsidR="0047303B">
        <w:rPr>
          <w:rFonts w:ascii="Fira Sans" w:hAnsi="Fira Sans"/>
          <w:sz w:val="19"/>
          <w:szCs w:val="18"/>
          <w:lang w:val="en-US"/>
        </w:rPr>
        <w:t xml:space="preserve"> this year</w:t>
      </w:r>
      <w:r w:rsidR="00BC4BC1">
        <w:rPr>
          <w:rFonts w:ascii="Fira Sans" w:hAnsi="Fira Sans"/>
          <w:sz w:val="19"/>
          <w:szCs w:val="18"/>
          <w:lang w:val="en-US"/>
        </w:rPr>
        <w:t xml:space="preserve"> and by 10.5% </w:t>
      </w:r>
      <w:r w:rsidR="00BC4BC1" w:rsidRPr="007702D7">
        <w:rPr>
          <w:rFonts w:ascii="Fira Sans" w:hAnsi="Fira Sans"/>
          <w:sz w:val="19"/>
          <w:szCs w:val="18"/>
          <w:lang w:val="en-US"/>
        </w:rPr>
        <w:t xml:space="preserve">more </w:t>
      </w:r>
      <w:r w:rsidR="00BC4BC1" w:rsidRPr="00104248">
        <w:rPr>
          <w:rFonts w:ascii="Fira Sans" w:hAnsi="Fira Sans"/>
          <w:sz w:val="19"/>
          <w:szCs w:val="18"/>
          <w:lang w:val="en-US"/>
        </w:rPr>
        <w:t>compared to the same month of the last year.</w:t>
      </w:r>
      <w:r w:rsidR="00312A53" w:rsidRPr="00104248">
        <w:rPr>
          <w:rFonts w:ascii="Fira Sans" w:hAnsi="Fira Sans"/>
          <w:sz w:val="19"/>
          <w:szCs w:val="18"/>
          <w:lang w:val="en-US"/>
        </w:rPr>
        <w:t xml:space="preserve"> However in</w:t>
      </w:r>
      <w:r w:rsidR="00312A53" w:rsidRPr="007702D7">
        <w:rPr>
          <w:rFonts w:ascii="Fira Sans" w:hAnsi="Fira Sans"/>
          <w:sz w:val="19"/>
          <w:szCs w:val="18"/>
          <w:lang w:val="en-US"/>
        </w:rPr>
        <w:t xml:space="preserve"> marketplace</w:t>
      </w:r>
      <w:r w:rsidR="00312A53">
        <w:rPr>
          <w:rFonts w:ascii="Fira Sans" w:hAnsi="Fira Sans"/>
          <w:sz w:val="19"/>
          <w:szCs w:val="18"/>
          <w:lang w:val="en-US"/>
        </w:rPr>
        <w:t xml:space="preserve"> transactions</w:t>
      </w:r>
      <w:r w:rsidR="00312A53">
        <w:rPr>
          <w:rFonts w:ascii="Fira Sans" w:hAnsi="Fira Sans"/>
          <w:sz w:val="18"/>
          <w:szCs w:val="18"/>
          <w:lang w:val="en-US"/>
        </w:rPr>
        <w:t xml:space="preserve"> </w:t>
      </w:r>
      <w:r w:rsidR="00312A53">
        <w:rPr>
          <w:rFonts w:ascii="Fira Sans" w:hAnsi="Fira Sans"/>
          <w:sz w:val="19"/>
          <w:szCs w:val="18"/>
          <w:lang w:val="en-US"/>
        </w:rPr>
        <w:t>t</w:t>
      </w:r>
      <w:r w:rsidR="00643B62">
        <w:rPr>
          <w:rFonts w:ascii="Fira Sans" w:hAnsi="Fira Sans"/>
          <w:sz w:val="19"/>
          <w:szCs w:val="18"/>
          <w:lang w:val="en-US"/>
        </w:rPr>
        <w:t>he price</w:t>
      </w:r>
      <w:r w:rsidR="00EB5B0B">
        <w:rPr>
          <w:rFonts w:ascii="Fira Sans" w:hAnsi="Fira Sans"/>
          <w:sz w:val="19"/>
          <w:szCs w:val="18"/>
          <w:lang w:val="en-US"/>
        </w:rPr>
        <w:t>s</w:t>
      </w:r>
      <w:r w:rsidR="00643B62">
        <w:rPr>
          <w:rFonts w:ascii="Fira Sans" w:hAnsi="Fira Sans"/>
          <w:sz w:val="19"/>
          <w:szCs w:val="18"/>
          <w:lang w:val="en-US"/>
        </w:rPr>
        <w:t xml:space="preserve"> of rye </w:t>
      </w:r>
      <w:r w:rsidR="00312A53">
        <w:rPr>
          <w:rFonts w:ascii="Fira Sans" w:hAnsi="Fira Sans"/>
          <w:sz w:val="19"/>
          <w:szCs w:val="18"/>
          <w:lang w:val="en-US"/>
        </w:rPr>
        <w:t>decreased to</w:t>
      </w:r>
      <w:r w:rsidR="000917E5">
        <w:rPr>
          <w:rFonts w:ascii="Fira Sans" w:hAnsi="Fira Sans"/>
          <w:sz w:val="19"/>
          <w:szCs w:val="18"/>
          <w:lang w:val="en-US"/>
        </w:rPr>
        <w:t xml:space="preserve"> </w:t>
      </w:r>
      <w:r w:rsidR="00312A53">
        <w:rPr>
          <w:rFonts w:ascii="Fira Sans" w:hAnsi="Fira Sans"/>
          <w:sz w:val="19"/>
          <w:szCs w:val="18"/>
          <w:lang w:val="en-US"/>
        </w:rPr>
        <w:t>65.92</w:t>
      </w:r>
      <w:r w:rsidR="00C32FA6">
        <w:rPr>
          <w:rFonts w:ascii="Fira Sans" w:hAnsi="Fira Sans"/>
          <w:sz w:val="19"/>
          <w:szCs w:val="18"/>
          <w:lang w:val="en-US"/>
        </w:rPr>
        <w:t xml:space="preserve"> </w:t>
      </w:r>
      <w:r w:rsidR="00312A53">
        <w:rPr>
          <w:rFonts w:ascii="Fira Sans" w:hAnsi="Fira Sans"/>
          <w:sz w:val="19"/>
          <w:szCs w:val="18"/>
          <w:lang w:val="en-US"/>
        </w:rPr>
        <w:t>PLN</w:t>
      </w:r>
      <w:r w:rsidR="00EC00C2">
        <w:rPr>
          <w:rFonts w:ascii="Fira Sans" w:hAnsi="Fira Sans"/>
          <w:sz w:val="19"/>
          <w:szCs w:val="18"/>
          <w:lang w:val="en-US"/>
        </w:rPr>
        <w:t xml:space="preserve"> per </w:t>
      </w:r>
      <w:proofErr w:type="spellStart"/>
      <w:r w:rsidR="00EC00C2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EC00C2">
        <w:rPr>
          <w:rFonts w:ascii="Fira Sans" w:hAnsi="Fira Sans"/>
          <w:sz w:val="19"/>
          <w:szCs w:val="18"/>
          <w:lang w:val="en-US"/>
        </w:rPr>
        <w:t>,</w:t>
      </w:r>
      <w:r w:rsidR="007F76E1">
        <w:rPr>
          <w:rFonts w:ascii="Fira Sans" w:hAnsi="Fira Sans"/>
          <w:sz w:val="19"/>
          <w:szCs w:val="18"/>
          <w:lang w:val="en-US"/>
        </w:rPr>
        <w:t xml:space="preserve"> </w:t>
      </w:r>
      <w:r w:rsidR="00312A53">
        <w:rPr>
          <w:rFonts w:ascii="Fira Sans" w:hAnsi="Fira Sans"/>
          <w:sz w:val="19"/>
          <w:lang w:val="en-US"/>
        </w:rPr>
        <w:t xml:space="preserve">i.e. on a monthly basis </w:t>
      </w:r>
      <w:r w:rsidR="00C32FA6">
        <w:rPr>
          <w:rFonts w:ascii="Fira Sans" w:hAnsi="Fira Sans"/>
          <w:sz w:val="19"/>
          <w:lang w:val="en-US"/>
        </w:rPr>
        <w:t>were lower by 0.5%, and in an annual terms</w:t>
      </w:r>
      <w:r w:rsidR="00312A53">
        <w:rPr>
          <w:rFonts w:ascii="Fira Sans" w:hAnsi="Fira Sans"/>
          <w:sz w:val="19"/>
          <w:szCs w:val="18"/>
          <w:lang w:val="en-US"/>
        </w:rPr>
        <w:t xml:space="preserve"> </w:t>
      </w:r>
      <w:r w:rsidR="00C32FA6">
        <w:rPr>
          <w:rFonts w:ascii="Fira Sans" w:hAnsi="Fira Sans"/>
          <w:sz w:val="19"/>
          <w:szCs w:val="18"/>
          <w:lang w:val="en-US"/>
        </w:rPr>
        <w:t>– by 7.9%.</w:t>
      </w:r>
    </w:p>
    <w:p w14:paraId="07E73BF8" w14:textId="546E9E22" w:rsidR="0051442B" w:rsidRPr="00661C39" w:rsidRDefault="00B775F1" w:rsidP="00984CD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512BD458" wp14:editId="71BEBD4F">
                <wp:simplePos x="0" y="0"/>
                <wp:positionH relativeFrom="page">
                  <wp:posOffset>5951855</wp:posOffset>
                </wp:positionH>
                <wp:positionV relativeFrom="paragraph">
                  <wp:posOffset>14605</wp:posOffset>
                </wp:positionV>
                <wp:extent cx="1438275" cy="1657350"/>
                <wp:effectExtent l="0" t="0" r="0" b="0"/>
                <wp:wrapTight wrapText="bothSides">
                  <wp:wrapPolygon edited="0">
                    <wp:start x="858" y="0"/>
                    <wp:lineTo x="858" y="21352"/>
                    <wp:lineTo x="20599" y="21352"/>
                    <wp:lineTo x="20599" y="0"/>
                    <wp:lineTo x="858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D7594" w14:textId="77777777" w:rsidR="0051442B" w:rsidRPr="00661C39" w:rsidRDefault="00AD444C" w:rsidP="003956B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="0051442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B48C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October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B48C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this year</w:t>
                            </w:r>
                            <w:r w:rsidR="00DD52C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3544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both </w:t>
                            </w:r>
                            <w:r w:rsidR="00DD52C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as related to </w:t>
                            </w:r>
                            <w:r w:rsidR="004B48C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September</w:t>
                            </w:r>
                            <w:r w:rsidR="00DE744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B48C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2020</w:t>
                            </w:r>
                            <w:r w:rsidR="0033206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to </w:t>
                            </w:r>
                            <w:r w:rsidR="0023544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the corresponding month of the previous year</w:t>
                            </w:r>
                            <w:r w:rsidR="00E607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3544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on the both markets prices of potatoes and pigs for slaughter</w:t>
                            </w:r>
                            <w:r w:rsidR="009025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3544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decreased</w:t>
                            </w:r>
                            <w:r w:rsidR="00282FA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D458" id="_x0000_s1031" type="#_x0000_t202" style="position:absolute;margin-left:468.65pt;margin-top:1.15pt;width:113.25pt;height:130.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" filled="f" stroked="f">
                <v:textbox>
                  <w:txbxContent>
                    <w:p w14:paraId="689D7594" w14:textId="77777777" w:rsidR="0051442B" w:rsidRPr="00661C39" w:rsidRDefault="00AD444C" w:rsidP="003956B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="0051442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B48C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October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B48C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this year</w:t>
                      </w:r>
                      <w:r w:rsidR="00DD52C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3544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both </w:t>
                      </w:r>
                      <w:r w:rsidR="00DD52C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as related to </w:t>
                      </w:r>
                      <w:r w:rsidR="004B48C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September</w:t>
                      </w:r>
                      <w:r w:rsidR="00DE744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B48C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2020</w:t>
                      </w:r>
                      <w:r w:rsidR="0033206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to </w:t>
                      </w:r>
                      <w:r w:rsidR="0023544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the corresponding month of the previous year</w:t>
                      </w:r>
                      <w:r w:rsidR="00E607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3544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on the both markets prices of potatoes and pigs for slaughter</w:t>
                      </w:r>
                      <w:r w:rsidR="009025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3544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decreased</w:t>
                      </w:r>
                      <w:r w:rsidR="00282FA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D45DD">
        <w:rPr>
          <w:rFonts w:ascii="Fira Sans" w:hAnsi="Fira Sans"/>
          <w:sz w:val="19"/>
          <w:lang w:val="en-US"/>
        </w:rPr>
        <w:t>I</w:t>
      </w:r>
      <w:r w:rsidR="0051442B" w:rsidRPr="00661C39">
        <w:rPr>
          <w:rFonts w:ascii="Fira Sans" w:hAnsi="Fira Sans"/>
          <w:sz w:val="19"/>
          <w:lang w:val="en-US"/>
        </w:rPr>
        <w:t xml:space="preserve">n </w:t>
      </w:r>
      <w:r w:rsidR="00C32FA6">
        <w:rPr>
          <w:rFonts w:ascii="Fira Sans" w:hAnsi="Fira Sans"/>
          <w:sz w:val="19"/>
          <w:lang w:val="en-US"/>
        </w:rPr>
        <w:t>October</w:t>
      </w:r>
      <w:r w:rsidR="002D680C">
        <w:rPr>
          <w:rFonts w:ascii="Fira Sans" w:hAnsi="Fira Sans"/>
          <w:sz w:val="19"/>
          <w:lang w:val="en-US"/>
        </w:rPr>
        <w:t xml:space="preserve"> 2020</w:t>
      </w:r>
      <w:r w:rsidR="0051442B" w:rsidRPr="00661C39">
        <w:rPr>
          <w:rFonts w:ascii="Fira Sans" w:hAnsi="Fira Sans"/>
          <w:sz w:val="19"/>
          <w:lang w:val="en-US"/>
        </w:rPr>
        <w:t xml:space="preserve"> for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was paid on average </w:t>
      </w:r>
      <w:r w:rsidR="002D680C">
        <w:rPr>
          <w:rFonts w:ascii="Fira Sans" w:hAnsi="Fira Sans"/>
          <w:sz w:val="19"/>
          <w:lang w:val="en-US"/>
        </w:rPr>
        <w:t>3</w:t>
      </w:r>
      <w:r w:rsidR="00C32FA6">
        <w:rPr>
          <w:rFonts w:ascii="Fira Sans" w:hAnsi="Fira Sans"/>
          <w:sz w:val="19"/>
          <w:lang w:val="en-US"/>
        </w:rPr>
        <w:t>1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C32FA6">
        <w:rPr>
          <w:rFonts w:ascii="Fira Sans" w:hAnsi="Fira Sans"/>
          <w:sz w:val="19"/>
          <w:lang w:val="en-US"/>
        </w:rPr>
        <w:t>00</w:t>
      </w:r>
      <w:r w:rsidR="0051442B" w:rsidRPr="00661C39">
        <w:rPr>
          <w:rFonts w:ascii="Fira Sans" w:hAnsi="Fira Sans"/>
          <w:sz w:val="19"/>
          <w:lang w:val="en-US"/>
        </w:rPr>
        <w:t xml:space="preserve"> PLN/</w:t>
      </w:r>
      <w:r w:rsidR="00517418">
        <w:rPr>
          <w:rFonts w:ascii="Fira Sans" w:hAnsi="Fira Sans"/>
          <w:sz w:val="19"/>
          <w:lang w:val="en-US"/>
        </w:rPr>
        <w:t xml:space="preserve"> -</w:t>
      </w:r>
      <w:r w:rsidR="00241466">
        <w:rPr>
          <w:rFonts w:ascii="Fira Sans" w:hAnsi="Fira Sans"/>
          <w:sz w:val="19"/>
          <w:lang w:val="en-US"/>
        </w:rPr>
        <w:t xml:space="preserve">per 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r w:rsidR="000A02E7">
        <w:rPr>
          <w:rFonts w:ascii="Fira Sans" w:hAnsi="Fira Sans"/>
          <w:sz w:val="19"/>
          <w:lang w:val="en-US"/>
        </w:rPr>
        <w:t>.</w:t>
      </w:r>
      <w:proofErr w:type="spellEnd"/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75243">
        <w:rPr>
          <w:rFonts w:ascii="Fira Sans" w:hAnsi="Fira Sans"/>
          <w:sz w:val="19"/>
          <w:lang w:val="en-US"/>
        </w:rPr>
        <w:t>On a monthly basis</w:t>
      </w:r>
      <w:r w:rsidR="001D55CC">
        <w:rPr>
          <w:rFonts w:ascii="Fira Sans" w:hAnsi="Fira Sans"/>
          <w:sz w:val="19"/>
          <w:lang w:val="en-US"/>
        </w:rPr>
        <w:t xml:space="preserve"> the fall in prices </w:t>
      </w:r>
      <w:r w:rsidR="003964C5">
        <w:rPr>
          <w:rFonts w:ascii="Fira Sans" w:hAnsi="Fira Sans"/>
          <w:sz w:val="19"/>
          <w:lang w:val="en-US"/>
        </w:rPr>
        <w:t xml:space="preserve">amounted to </w:t>
      </w:r>
      <w:r w:rsidR="00C32FA6">
        <w:rPr>
          <w:rFonts w:ascii="Fira Sans" w:hAnsi="Fira Sans"/>
          <w:sz w:val="19"/>
          <w:lang w:val="en-US"/>
        </w:rPr>
        <w:t>4</w:t>
      </w:r>
      <w:r w:rsidR="001D55CC">
        <w:rPr>
          <w:rFonts w:ascii="Fira Sans" w:hAnsi="Fira Sans"/>
          <w:sz w:val="19"/>
          <w:lang w:val="en-US"/>
        </w:rPr>
        <w:t>.</w:t>
      </w:r>
      <w:r w:rsidR="00E921F9">
        <w:rPr>
          <w:rFonts w:ascii="Fira Sans" w:hAnsi="Fira Sans"/>
          <w:sz w:val="19"/>
          <w:lang w:val="en-US"/>
        </w:rPr>
        <w:t>6</w:t>
      </w:r>
      <w:r w:rsidR="001D55CC">
        <w:rPr>
          <w:rFonts w:ascii="Fira Sans" w:hAnsi="Fira Sans"/>
          <w:sz w:val="19"/>
          <w:lang w:val="en-US"/>
        </w:rPr>
        <w:t>% and in annual terms –</w:t>
      </w:r>
      <w:r w:rsidR="00C32FA6">
        <w:rPr>
          <w:rFonts w:ascii="Fira Sans" w:hAnsi="Fira Sans"/>
          <w:sz w:val="19"/>
          <w:lang w:val="en-US"/>
        </w:rPr>
        <w:t>16</w:t>
      </w:r>
      <w:r w:rsidR="00E921F9">
        <w:rPr>
          <w:rFonts w:ascii="Fira Sans" w:hAnsi="Fira Sans"/>
          <w:sz w:val="19"/>
          <w:lang w:val="en-US"/>
        </w:rPr>
        <w:t>.</w:t>
      </w:r>
      <w:r w:rsidR="00C32FA6">
        <w:rPr>
          <w:rFonts w:ascii="Fira Sans" w:hAnsi="Fira Sans"/>
          <w:sz w:val="19"/>
          <w:lang w:val="en-US"/>
        </w:rPr>
        <w:t>3</w:t>
      </w:r>
      <w:r w:rsidR="001D55CC">
        <w:rPr>
          <w:rFonts w:ascii="Fira Sans" w:hAnsi="Fira Sans"/>
          <w:sz w:val="19"/>
          <w:lang w:val="en-US"/>
        </w:rPr>
        <w:t xml:space="preserve">.%. </w:t>
      </w:r>
      <w:r w:rsidR="00F30525">
        <w:rPr>
          <w:rFonts w:ascii="Fira Sans" w:hAnsi="Fira Sans"/>
          <w:sz w:val="19"/>
          <w:lang w:val="en-US"/>
        </w:rPr>
        <w:t>The price of potatoes on marketplaces</w:t>
      </w:r>
      <w:r w:rsidR="00DF7587">
        <w:rPr>
          <w:rFonts w:ascii="Fira Sans" w:hAnsi="Fira Sans"/>
          <w:sz w:val="19"/>
          <w:lang w:val="en-US"/>
        </w:rPr>
        <w:t xml:space="preserve"> (</w:t>
      </w:r>
      <w:r w:rsidR="003F7C31">
        <w:rPr>
          <w:rFonts w:ascii="Fira Sans" w:hAnsi="Fira Sans"/>
          <w:sz w:val="19"/>
          <w:lang w:val="en-US"/>
        </w:rPr>
        <w:t>106</w:t>
      </w:r>
      <w:r w:rsidR="00DF7587">
        <w:rPr>
          <w:rFonts w:ascii="Fira Sans" w:hAnsi="Fira Sans"/>
          <w:sz w:val="19"/>
          <w:lang w:val="en-US"/>
        </w:rPr>
        <w:t>.</w:t>
      </w:r>
      <w:r w:rsidR="003F7C31">
        <w:rPr>
          <w:rFonts w:ascii="Fira Sans" w:hAnsi="Fira Sans"/>
          <w:sz w:val="19"/>
          <w:lang w:val="en-US"/>
        </w:rPr>
        <w:t>12</w:t>
      </w:r>
      <w:r w:rsidR="00DF7587">
        <w:rPr>
          <w:rFonts w:ascii="Fira Sans" w:hAnsi="Fira Sans"/>
          <w:sz w:val="19"/>
          <w:lang w:val="en-US"/>
        </w:rPr>
        <w:t xml:space="preserve"> PLN/</w:t>
      </w:r>
      <w:r w:rsidR="00241466">
        <w:rPr>
          <w:rFonts w:ascii="Fira Sans" w:hAnsi="Fira Sans"/>
          <w:sz w:val="19"/>
          <w:lang w:val="en-US"/>
        </w:rPr>
        <w:t xml:space="preserve">per </w:t>
      </w:r>
      <w:proofErr w:type="spellStart"/>
      <w:r w:rsidR="00DF7587">
        <w:rPr>
          <w:rFonts w:ascii="Fira Sans" w:hAnsi="Fira Sans"/>
          <w:sz w:val="19"/>
          <w:lang w:val="en-US"/>
        </w:rPr>
        <w:t>dt</w:t>
      </w:r>
      <w:proofErr w:type="spellEnd"/>
      <w:r w:rsidR="00DF7587">
        <w:rPr>
          <w:rFonts w:ascii="Fira Sans" w:hAnsi="Fira Sans"/>
          <w:sz w:val="19"/>
          <w:lang w:val="en-US"/>
        </w:rPr>
        <w:t xml:space="preserve">) </w:t>
      </w:r>
      <w:r w:rsidR="00F30525">
        <w:rPr>
          <w:rFonts w:ascii="Fira Sans" w:hAnsi="Fira Sans"/>
          <w:sz w:val="19"/>
          <w:lang w:val="en-US"/>
        </w:rPr>
        <w:t>was also lower</w:t>
      </w:r>
      <w:r w:rsidR="00DF7587">
        <w:rPr>
          <w:rFonts w:ascii="Fira Sans" w:hAnsi="Fira Sans"/>
          <w:sz w:val="19"/>
          <w:lang w:val="en-US"/>
        </w:rPr>
        <w:t xml:space="preserve"> </w:t>
      </w:r>
      <w:r w:rsidR="00F30525">
        <w:rPr>
          <w:rFonts w:ascii="Fira Sans" w:hAnsi="Fira Sans"/>
          <w:sz w:val="19"/>
          <w:lang w:val="en-US"/>
        </w:rPr>
        <w:t>in</w:t>
      </w:r>
      <w:r w:rsidR="00DF7587">
        <w:rPr>
          <w:rFonts w:ascii="Fira Sans" w:hAnsi="Fira Sans"/>
          <w:sz w:val="19"/>
          <w:lang w:val="en-US"/>
        </w:rPr>
        <w:t xml:space="preserve"> comparison with </w:t>
      </w:r>
      <w:r w:rsidR="00631407">
        <w:rPr>
          <w:rFonts w:ascii="Fira Sans" w:hAnsi="Fira Sans"/>
          <w:sz w:val="19"/>
          <w:lang w:val="en-US"/>
        </w:rPr>
        <w:t xml:space="preserve">the </w:t>
      </w:r>
      <w:r w:rsidR="00DF7587">
        <w:rPr>
          <w:rFonts w:ascii="Fira Sans" w:hAnsi="Fira Sans"/>
          <w:sz w:val="19"/>
          <w:lang w:val="en-US"/>
        </w:rPr>
        <w:t xml:space="preserve">previous month (by </w:t>
      </w:r>
      <w:r w:rsidR="003F7C31">
        <w:rPr>
          <w:rFonts w:ascii="Fira Sans" w:hAnsi="Fira Sans"/>
          <w:sz w:val="19"/>
          <w:lang w:val="en-US"/>
        </w:rPr>
        <w:t>4</w:t>
      </w:r>
      <w:r w:rsidR="00DF7587">
        <w:rPr>
          <w:rFonts w:ascii="Fira Sans" w:hAnsi="Fira Sans"/>
          <w:sz w:val="19"/>
          <w:lang w:val="en-US"/>
        </w:rPr>
        <w:t>,</w:t>
      </w:r>
      <w:r w:rsidR="003F7C31">
        <w:rPr>
          <w:rFonts w:ascii="Fira Sans" w:hAnsi="Fira Sans"/>
          <w:sz w:val="19"/>
          <w:lang w:val="en-US"/>
        </w:rPr>
        <w:t>7</w:t>
      </w:r>
      <w:r w:rsidR="00DF7587">
        <w:rPr>
          <w:rFonts w:ascii="Fira Sans" w:hAnsi="Fira Sans"/>
          <w:sz w:val="19"/>
          <w:lang w:val="en-US"/>
        </w:rPr>
        <w:t xml:space="preserve">%) as well as with </w:t>
      </w:r>
      <w:r w:rsidR="003F7C31">
        <w:rPr>
          <w:rFonts w:ascii="Fira Sans" w:hAnsi="Fira Sans"/>
          <w:sz w:val="19"/>
          <w:lang w:val="en-US"/>
        </w:rPr>
        <w:t>October</w:t>
      </w:r>
      <w:r w:rsidR="00DF7587">
        <w:rPr>
          <w:rFonts w:ascii="Fira Sans" w:hAnsi="Fira Sans"/>
          <w:sz w:val="19"/>
          <w:lang w:val="en-US"/>
        </w:rPr>
        <w:t xml:space="preserve"> last year (by 50.7%).</w:t>
      </w:r>
    </w:p>
    <w:p w14:paraId="4CF45124" w14:textId="68AA66EB" w:rsidR="00A337BA" w:rsidRDefault="00383B28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>rocurement price</w:t>
      </w:r>
      <w:r w:rsidR="0074748F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 xml:space="preserve">of </w:t>
      </w:r>
      <w:r w:rsidR="0051442B" w:rsidRPr="00661C39">
        <w:rPr>
          <w:rFonts w:ascii="Fira Sans" w:hAnsi="Fira Sans"/>
          <w:b/>
          <w:sz w:val="19"/>
          <w:lang w:val="en-US"/>
        </w:rPr>
        <w:t>cattle for slaughter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74748F">
        <w:rPr>
          <w:rFonts w:ascii="Fira Sans" w:hAnsi="Fira Sans"/>
          <w:sz w:val="19"/>
          <w:lang w:val="en-US"/>
        </w:rPr>
        <w:t xml:space="preserve">was at the level </w:t>
      </w:r>
      <w:r w:rsidR="0074748F" w:rsidRPr="00661C39">
        <w:rPr>
          <w:rFonts w:ascii="Fira Sans" w:hAnsi="Fira Sans"/>
          <w:sz w:val="19"/>
          <w:lang w:val="en-US"/>
        </w:rPr>
        <w:t>6.</w:t>
      </w:r>
      <w:r w:rsidR="0074748F">
        <w:rPr>
          <w:rFonts w:ascii="Fira Sans" w:hAnsi="Fira Sans"/>
          <w:sz w:val="19"/>
          <w:lang w:val="en-US"/>
        </w:rPr>
        <w:t>4</w:t>
      </w:r>
      <w:r w:rsidR="0055748D">
        <w:rPr>
          <w:rFonts w:ascii="Fira Sans" w:hAnsi="Fira Sans"/>
          <w:sz w:val="19"/>
          <w:lang w:val="en-US"/>
        </w:rPr>
        <w:t>4</w:t>
      </w:r>
      <w:r w:rsidR="0074748F">
        <w:rPr>
          <w:rFonts w:ascii="Fira Sans" w:hAnsi="Fira Sans"/>
          <w:sz w:val="19"/>
          <w:lang w:val="en-US"/>
        </w:rPr>
        <w:t xml:space="preserve"> </w:t>
      </w:r>
      <w:r w:rsidR="0074748F" w:rsidRPr="00661C39">
        <w:rPr>
          <w:rFonts w:ascii="Fira Sans" w:hAnsi="Fira Sans"/>
          <w:sz w:val="19"/>
          <w:lang w:val="en-US"/>
        </w:rPr>
        <w:t>PLN/</w:t>
      </w:r>
      <w:r w:rsidR="00241466">
        <w:rPr>
          <w:rFonts w:ascii="Fira Sans" w:hAnsi="Fira Sans"/>
          <w:sz w:val="19"/>
          <w:lang w:val="en-US"/>
        </w:rPr>
        <w:t xml:space="preserve">per </w:t>
      </w:r>
      <w:r w:rsidR="0074748F" w:rsidRPr="00661C39">
        <w:rPr>
          <w:rFonts w:ascii="Fira Sans" w:hAnsi="Fira Sans"/>
          <w:sz w:val="19"/>
          <w:lang w:val="en-US"/>
        </w:rPr>
        <w:t>kg</w:t>
      </w:r>
      <w:r w:rsidR="0074748F">
        <w:rPr>
          <w:rFonts w:ascii="Fira Sans" w:hAnsi="Fira Sans"/>
          <w:sz w:val="19"/>
          <w:lang w:val="en-US"/>
        </w:rPr>
        <w:t xml:space="preserve"> and was higher than in </w:t>
      </w:r>
      <w:r w:rsidR="0055748D">
        <w:rPr>
          <w:rFonts w:ascii="Fira Sans" w:hAnsi="Fira Sans"/>
          <w:sz w:val="19"/>
          <w:lang w:val="en-US"/>
        </w:rPr>
        <w:t>September</w:t>
      </w:r>
      <w:r w:rsidR="0074748F">
        <w:rPr>
          <w:rFonts w:ascii="Fira Sans" w:hAnsi="Fira Sans"/>
          <w:sz w:val="19"/>
          <w:lang w:val="en-US"/>
        </w:rPr>
        <w:t xml:space="preserve"> this year by </w:t>
      </w:r>
      <w:r w:rsidR="0055748D">
        <w:rPr>
          <w:rFonts w:ascii="Fira Sans" w:hAnsi="Fira Sans"/>
          <w:sz w:val="19"/>
          <w:lang w:val="en-US"/>
        </w:rPr>
        <w:t>0</w:t>
      </w:r>
      <w:r w:rsidR="0074748F">
        <w:rPr>
          <w:rFonts w:ascii="Fira Sans" w:hAnsi="Fira Sans"/>
          <w:sz w:val="19"/>
          <w:lang w:val="en-US"/>
        </w:rPr>
        <w:t>,</w:t>
      </w:r>
      <w:r w:rsidR="0055748D">
        <w:rPr>
          <w:rFonts w:ascii="Fira Sans" w:hAnsi="Fira Sans"/>
          <w:sz w:val="19"/>
          <w:lang w:val="en-US"/>
        </w:rPr>
        <w:t>7</w:t>
      </w:r>
      <w:r w:rsidR="0074748F">
        <w:rPr>
          <w:rFonts w:ascii="Fira Sans" w:hAnsi="Fira Sans"/>
          <w:sz w:val="19"/>
          <w:lang w:val="en-US"/>
        </w:rPr>
        <w:t>% and in annual terms</w:t>
      </w:r>
      <w:r w:rsidR="00EF135C">
        <w:rPr>
          <w:rFonts w:ascii="Fira Sans" w:hAnsi="Fira Sans"/>
          <w:sz w:val="19"/>
          <w:lang w:val="en-US"/>
        </w:rPr>
        <w:t xml:space="preserve"> -</w:t>
      </w:r>
      <w:r w:rsidR="0074748F">
        <w:rPr>
          <w:rFonts w:ascii="Fira Sans" w:hAnsi="Fira Sans"/>
          <w:sz w:val="19"/>
          <w:lang w:val="en-US"/>
        </w:rPr>
        <w:t xml:space="preserve"> by 6.</w:t>
      </w:r>
      <w:r w:rsidR="004501FC">
        <w:rPr>
          <w:rFonts w:ascii="Fira Sans" w:hAnsi="Fira Sans"/>
          <w:sz w:val="19"/>
          <w:lang w:val="en-US"/>
        </w:rPr>
        <w:t>4</w:t>
      </w:r>
      <w:r w:rsidR="0074748F">
        <w:rPr>
          <w:rFonts w:ascii="Fira Sans" w:hAnsi="Fira Sans"/>
          <w:sz w:val="19"/>
          <w:lang w:val="en-US"/>
        </w:rPr>
        <w:t>%.</w:t>
      </w:r>
      <w:r w:rsidR="008B2D1A" w:rsidRPr="008B2D1A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04D1D">
        <w:rPr>
          <w:rFonts w:ascii="Fira Sans" w:hAnsi="Fira Sans"/>
          <w:sz w:val="19"/>
          <w:lang w:val="en-US"/>
        </w:rPr>
        <w:t>I</w:t>
      </w:r>
      <w:r w:rsidR="007C5B82">
        <w:rPr>
          <w:rFonts w:ascii="Fira Sans" w:hAnsi="Fira Sans"/>
          <w:sz w:val="19"/>
          <w:lang w:val="en-US"/>
        </w:rPr>
        <w:t xml:space="preserve">n </w:t>
      </w:r>
      <w:r w:rsidR="0051442B" w:rsidRPr="00661C39">
        <w:rPr>
          <w:rFonts w:ascii="Fira Sans" w:hAnsi="Fira Sans"/>
          <w:sz w:val="19"/>
          <w:lang w:val="en-US"/>
        </w:rPr>
        <w:t>marketplace</w:t>
      </w:r>
      <w:r w:rsidR="007C5B82">
        <w:rPr>
          <w:rFonts w:ascii="Fira Sans" w:hAnsi="Fira Sans"/>
          <w:sz w:val="19"/>
          <w:lang w:val="en-US"/>
        </w:rPr>
        <w:t xml:space="preserve"> transa</w:t>
      </w:r>
      <w:r w:rsidR="00625C9A">
        <w:rPr>
          <w:rFonts w:ascii="Fira Sans" w:hAnsi="Fira Sans"/>
          <w:sz w:val="19"/>
          <w:lang w:val="en-US"/>
        </w:rPr>
        <w:t>c</w:t>
      </w:r>
      <w:r w:rsidR="007C5B82">
        <w:rPr>
          <w:rFonts w:ascii="Fira Sans" w:hAnsi="Fira Sans"/>
          <w:sz w:val="19"/>
          <w:lang w:val="en-US"/>
        </w:rPr>
        <w:t>tions</w:t>
      </w:r>
      <w:r w:rsidR="00904D1D">
        <w:rPr>
          <w:rFonts w:ascii="Fira Sans" w:hAnsi="Fira Sans"/>
          <w:sz w:val="19"/>
          <w:lang w:val="en-US"/>
        </w:rPr>
        <w:t xml:space="preserve"> </w:t>
      </w:r>
      <w:r w:rsidR="006221ED">
        <w:rPr>
          <w:rFonts w:ascii="Fira Sans" w:hAnsi="Fira Sans"/>
          <w:sz w:val="19"/>
          <w:lang w:val="en-US"/>
        </w:rPr>
        <w:t>for cattle for slaughter was</w:t>
      </w:r>
      <w:r w:rsidR="00A337BA">
        <w:rPr>
          <w:rFonts w:ascii="Fira Sans" w:hAnsi="Fira Sans"/>
          <w:sz w:val="19"/>
          <w:lang w:val="en-US"/>
        </w:rPr>
        <w:t xml:space="preserve"> paid </w:t>
      </w:r>
      <w:r w:rsidR="00956E12">
        <w:rPr>
          <w:rFonts w:ascii="Fira Sans" w:hAnsi="Fira Sans"/>
          <w:sz w:val="19"/>
          <w:lang w:val="en-US"/>
        </w:rPr>
        <w:t>7</w:t>
      </w:r>
      <w:r w:rsidR="00904D1D">
        <w:rPr>
          <w:rFonts w:ascii="Fira Sans" w:hAnsi="Fira Sans"/>
          <w:sz w:val="19"/>
          <w:lang w:val="en-US"/>
        </w:rPr>
        <w:t>.</w:t>
      </w:r>
      <w:r w:rsidR="00956E12">
        <w:rPr>
          <w:rFonts w:ascii="Fira Sans" w:hAnsi="Fira Sans"/>
          <w:sz w:val="19"/>
          <w:lang w:val="en-US"/>
        </w:rPr>
        <w:t>0</w:t>
      </w:r>
      <w:r w:rsidR="004501FC">
        <w:rPr>
          <w:rFonts w:ascii="Fira Sans" w:hAnsi="Fira Sans"/>
          <w:sz w:val="19"/>
          <w:lang w:val="en-US"/>
        </w:rPr>
        <w:t xml:space="preserve">1 </w:t>
      </w:r>
      <w:r w:rsidR="00904D1D">
        <w:rPr>
          <w:rFonts w:ascii="Fira Sans" w:hAnsi="Fira Sans"/>
          <w:sz w:val="19"/>
          <w:lang w:val="en-US"/>
        </w:rPr>
        <w:t>PLN/</w:t>
      </w:r>
      <w:r w:rsidR="00241466">
        <w:rPr>
          <w:rFonts w:ascii="Fira Sans" w:hAnsi="Fira Sans"/>
          <w:sz w:val="19"/>
          <w:lang w:val="en-US"/>
        </w:rPr>
        <w:t xml:space="preserve">per </w:t>
      </w:r>
      <w:r w:rsidR="00904D1D">
        <w:rPr>
          <w:rFonts w:ascii="Fira Sans" w:hAnsi="Fira Sans"/>
          <w:sz w:val="19"/>
          <w:lang w:val="en-US"/>
        </w:rPr>
        <w:t xml:space="preserve">kg </w:t>
      </w:r>
      <w:r w:rsidR="00956E12">
        <w:rPr>
          <w:rFonts w:ascii="Fira Sans" w:hAnsi="Fira Sans"/>
          <w:sz w:val="19"/>
          <w:lang w:val="en-US"/>
        </w:rPr>
        <w:t xml:space="preserve">i.e. by </w:t>
      </w:r>
      <w:r w:rsidR="004501FC">
        <w:rPr>
          <w:rFonts w:ascii="Fira Sans" w:hAnsi="Fira Sans"/>
          <w:sz w:val="19"/>
          <w:lang w:val="en-US"/>
        </w:rPr>
        <w:t>1</w:t>
      </w:r>
      <w:r w:rsidR="00956E12">
        <w:rPr>
          <w:rFonts w:ascii="Fira Sans" w:hAnsi="Fira Sans"/>
          <w:sz w:val="19"/>
          <w:lang w:val="en-US"/>
        </w:rPr>
        <w:t>.</w:t>
      </w:r>
      <w:r w:rsidR="00D4691A">
        <w:rPr>
          <w:rFonts w:ascii="Fira Sans" w:hAnsi="Fira Sans"/>
          <w:sz w:val="19"/>
          <w:lang w:val="en-US"/>
        </w:rPr>
        <w:t>0</w:t>
      </w:r>
      <w:r w:rsidR="00956E12">
        <w:rPr>
          <w:rFonts w:ascii="Fira Sans" w:hAnsi="Fira Sans"/>
          <w:sz w:val="19"/>
          <w:lang w:val="en-US"/>
        </w:rPr>
        <w:t xml:space="preserve">% </w:t>
      </w:r>
      <w:r w:rsidR="004501FC">
        <w:rPr>
          <w:rFonts w:ascii="Fira Sans" w:hAnsi="Fira Sans"/>
          <w:sz w:val="19"/>
          <w:lang w:val="en-US"/>
        </w:rPr>
        <w:t xml:space="preserve">less </w:t>
      </w:r>
      <w:r w:rsidR="00956E12">
        <w:rPr>
          <w:rFonts w:ascii="Fira Sans" w:hAnsi="Fira Sans"/>
          <w:sz w:val="19"/>
          <w:lang w:val="en-US"/>
        </w:rPr>
        <w:t xml:space="preserve">than in </w:t>
      </w:r>
      <w:r w:rsidR="004501FC">
        <w:rPr>
          <w:rFonts w:ascii="Fira Sans" w:hAnsi="Fira Sans"/>
          <w:sz w:val="19"/>
          <w:lang w:val="en-US"/>
        </w:rPr>
        <w:t>September</w:t>
      </w:r>
      <w:r w:rsidR="00956E12">
        <w:rPr>
          <w:rFonts w:ascii="Fira Sans" w:hAnsi="Fira Sans"/>
          <w:sz w:val="19"/>
          <w:lang w:val="en-US"/>
        </w:rPr>
        <w:t xml:space="preserve"> this year and by</w:t>
      </w:r>
      <w:r w:rsidR="00A337BA">
        <w:rPr>
          <w:rFonts w:ascii="Fira Sans" w:hAnsi="Fira Sans"/>
          <w:sz w:val="19"/>
          <w:lang w:val="en-US"/>
        </w:rPr>
        <w:t xml:space="preserve"> </w:t>
      </w:r>
      <w:r w:rsidR="004501FC">
        <w:rPr>
          <w:rFonts w:ascii="Fira Sans" w:hAnsi="Fira Sans"/>
          <w:sz w:val="19"/>
          <w:lang w:val="en-US"/>
        </w:rPr>
        <w:t>9</w:t>
      </w:r>
      <w:r w:rsidR="00631407">
        <w:rPr>
          <w:rFonts w:ascii="Fira Sans" w:hAnsi="Fira Sans"/>
          <w:sz w:val="19"/>
          <w:lang w:val="en-US"/>
        </w:rPr>
        <w:t>.</w:t>
      </w:r>
      <w:r w:rsidR="004501FC">
        <w:rPr>
          <w:rFonts w:ascii="Fira Sans" w:hAnsi="Fira Sans"/>
          <w:sz w:val="19"/>
          <w:lang w:val="en-US"/>
        </w:rPr>
        <w:t>0</w:t>
      </w:r>
      <w:r w:rsidR="00A337BA">
        <w:rPr>
          <w:rFonts w:ascii="Fira Sans" w:hAnsi="Fira Sans"/>
          <w:sz w:val="19"/>
          <w:lang w:val="en-US"/>
        </w:rPr>
        <w:t>%</w:t>
      </w:r>
      <w:r w:rsidR="004501FC">
        <w:rPr>
          <w:rFonts w:ascii="Fira Sans" w:hAnsi="Fira Sans"/>
          <w:sz w:val="19"/>
          <w:lang w:val="en-US"/>
        </w:rPr>
        <w:t xml:space="preserve"> more</w:t>
      </w:r>
      <w:r w:rsidR="00A337BA">
        <w:rPr>
          <w:rFonts w:ascii="Fira Sans" w:hAnsi="Fira Sans"/>
          <w:sz w:val="19"/>
          <w:lang w:val="en-US"/>
        </w:rPr>
        <w:t xml:space="preserve"> than in a year ago.</w:t>
      </w:r>
    </w:p>
    <w:p w14:paraId="53D9A6D2" w14:textId="54E05204" w:rsidR="0051442B" w:rsidRPr="00661C39" w:rsidRDefault="00D03FC3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FC44A0">
        <w:rPr>
          <w:rFonts w:ascii="Fira Sans" w:hAnsi="Fira Sans"/>
          <w:sz w:val="19"/>
          <w:lang w:val="en-US"/>
        </w:rPr>
        <w:t>October this year</w:t>
      </w:r>
      <w:r w:rsidR="00A337BA"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t</w:t>
      </w:r>
      <w:r w:rsidR="0051442B" w:rsidRPr="00661C39">
        <w:rPr>
          <w:rFonts w:ascii="Fira Sans" w:hAnsi="Fira Sans"/>
          <w:sz w:val="19"/>
          <w:lang w:val="en-US"/>
        </w:rPr>
        <w:t>he price</w:t>
      </w:r>
      <w:r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 xml:space="preserve">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</w:t>
      </w:r>
      <w:r w:rsidR="00D03321">
        <w:rPr>
          <w:rFonts w:ascii="Fira Sans" w:hAnsi="Fira Sans"/>
          <w:sz w:val="19"/>
          <w:lang w:val="en-US"/>
        </w:rPr>
        <w:t>amounted</w:t>
      </w:r>
      <w:r w:rsidR="00B64727">
        <w:rPr>
          <w:rFonts w:ascii="Fira Sans" w:hAnsi="Fira Sans"/>
          <w:sz w:val="19"/>
          <w:lang w:val="en-US"/>
        </w:rPr>
        <w:t xml:space="preserve"> to </w:t>
      </w:r>
      <w:r>
        <w:rPr>
          <w:rFonts w:ascii="Fira Sans" w:hAnsi="Fira Sans"/>
          <w:sz w:val="19"/>
          <w:lang w:val="en-US"/>
        </w:rPr>
        <w:t>4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FC44A0">
        <w:rPr>
          <w:rFonts w:ascii="Fira Sans" w:hAnsi="Fira Sans"/>
          <w:sz w:val="19"/>
          <w:lang w:val="en-US"/>
        </w:rPr>
        <w:t>51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>/</w:t>
      </w:r>
      <w:r w:rsidR="00241466">
        <w:rPr>
          <w:rFonts w:ascii="Fira Sans" w:hAnsi="Fira Sans"/>
          <w:sz w:val="19"/>
          <w:lang w:val="en-US"/>
        </w:rPr>
        <w:t xml:space="preserve">per </w:t>
      </w:r>
      <w:r w:rsidR="0051442B" w:rsidRPr="00661C39">
        <w:rPr>
          <w:rFonts w:ascii="Fira Sans" w:hAnsi="Fira Sans"/>
          <w:sz w:val="19"/>
          <w:lang w:val="en-US"/>
        </w:rPr>
        <w:t xml:space="preserve">kg and </w:t>
      </w:r>
      <w:r w:rsidR="00631407">
        <w:rPr>
          <w:rFonts w:ascii="Fira Sans" w:hAnsi="Fira Sans"/>
          <w:sz w:val="19"/>
          <w:lang w:val="en-US"/>
        </w:rPr>
        <w:t xml:space="preserve">was </w:t>
      </w:r>
      <w:r w:rsidR="00206007">
        <w:rPr>
          <w:rFonts w:ascii="Fira Sans" w:hAnsi="Fira Sans"/>
          <w:sz w:val="19"/>
          <w:lang w:val="en-US"/>
        </w:rPr>
        <w:t>lower</w:t>
      </w:r>
      <w:r>
        <w:rPr>
          <w:rFonts w:ascii="Fira Sans" w:hAnsi="Fira Sans"/>
          <w:sz w:val="19"/>
          <w:lang w:val="en-US"/>
        </w:rPr>
        <w:t xml:space="preserve"> both </w:t>
      </w:r>
      <w:r w:rsidR="001F6E32">
        <w:rPr>
          <w:rFonts w:ascii="Fira Sans" w:hAnsi="Fira Sans"/>
          <w:sz w:val="19"/>
          <w:lang w:val="en-US"/>
        </w:rPr>
        <w:t>on a</w:t>
      </w:r>
      <w:r>
        <w:rPr>
          <w:rFonts w:ascii="Fira Sans" w:hAnsi="Fira Sans"/>
          <w:sz w:val="19"/>
          <w:lang w:val="en-US"/>
        </w:rPr>
        <w:t xml:space="preserve"> monthly basis and in annual terms - respectively by </w:t>
      </w:r>
      <w:r w:rsidR="00FC44A0">
        <w:rPr>
          <w:rFonts w:ascii="Fira Sans" w:hAnsi="Fira Sans"/>
          <w:sz w:val="19"/>
          <w:lang w:val="en-US"/>
        </w:rPr>
        <w:t>4</w:t>
      </w:r>
      <w:r>
        <w:rPr>
          <w:rFonts w:ascii="Fira Sans" w:hAnsi="Fira Sans"/>
          <w:sz w:val="19"/>
          <w:lang w:val="en-US"/>
        </w:rPr>
        <w:t>.</w:t>
      </w:r>
      <w:r w:rsidR="00FC44A0">
        <w:rPr>
          <w:rFonts w:ascii="Fira Sans" w:hAnsi="Fira Sans"/>
          <w:sz w:val="19"/>
          <w:lang w:val="en-US"/>
        </w:rPr>
        <w:t>9</w:t>
      </w:r>
      <w:r>
        <w:rPr>
          <w:rFonts w:ascii="Fira Sans" w:hAnsi="Fira Sans"/>
          <w:sz w:val="19"/>
          <w:lang w:val="en-US"/>
        </w:rPr>
        <w:t xml:space="preserve">% and by </w:t>
      </w:r>
      <w:r w:rsidR="00FC44A0">
        <w:rPr>
          <w:rFonts w:ascii="Fira Sans" w:hAnsi="Fira Sans"/>
          <w:sz w:val="19"/>
          <w:lang w:val="en-US"/>
        </w:rPr>
        <w:lastRenderedPageBreak/>
        <w:t>23</w:t>
      </w:r>
      <w:r>
        <w:rPr>
          <w:rFonts w:ascii="Fira Sans" w:hAnsi="Fira Sans"/>
          <w:sz w:val="19"/>
          <w:lang w:val="en-US"/>
        </w:rPr>
        <w:t>.</w:t>
      </w:r>
      <w:r w:rsidR="00FC44A0">
        <w:rPr>
          <w:rFonts w:ascii="Fira Sans" w:hAnsi="Fira Sans"/>
          <w:sz w:val="19"/>
          <w:lang w:val="en-US"/>
        </w:rPr>
        <w:t>4</w:t>
      </w:r>
      <w:r>
        <w:rPr>
          <w:rFonts w:ascii="Fira Sans" w:hAnsi="Fira Sans"/>
          <w:sz w:val="19"/>
          <w:lang w:val="en-US"/>
        </w:rPr>
        <w:t>%.</w:t>
      </w:r>
      <w:r w:rsidR="00206007">
        <w:rPr>
          <w:rFonts w:ascii="Fira Sans" w:hAnsi="Fira Sans"/>
          <w:sz w:val="19"/>
          <w:lang w:val="en-US"/>
        </w:rPr>
        <w:t xml:space="preserve"> </w:t>
      </w:r>
      <w:r w:rsidR="00C22854">
        <w:rPr>
          <w:rFonts w:ascii="Fira Sans" w:hAnsi="Fira Sans"/>
          <w:sz w:val="19"/>
          <w:lang w:val="en-US"/>
        </w:rPr>
        <w:t>Prices of pigs for slaughter dropped also on</w:t>
      </w:r>
      <w:r w:rsidR="0051442B" w:rsidRPr="00661C39">
        <w:rPr>
          <w:rFonts w:ascii="Fira Sans" w:hAnsi="Fira Sans"/>
          <w:sz w:val="19"/>
          <w:lang w:val="en-US"/>
        </w:rPr>
        <w:t xml:space="preserve"> marketplaces</w:t>
      </w:r>
      <w:r w:rsidR="00C65F09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206007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7D6BE1">
        <w:rPr>
          <w:rFonts w:ascii="Fira Sans" w:hAnsi="Fira Sans"/>
          <w:sz w:val="19"/>
          <w:lang w:val="en-US"/>
        </w:rPr>
        <w:t>28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 was paid for 1 kg of livestock. i.e.</w:t>
      </w:r>
      <w:r w:rsidR="00631407">
        <w:rPr>
          <w:rFonts w:ascii="Fira Sans" w:hAnsi="Fira Sans"/>
          <w:sz w:val="19"/>
          <w:lang w:val="en-US"/>
        </w:rPr>
        <w:t xml:space="preserve"> by </w:t>
      </w:r>
      <w:r w:rsidR="00995D68">
        <w:rPr>
          <w:rFonts w:ascii="Fira Sans" w:hAnsi="Fira Sans"/>
          <w:sz w:val="19"/>
          <w:lang w:val="en-US"/>
        </w:rPr>
        <w:t>4</w:t>
      </w:r>
      <w:r w:rsidR="00631407">
        <w:rPr>
          <w:rFonts w:ascii="Fira Sans" w:hAnsi="Fira Sans"/>
          <w:sz w:val="19"/>
          <w:lang w:val="en-US"/>
        </w:rPr>
        <w:t xml:space="preserve">.9% </w:t>
      </w:r>
      <w:r w:rsidR="009D080D">
        <w:rPr>
          <w:rFonts w:ascii="Fira Sans" w:hAnsi="Fira Sans"/>
          <w:sz w:val="19"/>
          <w:lang w:val="en-US"/>
        </w:rPr>
        <w:t>less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995D68">
        <w:rPr>
          <w:rFonts w:ascii="Fira Sans" w:hAnsi="Fira Sans"/>
          <w:sz w:val="19"/>
          <w:lang w:val="en-US"/>
        </w:rPr>
        <w:t>than in September this year and by 11</w:t>
      </w:r>
      <w:r w:rsidR="00206007">
        <w:rPr>
          <w:rFonts w:ascii="Fira Sans" w:hAnsi="Fira Sans"/>
          <w:sz w:val="19"/>
          <w:lang w:val="en-US"/>
        </w:rPr>
        <w:t>.</w:t>
      </w:r>
      <w:r w:rsidR="00995D68">
        <w:rPr>
          <w:rFonts w:ascii="Fira Sans" w:hAnsi="Fira Sans"/>
          <w:sz w:val="19"/>
          <w:lang w:val="en-US"/>
        </w:rPr>
        <w:t>4</w:t>
      </w:r>
      <w:r w:rsidR="00206007">
        <w:rPr>
          <w:rFonts w:ascii="Fira Sans" w:hAnsi="Fira Sans"/>
          <w:sz w:val="19"/>
          <w:lang w:val="en-US"/>
        </w:rPr>
        <w:t xml:space="preserve">% less than </w:t>
      </w:r>
      <w:r w:rsidR="00DD5B09">
        <w:rPr>
          <w:rFonts w:ascii="Fira Sans" w:hAnsi="Fira Sans"/>
          <w:sz w:val="19"/>
          <w:lang w:val="en-US"/>
        </w:rPr>
        <w:t>a year ago.</w:t>
      </w:r>
    </w:p>
    <w:p w14:paraId="5FE1B0D6" w14:textId="1AE07C97" w:rsidR="0051442B" w:rsidRPr="00A02323" w:rsidRDefault="00674B36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74B36">
        <w:rPr>
          <w:rFonts w:ascii="Fira Sans" w:hAnsi="Fira Sans"/>
          <w:sz w:val="19"/>
          <w:lang w:val="en-US"/>
        </w:rPr>
        <w:t>P</w:t>
      </w:r>
      <w:r w:rsidR="0051442B" w:rsidRPr="00674B36">
        <w:rPr>
          <w:rFonts w:ascii="Fira Sans" w:hAnsi="Fira Sans"/>
          <w:sz w:val="19"/>
          <w:lang w:val="en-US"/>
        </w:rPr>
        <w:t>rocurement prices</w:t>
      </w:r>
      <w:r w:rsidR="00957F3A" w:rsidRPr="00674B36">
        <w:rPr>
          <w:rFonts w:ascii="Fira Sans" w:hAnsi="Fira Sans"/>
          <w:sz w:val="19"/>
          <w:lang w:val="en-US"/>
        </w:rPr>
        <w:t xml:space="preserve"> of </w:t>
      </w:r>
      <w:r w:rsidR="00957F3A" w:rsidRPr="00674B36">
        <w:rPr>
          <w:rFonts w:ascii="Fira Sans" w:hAnsi="Fira Sans"/>
          <w:b/>
          <w:sz w:val="19"/>
          <w:lang w:val="en-US"/>
        </w:rPr>
        <w:t>poultry</w:t>
      </w:r>
      <w:r w:rsidR="00301B77" w:rsidRPr="00674B36">
        <w:rPr>
          <w:rFonts w:ascii="Fira Sans" w:hAnsi="Fira Sans"/>
          <w:b/>
          <w:sz w:val="19"/>
          <w:lang w:val="en-US"/>
        </w:rPr>
        <w:t xml:space="preserve"> for slaughter</w:t>
      </w:r>
      <w:r w:rsidRPr="00674B36">
        <w:rPr>
          <w:rFonts w:ascii="Fira Sans" w:hAnsi="Fira Sans"/>
          <w:b/>
          <w:sz w:val="19"/>
          <w:lang w:val="en-US"/>
        </w:rPr>
        <w:t xml:space="preserve"> </w:t>
      </w:r>
      <w:r w:rsidRPr="00674B36">
        <w:rPr>
          <w:rFonts w:ascii="Fira Sans" w:hAnsi="Fira Sans"/>
          <w:sz w:val="19"/>
          <w:lang w:val="en-US"/>
        </w:rPr>
        <w:t>on a monthly basis</w:t>
      </w:r>
      <w:r w:rsidR="00957F3A" w:rsidRPr="00674B36">
        <w:rPr>
          <w:rFonts w:ascii="Fira Sans" w:hAnsi="Fira Sans"/>
          <w:sz w:val="19"/>
          <w:lang w:val="en-US"/>
        </w:rPr>
        <w:t xml:space="preserve"> dropped by </w:t>
      </w:r>
      <w:r w:rsidR="00321C11">
        <w:rPr>
          <w:rFonts w:ascii="Fira Sans" w:hAnsi="Fira Sans"/>
          <w:sz w:val="19"/>
          <w:lang w:val="en-US"/>
        </w:rPr>
        <w:t>0</w:t>
      </w:r>
      <w:r w:rsidR="00957F3A" w:rsidRPr="00674B36">
        <w:rPr>
          <w:rFonts w:ascii="Fira Sans" w:hAnsi="Fira Sans"/>
          <w:sz w:val="19"/>
          <w:lang w:val="en-US"/>
        </w:rPr>
        <w:t>.</w:t>
      </w:r>
      <w:r w:rsidR="00321C11">
        <w:rPr>
          <w:rFonts w:ascii="Fira Sans" w:hAnsi="Fira Sans"/>
          <w:sz w:val="19"/>
          <w:lang w:val="en-US"/>
        </w:rPr>
        <w:t>8</w:t>
      </w:r>
      <w:r w:rsidR="00957F3A" w:rsidRPr="00674B36">
        <w:rPr>
          <w:rFonts w:ascii="Fira Sans" w:hAnsi="Fira Sans"/>
          <w:sz w:val="19"/>
          <w:lang w:val="en-US"/>
        </w:rPr>
        <w:t xml:space="preserve">% to </w:t>
      </w:r>
      <w:r w:rsidR="00631407">
        <w:rPr>
          <w:rFonts w:ascii="Fira Sans" w:hAnsi="Fira Sans"/>
          <w:sz w:val="19"/>
          <w:lang w:val="en-US"/>
        </w:rPr>
        <w:t xml:space="preserve">the </w:t>
      </w:r>
      <w:r w:rsidR="00631407" w:rsidRPr="00674B36">
        <w:rPr>
          <w:rFonts w:ascii="Fira Sans" w:hAnsi="Fira Sans"/>
          <w:sz w:val="19"/>
          <w:lang w:val="en-US"/>
        </w:rPr>
        <w:t xml:space="preserve"> </w:t>
      </w:r>
      <w:r w:rsidR="00957F3A" w:rsidRPr="00674B36">
        <w:rPr>
          <w:rFonts w:ascii="Fira Sans" w:hAnsi="Fira Sans"/>
          <w:sz w:val="19"/>
          <w:lang w:val="en-US"/>
        </w:rPr>
        <w:t>level 3.</w:t>
      </w:r>
      <w:r w:rsidR="00CB33FD">
        <w:rPr>
          <w:rFonts w:ascii="Fira Sans" w:hAnsi="Fira Sans"/>
          <w:sz w:val="19"/>
          <w:lang w:val="en-US"/>
        </w:rPr>
        <w:t>48</w:t>
      </w:r>
      <w:r w:rsidRPr="00674B36">
        <w:rPr>
          <w:rFonts w:ascii="Fira Sans" w:hAnsi="Fira Sans"/>
          <w:sz w:val="19"/>
          <w:lang w:val="en-US"/>
        </w:rPr>
        <w:t xml:space="preserve"> </w:t>
      </w:r>
      <w:r w:rsidR="0051442B" w:rsidRPr="00674B36">
        <w:rPr>
          <w:rFonts w:ascii="Fira Sans" w:hAnsi="Fira Sans"/>
          <w:sz w:val="19"/>
          <w:lang w:val="en-US"/>
        </w:rPr>
        <w:t>PLN/</w:t>
      </w:r>
      <w:r w:rsidR="002167B2">
        <w:rPr>
          <w:rFonts w:ascii="Fira Sans" w:hAnsi="Fira Sans"/>
          <w:sz w:val="19"/>
          <w:lang w:val="en-US"/>
        </w:rPr>
        <w:t xml:space="preserve">per </w:t>
      </w:r>
      <w:r w:rsidR="0051442B" w:rsidRPr="00674B36">
        <w:rPr>
          <w:rFonts w:ascii="Fira Sans" w:hAnsi="Fira Sans"/>
          <w:sz w:val="19"/>
          <w:lang w:val="en-US"/>
        </w:rPr>
        <w:t>kg</w:t>
      </w:r>
      <w:r w:rsidR="00D16EF1" w:rsidRPr="00674B36">
        <w:rPr>
          <w:rFonts w:ascii="Fira Sans" w:hAnsi="Fira Sans"/>
          <w:sz w:val="19"/>
          <w:lang w:val="en-US"/>
        </w:rPr>
        <w:t xml:space="preserve"> </w:t>
      </w:r>
      <w:r w:rsidR="00ED3D41" w:rsidRPr="00674B36">
        <w:rPr>
          <w:rFonts w:ascii="Fira Sans" w:hAnsi="Fira Sans"/>
          <w:sz w:val="19"/>
          <w:lang w:val="en-US"/>
        </w:rPr>
        <w:t>,</w:t>
      </w:r>
      <w:r w:rsidR="004E2114" w:rsidRPr="00674B36">
        <w:rPr>
          <w:rFonts w:ascii="Fira Sans" w:hAnsi="Fira Sans"/>
          <w:sz w:val="19"/>
          <w:lang w:val="en-US"/>
        </w:rPr>
        <w:t xml:space="preserve"> </w:t>
      </w:r>
      <w:r w:rsidR="00CB33FD">
        <w:rPr>
          <w:rFonts w:ascii="Fira Sans" w:hAnsi="Fira Sans"/>
          <w:sz w:val="19"/>
          <w:lang w:val="en-US"/>
        </w:rPr>
        <w:t>and</w:t>
      </w:r>
      <w:r w:rsidRPr="00674B36">
        <w:rPr>
          <w:rFonts w:ascii="Fira Sans" w:hAnsi="Fira Sans"/>
          <w:sz w:val="19"/>
          <w:lang w:val="en-US"/>
        </w:rPr>
        <w:t xml:space="preserve"> were lower by 1</w:t>
      </w:r>
      <w:r w:rsidR="00CB33FD">
        <w:rPr>
          <w:rFonts w:ascii="Fira Sans" w:hAnsi="Fira Sans"/>
          <w:sz w:val="19"/>
          <w:lang w:val="en-US"/>
        </w:rPr>
        <w:t>0</w:t>
      </w:r>
      <w:r w:rsidR="00631407">
        <w:rPr>
          <w:rFonts w:ascii="Fira Sans" w:hAnsi="Fira Sans"/>
          <w:sz w:val="19"/>
          <w:lang w:val="en-US"/>
        </w:rPr>
        <w:t>.</w:t>
      </w:r>
      <w:r w:rsidR="00CB33FD">
        <w:rPr>
          <w:rFonts w:ascii="Fira Sans" w:hAnsi="Fira Sans"/>
          <w:sz w:val="19"/>
          <w:lang w:val="en-US"/>
        </w:rPr>
        <w:t>9</w:t>
      </w:r>
      <w:r w:rsidRPr="00674B36">
        <w:rPr>
          <w:rFonts w:ascii="Fira Sans" w:hAnsi="Fira Sans"/>
          <w:sz w:val="19"/>
          <w:lang w:val="en-US"/>
        </w:rPr>
        <w:t xml:space="preserve">% </w:t>
      </w:r>
      <w:r w:rsidR="004E2114" w:rsidRPr="00674B36">
        <w:rPr>
          <w:rFonts w:ascii="Fira Sans" w:hAnsi="Fira Sans"/>
          <w:sz w:val="19"/>
          <w:lang w:val="en-US"/>
        </w:rPr>
        <w:t>in comparison with the corresponding month of the last year</w:t>
      </w:r>
      <w:r w:rsidRPr="00674B36">
        <w:rPr>
          <w:rFonts w:ascii="Fira Sans" w:hAnsi="Fira Sans"/>
          <w:sz w:val="19"/>
          <w:lang w:val="en-US"/>
        </w:rPr>
        <w:t>.</w:t>
      </w:r>
      <w:r w:rsidR="004E2114" w:rsidRPr="00674B36">
        <w:rPr>
          <w:rFonts w:ascii="Fira Sans" w:hAnsi="Fira Sans"/>
          <w:sz w:val="19"/>
          <w:lang w:val="en-US"/>
        </w:rPr>
        <w:t xml:space="preserve"> </w:t>
      </w:r>
    </w:p>
    <w:p w14:paraId="7049E6D1" w14:textId="77777777" w:rsidR="00721DA7" w:rsidRPr="001E0B3C" w:rsidRDefault="00037DE9" w:rsidP="00721DA7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1E0B3C">
        <w:rPr>
          <w:rFonts w:ascii="Fira Sans" w:hAnsi="Fira Sans"/>
          <w:sz w:val="19"/>
          <w:lang w:val="en-US"/>
        </w:rPr>
        <w:t xml:space="preserve">In </w:t>
      </w:r>
      <w:r w:rsidR="00CB33FD">
        <w:rPr>
          <w:rFonts w:ascii="Fira Sans" w:hAnsi="Fira Sans"/>
          <w:sz w:val="19"/>
          <w:lang w:val="en-US"/>
        </w:rPr>
        <w:t>October</w:t>
      </w:r>
      <w:r w:rsidRPr="001E0B3C">
        <w:rPr>
          <w:rFonts w:ascii="Fira Sans" w:hAnsi="Fira Sans"/>
          <w:sz w:val="19"/>
          <w:lang w:val="en-US"/>
        </w:rPr>
        <w:t xml:space="preserve"> 2020 for 1 hl of </w:t>
      </w:r>
      <w:r w:rsidRPr="001E0B3C">
        <w:rPr>
          <w:rFonts w:ascii="Fira Sans" w:hAnsi="Fira Sans"/>
          <w:b/>
          <w:sz w:val="19"/>
          <w:lang w:val="en-US"/>
        </w:rPr>
        <w:t>cows’ milk</w:t>
      </w:r>
      <w:r w:rsidRPr="001E0B3C">
        <w:rPr>
          <w:rFonts w:ascii="Fira Sans" w:hAnsi="Fira Sans"/>
          <w:sz w:val="19"/>
          <w:lang w:val="en-US"/>
        </w:rPr>
        <w:t xml:space="preserve"> in procurement </w:t>
      </w:r>
      <w:r w:rsidR="00721DA7" w:rsidRPr="001E0B3C">
        <w:rPr>
          <w:rFonts w:ascii="Fira Sans" w:hAnsi="Fira Sans"/>
          <w:sz w:val="19"/>
          <w:lang w:val="en-US"/>
        </w:rPr>
        <w:t xml:space="preserve">was paid </w:t>
      </w:r>
      <w:r w:rsidR="00CB33FD">
        <w:rPr>
          <w:rFonts w:ascii="Fira Sans" w:hAnsi="Fira Sans"/>
          <w:sz w:val="19"/>
          <w:lang w:val="en-US"/>
        </w:rPr>
        <w:t>144</w:t>
      </w:r>
      <w:r w:rsidR="00631407">
        <w:rPr>
          <w:rFonts w:ascii="Fira Sans" w:hAnsi="Fira Sans"/>
          <w:sz w:val="19"/>
          <w:lang w:val="en-US"/>
        </w:rPr>
        <w:t>.</w:t>
      </w:r>
      <w:r w:rsidR="00CB33FD">
        <w:rPr>
          <w:rFonts w:ascii="Fira Sans" w:hAnsi="Fira Sans"/>
          <w:sz w:val="19"/>
          <w:lang w:val="en-US"/>
        </w:rPr>
        <w:t>59</w:t>
      </w:r>
      <w:r w:rsidRPr="001E0B3C">
        <w:rPr>
          <w:rFonts w:ascii="Fira Sans" w:hAnsi="Fira Sans"/>
          <w:sz w:val="19"/>
          <w:lang w:val="en-US"/>
        </w:rPr>
        <w:t xml:space="preserve"> PLN</w:t>
      </w:r>
      <w:r w:rsidR="00721DA7" w:rsidRPr="001E0B3C">
        <w:rPr>
          <w:rFonts w:ascii="Fira Sans" w:hAnsi="Fira Sans"/>
          <w:b/>
          <w:sz w:val="19"/>
          <w:lang w:val="en-US"/>
        </w:rPr>
        <w:t xml:space="preserve"> </w:t>
      </w:r>
      <w:r w:rsidR="00721DA7" w:rsidRPr="001E0B3C">
        <w:rPr>
          <w:rFonts w:ascii="Fira Sans" w:hAnsi="Fira Sans"/>
          <w:sz w:val="19"/>
          <w:lang w:val="en-US"/>
        </w:rPr>
        <w:t>i.e.</w:t>
      </w:r>
      <w:r w:rsidRPr="001E0B3C">
        <w:rPr>
          <w:rFonts w:ascii="Fira Sans" w:hAnsi="Fira Sans"/>
          <w:sz w:val="19"/>
          <w:lang w:val="en-US"/>
        </w:rPr>
        <w:t xml:space="preserve"> more than in comparison with </w:t>
      </w:r>
      <w:r w:rsidR="00631407">
        <w:rPr>
          <w:rFonts w:ascii="Fira Sans" w:hAnsi="Fira Sans"/>
          <w:sz w:val="19"/>
          <w:lang w:val="en-US"/>
        </w:rPr>
        <w:t xml:space="preserve">the </w:t>
      </w:r>
      <w:r w:rsidRPr="001E0B3C">
        <w:rPr>
          <w:rFonts w:ascii="Fira Sans" w:hAnsi="Fira Sans"/>
          <w:sz w:val="19"/>
          <w:lang w:val="en-US"/>
        </w:rPr>
        <w:t xml:space="preserve">previous month (by </w:t>
      </w:r>
      <w:r w:rsidR="00CB33FD">
        <w:rPr>
          <w:rFonts w:ascii="Fira Sans" w:hAnsi="Fira Sans"/>
          <w:sz w:val="19"/>
          <w:lang w:val="en-US"/>
        </w:rPr>
        <w:t>4</w:t>
      </w:r>
      <w:r w:rsidRPr="001E0B3C">
        <w:rPr>
          <w:rFonts w:ascii="Fira Sans" w:hAnsi="Fira Sans"/>
          <w:sz w:val="19"/>
          <w:lang w:val="en-US"/>
        </w:rPr>
        <w:t>.7%)</w:t>
      </w:r>
      <w:r w:rsidR="00721DA7" w:rsidRPr="001E0B3C">
        <w:rPr>
          <w:rFonts w:ascii="Fira Sans" w:hAnsi="Fira Sans"/>
          <w:sz w:val="19"/>
          <w:lang w:val="en-US"/>
        </w:rPr>
        <w:t xml:space="preserve"> </w:t>
      </w:r>
      <w:r w:rsidRPr="001E0B3C">
        <w:rPr>
          <w:rFonts w:ascii="Fira Sans" w:hAnsi="Fira Sans"/>
          <w:sz w:val="19"/>
          <w:lang w:val="en-US"/>
        </w:rPr>
        <w:t xml:space="preserve">as well as with </w:t>
      </w:r>
      <w:r w:rsidR="00CB33FD">
        <w:rPr>
          <w:rFonts w:ascii="Fira Sans" w:hAnsi="Fira Sans"/>
          <w:sz w:val="19"/>
          <w:lang w:val="en-US"/>
        </w:rPr>
        <w:t>October</w:t>
      </w:r>
      <w:r w:rsidRPr="001E0B3C">
        <w:rPr>
          <w:rFonts w:ascii="Fira Sans" w:hAnsi="Fira Sans"/>
          <w:sz w:val="19"/>
          <w:lang w:val="en-US"/>
        </w:rPr>
        <w:t xml:space="preserve"> last year (by </w:t>
      </w:r>
      <w:r w:rsidR="00CB33FD">
        <w:rPr>
          <w:rFonts w:ascii="Fira Sans" w:hAnsi="Fira Sans"/>
          <w:sz w:val="19"/>
          <w:lang w:val="en-US"/>
        </w:rPr>
        <w:t>8.8</w:t>
      </w:r>
      <w:r w:rsidRPr="001E0B3C">
        <w:rPr>
          <w:rFonts w:ascii="Fira Sans" w:hAnsi="Fira Sans"/>
          <w:sz w:val="19"/>
          <w:lang w:val="en-US"/>
        </w:rPr>
        <w:t>%).</w:t>
      </w:r>
      <w:r w:rsidR="00721DA7" w:rsidRPr="001E0B3C">
        <w:rPr>
          <w:rFonts w:ascii="Fira Sans" w:hAnsi="Fira Sans"/>
          <w:sz w:val="19"/>
          <w:lang w:val="en-US"/>
        </w:rPr>
        <w:t xml:space="preserve"> </w:t>
      </w:r>
    </w:p>
    <w:p w14:paraId="5E28E166" w14:textId="77777777" w:rsidR="00D65656" w:rsidRPr="001E0B3C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615C0176" w14:textId="77777777"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14:paraId="21B0EBED" w14:textId="77777777" w:rsidR="00197733" w:rsidRPr="008279D3" w:rsidRDefault="00764D8C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13FB8ED7" wp14:editId="34A38687">
            <wp:extent cx="5122545" cy="2959735"/>
            <wp:effectExtent l="0" t="0" r="190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B57B7B2" w14:textId="77777777" w:rsidR="00EC37B2" w:rsidRDefault="00EC37B2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0F2EDDEA" w14:textId="77777777"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14:paraId="140420F8" w14:textId="77777777" w:rsidR="00D87C6E" w:rsidRDefault="002F36C2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006CBA45" wp14:editId="663298A5">
            <wp:extent cx="5122545" cy="3324225"/>
            <wp:effectExtent l="0" t="0" r="1905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D717E17" w14:textId="77777777" w:rsidR="0040323B" w:rsidRDefault="0040323B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05FF3ACF" w14:textId="77777777" w:rsidR="002732F3" w:rsidRDefault="002732F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2B7FD3D1" w14:textId="77777777" w:rsidR="00030DB7" w:rsidRDefault="00030DB7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61EDD0BD" w14:textId="77777777" w:rsidR="003E3302" w:rsidRPr="000F45BD" w:rsidRDefault="007431BF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14:paraId="7B6DDE5D" w14:textId="77777777" w:rsidR="0094650F" w:rsidRPr="00F3419A" w:rsidRDefault="00030DB7" w:rsidP="00F3419A">
      <w:pPr>
        <w:ind w:left="142"/>
        <w:rPr>
          <w:lang w:eastAsia="pl-PL"/>
        </w:rPr>
      </w:pPr>
      <w:r w:rsidRPr="00B530B9">
        <w:rPr>
          <w:rFonts w:ascii="Fira Sans" w:hAnsi="Fira Sans"/>
          <w:noProof/>
          <w:sz w:val="18"/>
          <w:lang w:eastAsia="pl-PL"/>
        </w:rPr>
        <w:drawing>
          <wp:inline distT="0" distB="0" distL="0" distR="0" wp14:anchorId="3E16D8E5" wp14:editId="0D8B9E2A">
            <wp:extent cx="4991100" cy="3209925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F891B8" w14:textId="77777777"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1AFB041B" w14:textId="77777777" w:rsidR="00315C20" w:rsidRPr="000F45BD" w:rsidRDefault="00315C20" w:rsidP="00315C20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>
        <w:rPr>
          <w:rFonts w:ascii="Fira Sans" w:hAnsi="Fira Sans"/>
          <w:b/>
          <w:sz w:val="18"/>
          <w:szCs w:val="18"/>
          <w:lang w:val="en-US"/>
        </w:rPr>
        <w:t>6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>
        <w:rPr>
          <w:rFonts w:ascii="Fira Sans" w:hAnsi="Fira Sans"/>
          <w:b/>
          <w:sz w:val="18"/>
          <w:szCs w:val="18"/>
          <w:lang w:val="en-US"/>
        </w:rPr>
        <w:t>Procurement prices of poultry for slaughter and cows’ milk</w:t>
      </w:r>
    </w:p>
    <w:p w14:paraId="2AD9457E" w14:textId="77777777" w:rsidR="000054E3" w:rsidRDefault="000054E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14:paraId="6C4BC9C3" w14:textId="77777777" w:rsidR="000054E3" w:rsidRDefault="00933452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 w:rsidRPr="00344191">
        <w:rPr>
          <w:rFonts w:ascii="Fira Sans" w:hAnsi="Fira Sans"/>
          <w:noProof/>
          <w:sz w:val="18"/>
          <w:szCs w:val="18"/>
          <w:lang w:eastAsia="pl-PL"/>
        </w:rPr>
        <w:drawing>
          <wp:inline distT="0" distB="0" distL="0" distR="0" wp14:anchorId="403F63FC" wp14:editId="5AEB9343">
            <wp:extent cx="5122545" cy="2791460"/>
            <wp:effectExtent l="0" t="0" r="1905" b="889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88399F" w14:textId="77777777" w:rsidR="004374C2" w:rsidRDefault="004374C2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14:paraId="2F17654D" w14:textId="77777777" w:rsidR="00344191" w:rsidRDefault="00344191" w:rsidP="002E7125">
      <w:pPr>
        <w:spacing w:before="120" w:after="120" w:line="240" w:lineRule="exact"/>
        <w:rPr>
          <w:rFonts w:ascii="Fira Sans" w:hAnsi="Fira Sans" w:cs="Arial"/>
          <w:sz w:val="19"/>
          <w:szCs w:val="19"/>
          <w:lang w:val="en-US"/>
        </w:rPr>
      </w:pPr>
    </w:p>
    <w:p w14:paraId="2F95FAF6" w14:textId="77777777" w:rsidR="00CD26D8" w:rsidRPr="00EB57EB" w:rsidRDefault="000054E3" w:rsidP="002E7125">
      <w:pPr>
        <w:spacing w:before="120" w:after="120" w:line="240" w:lineRule="exact"/>
        <w:rPr>
          <w:rFonts w:cs="Arial"/>
          <w:color w:val="000000"/>
          <w:sz w:val="18"/>
          <w:szCs w:val="18"/>
          <w:lang w:val="en-US"/>
        </w:rPr>
      </w:pPr>
      <w:r w:rsidRPr="00EB57EB">
        <w:rPr>
          <w:rFonts w:ascii="Fira Sans" w:hAnsi="Fira Sans" w:cs="Arial"/>
          <w:sz w:val="18"/>
          <w:szCs w:val="18"/>
          <w:lang w:val="en-US"/>
        </w:rPr>
        <w:t>Th</w:t>
      </w:r>
      <w:r w:rsidR="00CA42A5" w:rsidRPr="00EB57EB">
        <w:rPr>
          <w:rFonts w:ascii="Fira Sans" w:hAnsi="Fira Sans" w:cs="Arial"/>
          <w:sz w:val="18"/>
          <w:szCs w:val="18"/>
          <w:lang w:val="en-US"/>
        </w:rPr>
        <w:t>e differentiation of the level of prices of basic agricultural products in particular voivodships is presented in Table 2 for p</w:t>
      </w:r>
      <w:r w:rsidR="005B17B9" w:rsidRPr="00EB57EB">
        <w:rPr>
          <w:rFonts w:ascii="Fira Sans" w:hAnsi="Fira Sans" w:cs="Arial"/>
          <w:sz w:val="18"/>
          <w:szCs w:val="18"/>
          <w:lang w:val="en-US"/>
        </w:rPr>
        <w:t>rocurement</w:t>
      </w:r>
      <w:r w:rsidR="00CA42A5" w:rsidRPr="00EB57EB">
        <w:rPr>
          <w:rFonts w:ascii="Fira Sans" w:hAnsi="Fira Sans" w:cs="Arial"/>
          <w:sz w:val="18"/>
          <w:szCs w:val="18"/>
          <w:lang w:val="en-US"/>
        </w:rPr>
        <w:t xml:space="preserve"> prices and </w:t>
      </w:r>
      <w:r w:rsidR="005B17B9" w:rsidRPr="00EB57EB">
        <w:rPr>
          <w:rFonts w:ascii="Fira Sans" w:hAnsi="Fira Sans" w:cs="Arial"/>
          <w:sz w:val="18"/>
          <w:szCs w:val="18"/>
          <w:lang w:val="en-US"/>
        </w:rPr>
        <w:t xml:space="preserve">in </w:t>
      </w:r>
      <w:r w:rsidR="00CA42A5" w:rsidRPr="00EB57EB">
        <w:rPr>
          <w:rFonts w:ascii="Fira Sans" w:hAnsi="Fira Sans" w:cs="Arial"/>
          <w:sz w:val="18"/>
          <w:szCs w:val="18"/>
          <w:lang w:val="en-US"/>
        </w:rPr>
        <w:t xml:space="preserve">Table 3 for prices obtained by farmers </w:t>
      </w:r>
      <w:r w:rsidR="005B17B9" w:rsidRPr="00EB57EB">
        <w:rPr>
          <w:rFonts w:ascii="Fira Sans" w:hAnsi="Fira Sans" w:cs="Arial"/>
          <w:sz w:val="18"/>
          <w:szCs w:val="18"/>
          <w:lang w:val="en-US"/>
        </w:rPr>
        <w:t>on</w:t>
      </w:r>
      <w:r w:rsidR="00CA42A5" w:rsidRPr="00EB57EB">
        <w:rPr>
          <w:rFonts w:ascii="Fira Sans" w:hAnsi="Fira Sans" w:cs="Arial"/>
          <w:sz w:val="18"/>
          <w:szCs w:val="18"/>
          <w:lang w:val="en-US"/>
        </w:rPr>
        <w:t xml:space="preserve"> marketplaces (Excel sheet).</w:t>
      </w:r>
    </w:p>
    <w:p w14:paraId="27C98DDB" w14:textId="77777777" w:rsidR="00DC2D1D" w:rsidRDefault="00DC2D1D" w:rsidP="00DC2D1D">
      <w:pPr>
        <w:spacing w:before="40" w:after="120" w:line="240" w:lineRule="exact"/>
        <w:rPr>
          <w:rFonts w:cs="Arial"/>
          <w:color w:val="000000"/>
          <w:sz w:val="20"/>
          <w:lang w:val="en-US"/>
        </w:rPr>
      </w:pPr>
      <w:r w:rsidRPr="001E2D46">
        <w:rPr>
          <w:rFonts w:ascii="Fira Sans" w:hAnsi="Fira Sans"/>
          <w:bCs/>
          <w:spacing w:val="-2"/>
          <w:sz w:val="18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7A53BFE8" w14:textId="77777777" w:rsidR="00CA42A5" w:rsidRDefault="00CA42A5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79F60DB4" w14:textId="77777777" w:rsidR="00DC2D1D" w:rsidRPr="000F45BD" w:rsidRDefault="00DC2D1D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DC2D1D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5A2855" w14:paraId="0941EF77" w14:textId="77777777" w:rsidTr="00875905">
        <w:trPr>
          <w:trHeight w:val="1912"/>
        </w:trPr>
        <w:tc>
          <w:tcPr>
            <w:tcW w:w="4358" w:type="dxa"/>
          </w:tcPr>
          <w:p w14:paraId="6F78BE47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0628AECB" w14:textId="77777777"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proofErr w:type="spellStart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</w:t>
            </w:r>
            <w:proofErr w:type="spellEnd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 xml:space="preserve"> by:</w:t>
            </w:r>
          </w:p>
          <w:p w14:paraId="61C6651B" w14:textId="4E870C39" w:rsidR="00E37869" w:rsidRPr="000F45BD" w:rsidRDefault="005A2855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</w:t>
            </w:r>
            <w:r w:rsidR="00E37869"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ment</w:t>
            </w:r>
          </w:p>
          <w:p w14:paraId="1321A1F7" w14:textId="77777777"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14:paraId="0C4F3C74" w14:textId="77777777"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56CED8B3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585C2B75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62FC1EF0" w14:textId="333F70AB"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</w:t>
            </w:r>
            <w:r w:rsidR="005A2855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on for the President</w:t>
            </w:r>
          </w:p>
          <w:p w14:paraId="7D3BCB8E" w14:textId="77777777"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14:paraId="79FCF5C7" w14:textId="77777777"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14:paraId="786DC269" w14:textId="77777777"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14:paraId="25C81E5F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18C709D" w14:textId="77777777" w:rsidR="00CD26D8" w:rsidRPr="005771B2" w:rsidRDefault="00CD26D8" w:rsidP="00CD26D8">
      <w:pPr>
        <w:rPr>
          <w:sz w:val="20"/>
          <w:lang w:val="en-US"/>
        </w:rPr>
      </w:pPr>
    </w:p>
    <w:p w14:paraId="43C8FC58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5A2855" w14:paraId="0CE2D796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1085967C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14:paraId="6FEAD6B4" w14:textId="33D19EFE" w:rsidR="00CD26D8" w:rsidRPr="000F45BD" w:rsidRDefault="005A2855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>
              <w:rPr>
                <w:rFonts w:ascii="Fira Sans" w:hAnsi="Fira Sans"/>
                <w:sz w:val="20"/>
                <w:lang w:val="en-US"/>
              </w:rPr>
              <w:t>Office: t</w:t>
            </w:r>
            <w:r w:rsidR="00970AD1" w:rsidRPr="000F45BD">
              <w:rPr>
                <w:rFonts w:ascii="Fira Sans" w:hAnsi="Fira Sans"/>
                <w:sz w:val="20"/>
                <w:lang w:val="en-US"/>
              </w:rPr>
              <w:t>el.</w:t>
            </w:r>
            <w:r>
              <w:rPr>
                <w:rFonts w:ascii="Fira Sans" w:hAnsi="Fira Sans"/>
                <w:sz w:val="20"/>
                <w:lang w:val="en-US"/>
              </w:rPr>
              <w:t xml:space="preserve"> (</w:t>
            </w:r>
            <w:r w:rsidR="00970AD1" w:rsidRPr="000F45BD">
              <w:rPr>
                <w:rFonts w:ascii="Fira Sans" w:hAnsi="Fira Sans"/>
                <w:sz w:val="20"/>
                <w:lang w:val="en-US"/>
              </w:rPr>
              <w:t>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="00970AD1"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>
              <w:rPr>
                <w:rFonts w:ascii="Fira Sans" w:hAnsi="Fira Sans"/>
                <w:sz w:val="20"/>
                <w:lang w:val="en-US"/>
              </w:rPr>
              <w:t>,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608 38 04 </w:t>
            </w:r>
          </w:p>
          <w:p w14:paraId="1F3BB86B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511EB29E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1A7D4D94" wp14:editId="5415F13E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68D4C67D" wp14:editId="45CFA9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21B737C2" w14:textId="77777777"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5A2855" w14:paraId="2B56F336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75753B41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D6F1B6F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14:paraId="1A7C3DAE" w14:textId="77777777" w:rsidR="00CD26D8" w:rsidRPr="005A2855" w:rsidRDefault="00CD26D8" w:rsidP="0084287F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5A2855">
              <w:rPr>
                <w:rFonts w:ascii="Fira Sans" w:hAnsi="Fira Sans"/>
                <w:sz w:val="20"/>
                <w:lang w:val="en-US"/>
              </w:rPr>
              <w:t>@</w:t>
            </w:r>
            <w:proofErr w:type="spellStart"/>
            <w:r w:rsidR="0084287F" w:rsidRPr="005A2855">
              <w:rPr>
                <w:rFonts w:ascii="Fira Sans" w:hAnsi="Fira Sans"/>
                <w:sz w:val="20"/>
                <w:lang w:val="en-US"/>
              </w:rPr>
              <w:t>StatPoland</w:t>
            </w:r>
            <w:proofErr w:type="spellEnd"/>
          </w:p>
        </w:tc>
      </w:tr>
      <w:tr w:rsidR="00CD26D8" w:rsidRPr="005A2855" w14:paraId="024557BB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41BD1E88" w14:textId="77777777" w:rsidR="00CD26D8" w:rsidRPr="005A2855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F491EED" w14:textId="77777777" w:rsidR="00CD26D8" w:rsidRPr="005A2855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4AB91D0F" wp14:editId="3A9CB3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03342392" w14:textId="77777777" w:rsidR="00CD26D8" w:rsidRPr="005A2855" w:rsidRDefault="00CD26D8" w:rsidP="00470DCE">
            <w:pPr>
              <w:spacing w:after="0" w:line="240" w:lineRule="auto"/>
              <w:rPr>
                <w:rFonts w:ascii="Fira Sans" w:hAnsi="Fira Sans"/>
                <w:sz w:val="20"/>
                <w:lang w:val="en-US"/>
              </w:rPr>
            </w:pPr>
            <w:r w:rsidRPr="005A2855">
              <w:rPr>
                <w:rFonts w:ascii="Fira Sans" w:hAnsi="Fira Sans"/>
                <w:sz w:val="20"/>
                <w:lang w:val="en-US"/>
              </w:rPr>
              <w:t>@</w:t>
            </w:r>
            <w:proofErr w:type="spellStart"/>
            <w:r w:rsidRPr="005A2855">
              <w:rPr>
                <w:rFonts w:ascii="Fira Sans" w:hAnsi="Fira Sans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3943638C" w14:textId="77777777" w:rsidR="00CD26D8" w:rsidRPr="005A2855" w:rsidRDefault="009D45E8" w:rsidP="00CD26D8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28A2C4AF" wp14:editId="076027B9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3D372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2553A517" w14:textId="77777777"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14:paraId="14F133AE" w14:textId="77777777" w:rsidR="004B514A" w:rsidRPr="000F45BD" w:rsidRDefault="00894D28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Information on the socio-economic situation of the country in 20</w:t>
                              </w:r>
                              <w:r w:rsidR="006239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04586944" w14:textId="77777777" w:rsidR="004B514A" w:rsidRPr="000F45BD" w:rsidRDefault="00894D28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201</w:t>
                              </w:r>
                              <w:r w:rsidR="006239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ECAFB04" w14:textId="77777777" w:rsidR="004B514A" w:rsidRPr="000F45BD" w:rsidRDefault="00894D28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2014-2018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5C0CB3D3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6E5B8AA7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14:paraId="48E3232D" w14:textId="77777777" w:rsidR="00126062" w:rsidRPr="000F45BD" w:rsidRDefault="00894D28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CC94E96" w14:textId="77777777" w:rsidR="00126062" w:rsidRPr="000F45BD" w:rsidRDefault="00894D28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14:paraId="61D8B724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51F6DA6F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0626C5EB" w14:textId="77777777" w:rsidR="004B7E72" w:rsidRPr="000F45BD" w:rsidRDefault="00894D28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14:paraId="188389F0" w14:textId="77777777" w:rsidR="004B7E72" w:rsidRPr="00986B31" w:rsidRDefault="00894D28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14:paraId="094F6D32" w14:textId="77777777" w:rsidR="00713967" w:rsidRPr="00B94304" w:rsidRDefault="00894D28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1CC2B3" w14:textId="77777777" w:rsidR="00713967" w:rsidRPr="004F677F" w:rsidRDefault="00894D28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6614F6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7BF2" id="Text Box 65" o:spid="_x0000_s1033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Ly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tH0S8jECAABaBAAADgAAAAAAAAAAAAAA&#10;AAAuAgAAZHJzL2Uyb0RvYy54bWxQSwECLQAUAAYACAAAACEA5xXAg+IAAAAMAQAADwAAAAAAAAAA&#10;AAAAAACLBAAAZHJzL2Rvd25yZXYueG1sUEsFBgAAAAAEAAQA8wAAAJoFAAAAAA=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54143A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Information on the socio-economic situation of the country in 20</w:t>
                        </w:r>
                        <w:r w:rsidR="006239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54143A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201</w:t>
                        </w:r>
                        <w:r w:rsidR="006239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54143A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7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2014-2018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54143A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54143A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9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54143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40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54143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54143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2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54143A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3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4ECEB0" w14:textId="77777777" w:rsidR="00815A82" w:rsidRPr="005A2855" w:rsidRDefault="00815A82" w:rsidP="00CD26D8">
      <w:pPr>
        <w:rPr>
          <w:sz w:val="18"/>
          <w:lang w:val="en-US"/>
        </w:rPr>
      </w:pPr>
    </w:p>
    <w:p w14:paraId="0F5C3086" w14:textId="77777777" w:rsidR="004B514A" w:rsidRPr="005A2855" w:rsidRDefault="004B514A" w:rsidP="00CD26D8">
      <w:pPr>
        <w:rPr>
          <w:sz w:val="18"/>
          <w:lang w:val="en-US"/>
        </w:rPr>
      </w:pPr>
    </w:p>
    <w:p w14:paraId="5EBE3E73" w14:textId="77777777" w:rsidR="004B514A" w:rsidRPr="005A2855" w:rsidRDefault="004B514A" w:rsidP="00CD26D8">
      <w:pPr>
        <w:rPr>
          <w:sz w:val="18"/>
          <w:lang w:val="en-US"/>
        </w:rPr>
      </w:pPr>
    </w:p>
    <w:p w14:paraId="436E9D57" w14:textId="77777777" w:rsidR="004B514A" w:rsidRPr="005A2855" w:rsidRDefault="004B514A" w:rsidP="00CD26D8">
      <w:pPr>
        <w:rPr>
          <w:sz w:val="18"/>
          <w:lang w:val="en-US"/>
        </w:rPr>
      </w:pPr>
    </w:p>
    <w:sectPr w:rsidR="004B514A" w:rsidRPr="005A2855" w:rsidSect="00F32458">
      <w:headerReference w:type="default" r:id="rId44"/>
      <w:headerReference w:type="first" r:id="rId45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66A3B" w14:textId="77777777" w:rsidR="00894D28" w:rsidRDefault="00894D28" w:rsidP="000662E2">
      <w:pPr>
        <w:spacing w:after="0" w:line="240" w:lineRule="auto"/>
      </w:pPr>
      <w:r>
        <w:separator/>
      </w:r>
    </w:p>
  </w:endnote>
  <w:endnote w:type="continuationSeparator" w:id="0">
    <w:p w14:paraId="29F91969" w14:textId="77777777" w:rsidR="00894D28" w:rsidRDefault="00894D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EAEBA" w14:textId="77777777"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651D4D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79F1F3AD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66C7" w14:textId="77777777"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651D4D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5EBF968A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C794F" w14:textId="77777777" w:rsidR="00894D28" w:rsidRDefault="00894D28" w:rsidP="000662E2">
      <w:pPr>
        <w:spacing w:after="0" w:line="240" w:lineRule="auto"/>
      </w:pPr>
      <w:r>
        <w:separator/>
      </w:r>
    </w:p>
  </w:footnote>
  <w:footnote w:type="continuationSeparator" w:id="0">
    <w:p w14:paraId="71286DA4" w14:textId="77777777" w:rsidR="00894D28" w:rsidRDefault="00894D28" w:rsidP="000662E2">
      <w:pPr>
        <w:spacing w:after="0" w:line="240" w:lineRule="auto"/>
      </w:pPr>
      <w:r>
        <w:continuationSeparator/>
      </w:r>
    </w:p>
  </w:footnote>
  <w:footnote w:id="1">
    <w:p w14:paraId="6A4482D5" w14:textId="77777777" w:rsidR="00EC01B6" w:rsidRPr="00661C39" w:rsidRDefault="00EC01B6" w:rsidP="00EC01B6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14:paraId="615C10E6" w14:textId="77777777"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14:paraId="24013A7F" w14:textId="77777777" w:rsidR="005139FB" w:rsidRPr="000F45BD" w:rsidRDefault="005139FB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14:paraId="5E2DE60A" w14:textId="77777777" w:rsidR="005139FB" w:rsidRPr="000F45BD" w:rsidRDefault="005139FB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</w:t>
      </w:r>
      <w:bookmarkStart w:id="0" w:name="_GoBack"/>
      <w:bookmarkEnd w:id="0"/>
      <w:r w:rsidRPr="000F45BD">
        <w:rPr>
          <w:rFonts w:ascii="Fira Sans" w:hAnsi="Fira Sans"/>
          <w:sz w:val="16"/>
          <w:szCs w:val="16"/>
          <w:lang w:val="en-US"/>
        </w:rPr>
        <w:t>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41DF5" w14:textId="77777777" w:rsidR="00133140" w:rsidRDefault="009D45E8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8B81C4" wp14:editId="62FE1CC9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F1D7C2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5cpwIAAKI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E9F28" w14:textId="77777777" w:rsidR="000F45BD" w:rsidRDefault="000F45BD" w:rsidP="00F32458">
    <w:pPr>
      <w:pStyle w:val="Nagwek"/>
      <w:rPr>
        <w:noProof/>
        <w:lang w:eastAsia="pl-PL"/>
      </w:rPr>
    </w:pPr>
  </w:p>
  <w:p w14:paraId="367CAC15" w14:textId="77777777"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9A32A07" wp14:editId="139034AC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E2607E" w14:textId="77777777" w:rsidR="00133140" w:rsidRDefault="009D45E8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17411" wp14:editId="500E71E3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E481E5" w14:textId="77777777"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2CA590" id="Schemat blokowy: opóźnienie 6" o:spid="_x0000_s1034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vGRA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533F6C4" wp14:editId="458EAD39">
              <wp:simplePos x="0" y="0"/>
              <wp:positionH relativeFrom="margin">
                <wp:posOffset>5242560</wp:posOffset>
              </wp:positionH>
              <wp:positionV relativeFrom="margin">
                <wp:posOffset>-412750</wp:posOffset>
              </wp:positionV>
              <wp:extent cx="1879600" cy="20115530"/>
              <wp:effectExtent l="0" t="0" r="6350" b="1270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C5F799" id="Rectangle 5" o:spid="_x0000_s1026" style="position:absolute;margin-left:412.8pt;margin-top:-32.5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" fillcolor="#f2f2f2" stroked="f" strokeweight="1pt">
              <w10:wrap type="square" anchorx="margin" anchory="margin"/>
            </v:rect>
          </w:pict>
        </mc:Fallback>
      </mc:AlternateContent>
    </w:r>
  </w:p>
  <w:p w14:paraId="729CAAD2" w14:textId="77777777" w:rsidR="00133140" w:rsidRDefault="00133140" w:rsidP="00CD0E08">
    <w:pPr>
      <w:pStyle w:val="Nagwek"/>
      <w:jc w:val="right"/>
    </w:pPr>
  </w:p>
  <w:p w14:paraId="7F522D73" w14:textId="77777777"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05181" w14:textId="77777777" w:rsidR="00133140" w:rsidRDefault="009D45E8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982C64" wp14:editId="21EBB326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794E30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515EC" w14:textId="77777777" w:rsidR="00133140" w:rsidRDefault="00133140" w:rsidP="00F32458">
    <w:pPr>
      <w:pStyle w:val="Nagwek"/>
      <w:rPr>
        <w:noProof/>
        <w:lang w:eastAsia="pl-PL"/>
      </w:rPr>
    </w:pPr>
  </w:p>
  <w:p w14:paraId="0D76EDB5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2689EC9B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" o:bullet="t">
        <v:imagedata r:id="rId1" o:title=""/>
      </v:shape>
    </w:pict>
  </w:numPicBullet>
  <w:numPicBullet w:numPicBulletId="1">
    <w:pict>
      <v:shape id="_x0000_i1031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EC"/>
    <w:rsid w:val="00000D7A"/>
    <w:rsid w:val="00000DAE"/>
    <w:rsid w:val="00000FA0"/>
    <w:rsid w:val="00001C5B"/>
    <w:rsid w:val="000022C7"/>
    <w:rsid w:val="00002DC3"/>
    <w:rsid w:val="00003437"/>
    <w:rsid w:val="000034CA"/>
    <w:rsid w:val="00003531"/>
    <w:rsid w:val="00003C9C"/>
    <w:rsid w:val="000043C7"/>
    <w:rsid w:val="0000454C"/>
    <w:rsid w:val="000054E3"/>
    <w:rsid w:val="000055E7"/>
    <w:rsid w:val="0000560B"/>
    <w:rsid w:val="00006690"/>
    <w:rsid w:val="00006A05"/>
    <w:rsid w:val="0000709F"/>
    <w:rsid w:val="00007871"/>
    <w:rsid w:val="000103B6"/>
    <w:rsid w:val="00010879"/>
    <w:rsid w:val="000108B8"/>
    <w:rsid w:val="00010F43"/>
    <w:rsid w:val="000110B1"/>
    <w:rsid w:val="00011178"/>
    <w:rsid w:val="0001163A"/>
    <w:rsid w:val="0001171D"/>
    <w:rsid w:val="0001174D"/>
    <w:rsid w:val="00011CBF"/>
    <w:rsid w:val="0001349A"/>
    <w:rsid w:val="00013BCB"/>
    <w:rsid w:val="00014825"/>
    <w:rsid w:val="000152F5"/>
    <w:rsid w:val="00015F80"/>
    <w:rsid w:val="00017AE5"/>
    <w:rsid w:val="00020239"/>
    <w:rsid w:val="0002066A"/>
    <w:rsid w:val="00020B8D"/>
    <w:rsid w:val="0002165C"/>
    <w:rsid w:val="00022745"/>
    <w:rsid w:val="0002303D"/>
    <w:rsid w:val="0002385D"/>
    <w:rsid w:val="00024A98"/>
    <w:rsid w:val="00024DEB"/>
    <w:rsid w:val="000254D2"/>
    <w:rsid w:val="000258E1"/>
    <w:rsid w:val="00025BF0"/>
    <w:rsid w:val="00026041"/>
    <w:rsid w:val="00026D6C"/>
    <w:rsid w:val="00027917"/>
    <w:rsid w:val="000309E6"/>
    <w:rsid w:val="00030CB0"/>
    <w:rsid w:val="00030DB7"/>
    <w:rsid w:val="00031080"/>
    <w:rsid w:val="000313A7"/>
    <w:rsid w:val="00031635"/>
    <w:rsid w:val="00032E2D"/>
    <w:rsid w:val="00032FB4"/>
    <w:rsid w:val="00033484"/>
    <w:rsid w:val="00033D83"/>
    <w:rsid w:val="000351B2"/>
    <w:rsid w:val="0003547E"/>
    <w:rsid w:val="00035B27"/>
    <w:rsid w:val="00036F4A"/>
    <w:rsid w:val="00037892"/>
    <w:rsid w:val="00037DE9"/>
    <w:rsid w:val="000404AD"/>
    <w:rsid w:val="00040975"/>
    <w:rsid w:val="00042DB1"/>
    <w:rsid w:val="00043884"/>
    <w:rsid w:val="000439E6"/>
    <w:rsid w:val="00043F6D"/>
    <w:rsid w:val="0004582E"/>
    <w:rsid w:val="000466B7"/>
    <w:rsid w:val="00051E56"/>
    <w:rsid w:val="00051F7F"/>
    <w:rsid w:val="00052A8A"/>
    <w:rsid w:val="0005381D"/>
    <w:rsid w:val="00054462"/>
    <w:rsid w:val="00054E65"/>
    <w:rsid w:val="000553C3"/>
    <w:rsid w:val="00055432"/>
    <w:rsid w:val="00055860"/>
    <w:rsid w:val="00055CAB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5D3E"/>
    <w:rsid w:val="00065DB5"/>
    <w:rsid w:val="00065F0B"/>
    <w:rsid w:val="00065F11"/>
    <w:rsid w:val="000662E2"/>
    <w:rsid w:val="000664CD"/>
    <w:rsid w:val="00066883"/>
    <w:rsid w:val="00066D6F"/>
    <w:rsid w:val="00066DF3"/>
    <w:rsid w:val="00070E78"/>
    <w:rsid w:val="0007139A"/>
    <w:rsid w:val="00071592"/>
    <w:rsid w:val="00071652"/>
    <w:rsid w:val="00071959"/>
    <w:rsid w:val="00071C6F"/>
    <w:rsid w:val="000723BA"/>
    <w:rsid w:val="000740C0"/>
    <w:rsid w:val="000741FB"/>
    <w:rsid w:val="000744C0"/>
    <w:rsid w:val="00075BE3"/>
    <w:rsid w:val="00075F18"/>
    <w:rsid w:val="0007647F"/>
    <w:rsid w:val="00077C73"/>
    <w:rsid w:val="00077D0A"/>
    <w:rsid w:val="000806F7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407"/>
    <w:rsid w:val="000905EC"/>
    <w:rsid w:val="000917E5"/>
    <w:rsid w:val="000918B1"/>
    <w:rsid w:val="0009196E"/>
    <w:rsid w:val="00091D0E"/>
    <w:rsid w:val="00091EFC"/>
    <w:rsid w:val="00092E4D"/>
    <w:rsid w:val="00093582"/>
    <w:rsid w:val="00093BF6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97CEB"/>
    <w:rsid w:val="000A02E7"/>
    <w:rsid w:val="000A0EAD"/>
    <w:rsid w:val="000A13B7"/>
    <w:rsid w:val="000A13D3"/>
    <w:rsid w:val="000A15E7"/>
    <w:rsid w:val="000A177E"/>
    <w:rsid w:val="000A1BD8"/>
    <w:rsid w:val="000A1F0E"/>
    <w:rsid w:val="000A27DD"/>
    <w:rsid w:val="000A2AEC"/>
    <w:rsid w:val="000A3A62"/>
    <w:rsid w:val="000A463C"/>
    <w:rsid w:val="000A4C6C"/>
    <w:rsid w:val="000A56DC"/>
    <w:rsid w:val="000A5CA7"/>
    <w:rsid w:val="000A642B"/>
    <w:rsid w:val="000A6F9F"/>
    <w:rsid w:val="000A7C99"/>
    <w:rsid w:val="000B04C5"/>
    <w:rsid w:val="000B0727"/>
    <w:rsid w:val="000B08BA"/>
    <w:rsid w:val="000B1C57"/>
    <w:rsid w:val="000B2A6F"/>
    <w:rsid w:val="000B475F"/>
    <w:rsid w:val="000B47B4"/>
    <w:rsid w:val="000B5193"/>
    <w:rsid w:val="000B54C0"/>
    <w:rsid w:val="000B5A17"/>
    <w:rsid w:val="000B691F"/>
    <w:rsid w:val="000B6BF0"/>
    <w:rsid w:val="000B75B7"/>
    <w:rsid w:val="000B773F"/>
    <w:rsid w:val="000B7B6C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C7BF3"/>
    <w:rsid w:val="000D1765"/>
    <w:rsid w:val="000D1D43"/>
    <w:rsid w:val="000D225C"/>
    <w:rsid w:val="000D23C1"/>
    <w:rsid w:val="000D2520"/>
    <w:rsid w:val="000D29C3"/>
    <w:rsid w:val="000D58B7"/>
    <w:rsid w:val="000D675C"/>
    <w:rsid w:val="000D7492"/>
    <w:rsid w:val="000D7F69"/>
    <w:rsid w:val="000E05CA"/>
    <w:rsid w:val="000E0918"/>
    <w:rsid w:val="000E09BC"/>
    <w:rsid w:val="000E2460"/>
    <w:rsid w:val="000E3210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12F"/>
    <w:rsid w:val="000F2BAF"/>
    <w:rsid w:val="000F3964"/>
    <w:rsid w:val="000F45BD"/>
    <w:rsid w:val="000F4A02"/>
    <w:rsid w:val="000F518B"/>
    <w:rsid w:val="000F523E"/>
    <w:rsid w:val="000F5A18"/>
    <w:rsid w:val="000F5AA0"/>
    <w:rsid w:val="000F6141"/>
    <w:rsid w:val="000F6B48"/>
    <w:rsid w:val="000F78B6"/>
    <w:rsid w:val="001005FB"/>
    <w:rsid w:val="00100B9F"/>
    <w:rsid w:val="001011C3"/>
    <w:rsid w:val="001018E2"/>
    <w:rsid w:val="00101D99"/>
    <w:rsid w:val="001028A7"/>
    <w:rsid w:val="001028CE"/>
    <w:rsid w:val="00102E0B"/>
    <w:rsid w:val="00102FF5"/>
    <w:rsid w:val="00104248"/>
    <w:rsid w:val="001044AC"/>
    <w:rsid w:val="00104E4B"/>
    <w:rsid w:val="00106015"/>
    <w:rsid w:val="0010740B"/>
    <w:rsid w:val="00107EC1"/>
    <w:rsid w:val="001104AF"/>
    <w:rsid w:val="001109A5"/>
    <w:rsid w:val="00110D87"/>
    <w:rsid w:val="0011103C"/>
    <w:rsid w:val="00112C4B"/>
    <w:rsid w:val="001134F2"/>
    <w:rsid w:val="00113D95"/>
    <w:rsid w:val="001149A5"/>
    <w:rsid w:val="00114C16"/>
    <w:rsid w:val="00114DB9"/>
    <w:rsid w:val="001151A1"/>
    <w:rsid w:val="00116087"/>
    <w:rsid w:val="0011626D"/>
    <w:rsid w:val="0011635B"/>
    <w:rsid w:val="00120FED"/>
    <w:rsid w:val="001211B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2393"/>
    <w:rsid w:val="00132C84"/>
    <w:rsid w:val="00133093"/>
    <w:rsid w:val="00133140"/>
    <w:rsid w:val="001336E3"/>
    <w:rsid w:val="00133E8A"/>
    <w:rsid w:val="001345C8"/>
    <w:rsid w:val="0013511E"/>
    <w:rsid w:val="00135203"/>
    <w:rsid w:val="00136685"/>
    <w:rsid w:val="00136923"/>
    <w:rsid w:val="0014017F"/>
    <w:rsid w:val="001423B6"/>
    <w:rsid w:val="00143888"/>
    <w:rsid w:val="001448A7"/>
    <w:rsid w:val="00144B7C"/>
    <w:rsid w:val="00145699"/>
    <w:rsid w:val="00145818"/>
    <w:rsid w:val="00145E1E"/>
    <w:rsid w:val="001464D7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54D65"/>
    <w:rsid w:val="001613CB"/>
    <w:rsid w:val="001613CC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B50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9FD"/>
    <w:rsid w:val="00180BE8"/>
    <w:rsid w:val="00181945"/>
    <w:rsid w:val="001820A2"/>
    <w:rsid w:val="0018210A"/>
    <w:rsid w:val="00182AAF"/>
    <w:rsid w:val="00182B67"/>
    <w:rsid w:val="001831A8"/>
    <w:rsid w:val="00183869"/>
    <w:rsid w:val="00183DCC"/>
    <w:rsid w:val="001858E7"/>
    <w:rsid w:val="001864D0"/>
    <w:rsid w:val="001867D0"/>
    <w:rsid w:val="001875A6"/>
    <w:rsid w:val="00187CA7"/>
    <w:rsid w:val="00191893"/>
    <w:rsid w:val="0019210D"/>
    <w:rsid w:val="00192299"/>
    <w:rsid w:val="001927D9"/>
    <w:rsid w:val="00194C84"/>
    <w:rsid w:val="001951DA"/>
    <w:rsid w:val="001952C1"/>
    <w:rsid w:val="00195CB8"/>
    <w:rsid w:val="00196070"/>
    <w:rsid w:val="00196339"/>
    <w:rsid w:val="00196919"/>
    <w:rsid w:val="0019722F"/>
    <w:rsid w:val="00197733"/>
    <w:rsid w:val="00197BF3"/>
    <w:rsid w:val="00197D6D"/>
    <w:rsid w:val="001A111D"/>
    <w:rsid w:val="001A177D"/>
    <w:rsid w:val="001A179F"/>
    <w:rsid w:val="001A23D0"/>
    <w:rsid w:val="001A23DA"/>
    <w:rsid w:val="001A2525"/>
    <w:rsid w:val="001A2895"/>
    <w:rsid w:val="001A2B70"/>
    <w:rsid w:val="001A31F7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B0680"/>
    <w:rsid w:val="001B0FE1"/>
    <w:rsid w:val="001B1508"/>
    <w:rsid w:val="001B1A09"/>
    <w:rsid w:val="001B1D50"/>
    <w:rsid w:val="001B22E2"/>
    <w:rsid w:val="001B2C05"/>
    <w:rsid w:val="001B3151"/>
    <w:rsid w:val="001B338B"/>
    <w:rsid w:val="001B33E5"/>
    <w:rsid w:val="001B4BB8"/>
    <w:rsid w:val="001B5146"/>
    <w:rsid w:val="001B6542"/>
    <w:rsid w:val="001B7CC3"/>
    <w:rsid w:val="001C0587"/>
    <w:rsid w:val="001C0B59"/>
    <w:rsid w:val="001C1462"/>
    <w:rsid w:val="001C3269"/>
    <w:rsid w:val="001C3883"/>
    <w:rsid w:val="001C4075"/>
    <w:rsid w:val="001C40EC"/>
    <w:rsid w:val="001C44D2"/>
    <w:rsid w:val="001C4FAF"/>
    <w:rsid w:val="001C50BC"/>
    <w:rsid w:val="001C60C1"/>
    <w:rsid w:val="001C6C4F"/>
    <w:rsid w:val="001C707C"/>
    <w:rsid w:val="001C7E09"/>
    <w:rsid w:val="001D06D4"/>
    <w:rsid w:val="001D1DB4"/>
    <w:rsid w:val="001D1E06"/>
    <w:rsid w:val="001D2C08"/>
    <w:rsid w:val="001D2E47"/>
    <w:rsid w:val="001D3335"/>
    <w:rsid w:val="001D3394"/>
    <w:rsid w:val="001D3CF3"/>
    <w:rsid w:val="001D3F59"/>
    <w:rsid w:val="001D4853"/>
    <w:rsid w:val="001D4AE8"/>
    <w:rsid w:val="001D55CC"/>
    <w:rsid w:val="001D6CCC"/>
    <w:rsid w:val="001D7241"/>
    <w:rsid w:val="001D726E"/>
    <w:rsid w:val="001D73E1"/>
    <w:rsid w:val="001D7B0F"/>
    <w:rsid w:val="001E009B"/>
    <w:rsid w:val="001E07FB"/>
    <w:rsid w:val="001E0B3C"/>
    <w:rsid w:val="001E17F5"/>
    <w:rsid w:val="001E2F4B"/>
    <w:rsid w:val="001E2F5F"/>
    <w:rsid w:val="001E386F"/>
    <w:rsid w:val="001E3A60"/>
    <w:rsid w:val="001E4BAB"/>
    <w:rsid w:val="001E4F30"/>
    <w:rsid w:val="001E5A60"/>
    <w:rsid w:val="001E5DF2"/>
    <w:rsid w:val="001E6318"/>
    <w:rsid w:val="001E67B8"/>
    <w:rsid w:val="001E6D43"/>
    <w:rsid w:val="001E6E70"/>
    <w:rsid w:val="001E7B1E"/>
    <w:rsid w:val="001F0245"/>
    <w:rsid w:val="001F0BE9"/>
    <w:rsid w:val="001F14E0"/>
    <w:rsid w:val="001F1F84"/>
    <w:rsid w:val="001F29C8"/>
    <w:rsid w:val="001F2F51"/>
    <w:rsid w:val="001F3009"/>
    <w:rsid w:val="001F3AB6"/>
    <w:rsid w:val="001F3B81"/>
    <w:rsid w:val="001F3F2A"/>
    <w:rsid w:val="001F3F6F"/>
    <w:rsid w:val="001F4769"/>
    <w:rsid w:val="001F4AED"/>
    <w:rsid w:val="001F5561"/>
    <w:rsid w:val="001F5919"/>
    <w:rsid w:val="001F63B2"/>
    <w:rsid w:val="001F6693"/>
    <w:rsid w:val="001F6A06"/>
    <w:rsid w:val="001F6E32"/>
    <w:rsid w:val="001F7426"/>
    <w:rsid w:val="00200114"/>
    <w:rsid w:val="0020019B"/>
    <w:rsid w:val="00200D39"/>
    <w:rsid w:val="00201689"/>
    <w:rsid w:val="00201C46"/>
    <w:rsid w:val="002022C4"/>
    <w:rsid w:val="002029A2"/>
    <w:rsid w:val="00202C4E"/>
    <w:rsid w:val="00203CEA"/>
    <w:rsid w:val="002040D1"/>
    <w:rsid w:val="00204FA1"/>
    <w:rsid w:val="00205CCB"/>
    <w:rsid w:val="00206007"/>
    <w:rsid w:val="0020676D"/>
    <w:rsid w:val="00206976"/>
    <w:rsid w:val="00207A22"/>
    <w:rsid w:val="00207C4A"/>
    <w:rsid w:val="002103B9"/>
    <w:rsid w:val="00212390"/>
    <w:rsid w:val="002150EC"/>
    <w:rsid w:val="002151E0"/>
    <w:rsid w:val="002156B4"/>
    <w:rsid w:val="002161D9"/>
    <w:rsid w:val="0021632B"/>
    <w:rsid w:val="002167B2"/>
    <w:rsid w:val="00216A4E"/>
    <w:rsid w:val="002171DB"/>
    <w:rsid w:val="00221FE7"/>
    <w:rsid w:val="002227D8"/>
    <w:rsid w:val="002227E7"/>
    <w:rsid w:val="00223D88"/>
    <w:rsid w:val="002244A5"/>
    <w:rsid w:val="0022601D"/>
    <w:rsid w:val="00226FAC"/>
    <w:rsid w:val="002270CF"/>
    <w:rsid w:val="002314EB"/>
    <w:rsid w:val="0023159C"/>
    <w:rsid w:val="00231F58"/>
    <w:rsid w:val="00232867"/>
    <w:rsid w:val="00232B69"/>
    <w:rsid w:val="002331DA"/>
    <w:rsid w:val="002351B7"/>
    <w:rsid w:val="00235445"/>
    <w:rsid w:val="00236FC5"/>
    <w:rsid w:val="00237277"/>
    <w:rsid w:val="00237BF1"/>
    <w:rsid w:val="0024023B"/>
    <w:rsid w:val="00240A07"/>
    <w:rsid w:val="00240E7F"/>
    <w:rsid w:val="002410D2"/>
    <w:rsid w:val="00241466"/>
    <w:rsid w:val="00242755"/>
    <w:rsid w:val="00242A4E"/>
    <w:rsid w:val="00242ED6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8B"/>
    <w:rsid w:val="002574F9"/>
    <w:rsid w:val="00257831"/>
    <w:rsid w:val="00257D7C"/>
    <w:rsid w:val="0026192A"/>
    <w:rsid w:val="002619E2"/>
    <w:rsid w:val="00262E15"/>
    <w:rsid w:val="002636F1"/>
    <w:rsid w:val="00265080"/>
    <w:rsid w:val="00265502"/>
    <w:rsid w:val="00265AE3"/>
    <w:rsid w:val="00265C36"/>
    <w:rsid w:val="00265F6F"/>
    <w:rsid w:val="00266475"/>
    <w:rsid w:val="00266804"/>
    <w:rsid w:val="002674BE"/>
    <w:rsid w:val="002700F2"/>
    <w:rsid w:val="002701DE"/>
    <w:rsid w:val="00272203"/>
    <w:rsid w:val="002726B0"/>
    <w:rsid w:val="002732F3"/>
    <w:rsid w:val="00273328"/>
    <w:rsid w:val="00275D0C"/>
    <w:rsid w:val="0027610A"/>
    <w:rsid w:val="00276811"/>
    <w:rsid w:val="00276C7D"/>
    <w:rsid w:val="00276E4C"/>
    <w:rsid w:val="002774DA"/>
    <w:rsid w:val="00281881"/>
    <w:rsid w:val="00281C11"/>
    <w:rsid w:val="00281E52"/>
    <w:rsid w:val="00282699"/>
    <w:rsid w:val="00282FAD"/>
    <w:rsid w:val="002849F2"/>
    <w:rsid w:val="002856A6"/>
    <w:rsid w:val="00285786"/>
    <w:rsid w:val="002857DD"/>
    <w:rsid w:val="00285B9C"/>
    <w:rsid w:val="00285C29"/>
    <w:rsid w:val="00286B0C"/>
    <w:rsid w:val="002874C3"/>
    <w:rsid w:val="00290103"/>
    <w:rsid w:val="00291277"/>
    <w:rsid w:val="00291E4A"/>
    <w:rsid w:val="002920CD"/>
    <w:rsid w:val="0029252D"/>
    <w:rsid w:val="0029259C"/>
    <w:rsid w:val="002926DF"/>
    <w:rsid w:val="00292E3E"/>
    <w:rsid w:val="0029307D"/>
    <w:rsid w:val="00293398"/>
    <w:rsid w:val="00293930"/>
    <w:rsid w:val="00293975"/>
    <w:rsid w:val="00294769"/>
    <w:rsid w:val="00294A7C"/>
    <w:rsid w:val="0029598B"/>
    <w:rsid w:val="00295E89"/>
    <w:rsid w:val="00296697"/>
    <w:rsid w:val="002A0C67"/>
    <w:rsid w:val="002A2063"/>
    <w:rsid w:val="002A2514"/>
    <w:rsid w:val="002A3E9F"/>
    <w:rsid w:val="002A4581"/>
    <w:rsid w:val="002A469F"/>
    <w:rsid w:val="002A6A73"/>
    <w:rsid w:val="002B0472"/>
    <w:rsid w:val="002B0602"/>
    <w:rsid w:val="002B0A26"/>
    <w:rsid w:val="002B0F65"/>
    <w:rsid w:val="002B31BC"/>
    <w:rsid w:val="002B3EFC"/>
    <w:rsid w:val="002B436C"/>
    <w:rsid w:val="002B6845"/>
    <w:rsid w:val="002B6B12"/>
    <w:rsid w:val="002C0852"/>
    <w:rsid w:val="002C24B0"/>
    <w:rsid w:val="002C4871"/>
    <w:rsid w:val="002C4E2F"/>
    <w:rsid w:val="002C574B"/>
    <w:rsid w:val="002C73BD"/>
    <w:rsid w:val="002C77A2"/>
    <w:rsid w:val="002C7846"/>
    <w:rsid w:val="002D0806"/>
    <w:rsid w:val="002D0969"/>
    <w:rsid w:val="002D11EB"/>
    <w:rsid w:val="002D2736"/>
    <w:rsid w:val="002D38E5"/>
    <w:rsid w:val="002D42C7"/>
    <w:rsid w:val="002D4726"/>
    <w:rsid w:val="002D4BBD"/>
    <w:rsid w:val="002D517B"/>
    <w:rsid w:val="002D51E0"/>
    <w:rsid w:val="002D5391"/>
    <w:rsid w:val="002D568D"/>
    <w:rsid w:val="002D64D1"/>
    <w:rsid w:val="002D653E"/>
    <w:rsid w:val="002D6588"/>
    <w:rsid w:val="002D680C"/>
    <w:rsid w:val="002D6921"/>
    <w:rsid w:val="002D733D"/>
    <w:rsid w:val="002D7356"/>
    <w:rsid w:val="002D759C"/>
    <w:rsid w:val="002D7601"/>
    <w:rsid w:val="002E0283"/>
    <w:rsid w:val="002E1444"/>
    <w:rsid w:val="002E1B93"/>
    <w:rsid w:val="002E29CD"/>
    <w:rsid w:val="002E2EA2"/>
    <w:rsid w:val="002E2F5A"/>
    <w:rsid w:val="002E346B"/>
    <w:rsid w:val="002E38F8"/>
    <w:rsid w:val="002E407D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26F9"/>
    <w:rsid w:val="002F330B"/>
    <w:rsid w:val="002F36C2"/>
    <w:rsid w:val="002F3879"/>
    <w:rsid w:val="002F3AD4"/>
    <w:rsid w:val="002F3F2B"/>
    <w:rsid w:val="002F3FA4"/>
    <w:rsid w:val="002F4C7B"/>
    <w:rsid w:val="002F5DCB"/>
    <w:rsid w:val="002F6A4E"/>
    <w:rsid w:val="002F7213"/>
    <w:rsid w:val="002F73C9"/>
    <w:rsid w:val="002F7441"/>
    <w:rsid w:val="002F77C8"/>
    <w:rsid w:val="00300097"/>
    <w:rsid w:val="00300179"/>
    <w:rsid w:val="00301AC7"/>
    <w:rsid w:val="00301B77"/>
    <w:rsid w:val="00301D01"/>
    <w:rsid w:val="00302372"/>
    <w:rsid w:val="00303381"/>
    <w:rsid w:val="003043D6"/>
    <w:rsid w:val="0030446B"/>
    <w:rsid w:val="00304500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A53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5C20"/>
    <w:rsid w:val="00315DF6"/>
    <w:rsid w:val="003175A2"/>
    <w:rsid w:val="003175E9"/>
    <w:rsid w:val="003201A8"/>
    <w:rsid w:val="003201EE"/>
    <w:rsid w:val="00320AE5"/>
    <w:rsid w:val="003210A3"/>
    <w:rsid w:val="0032156E"/>
    <w:rsid w:val="00321888"/>
    <w:rsid w:val="00321C11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3"/>
    <w:rsid w:val="00331948"/>
    <w:rsid w:val="00332066"/>
    <w:rsid w:val="00332320"/>
    <w:rsid w:val="0033366D"/>
    <w:rsid w:val="003336AD"/>
    <w:rsid w:val="00333E47"/>
    <w:rsid w:val="0033484A"/>
    <w:rsid w:val="0033577F"/>
    <w:rsid w:val="003367F1"/>
    <w:rsid w:val="0033794A"/>
    <w:rsid w:val="00337C04"/>
    <w:rsid w:val="00337C07"/>
    <w:rsid w:val="00340033"/>
    <w:rsid w:val="00340B9B"/>
    <w:rsid w:val="00341EC5"/>
    <w:rsid w:val="003429C6"/>
    <w:rsid w:val="00342AA1"/>
    <w:rsid w:val="003431C5"/>
    <w:rsid w:val="0034324D"/>
    <w:rsid w:val="00343856"/>
    <w:rsid w:val="00344191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DE0"/>
    <w:rsid w:val="003512BF"/>
    <w:rsid w:val="0035137B"/>
    <w:rsid w:val="00353B8B"/>
    <w:rsid w:val="00354371"/>
    <w:rsid w:val="0035442C"/>
    <w:rsid w:val="003547D3"/>
    <w:rsid w:val="00355553"/>
    <w:rsid w:val="0035599A"/>
    <w:rsid w:val="00356D06"/>
    <w:rsid w:val="00356DB0"/>
    <w:rsid w:val="00357CE6"/>
    <w:rsid w:val="00360006"/>
    <w:rsid w:val="00360261"/>
    <w:rsid w:val="0036045A"/>
    <w:rsid w:val="00360784"/>
    <w:rsid w:val="00361ACD"/>
    <w:rsid w:val="00361C63"/>
    <w:rsid w:val="003620B4"/>
    <w:rsid w:val="0036246E"/>
    <w:rsid w:val="00362962"/>
    <w:rsid w:val="00362E47"/>
    <w:rsid w:val="003637D2"/>
    <w:rsid w:val="0036502E"/>
    <w:rsid w:val="00365842"/>
    <w:rsid w:val="003664C0"/>
    <w:rsid w:val="00366A21"/>
    <w:rsid w:val="00367237"/>
    <w:rsid w:val="0036795A"/>
    <w:rsid w:val="00367BE4"/>
    <w:rsid w:val="00370192"/>
    <w:rsid w:val="003705BD"/>
    <w:rsid w:val="003705F2"/>
    <w:rsid w:val="0037077F"/>
    <w:rsid w:val="0037105B"/>
    <w:rsid w:val="00371244"/>
    <w:rsid w:val="00371373"/>
    <w:rsid w:val="00371400"/>
    <w:rsid w:val="00371A2B"/>
    <w:rsid w:val="00371C7F"/>
    <w:rsid w:val="003727F8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B28"/>
    <w:rsid w:val="00384409"/>
    <w:rsid w:val="00384FBB"/>
    <w:rsid w:val="00385261"/>
    <w:rsid w:val="003852F9"/>
    <w:rsid w:val="00385830"/>
    <w:rsid w:val="00385A29"/>
    <w:rsid w:val="00385E36"/>
    <w:rsid w:val="00386177"/>
    <w:rsid w:val="00387C8C"/>
    <w:rsid w:val="0039060D"/>
    <w:rsid w:val="003919D7"/>
    <w:rsid w:val="00392155"/>
    <w:rsid w:val="00393789"/>
    <w:rsid w:val="00393962"/>
    <w:rsid w:val="00393A33"/>
    <w:rsid w:val="0039412E"/>
    <w:rsid w:val="003956B3"/>
    <w:rsid w:val="00396338"/>
    <w:rsid w:val="003964C5"/>
    <w:rsid w:val="00396F14"/>
    <w:rsid w:val="00397138"/>
    <w:rsid w:val="00397D18"/>
    <w:rsid w:val="003A0560"/>
    <w:rsid w:val="003A1417"/>
    <w:rsid w:val="003A1B36"/>
    <w:rsid w:val="003A229B"/>
    <w:rsid w:val="003A2697"/>
    <w:rsid w:val="003A381A"/>
    <w:rsid w:val="003A3978"/>
    <w:rsid w:val="003A5282"/>
    <w:rsid w:val="003A53AE"/>
    <w:rsid w:val="003A5450"/>
    <w:rsid w:val="003A5D7F"/>
    <w:rsid w:val="003A66FB"/>
    <w:rsid w:val="003A7101"/>
    <w:rsid w:val="003A780F"/>
    <w:rsid w:val="003B0AD3"/>
    <w:rsid w:val="003B13CC"/>
    <w:rsid w:val="003B2506"/>
    <w:rsid w:val="003B3252"/>
    <w:rsid w:val="003B32AE"/>
    <w:rsid w:val="003B3D6C"/>
    <w:rsid w:val="003B4DBB"/>
    <w:rsid w:val="003B5BFE"/>
    <w:rsid w:val="003B6154"/>
    <w:rsid w:val="003B752D"/>
    <w:rsid w:val="003B7EC0"/>
    <w:rsid w:val="003C121E"/>
    <w:rsid w:val="003C14A2"/>
    <w:rsid w:val="003C176B"/>
    <w:rsid w:val="003C2378"/>
    <w:rsid w:val="003C27C0"/>
    <w:rsid w:val="003C3308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74"/>
    <w:rsid w:val="003C6C8D"/>
    <w:rsid w:val="003D0F33"/>
    <w:rsid w:val="003D0F56"/>
    <w:rsid w:val="003D1C1D"/>
    <w:rsid w:val="003D2D18"/>
    <w:rsid w:val="003D4270"/>
    <w:rsid w:val="003D4522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3302"/>
    <w:rsid w:val="003E3878"/>
    <w:rsid w:val="003E4AF6"/>
    <w:rsid w:val="003E50D0"/>
    <w:rsid w:val="003E5AA9"/>
    <w:rsid w:val="003E6589"/>
    <w:rsid w:val="003E73C4"/>
    <w:rsid w:val="003F011E"/>
    <w:rsid w:val="003F0D64"/>
    <w:rsid w:val="003F2F2A"/>
    <w:rsid w:val="003F4B9D"/>
    <w:rsid w:val="003F5C9F"/>
    <w:rsid w:val="003F7602"/>
    <w:rsid w:val="003F7C31"/>
    <w:rsid w:val="003F7C8C"/>
    <w:rsid w:val="003F7FE6"/>
    <w:rsid w:val="00400EEB"/>
    <w:rsid w:val="004011B8"/>
    <w:rsid w:val="0040123B"/>
    <w:rsid w:val="004012CB"/>
    <w:rsid w:val="00402BDC"/>
    <w:rsid w:val="0040323B"/>
    <w:rsid w:val="00406404"/>
    <w:rsid w:val="00406502"/>
    <w:rsid w:val="00406AC6"/>
    <w:rsid w:val="00406EE5"/>
    <w:rsid w:val="00407087"/>
    <w:rsid w:val="00407676"/>
    <w:rsid w:val="0040794E"/>
    <w:rsid w:val="00410120"/>
    <w:rsid w:val="00410948"/>
    <w:rsid w:val="00410E0B"/>
    <w:rsid w:val="00411708"/>
    <w:rsid w:val="0041222D"/>
    <w:rsid w:val="00412580"/>
    <w:rsid w:val="0041369E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3C85"/>
    <w:rsid w:val="00423CCE"/>
    <w:rsid w:val="0042446D"/>
    <w:rsid w:val="00424619"/>
    <w:rsid w:val="00424BD6"/>
    <w:rsid w:val="00424C40"/>
    <w:rsid w:val="00424FC0"/>
    <w:rsid w:val="00425275"/>
    <w:rsid w:val="00425D9C"/>
    <w:rsid w:val="004272B9"/>
    <w:rsid w:val="00427BF8"/>
    <w:rsid w:val="00430079"/>
    <w:rsid w:val="00430E29"/>
    <w:rsid w:val="00431406"/>
    <w:rsid w:val="00431C02"/>
    <w:rsid w:val="00431F44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4C2"/>
    <w:rsid w:val="00437544"/>
    <w:rsid w:val="00440F03"/>
    <w:rsid w:val="00442692"/>
    <w:rsid w:val="00443C99"/>
    <w:rsid w:val="00444690"/>
    <w:rsid w:val="004448F3"/>
    <w:rsid w:val="00444C97"/>
    <w:rsid w:val="00445047"/>
    <w:rsid w:val="0044541F"/>
    <w:rsid w:val="00446151"/>
    <w:rsid w:val="00446F7A"/>
    <w:rsid w:val="00447F34"/>
    <w:rsid w:val="004501FC"/>
    <w:rsid w:val="00450CEE"/>
    <w:rsid w:val="0045181A"/>
    <w:rsid w:val="00451EFA"/>
    <w:rsid w:val="00452C3B"/>
    <w:rsid w:val="00453C0D"/>
    <w:rsid w:val="00453D02"/>
    <w:rsid w:val="0045438F"/>
    <w:rsid w:val="00454922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6E0"/>
    <w:rsid w:val="004657FC"/>
    <w:rsid w:val="00466254"/>
    <w:rsid w:val="0046631D"/>
    <w:rsid w:val="00467984"/>
    <w:rsid w:val="00467C68"/>
    <w:rsid w:val="0047059B"/>
    <w:rsid w:val="00470D45"/>
    <w:rsid w:val="00470DCE"/>
    <w:rsid w:val="00470FF5"/>
    <w:rsid w:val="0047267E"/>
    <w:rsid w:val="0047303B"/>
    <w:rsid w:val="004733F6"/>
    <w:rsid w:val="004746D5"/>
    <w:rsid w:val="00474BEA"/>
    <w:rsid w:val="00474E69"/>
    <w:rsid w:val="004759C4"/>
    <w:rsid w:val="0047655E"/>
    <w:rsid w:val="00476F19"/>
    <w:rsid w:val="0047715B"/>
    <w:rsid w:val="00477E10"/>
    <w:rsid w:val="004803D8"/>
    <w:rsid w:val="00480B92"/>
    <w:rsid w:val="004840C0"/>
    <w:rsid w:val="00484D5C"/>
    <w:rsid w:val="00484F26"/>
    <w:rsid w:val="0048611F"/>
    <w:rsid w:val="004866F8"/>
    <w:rsid w:val="00486E04"/>
    <w:rsid w:val="00490049"/>
    <w:rsid w:val="004903B6"/>
    <w:rsid w:val="0049247A"/>
    <w:rsid w:val="00492C50"/>
    <w:rsid w:val="0049330E"/>
    <w:rsid w:val="004935FC"/>
    <w:rsid w:val="004945F7"/>
    <w:rsid w:val="00494A73"/>
    <w:rsid w:val="00494EC5"/>
    <w:rsid w:val="00495555"/>
    <w:rsid w:val="0049621B"/>
    <w:rsid w:val="004964B6"/>
    <w:rsid w:val="00496C38"/>
    <w:rsid w:val="00497304"/>
    <w:rsid w:val="0049775B"/>
    <w:rsid w:val="004A0539"/>
    <w:rsid w:val="004A056A"/>
    <w:rsid w:val="004A0C43"/>
    <w:rsid w:val="004A2509"/>
    <w:rsid w:val="004A2F49"/>
    <w:rsid w:val="004A33F3"/>
    <w:rsid w:val="004A3B58"/>
    <w:rsid w:val="004A4FF3"/>
    <w:rsid w:val="004A6298"/>
    <w:rsid w:val="004A7DE9"/>
    <w:rsid w:val="004B0516"/>
    <w:rsid w:val="004B0DA3"/>
    <w:rsid w:val="004B11E6"/>
    <w:rsid w:val="004B1528"/>
    <w:rsid w:val="004B1E03"/>
    <w:rsid w:val="004B2C80"/>
    <w:rsid w:val="004B3942"/>
    <w:rsid w:val="004B48CD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4BB"/>
    <w:rsid w:val="004C1686"/>
    <w:rsid w:val="004C168F"/>
    <w:rsid w:val="004C1895"/>
    <w:rsid w:val="004C18FA"/>
    <w:rsid w:val="004C3066"/>
    <w:rsid w:val="004C3464"/>
    <w:rsid w:val="004C3BCB"/>
    <w:rsid w:val="004C49F9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0816"/>
    <w:rsid w:val="004E0D5D"/>
    <w:rsid w:val="004E10FE"/>
    <w:rsid w:val="004E2114"/>
    <w:rsid w:val="004E5C45"/>
    <w:rsid w:val="004E6B3D"/>
    <w:rsid w:val="004E7827"/>
    <w:rsid w:val="004E799F"/>
    <w:rsid w:val="004E7B11"/>
    <w:rsid w:val="004F030D"/>
    <w:rsid w:val="004F0C3C"/>
    <w:rsid w:val="004F0F29"/>
    <w:rsid w:val="004F14DF"/>
    <w:rsid w:val="004F162D"/>
    <w:rsid w:val="004F2275"/>
    <w:rsid w:val="004F2A5F"/>
    <w:rsid w:val="004F3628"/>
    <w:rsid w:val="004F3D34"/>
    <w:rsid w:val="004F4001"/>
    <w:rsid w:val="004F4246"/>
    <w:rsid w:val="004F575F"/>
    <w:rsid w:val="004F59DD"/>
    <w:rsid w:val="004F60C6"/>
    <w:rsid w:val="004F63FC"/>
    <w:rsid w:val="004F7959"/>
    <w:rsid w:val="00500813"/>
    <w:rsid w:val="00500E4F"/>
    <w:rsid w:val="005011D1"/>
    <w:rsid w:val="005011FF"/>
    <w:rsid w:val="00502030"/>
    <w:rsid w:val="00502263"/>
    <w:rsid w:val="0050277F"/>
    <w:rsid w:val="005033E9"/>
    <w:rsid w:val="0050457F"/>
    <w:rsid w:val="0050466E"/>
    <w:rsid w:val="005048AB"/>
    <w:rsid w:val="005059A8"/>
    <w:rsid w:val="00505A92"/>
    <w:rsid w:val="0050636E"/>
    <w:rsid w:val="00507B04"/>
    <w:rsid w:val="00512463"/>
    <w:rsid w:val="005130E1"/>
    <w:rsid w:val="005139FB"/>
    <w:rsid w:val="00513C35"/>
    <w:rsid w:val="0051442B"/>
    <w:rsid w:val="0051659A"/>
    <w:rsid w:val="00517418"/>
    <w:rsid w:val="005176CD"/>
    <w:rsid w:val="005203F1"/>
    <w:rsid w:val="005203FC"/>
    <w:rsid w:val="0052160C"/>
    <w:rsid w:val="005218F9"/>
    <w:rsid w:val="00521BC3"/>
    <w:rsid w:val="00522116"/>
    <w:rsid w:val="0052283E"/>
    <w:rsid w:val="00523169"/>
    <w:rsid w:val="0052321F"/>
    <w:rsid w:val="005240C4"/>
    <w:rsid w:val="005242D1"/>
    <w:rsid w:val="00524DF5"/>
    <w:rsid w:val="00525564"/>
    <w:rsid w:val="005255FB"/>
    <w:rsid w:val="005263EB"/>
    <w:rsid w:val="0053099E"/>
    <w:rsid w:val="00531632"/>
    <w:rsid w:val="00532FF8"/>
    <w:rsid w:val="005332AB"/>
    <w:rsid w:val="00533933"/>
    <w:rsid w:val="00533C32"/>
    <w:rsid w:val="005357D4"/>
    <w:rsid w:val="00535EEB"/>
    <w:rsid w:val="00536175"/>
    <w:rsid w:val="00537210"/>
    <w:rsid w:val="00540647"/>
    <w:rsid w:val="00541023"/>
    <w:rsid w:val="0054143A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387"/>
    <w:rsid w:val="00545394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21F"/>
    <w:rsid w:val="00553AC9"/>
    <w:rsid w:val="005557C3"/>
    <w:rsid w:val="00555816"/>
    <w:rsid w:val="00555A18"/>
    <w:rsid w:val="00555C08"/>
    <w:rsid w:val="00556091"/>
    <w:rsid w:val="00556CF1"/>
    <w:rsid w:val="00556DCC"/>
    <w:rsid w:val="0055748D"/>
    <w:rsid w:val="00557B13"/>
    <w:rsid w:val="005605B7"/>
    <w:rsid w:val="00560945"/>
    <w:rsid w:val="00560D27"/>
    <w:rsid w:val="0056282D"/>
    <w:rsid w:val="0056376E"/>
    <w:rsid w:val="005644E7"/>
    <w:rsid w:val="00565FD3"/>
    <w:rsid w:val="0056664B"/>
    <w:rsid w:val="00572105"/>
    <w:rsid w:val="00573568"/>
    <w:rsid w:val="00573607"/>
    <w:rsid w:val="00573A9D"/>
    <w:rsid w:val="00573B21"/>
    <w:rsid w:val="00573C1F"/>
    <w:rsid w:val="005744DB"/>
    <w:rsid w:val="005745A6"/>
    <w:rsid w:val="0057486D"/>
    <w:rsid w:val="005749F4"/>
    <w:rsid w:val="00575243"/>
    <w:rsid w:val="005762A7"/>
    <w:rsid w:val="005770D0"/>
    <w:rsid w:val="00577DFE"/>
    <w:rsid w:val="00577F14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2CB4"/>
    <w:rsid w:val="00593195"/>
    <w:rsid w:val="00595CEC"/>
    <w:rsid w:val="00597F41"/>
    <w:rsid w:val="005A0542"/>
    <w:rsid w:val="005A0BF6"/>
    <w:rsid w:val="005A0D09"/>
    <w:rsid w:val="005A110B"/>
    <w:rsid w:val="005A1C15"/>
    <w:rsid w:val="005A1CA4"/>
    <w:rsid w:val="005A2282"/>
    <w:rsid w:val="005A230D"/>
    <w:rsid w:val="005A2855"/>
    <w:rsid w:val="005A315F"/>
    <w:rsid w:val="005A45B3"/>
    <w:rsid w:val="005A5677"/>
    <w:rsid w:val="005A5F33"/>
    <w:rsid w:val="005A60C5"/>
    <w:rsid w:val="005A6352"/>
    <w:rsid w:val="005A651F"/>
    <w:rsid w:val="005A698C"/>
    <w:rsid w:val="005B008D"/>
    <w:rsid w:val="005B00E1"/>
    <w:rsid w:val="005B07B3"/>
    <w:rsid w:val="005B09B1"/>
    <w:rsid w:val="005B12F4"/>
    <w:rsid w:val="005B17B9"/>
    <w:rsid w:val="005B1E98"/>
    <w:rsid w:val="005B2464"/>
    <w:rsid w:val="005B397D"/>
    <w:rsid w:val="005B46C4"/>
    <w:rsid w:val="005B4A9F"/>
    <w:rsid w:val="005B4F6A"/>
    <w:rsid w:val="005B5AF9"/>
    <w:rsid w:val="005C17B6"/>
    <w:rsid w:val="005C1ACD"/>
    <w:rsid w:val="005C1EAD"/>
    <w:rsid w:val="005C296A"/>
    <w:rsid w:val="005C2CFA"/>
    <w:rsid w:val="005C3757"/>
    <w:rsid w:val="005C401C"/>
    <w:rsid w:val="005C4646"/>
    <w:rsid w:val="005C520C"/>
    <w:rsid w:val="005C53A0"/>
    <w:rsid w:val="005C5687"/>
    <w:rsid w:val="005C572D"/>
    <w:rsid w:val="005C5733"/>
    <w:rsid w:val="005C5F3F"/>
    <w:rsid w:val="005C6D35"/>
    <w:rsid w:val="005C70EF"/>
    <w:rsid w:val="005C7AFA"/>
    <w:rsid w:val="005C7E09"/>
    <w:rsid w:val="005D031D"/>
    <w:rsid w:val="005D0646"/>
    <w:rsid w:val="005D1D90"/>
    <w:rsid w:val="005D2126"/>
    <w:rsid w:val="005D3ACB"/>
    <w:rsid w:val="005D4D2A"/>
    <w:rsid w:val="005D501E"/>
    <w:rsid w:val="005D627C"/>
    <w:rsid w:val="005D678E"/>
    <w:rsid w:val="005D6965"/>
    <w:rsid w:val="005D6F34"/>
    <w:rsid w:val="005E0259"/>
    <w:rsid w:val="005E0ADF"/>
    <w:rsid w:val="005E1A58"/>
    <w:rsid w:val="005E2730"/>
    <w:rsid w:val="005E291A"/>
    <w:rsid w:val="005E38B5"/>
    <w:rsid w:val="005E4185"/>
    <w:rsid w:val="005E428F"/>
    <w:rsid w:val="005E4B59"/>
    <w:rsid w:val="005E543E"/>
    <w:rsid w:val="005E671E"/>
    <w:rsid w:val="005E6D68"/>
    <w:rsid w:val="005E6E19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742"/>
    <w:rsid w:val="005F6864"/>
    <w:rsid w:val="005F77E2"/>
    <w:rsid w:val="005F7CDE"/>
    <w:rsid w:val="006004C8"/>
    <w:rsid w:val="006005DD"/>
    <w:rsid w:val="006009DB"/>
    <w:rsid w:val="00600D78"/>
    <w:rsid w:val="00601632"/>
    <w:rsid w:val="00603389"/>
    <w:rsid w:val="006035C3"/>
    <w:rsid w:val="00603DBF"/>
    <w:rsid w:val="006040CC"/>
    <w:rsid w:val="00604467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6453"/>
    <w:rsid w:val="00617430"/>
    <w:rsid w:val="006201FB"/>
    <w:rsid w:val="0062129A"/>
    <w:rsid w:val="00621394"/>
    <w:rsid w:val="006219CC"/>
    <w:rsid w:val="006221ED"/>
    <w:rsid w:val="00622B00"/>
    <w:rsid w:val="00622BB9"/>
    <w:rsid w:val="0062393D"/>
    <w:rsid w:val="00624403"/>
    <w:rsid w:val="00625C9A"/>
    <w:rsid w:val="006260EE"/>
    <w:rsid w:val="0062722A"/>
    <w:rsid w:val="0062728A"/>
    <w:rsid w:val="00627795"/>
    <w:rsid w:val="0062786E"/>
    <w:rsid w:val="0063022E"/>
    <w:rsid w:val="00631407"/>
    <w:rsid w:val="00631EDA"/>
    <w:rsid w:val="00632905"/>
    <w:rsid w:val="0063332A"/>
    <w:rsid w:val="0063437B"/>
    <w:rsid w:val="006359F5"/>
    <w:rsid w:val="00635BAB"/>
    <w:rsid w:val="00636475"/>
    <w:rsid w:val="00636E88"/>
    <w:rsid w:val="00636EAD"/>
    <w:rsid w:val="006372C0"/>
    <w:rsid w:val="00637926"/>
    <w:rsid w:val="00640054"/>
    <w:rsid w:val="00640AB1"/>
    <w:rsid w:val="006413D0"/>
    <w:rsid w:val="00641A8A"/>
    <w:rsid w:val="00641B68"/>
    <w:rsid w:val="00641BDB"/>
    <w:rsid w:val="00642674"/>
    <w:rsid w:val="00642866"/>
    <w:rsid w:val="0064301C"/>
    <w:rsid w:val="00643B62"/>
    <w:rsid w:val="00644582"/>
    <w:rsid w:val="00644749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1D4D"/>
    <w:rsid w:val="006527B4"/>
    <w:rsid w:val="00652E05"/>
    <w:rsid w:val="00653646"/>
    <w:rsid w:val="006537E1"/>
    <w:rsid w:val="0065412C"/>
    <w:rsid w:val="0065446D"/>
    <w:rsid w:val="006544B1"/>
    <w:rsid w:val="0065450A"/>
    <w:rsid w:val="00656046"/>
    <w:rsid w:val="00657760"/>
    <w:rsid w:val="00660683"/>
    <w:rsid w:val="00660F74"/>
    <w:rsid w:val="00660FA0"/>
    <w:rsid w:val="00661C39"/>
    <w:rsid w:val="00661D35"/>
    <w:rsid w:val="00662B1E"/>
    <w:rsid w:val="00663A15"/>
    <w:rsid w:val="00663CCE"/>
    <w:rsid w:val="006644F5"/>
    <w:rsid w:val="00665418"/>
    <w:rsid w:val="00665808"/>
    <w:rsid w:val="00666682"/>
    <w:rsid w:val="00666A3D"/>
    <w:rsid w:val="006673CA"/>
    <w:rsid w:val="00667532"/>
    <w:rsid w:val="00667F18"/>
    <w:rsid w:val="00670F4C"/>
    <w:rsid w:val="00673349"/>
    <w:rsid w:val="00674B36"/>
    <w:rsid w:val="006752FE"/>
    <w:rsid w:val="006774D2"/>
    <w:rsid w:val="00680455"/>
    <w:rsid w:val="00680DD6"/>
    <w:rsid w:val="00682501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E55"/>
    <w:rsid w:val="00692A72"/>
    <w:rsid w:val="0069315E"/>
    <w:rsid w:val="00693174"/>
    <w:rsid w:val="0069412F"/>
    <w:rsid w:val="00694784"/>
    <w:rsid w:val="00695127"/>
    <w:rsid w:val="00697272"/>
    <w:rsid w:val="00697454"/>
    <w:rsid w:val="006A11E0"/>
    <w:rsid w:val="006A15C9"/>
    <w:rsid w:val="006A3452"/>
    <w:rsid w:val="006A366F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376"/>
    <w:rsid w:val="006B17C8"/>
    <w:rsid w:val="006B2001"/>
    <w:rsid w:val="006B2275"/>
    <w:rsid w:val="006B3F72"/>
    <w:rsid w:val="006B46C5"/>
    <w:rsid w:val="006B487A"/>
    <w:rsid w:val="006B49DE"/>
    <w:rsid w:val="006B51A3"/>
    <w:rsid w:val="006B542A"/>
    <w:rsid w:val="006B5AE4"/>
    <w:rsid w:val="006B60CA"/>
    <w:rsid w:val="006B6DB5"/>
    <w:rsid w:val="006B770E"/>
    <w:rsid w:val="006B7DF6"/>
    <w:rsid w:val="006C042D"/>
    <w:rsid w:val="006C1BDE"/>
    <w:rsid w:val="006C2B48"/>
    <w:rsid w:val="006C346A"/>
    <w:rsid w:val="006C3A9E"/>
    <w:rsid w:val="006C3BEB"/>
    <w:rsid w:val="006C480C"/>
    <w:rsid w:val="006C54B2"/>
    <w:rsid w:val="006C55A5"/>
    <w:rsid w:val="006C57CB"/>
    <w:rsid w:val="006C5899"/>
    <w:rsid w:val="006C6414"/>
    <w:rsid w:val="006C66E1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2F15"/>
    <w:rsid w:val="006D4054"/>
    <w:rsid w:val="006D540C"/>
    <w:rsid w:val="006D57D7"/>
    <w:rsid w:val="006D5901"/>
    <w:rsid w:val="006D612C"/>
    <w:rsid w:val="006D6332"/>
    <w:rsid w:val="006D6503"/>
    <w:rsid w:val="006D6CF9"/>
    <w:rsid w:val="006D7090"/>
    <w:rsid w:val="006D78E4"/>
    <w:rsid w:val="006E02EC"/>
    <w:rsid w:val="006E0A6F"/>
    <w:rsid w:val="006E1DDA"/>
    <w:rsid w:val="006E20E3"/>
    <w:rsid w:val="006E2BFD"/>
    <w:rsid w:val="006E38C7"/>
    <w:rsid w:val="006E3A17"/>
    <w:rsid w:val="006E49D2"/>
    <w:rsid w:val="006E64A8"/>
    <w:rsid w:val="006E65EF"/>
    <w:rsid w:val="006E713A"/>
    <w:rsid w:val="006E71E2"/>
    <w:rsid w:val="006F175E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24CD"/>
    <w:rsid w:val="00703DC0"/>
    <w:rsid w:val="007053D5"/>
    <w:rsid w:val="00705CB0"/>
    <w:rsid w:val="007066A3"/>
    <w:rsid w:val="00706D47"/>
    <w:rsid w:val="00706DD3"/>
    <w:rsid w:val="00706F4E"/>
    <w:rsid w:val="00707CF2"/>
    <w:rsid w:val="00707ECB"/>
    <w:rsid w:val="00712027"/>
    <w:rsid w:val="007131F0"/>
    <w:rsid w:val="00713967"/>
    <w:rsid w:val="00713A0C"/>
    <w:rsid w:val="007141D6"/>
    <w:rsid w:val="0071491A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DA7"/>
    <w:rsid w:val="00721ED7"/>
    <w:rsid w:val="00723422"/>
    <w:rsid w:val="007238E6"/>
    <w:rsid w:val="0072498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C1"/>
    <w:rsid w:val="00730E35"/>
    <w:rsid w:val="007316E0"/>
    <w:rsid w:val="007320DE"/>
    <w:rsid w:val="007322C7"/>
    <w:rsid w:val="00734951"/>
    <w:rsid w:val="00734CBE"/>
    <w:rsid w:val="007357A2"/>
    <w:rsid w:val="00735931"/>
    <w:rsid w:val="00736417"/>
    <w:rsid w:val="00736C0B"/>
    <w:rsid w:val="0073718F"/>
    <w:rsid w:val="00740322"/>
    <w:rsid w:val="007405F4"/>
    <w:rsid w:val="00740AFA"/>
    <w:rsid w:val="00740F7E"/>
    <w:rsid w:val="00742610"/>
    <w:rsid w:val="00743117"/>
    <w:rsid w:val="00743118"/>
    <w:rsid w:val="007431BF"/>
    <w:rsid w:val="0074395E"/>
    <w:rsid w:val="00744556"/>
    <w:rsid w:val="00744AA8"/>
    <w:rsid w:val="007456A5"/>
    <w:rsid w:val="00746187"/>
    <w:rsid w:val="007465CF"/>
    <w:rsid w:val="0074748F"/>
    <w:rsid w:val="0074773B"/>
    <w:rsid w:val="00750915"/>
    <w:rsid w:val="00750979"/>
    <w:rsid w:val="007509C5"/>
    <w:rsid w:val="00750AA3"/>
    <w:rsid w:val="00751971"/>
    <w:rsid w:val="00751990"/>
    <w:rsid w:val="00751D12"/>
    <w:rsid w:val="00751F70"/>
    <w:rsid w:val="00752CD8"/>
    <w:rsid w:val="00752D23"/>
    <w:rsid w:val="00752DC4"/>
    <w:rsid w:val="007530C0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4D8C"/>
    <w:rsid w:val="00765F07"/>
    <w:rsid w:val="007663B1"/>
    <w:rsid w:val="00766661"/>
    <w:rsid w:val="00766B7B"/>
    <w:rsid w:val="00770224"/>
    <w:rsid w:val="007702D7"/>
    <w:rsid w:val="00770B60"/>
    <w:rsid w:val="00772292"/>
    <w:rsid w:val="00774E89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724F"/>
    <w:rsid w:val="007974FC"/>
    <w:rsid w:val="007976BD"/>
    <w:rsid w:val="00797FBA"/>
    <w:rsid w:val="007A1437"/>
    <w:rsid w:val="007A18B3"/>
    <w:rsid w:val="007A209B"/>
    <w:rsid w:val="007A2410"/>
    <w:rsid w:val="007A2DC1"/>
    <w:rsid w:val="007A4B8A"/>
    <w:rsid w:val="007A508F"/>
    <w:rsid w:val="007A5500"/>
    <w:rsid w:val="007A5EDD"/>
    <w:rsid w:val="007A6A73"/>
    <w:rsid w:val="007A7CA3"/>
    <w:rsid w:val="007B2346"/>
    <w:rsid w:val="007B285E"/>
    <w:rsid w:val="007B3380"/>
    <w:rsid w:val="007B33D5"/>
    <w:rsid w:val="007B4120"/>
    <w:rsid w:val="007B4827"/>
    <w:rsid w:val="007B4B3D"/>
    <w:rsid w:val="007B5197"/>
    <w:rsid w:val="007B5AA4"/>
    <w:rsid w:val="007B6718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932"/>
    <w:rsid w:val="007C5B82"/>
    <w:rsid w:val="007C5CA4"/>
    <w:rsid w:val="007D072A"/>
    <w:rsid w:val="007D0C3C"/>
    <w:rsid w:val="007D1E9D"/>
    <w:rsid w:val="007D27C8"/>
    <w:rsid w:val="007D28CB"/>
    <w:rsid w:val="007D3319"/>
    <w:rsid w:val="007D3A8A"/>
    <w:rsid w:val="007D4190"/>
    <w:rsid w:val="007D5036"/>
    <w:rsid w:val="007D51CE"/>
    <w:rsid w:val="007D5853"/>
    <w:rsid w:val="007D597B"/>
    <w:rsid w:val="007D66EA"/>
    <w:rsid w:val="007D6BE1"/>
    <w:rsid w:val="007D7C85"/>
    <w:rsid w:val="007E0439"/>
    <w:rsid w:val="007E3314"/>
    <w:rsid w:val="007E3C22"/>
    <w:rsid w:val="007E46FA"/>
    <w:rsid w:val="007E4B03"/>
    <w:rsid w:val="007E5284"/>
    <w:rsid w:val="007E7373"/>
    <w:rsid w:val="007E7A46"/>
    <w:rsid w:val="007F0D21"/>
    <w:rsid w:val="007F14F2"/>
    <w:rsid w:val="007F18D8"/>
    <w:rsid w:val="007F2AC2"/>
    <w:rsid w:val="007F2BE5"/>
    <w:rsid w:val="007F306D"/>
    <w:rsid w:val="007F324B"/>
    <w:rsid w:val="007F3410"/>
    <w:rsid w:val="007F5592"/>
    <w:rsid w:val="007F5BA9"/>
    <w:rsid w:val="007F6092"/>
    <w:rsid w:val="007F6ECC"/>
    <w:rsid w:val="007F76E1"/>
    <w:rsid w:val="007F7EAF"/>
    <w:rsid w:val="00800139"/>
    <w:rsid w:val="00800D06"/>
    <w:rsid w:val="00801431"/>
    <w:rsid w:val="00802001"/>
    <w:rsid w:val="00803467"/>
    <w:rsid w:val="0080346D"/>
    <w:rsid w:val="008039E1"/>
    <w:rsid w:val="00803E14"/>
    <w:rsid w:val="00804484"/>
    <w:rsid w:val="00804CD0"/>
    <w:rsid w:val="00805216"/>
    <w:rsid w:val="0080553C"/>
    <w:rsid w:val="00805A3C"/>
    <w:rsid w:val="00805B46"/>
    <w:rsid w:val="00806F6A"/>
    <w:rsid w:val="0080760D"/>
    <w:rsid w:val="0080761A"/>
    <w:rsid w:val="00807BA7"/>
    <w:rsid w:val="00807C47"/>
    <w:rsid w:val="00807DBD"/>
    <w:rsid w:val="0081068C"/>
    <w:rsid w:val="00810DEF"/>
    <w:rsid w:val="00811F04"/>
    <w:rsid w:val="0081216E"/>
    <w:rsid w:val="00812512"/>
    <w:rsid w:val="008147E0"/>
    <w:rsid w:val="008152E5"/>
    <w:rsid w:val="008155BE"/>
    <w:rsid w:val="008157D7"/>
    <w:rsid w:val="00815A82"/>
    <w:rsid w:val="00815D7B"/>
    <w:rsid w:val="00816213"/>
    <w:rsid w:val="00816657"/>
    <w:rsid w:val="00816807"/>
    <w:rsid w:val="008168D8"/>
    <w:rsid w:val="0081691B"/>
    <w:rsid w:val="008169D0"/>
    <w:rsid w:val="00817021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C0D"/>
    <w:rsid w:val="00825DC2"/>
    <w:rsid w:val="00826342"/>
    <w:rsid w:val="00826769"/>
    <w:rsid w:val="0082736D"/>
    <w:rsid w:val="0082763A"/>
    <w:rsid w:val="008279D3"/>
    <w:rsid w:val="00827B10"/>
    <w:rsid w:val="00827CF4"/>
    <w:rsid w:val="0083133D"/>
    <w:rsid w:val="00831F69"/>
    <w:rsid w:val="00832C45"/>
    <w:rsid w:val="00832DF6"/>
    <w:rsid w:val="0083385A"/>
    <w:rsid w:val="00834520"/>
    <w:rsid w:val="008348A5"/>
    <w:rsid w:val="00834AD3"/>
    <w:rsid w:val="00835681"/>
    <w:rsid w:val="0083652B"/>
    <w:rsid w:val="00836F81"/>
    <w:rsid w:val="00837709"/>
    <w:rsid w:val="00837EC4"/>
    <w:rsid w:val="008401C6"/>
    <w:rsid w:val="00840EDE"/>
    <w:rsid w:val="008413B4"/>
    <w:rsid w:val="008415A7"/>
    <w:rsid w:val="00841D7F"/>
    <w:rsid w:val="00841F82"/>
    <w:rsid w:val="0084287F"/>
    <w:rsid w:val="00842DA2"/>
    <w:rsid w:val="00843135"/>
    <w:rsid w:val="00843509"/>
    <w:rsid w:val="00843795"/>
    <w:rsid w:val="0084406B"/>
    <w:rsid w:val="0084428E"/>
    <w:rsid w:val="00846DAA"/>
    <w:rsid w:val="00847097"/>
    <w:rsid w:val="00847555"/>
    <w:rsid w:val="00847816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624B"/>
    <w:rsid w:val="00856648"/>
    <w:rsid w:val="008602AB"/>
    <w:rsid w:val="00860ADF"/>
    <w:rsid w:val="008610A6"/>
    <w:rsid w:val="008630C8"/>
    <w:rsid w:val="00864080"/>
    <w:rsid w:val="00864C6A"/>
    <w:rsid w:val="00864D70"/>
    <w:rsid w:val="00865F66"/>
    <w:rsid w:val="00866AEB"/>
    <w:rsid w:val="00866C55"/>
    <w:rsid w:val="00867A14"/>
    <w:rsid w:val="00867C94"/>
    <w:rsid w:val="00871410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08F1"/>
    <w:rsid w:val="0088258A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7EA6"/>
    <w:rsid w:val="008902D8"/>
    <w:rsid w:val="008914E2"/>
    <w:rsid w:val="008918A2"/>
    <w:rsid w:val="00892AB4"/>
    <w:rsid w:val="00892C15"/>
    <w:rsid w:val="00894D28"/>
    <w:rsid w:val="008956F7"/>
    <w:rsid w:val="00895724"/>
    <w:rsid w:val="00897149"/>
    <w:rsid w:val="0089720B"/>
    <w:rsid w:val="008A0475"/>
    <w:rsid w:val="008A0908"/>
    <w:rsid w:val="008A0A17"/>
    <w:rsid w:val="008A22FC"/>
    <w:rsid w:val="008A2389"/>
    <w:rsid w:val="008A26D9"/>
    <w:rsid w:val="008A39CE"/>
    <w:rsid w:val="008A7184"/>
    <w:rsid w:val="008B06CF"/>
    <w:rsid w:val="008B0BD6"/>
    <w:rsid w:val="008B21A3"/>
    <w:rsid w:val="008B2AD1"/>
    <w:rsid w:val="008B2D1A"/>
    <w:rsid w:val="008B2FE5"/>
    <w:rsid w:val="008B3A10"/>
    <w:rsid w:val="008B417F"/>
    <w:rsid w:val="008B5CD0"/>
    <w:rsid w:val="008B66CC"/>
    <w:rsid w:val="008B6749"/>
    <w:rsid w:val="008B67EC"/>
    <w:rsid w:val="008B6EA3"/>
    <w:rsid w:val="008B7944"/>
    <w:rsid w:val="008B7B44"/>
    <w:rsid w:val="008C0927"/>
    <w:rsid w:val="008C0F3F"/>
    <w:rsid w:val="008C0F73"/>
    <w:rsid w:val="008C1BBC"/>
    <w:rsid w:val="008C1F15"/>
    <w:rsid w:val="008C38D9"/>
    <w:rsid w:val="008C3976"/>
    <w:rsid w:val="008C5B51"/>
    <w:rsid w:val="008C6213"/>
    <w:rsid w:val="008C6ACE"/>
    <w:rsid w:val="008C6CAE"/>
    <w:rsid w:val="008C6EEA"/>
    <w:rsid w:val="008C7B36"/>
    <w:rsid w:val="008D094F"/>
    <w:rsid w:val="008D203C"/>
    <w:rsid w:val="008D2138"/>
    <w:rsid w:val="008D23C7"/>
    <w:rsid w:val="008D283C"/>
    <w:rsid w:val="008D3D54"/>
    <w:rsid w:val="008D3D8E"/>
    <w:rsid w:val="008D474A"/>
    <w:rsid w:val="008D5118"/>
    <w:rsid w:val="008D5199"/>
    <w:rsid w:val="008D5697"/>
    <w:rsid w:val="008D59D4"/>
    <w:rsid w:val="008D6F87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371"/>
    <w:rsid w:val="008F2CA6"/>
    <w:rsid w:val="008F34D8"/>
    <w:rsid w:val="008F3638"/>
    <w:rsid w:val="008F363D"/>
    <w:rsid w:val="008F39FB"/>
    <w:rsid w:val="008F3D71"/>
    <w:rsid w:val="008F68AD"/>
    <w:rsid w:val="008F6F31"/>
    <w:rsid w:val="0090019A"/>
    <w:rsid w:val="009018A4"/>
    <w:rsid w:val="00901D20"/>
    <w:rsid w:val="009025D5"/>
    <w:rsid w:val="009043FA"/>
    <w:rsid w:val="009046B7"/>
    <w:rsid w:val="00904AE7"/>
    <w:rsid w:val="00904D1D"/>
    <w:rsid w:val="009056AE"/>
    <w:rsid w:val="009061F3"/>
    <w:rsid w:val="0090648B"/>
    <w:rsid w:val="00906D8F"/>
    <w:rsid w:val="00910C98"/>
    <w:rsid w:val="00911FCE"/>
    <w:rsid w:val="00912639"/>
    <w:rsid w:val="00917178"/>
    <w:rsid w:val="00917989"/>
    <w:rsid w:val="00917EF4"/>
    <w:rsid w:val="00920258"/>
    <w:rsid w:val="0092032A"/>
    <w:rsid w:val="00920BE3"/>
    <w:rsid w:val="00920C33"/>
    <w:rsid w:val="00920E04"/>
    <w:rsid w:val="00921F2A"/>
    <w:rsid w:val="009220A2"/>
    <w:rsid w:val="009227A6"/>
    <w:rsid w:val="009232DF"/>
    <w:rsid w:val="00924355"/>
    <w:rsid w:val="009247A8"/>
    <w:rsid w:val="009251B4"/>
    <w:rsid w:val="00926013"/>
    <w:rsid w:val="00926633"/>
    <w:rsid w:val="00926D8C"/>
    <w:rsid w:val="00930E14"/>
    <w:rsid w:val="009325E5"/>
    <w:rsid w:val="00932E84"/>
    <w:rsid w:val="0093307A"/>
    <w:rsid w:val="00933452"/>
    <w:rsid w:val="00933EC1"/>
    <w:rsid w:val="0093436A"/>
    <w:rsid w:val="00934ADA"/>
    <w:rsid w:val="00934BA0"/>
    <w:rsid w:val="00935F98"/>
    <w:rsid w:val="00937411"/>
    <w:rsid w:val="0093780F"/>
    <w:rsid w:val="00937C55"/>
    <w:rsid w:val="00940965"/>
    <w:rsid w:val="00941127"/>
    <w:rsid w:val="00941736"/>
    <w:rsid w:val="009422D3"/>
    <w:rsid w:val="00943518"/>
    <w:rsid w:val="0094390A"/>
    <w:rsid w:val="00944653"/>
    <w:rsid w:val="00945038"/>
    <w:rsid w:val="0094650F"/>
    <w:rsid w:val="0094733E"/>
    <w:rsid w:val="009475BA"/>
    <w:rsid w:val="00950834"/>
    <w:rsid w:val="00950893"/>
    <w:rsid w:val="00950B60"/>
    <w:rsid w:val="0095181C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56E12"/>
    <w:rsid w:val="00957F3A"/>
    <w:rsid w:val="00960939"/>
    <w:rsid w:val="00960DE7"/>
    <w:rsid w:val="009614DD"/>
    <w:rsid w:val="00962BD1"/>
    <w:rsid w:val="00963416"/>
    <w:rsid w:val="0096391E"/>
    <w:rsid w:val="00963D28"/>
    <w:rsid w:val="00964491"/>
    <w:rsid w:val="009647CB"/>
    <w:rsid w:val="009649C9"/>
    <w:rsid w:val="00965B66"/>
    <w:rsid w:val="009661B7"/>
    <w:rsid w:val="009668DC"/>
    <w:rsid w:val="00966DD2"/>
    <w:rsid w:val="009677EE"/>
    <w:rsid w:val="00967DF3"/>
    <w:rsid w:val="009705EE"/>
    <w:rsid w:val="00970AD1"/>
    <w:rsid w:val="00971055"/>
    <w:rsid w:val="00971D57"/>
    <w:rsid w:val="009731DA"/>
    <w:rsid w:val="00973D31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3FA9"/>
    <w:rsid w:val="009842A2"/>
    <w:rsid w:val="00984B59"/>
    <w:rsid w:val="00984CD5"/>
    <w:rsid w:val="00985759"/>
    <w:rsid w:val="00985FD1"/>
    <w:rsid w:val="0098681B"/>
    <w:rsid w:val="00986EFC"/>
    <w:rsid w:val="009872DC"/>
    <w:rsid w:val="00987F2A"/>
    <w:rsid w:val="00990189"/>
    <w:rsid w:val="00990A3E"/>
    <w:rsid w:val="0099132B"/>
    <w:rsid w:val="0099143D"/>
    <w:rsid w:val="00991FC7"/>
    <w:rsid w:val="00992338"/>
    <w:rsid w:val="00992D3E"/>
    <w:rsid w:val="00993416"/>
    <w:rsid w:val="00993726"/>
    <w:rsid w:val="00993E30"/>
    <w:rsid w:val="00994BF9"/>
    <w:rsid w:val="00995D68"/>
    <w:rsid w:val="00995F7D"/>
    <w:rsid w:val="009964BE"/>
    <w:rsid w:val="00996A42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5E69"/>
    <w:rsid w:val="009A7031"/>
    <w:rsid w:val="009A77C1"/>
    <w:rsid w:val="009A7B0D"/>
    <w:rsid w:val="009B04AF"/>
    <w:rsid w:val="009B04EE"/>
    <w:rsid w:val="009B176B"/>
    <w:rsid w:val="009B244D"/>
    <w:rsid w:val="009B3224"/>
    <w:rsid w:val="009B3E22"/>
    <w:rsid w:val="009B470C"/>
    <w:rsid w:val="009B4EE0"/>
    <w:rsid w:val="009B6210"/>
    <w:rsid w:val="009B78E9"/>
    <w:rsid w:val="009C051C"/>
    <w:rsid w:val="009C068D"/>
    <w:rsid w:val="009C1335"/>
    <w:rsid w:val="009C1AB2"/>
    <w:rsid w:val="009C1AFB"/>
    <w:rsid w:val="009C2B1A"/>
    <w:rsid w:val="009C3074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585"/>
    <w:rsid w:val="009D080D"/>
    <w:rsid w:val="009D0A7A"/>
    <w:rsid w:val="009D0B47"/>
    <w:rsid w:val="009D12CB"/>
    <w:rsid w:val="009D16B7"/>
    <w:rsid w:val="009D2421"/>
    <w:rsid w:val="009D24E3"/>
    <w:rsid w:val="009D2596"/>
    <w:rsid w:val="009D26C5"/>
    <w:rsid w:val="009D2AA7"/>
    <w:rsid w:val="009D2F85"/>
    <w:rsid w:val="009D3012"/>
    <w:rsid w:val="009D4034"/>
    <w:rsid w:val="009D455D"/>
    <w:rsid w:val="009D45E8"/>
    <w:rsid w:val="009D591C"/>
    <w:rsid w:val="009D6D1B"/>
    <w:rsid w:val="009D7EAA"/>
    <w:rsid w:val="009E0168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1845"/>
    <w:rsid w:val="009F2576"/>
    <w:rsid w:val="009F3DD7"/>
    <w:rsid w:val="009F49F4"/>
    <w:rsid w:val="009F5F76"/>
    <w:rsid w:val="009F6545"/>
    <w:rsid w:val="009F7816"/>
    <w:rsid w:val="00A00224"/>
    <w:rsid w:val="00A0030E"/>
    <w:rsid w:val="00A00C1D"/>
    <w:rsid w:val="00A01091"/>
    <w:rsid w:val="00A0180E"/>
    <w:rsid w:val="00A02323"/>
    <w:rsid w:val="00A024B6"/>
    <w:rsid w:val="00A0256A"/>
    <w:rsid w:val="00A02615"/>
    <w:rsid w:val="00A0285A"/>
    <w:rsid w:val="00A028EA"/>
    <w:rsid w:val="00A02FDE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4117"/>
    <w:rsid w:val="00A14619"/>
    <w:rsid w:val="00A14C84"/>
    <w:rsid w:val="00A15446"/>
    <w:rsid w:val="00A1545A"/>
    <w:rsid w:val="00A16EC3"/>
    <w:rsid w:val="00A170A9"/>
    <w:rsid w:val="00A1781A"/>
    <w:rsid w:val="00A17D7F"/>
    <w:rsid w:val="00A20B50"/>
    <w:rsid w:val="00A220D8"/>
    <w:rsid w:val="00A22444"/>
    <w:rsid w:val="00A24C54"/>
    <w:rsid w:val="00A253C7"/>
    <w:rsid w:val="00A261D4"/>
    <w:rsid w:val="00A279E6"/>
    <w:rsid w:val="00A27B55"/>
    <w:rsid w:val="00A30023"/>
    <w:rsid w:val="00A31272"/>
    <w:rsid w:val="00A32CF1"/>
    <w:rsid w:val="00A32D3E"/>
    <w:rsid w:val="00A32E29"/>
    <w:rsid w:val="00A32F14"/>
    <w:rsid w:val="00A32FD9"/>
    <w:rsid w:val="00A337BA"/>
    <w:rsid w:val="00A338E9"/>
    <w:rsid w:val="00A33CED"/>
    <w:rsid w:val="00A356AC"/>
    <w:rsid w:val="00A360ED"/>
    <w:rsid w:val="00A365F4"/>
    <w:rsid w:val="00A36CF8"/>
    <w:rsid w:val="00A37C3C"/>
    <w:rsid w:val="00A37D14"/>
    <w:rsid w:val="00A40A97"/>
    <w:rsid w:val="00A40D99"/>
    <w:rsid w:val="00A413CF"/>
    <w:rsid w:val="00A4161F"/>
    <w:rsid w:val="00A41653"/>
    <w:rsid w:val="00A425C2"/>
    <w:rsid w:val="00A44CD9"/>
    <w:rsid w:val="00A4576B"/>
    <w:rsid w:val="00A46313"/>
    <w:rsid w:val="00A470CE"/>
    <w:rsid w:val="00A47A73"/>
    <w:rsid w:val="00A47B8C"/>
    <w:rsid w:val="00A47D80"/>
    <w:rsid w:val="00A515E9"/>
    <w:rsid w:val="00A51763"/>
    <w:rsid w:val="00A5188B"/>
    <w:rsid w:val="00A524AC"/>
    <w:rsid w:val="00A53132"/>
    <w:rsid w:val="00A5362E"/>
    <w:rsid w:val="00A536CA"/>
    <w:rsid w:val="00A53BF5"/>
    <w:rsid w:val="00A54E97"/>
    <w:rsid w:val="00A55C76"/>
    <w:rsid w:val="00A563F2"/>
    <w:rsid w:val="00A566E8"/>
    <w:rsid w:val="00A5696C"/>
    <w:rsid w:val="00A56A97"/>
    <w:rsid w:val="00A56B24"/>
    <w:rsid w:val="00A5744F"/>
    <w:rsid w:val="00A5789C"/>
    <w:rsid w:val="00A604DD"/>
    <w:rsid w:val="00A6378C"/>
    <w:rsid w:val="00A63CC4"/>
    <w:rsid w:val="00A64ECB"/>
    <w:rsid w:val="00A658B0"/>
    <w:rsid w:val="00A665B9"/>
    <w:rsid w:val="00A70DA1"/>
    <w:rsid w:val="00A71000"/>
    <w:rsid w:val="00A713D0"/>
    <w:rsid w:val="00A717DE"/>
    <w:rsid w:val="00A74227"/>
    <w:rsid w:val="00A748C7"/>
    <w:rsid w:val="00A75291"/>
    <w:rsid w:val="00A75BC8"/>
    <w:rsid w:val="00A76A2D"/>
    <w:rsid w:val="00A77626"/>
    <w:rsid w:val="00A77C47"/>
    <w:rsid w:val="00A77F7C"/>
    <w:rsid w:val="00A77FC3"/>
    <w:rsid w:val="00A80FF5"/>
    <w:rsid w:val="00A81107"/>
    <w:rsid w:val="00A81235"/>
    <w:rsid w:val="00A82991"/>
    <w:rsid w:val="00A8381C"/>
    <w:rsid w:val="00A83EDC"/>
    <w:rsid w:val="00A844B5"/>
    <w:rsid w:val="00A84B12"/>
    <w:rsid w:val="00A84C3A"/>
    <w:rsid w:val="00A85331"/>
    <w:rsid w:val="00A85DCA"/>
    <w:rsid w:val="00A8603E"/>
    <w:rsid w:val="00A86077"/>
    <w:rsid w:val="00A865D9"/>
    <w:rsid w:val="00A86779"/>
    <w:rsid w:val="00A86957"/>
    <w:rsid w:val="00A869C5"/>
    <w:rsid w:val="00A86C7D"/>
    <w:rsid w:val="00A86ECC"/>
    <w:rsid w:val="00A86FCC"/>
    <w:rsid w:val="00A87E38"/>
    <w:rsid w:val="00A9005C"/>
    <w:rsid w:val="00A9072C"/>
    <w:rsid w:val="00A91287"/>
    <w:rsid w:val="00A92527"/>
    <w:rsid w:val="00A929FA"/>
    <w:rsid w:val="00A92B19"/>
    <w:rsid w:val="00A9340E"/>
    <w:rsid w:val="00A93918"/>
    <w:rsid w:val="00A9527D"/>
    <w:rsid w:val="00A97A0E"/>
    <w:rsid w:val="00AA0A84"/>
    <w:rsid w:val="00AA0B2B"/>
    <w:rsid w:val="00AA1C37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8B3"/>
    <w:rsid w:val="00AB3D3E"/>
    <w:rsid w:val="00AB3E11"/>
    <w:rsid w:val="00AB3F4B"/>
    <w:rsid w:val="00AB587B"/>
    <w:rsid w:val="00AB5895"/>
    <w:rsid w:val="00AB6123"/>
    <w:rsid w:val="00AB635D"/>
    <w:rsid w:val="00AB6D25"/>
    <w:rsid w:val="00AB7938"/>
    <w:rsid w:val="00AB7BAC"/>
    <w:rsid w:val="00AB7F1C"/>
    <w:rsid w:val="00AC02E7"/>
    <w:rsid w:val="00AC10DF"/>
    <w:rsid w:val="00AC1770"/>
    <w:rsid w:val="00AC1942"/>
    <w:rsid w:val="00AC1F5F"/>
    <w:rsid w:val="00AC3371"/>
    <w:rsid w:val="00AC3742"/>
    <w:rsid w:val="00AC40AE"/>
    <w:rsid w:val="00AC4A98"/>
    <w:rsid w:val="00AC4C4A"/>
    <w:rsid w:val="00AC60C7"/>
    <w:rsid w:val="00AC675E"/>
    <w:rsid w:val="00AC6D6A"/>
    <w:rsid w:val="00AD0323"/>
    <w:rsid w:val="00AD06AD"/>
    <w:rsid w:val="00AD0E41"/>
    <w:rsid w:val="00AD1310"/>
    <w:rsid w:val="00AD18FD"/>
    <w:rsid w:val="00AD2DC1"/>
    <w:rsid w:val="00AD2E77"/>
    <w:rsid w:val="00AD423C"/>
    <w:rsid w:val="00AD444C"/>
    <w:rsid w:val="00AD456D"/>
    <w:rsid w:val="00AD48CD"/>
    <w:rsid w:val="00AD4B17"/>
    <w:rsid w:val="00AD5123"/>
    <w:rsid w:val="00AD6249"/>
    <w:rsid w:val="00AE01A0"/>
    <w:rsid w:val="00AE1EED"/>
    <w:rsid w:val="00AE2D4B"/>
    <w:rsid w:val="00AE2DDB"/>
    <w:rsid w:val="00AE4F99"/>
    <w:rsid w:val="00AE626C"/>
    <w:rsid w:val="00AE771B"/>
    <w:rsid w:val="00AE7D3D"/>
    <w:rsid w:val="00AF01B2"/>
    <w:rsid w:val="00AF06E1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195"/>
    <w:rsid w:val="00AF63E1"/>
    <w:rsid w:val="00AF6FF8"/>
    <w:rsid w:val="00B010FE"/>
    <w:rsid w:val="00B01136"/>
    <w:rsid w:val="00B01155"/>
    <w:rsid w:val="00B01533"/>
    <w:rsid w:val="00B03638"/>
    <w:rsid w:val="00B05438"/>
    <w:rsid w:val="00B06227"/>
    <w:rsid w:val="00B10211"/>
    <w:rsid w:val="00B125DF"/>
    <w:rsid w:val="00B12CC4"/>
    <w:rsid w:val="00B1362B"/>
    <w:rsid w:val="00B14952"/>
    <w:rsid w:val="00B152C9"/>
    <w:rsid w:val="00B15480"/>
    <w:rsid w:val="00B168D2"/>
    <w:rsid w:val="00B17E1B"/>
    <w:rsid w:val="00B2134B"/>
    <w:rsid w:val="00B2194A"/>
    <w:rsid w:val="00B2215B"/>
    <w:rsid w:val="00B22545"/>
    <w:rsid w:val="00B228F5"/>
    <w:rsid w:val="00B240EB"/>
    <w:rsid w:val="00B2462B"/>
    <w:rsid w:val="00B259D7"/>
    <w:rsid w:val="00B25ACF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56C"/>
    <w:rsid w:val="00B37079"/>
    <w:rsid w:val="00B40010"/>
    <w:rsid w:val="00B41969"/>
    <w:rsid w:val="00B41AC9"/>
    <w:rsid w:val="00B4311B"/>
    <w:rsid w:val="00B4375E"/>
    <w:rsid w:val="00B438BA"/>
    <w:rsid w:val="00B43FA5"/>
    <w:rsid w:val="00B440B8"/>
    <w:rsid w:val="00B4459D"/>
    <w:rsid w:val="00B44C81"/>
    <w:rsid w:val="00B4565C"/>
    <w:rsid w:val="00B45D46"/>
    <w:rsid w:val="00B462A1"/>
    <w:rsid w:val="00B47C5B"/>
    <w:rsid w:val="00B47D3F"/>
    <w:rsid w:val="00B51A57"/>
    <w:rsid w:val="00B52112"/>
    <w:rsid w:val="00B530B9"/>
    <w:rsid w:val="00B531D3"/>
    <w:rsid w:val="00B549B4"/>
    <w:rsid w:val="00B54BE8"/>
    <w:rsid w:val="00B5572E"/>
    <w:rsid w:val="00B55A83"/>
    <w:rsid w:val="00B57AAA"/>
    <w:rsid w:val="00B57AFF"/>
    <w:rsid w:val="00B61114"/>
    <w:rsid w:val="00B61380"/>
    <w:rsid w:val="00B624E9"/>
    <w:rsid w:val="00B62871"/>
    <w:rsid w:val="00B6292F"/>
    <w:rsid w:val="00B62AE3"/>
    <w:rsid w:val="00B62CFE"/>
    <w:rsid w:val="00B63352"/>
    <w:rsid w:val="00B64727"/>
    <w:rsid w:val="00B64845"/>
    <w:rsid w:val="00B64C85"/>
    <w:rsid w:val="00B6525E"/>
    <w:rsid w:val="00B653AB"/>
    <w:rsid w:val="00B65F9E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B74"/>
    <w:rsid w:val="00B71DE8"/>
    <w:rsid w:val="00B7235F"/>
    <w:rsid w:val="00B73612"/>
    <w:rsid w:val="00B74623"/>
    <w:rsid w:val="00B74EC0"/>
    <w:rsid w:val="00B75714"/>
    <w:rsid w:val="00B759DD"/>
    <w:rsid w:val="00B761C1"/>
    <w:rsid w:val="00B761FC"/>
    <w:rsid w:val="00B775F1"/>
    <w:rsid w:val="00B7774E"/>
    <w:rsid w:val="00B80A5A"/>
    <w:rsid w:val="00B811A9"/>
    <w:rsid w:val="00B81D8D"/>
    <w:rsid w:val="00B823A7"/>
    <w:rsid w:val="00B82758"/>
    <w:rsid w:val="00B82845"/>
    <w:rsid w:val="00B82BB2"/>
    <w:rsid w:val="00B82C01"/>
    <w:rsid w:val="00B82FBE"/>
    <w:rsid w:val="00B83046"/>
    <w:rsid w:val="00B8394F"/>
    <w:rsid w:val="00B83DD9"/>
    <w:rsid w:val="00B83FC5"/>
    <w:rsid w:val="00B840D1"/>
    <w:rsid w:val="00B85B0E"/>
    <w:rsid w:val="00B8679E"/>
    <w:rsid w:val="00B86A70"/>
    <w:rsid w:val="00B86DC4"/>
    <w:rsid w:val="00B87889"/>
    <w:rsid w:val="00B87B0F"/>
    <w:rsid w:val="00B914E9"/>
    <w:rsid w:val="00B92916"/>
    <w:rsid w:val="00B95145"/>
    <w:rsid w:val="00B956EE"/>
    <w:rsid w:val="00B96047"/>
    <w:rsid w:val="00B96C90"/>
    <w:rsid w:val="00B9797C"/>
    <w:rsid w:val="00B97998"/>
    <w:rsid w:val="00BA07CF"/>
    <w:rsid w:val="00BA0E78"/>
    <w:rsid w:val="00BA182D"/>
    <w:rsid w:val="00BA2BA1"/>
    <w:rsid w:val="00BA3DF0"/>
    <w:rsid w:val="00BA4006"/>
    <w:rsid w:val="00BA461D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463"/>
    <w:rsid w:val="00BB254F"/>
    <w:rsid w:val="00BB29F8"/>
    <w:rsid w:val="00BB2FC1"/>
    <w:rsid w:val="00BB3B7F"/>
    <w:rsid w:val="00BB4747"/>
    <w:rsid w:val="00BB522A"/>
    <w:rsid w:val="00BB55D7"/>
    <w:rsid w:val="00BB768F"/>
    <w:rsid w:val="00BB7D28"/>
    <w:rsid w:val="00BC01E2"/>
    <w:rsid w:val="00BC022B"/>
    <w:rsid w:val="00BC1F7C"/>
    <w:rsid w:val="00BC3E9C"/>
    <w:rsid w:val="00BC4B00"/>
    <w:rsid w:val="00BC4BC1"/>
    <w:rsid w:val="00BC54E6"/>
    <w:rsid w:val="00BC56C8"/>
    <w:rsid w:val="00BC6015"/>
    <w:rsid w:val="00BC6C2E"/>
    <w:rsid w:val="00BD214B"/>
    <w:rsid w:val="00BD23B3"/>
    <w:rsid w:val="00BD34B6"/>
    <w:rsid w:val="00BD3AA2"/>
    <w:rsid w:val="00BD3AD5"/>
    <w:rsid w:val="00BD4313"/>
    <w:rsid w:val="00BD4B70"/>
    <w:rsid w:val="00BD4E33"/>
    <w:rsid w:val="00BD5271"/>
    <w:rsid w:val="00BD5E10"/>
    <w:rsid w:val="00BD60C7"/>
    <w:rsid w:val="00BD6478"/>
    <w:rsid w:val="00BE094A"/>
    <w:rsid w:val="00BE131C"/>
    <w:rsid w:val="00BE1FB4"/>
    <w:rsid w:val="00BE2638"/>
    <w:rsid w:val="00BE2994"/>
    <w:rsid w:val="00BE2C8D"/>
    <w:rsid w:val="00BE2E0F"/>
    <w:rsid w:val="00BE34A5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EC6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9C4"/>
    <w:rsid w:val="00C00BF5"/>
    <w:rsid w:val="00C0125E"/>
    <w:rsid w:val="00C013E6"/>
    <w:rsid w:val="00C01489"/>
    <w:rsid w:val="00C01726"/>
    <w:rsid w:val="00C030DE"/>
    <w:rsid w:val="00C037F0"/>
    <w:rsid w:val="00C041B3"/>
    <w:rsid w:val="00C05487"/>
    <w:rsid w:val="00C06780"/>
    <w:rsid w:val="00C06950"/>
    <w:rsid w:val="00C06A88"/>
    <w:rsid w:val="00C07640"/>
    <w:rsid w:val="00C10D01"/>
    <w:rsid w:val="00C10DF9"/>
    <w:rsid w:val="00C110DE"/>
    <w:rsid w:val="00C11636"/>
    <w:rsid w:val="00C11B2E"/>
    <w:rsid w:val="00C11D49"/>
    <w:rsid w:val="00C1264F"/>
    <w:rsid w:val="00C126E4"/>
    <w:rsid w:val="00C12E19"/>
    <w:rsid w:val="00C13813"/>
    <w:rsid w:val="00C14256"/>
    <w:rsid w:val="00C1563E"/>
    <w:rsid w:val="00C159A9"/>
    <w:rsid w:val="00C1644F"/>
    <w:rsid w:val="00C169AE"/>
    <w:rsid w:val="00C16DB6"/>
    <w:rsid w:val="00C201ED"/>
    <w:rsid w:val="00C22105"/>
    <w:rsid w:val="00C2254F"/>
    <w:rsid w:val="00C22854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26CF"/>
    <w:rsid w:val="00C32FA6"/>
    <w:rsid w:val="00C33916"/>
    <w:rsid w:val="00C35562"/>
    <w:rsid w:val="00C3566A"/>
    <w:rsid w:val="00C3569B"/>
    <w:rsid w:val="00C3620B"/>
    <w:rsid w:val="00C368E9"/>
    <w:rsid w:val="00C373B2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3E0B"/>
    <w:rsid w:val="00C44E36"/>
    <w:rsid w:val="00C4523F"/>
    <w:rsid w:val="00C4577D"/>
    <w:rsid w:val="00C4726F"/>
    <w:rsid w:val="00C4735E"/>
    <w:rsid w:val="00C47A6B"/>
    <w:rsid w:val="00C51B9B"/>
    <w:rsid w:val="00C52068"/>
    <w:rsid w:val="00C53CB4"/>
    <w:rsid w:val="00C55277"/>
    <w:rsid w:val="00C55544"/>
    <w:rsid w:val="00C57244"/>
    <w:rsid w:val="00C57720"/>
    <w:rsid w:val="00C60107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67362"/>
    <w:rsid w:val="00C7064B"/>
    <w:rsid w:val="00C711F3"/>
    <w:rsid w:val="00C7158E"/>
    <w:rsid w:val="00C7163F"/>
    <w:rsid w:val="00C71700"/>
    <w:rsid w:val="00C721E5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C0E"/>
    <w:rsid w:val="00C80A9C"/>
    <w:rsid w:val="00C81358"/>
    <w:rsid w:val="00C81504"/>
    <w:rsid w:val="00C815A3"/>
    <w:rsid w:val="00C82E65"/>
    <w:rsid w:val="00C8306D"/>
    <w:rsid w:val="00C84114"/>
    <w:rsid w:val="00C8486C"/>
    <w:rsid w:val="00C84B09"/>
    <w:rsid w:val="00C84C34"/>
    <w:rsid w:val="00C868E0"/>
    <w:rsid w:val="00C86E7B"/>
    <w:rsid w:val="00C90019"/>
    <w:rsid w:val="00C90962"/>
    <w:rsid w:val="00C91687"/>
    <w:rsid w:val="00C9221A"/>
    <w:rsid w:val="00C924A8"/>
    <w:rsid w:val="00C9276F"/>
    <w:rsid w:val="00C927E7"/>
    <w:rsid w:val="00C93F22"/>
    <w:rsid w:val="00C945FE"/>
    <w:rsid w:val="00C954FE"/>
    <w:rsid w:val="00C9674F"/>
    <w:rsid w:val="00C96D06"/>
    <w:rsid w:val="00C96EAC"/>
    <w:rsid w:val="00C96FAA"/>
    <w:rsid w:val="00C97538"/>
    <w:rsid w:val="00C97A04"/>
    <w:rsid w:val="00C97DC1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02D"/>
    <w:rsid w:val="00CA5A25"/>
    <w:rsid w:val="00CA625F"/>
    <w:rsid w:val="00CA7B7B"/>
    <w:rsid w:val="00CB1C25"/>
    <w:rsid w:val="00CB30D1"/>
    <w:rsid w:val="00CB33FD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C03"/>
    <w:rsid w:val="00CC4464"/>
    <w:rsid w:val="00CC4753"/>
    <w:rsid w:val="00CC4B73"/>
    <w:rsid w:val="00CC5227"/>
    <w:rsid w:val="00CC5707"/>
    <w:rsid w:val="00CC5A70"/>
    <w:rsid w:val="00CC5AB4"/>
    <w:rsid w:val="00CC5BE7"/>
    <w:rsid w:val="00CC5FE8"/>
    <w:rsid w:val="00CC6050"/>
    <w:rsid w:val="00CC739E"/>
    <w:rsid w:val="00CD0936"/>
    <w:rsid w:val="00CD0E08"/>
    <w:rsid w:val="00CD103D"/>
    <w:rsid w:val="00CD26D8"/>
    <w:rsid w:val="00CD44AA"/>
    <w:rsid w:val="00CD58B7"/>
    <w:rsid w:val="00CD597D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2DE"/>
    <w:rsid w:val="00CE5A42"/>
    <w:rsid w:val="00CE66FD"/>
    <w:rsid w:val="00CE7825"/>
    <w:rsid w:val="00CE7F75"/>
    <w:rsid w:val="00CF01FB"/>
    <w:rsid w:val="00CF0476"/>
    <w:rsid w:val="00CF11C0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EEF"/>
    <w:rsid w:val="00D0153F"/>
    <w:rsid w:val="00D01C08"/>
    <w:rsid w:val="00D01E21"/>
    <w:rsid w:val="00D025F3"/>
    <w:rsid w:val="00D02743"/>
    <w:rsid w:val="00D029D0"/>
    <w:rsid w:val="00D03321"/>
    <w:rsid w:val="00D03FC3"/>
    <w:rsid w:val="00D05D30"/>
    <w:rsid w:val="00D05FA7"/>
    <w:rsid w:val="00D06A0C"/>
    <w:rsid w:val="00D075C5"/>
    <w:rsid w:val="00D10042"/>
    <w:rsid w:val="00D10FCF"/>
    <w:rsid w:val="00D11189"/>
    <w:rsid w:val="00D122F8"/>
    <w:rsid w:val="00D123D0"/>
    <w:rsid w:val="00D1323D"/>
    <w:rsid w:val="00D142D4"/>
    <w:rsid w:val="00D144A6"/>
    <w:rsid w:val="00D159EF"/>
    <w:rsid w:val="00D16EF1"/>
    <w:rsid w:val="00D20E75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863"/>
    <w:rsid w:val="00D338F8"/>
    <w:rsid w:val="00D34617"/>
    <w:rsid w:val="00D34D72"/>
    <w:rsid w:val="00D34DEF"/>
    <w:rsid w:val="00D36A5E"/>
    <w:rsid w:val="00D36FC0"/>
    <w:rsid w:val="00D37851"/>
    <w:rsid w:val="00D378B3"/>
    <w:rsid w:val="00D37BB9"/>
    <w:rsid w:val="00D37E99"/>
    <w:rsid w:val="00D401E4"/>
    <w:rsid w:val="00D40CAD"/>
    <w:rsid w:val="00D40CBF"/>
    <w:rsid w:val="00D41F03"/>
    <w:rsid w:val="00D4389C"/>
    <w:rsid w:val="00D43AE2"/>
    <w:rsid w:val="00D457C0"/>
    <w:rsid w:val="00D457F5"/>
    <w:rsid w:val="00D45D8F"/>
    <w:rsid w:val="00D465D3"/>
    <w:rsid w:val="00D4691A"/>
    <w:rsid w:val="00D46D5C"/>
    <w:rsid w:val="00D47776"/>
    <w:rsid w:val="00D47C12"/>
    <w:rsid w:val="00D47D56"/>
    <w:rsid w:val="00D50AC1"/>
    <w:rsid w:val="00D50C6E"/>
    <w:rsid w:val="00D52320"/>
    <w:rsid w:val="00D529FC"/>
    <w:rsid w:val="00D5347D"/>
    <w:rsid w:val="00D53948"/>
    <w:rsid w:val="00D53FE1"/>
    <w:rsid w:val="00D540E8"/>
    <w:rsid w:val="00D54900"/>
    <w:rsid w:val="00D54BD8"/>
    <w:rsid w:val="00D54F80"/>
    <w:rsid w:val="00D55103"/>
    <w:rsid w:val="00D5632E"/>
    <w:rsid w:val="00D5637B"/>
    <w:rsid w:val="00D56FC6"/>
    <w:rsid w:val="00D57132"/>
    <w:rsid w:val="00D57156"/>
    <w:rsid w:val="00D57E8A"/>
    <w:rsid w:val="00D60940"/>
    <w:rsid w:val="00D60C1F"/>
    <w:rsid w:val="00D616D2"/>
    <w:rsid w:val="00D61EA7"/>
    <w:rsid w:val="00D61F51"/>
    <w:rsid w:val="00D61F90"/>
    <w:rsid w:val="00D62A91"/>
    <w:rsid w:val="00D62FA8"/>
    <w:rsid w:val="00D63074"/>
    <w:rsid w:val="00D63B5F"/>
    <w:rsid w:val="00D63D5A"/>
    <w:rsid w:val="00D643D6"/>
    <w:rsid w:val="00D65656"/>
    <w:rsid w:val="00D65740"/>
    <w:rsid w:val="00D666D4"/>
    <w:rsid w:val="00D66C25"/>
    <w:rsid w:val="00D6738D"/>
    <w:rsid w:val="00D675F9"/>
    <w:rsid w:val="00D67AEF"/>
    <w:rsid w:val="00D703C8"/>
    <w:rsid w:val="00D70951"/>
    <w:rsid w:val="00D70EF7"/>
    <w:rsid w:val="00D71D54"/>
    <w:rsid w:val="00D72229"/>
    <w:rsid w:val="00D726EE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950"/>
    <w:rsid w:val="00D82A72"/>
    <w:rsid w:val="00D82C75"/>
    <w:rsid w:val="00D8397C"/>
    <w:rsid w:val="00D84257"/>
    <w:rsid w:val="00D84A46"/>
    <w:rsid w:val="00D85184"/>
    <w:rsid w:val="00D85194"/>
    <w:rsid w:val="00D85353"/>
    <w:rsid w:val="00D85549"/>
    <w:rsid w:val="00D858BA"/>
    <w:rsid w:val="00D868B9"/>
    <w:rsid w:val="00D86D10"/>
    <w:rsid w:val="00D86D33"/>
    <w:rsid w:val="00D86E24"/>
    <w:rsid w:val="00D86F61"/>
    <w:rsid w:val="00D872C8"/>
    <w:rsid w:val="00D87A42"/>
    <w:rsid w:val="00D87C6E"/>
    <w:rsid w:val="00D87D42"/>
    <w:rsid w:val="00D87F1C"/>
    <w:rsid w:val="00D9051C"/>
    <w:rsid w:val="00D91213"/>
    <w:rsid w:val="00D91214"/>
    <w:rsid w:val="00D92979"/>
    <w:rsid w:val="00D930AF"/>
    <w:rsid w:val="00D94EED"/>
    <w:rsid w:val="00D956AD"/>
    <w:rsid w:val="00D95C37"/>
    <w:rsid w:val="00D96026"/>
    <w:rsid w:val="00D96C20"/>
    <w:rsid w:val="00D971AF"/>
    <w:rsid w:val="00DA04E4"/>
    <w:rsid w:val="00DA0B4D"/>
    <w:rsid w:val="00DA0D81"/>
    <w:rsid w:val="00DA0E43"/>
    <w:rsid w:val="00DA1E2C"/>
    <w:rsid w:val="00DA2EBC"/>
    <w:rsid w:val="00DA39D3"/>
    <w:rsid w:val="00DA4A9F"/>
    <w:rsid w:val="00DA4AAD"/>
    <w:rsid w:val="00DA4E15"/>
    <w:rsid w:val="00DA5307"/>
    <w:rsid w:val="00DA551C"/>
    <w:rsid w:val="00DA5A1F"/>
    <w:rsid w:val="00DA5C0C"/>
    <w:rsid w:val="00DA5E01"/>
    <w:rsid w:val="00DA6D4B"/>
    <w:rsid w:val="00DA7C1D"/>
    <w:rsid w:val="00DA7CE5"/>
    <w:rsid w:val="00DB0294"/>
    <w:rsid w:val="00DB0907"/>
    <w:rsid w:val="00DB147A"/>
    <w:rsid w:val="00DB1B7A"/>
    <w:rsid w:val="00DB30C8"/>
    <w:rsid w:val="00DB3274"/>
    <w:rsid w:val="00DB350A"/>
    <w:rsid w:val="00DB36DA"/>
    <w:rsid w:val="00DB3FDE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316"/>
    <w:rsid w:val="00DC1393"/>
    <w:rsid w:val="00DC1A99"/>
    <w:rsid w:val="00DC2BD5"/>
    <w:rsid w:val="00DC2D1D"/>
    <w:rsid w:val="00DC301C"/>
    <w:rsid w:val="00DC3553"/>
    <w:rsid w:val="00DC3860"/>
    <w:rsid w:val="00DC3B08"/>
    <w:rsid w:val="00DC3E22"/>
    <w:rsid w:val="00DC42F7"/>
    <w:rsid w:val="00DC4CFA"/>
    <w:rsid w:val="00DC6708"/>
    <w:rsid w:val="00DC6D94"/>
    <w:rsid w:val="00DC7339"/>
    <w:rsid w:val="00DC75F5"/>
    <w:rsid w:val="00DC7968"/>
    <w:rsid w:val="00DC79B6"/>
    <w:rsid w:val="00DC7A1B"/>
    <w:rsid w:val="00DC7B2E"/>
    <w:rsid w:val="00DD05F7"/>
    <w:rsid w:val="00DD10AE"/>
    <w:rsid w:val="00DD19F7"/>
    <w:rsid w:val="00DD2291"/>
    <w:rsid w:val="00DD35CA"/>
    <w:rsid w:val="00DD361D"/>
    <w:rsid w:val="00DD38C9"/>
    <w:rsid w:val="00DD3956"/>
    <w:rsid w:val="00DD50E3"/>
    <w:rsid w:val="00DD52CE"/>
    <w:rsid w:val="00DD5B09"/>
    <w:rsid w:val="00DD6945"/>
    <w:rsid w:val="00DD6CCB"/>
    <w:rsid w:val="00DD7814"/>
    <w:rsid w:val="00DD7DD0"/>
    <w:rsid w:val="00DE08D5"/>
    <w:rsid w:val="00DE1066"/>
    <w:rsid w:val="00DE2700"/>
    <w:rsid w:val="00DE31F3"/>
    <w:rsid w:val="00DE369F"/>
    <w:rsid w:val="00DE3E51"/>
    <w:rsid w:val="00DE4222"/>
    <w:rsid w:val="00DE438A"/>
    <w:rsid w:val="00DE4CA5"/>
    <w:rsid w:val="00DE50A9"/>
    <w:rsid w:val="00DE564A"/>
    <w:rsid w:val="00DE5979"/>
    <w:rsid w:val="00DE744B"/>
    <w:rsid w:val="00DE7E39"/>
    <w:rsid w:val="00DF0A00"/>
    <w:rsid w:val="00DF0DE3"/>
    <w:rsid w:val="00DF1833"/>
    <w:rsid w:val="00DF1BC8"/>
    <w:rsid w:val="00DF2827"/>
    <w:rsid w:val="00DF2D14"/>
    <w:rsid w:val="00DF382B"/>
    <w:rsid w:val="00DF3C45"/>
    <w:rsid w:val="00DF42EA"/>
    <w:rsid w:val="00DF45C5"/>
    <w:rsid w:val="00DF476C"/>
    <w:rsid w:val="00DF5AF6"/>
    <w:rsid w:val="00DF62E2"/>
    <w:rsid w:val="00DF6DE7"/>
    <w:rsid w:val="00DF6FA0"/>
    <w:rsid w:val="00DF7587"/>
    <w:rsid w:val="00DF75AF"/>
    <w:rsid w:val="00DF7947"/>
    <w:rsid w:val="00DF7B3C"/>
    <w:rsid w:val="00E00706"/>
    <w:rsid w:val="00E00E4F"/>
    <w:rsid w:val="00E01436"/>
    <w:rsid w:val="00E020E5"/>
    <w:rsid w:val="00E024E6"/>
    <w:rsid w:val="00E02924"/>
    <w:rsid w:val="00E03530"/>
    <w:rsid w:val="00E03D47"/>
    <w:rsid w:val="00E03D95"/>
    <w:rsid w:val="00E045BD"/>
    <w:rsid w:val="00E04C02"/>
    <w:rsid w:val="00E0528D"/>
    <w:rsid w:val="00E05459"/>
    <w:rsid w:val="00E05995"/>
    <w:rsid w:val="00E065C3"/>
    <w:rsid w:val="00E0675A"/>
    <w:rsid w:val="00E07AF0"/>
    <w:rsid w:val="00E07D8A"/>
    <w:rsid w:val="00E07F69"/>
    <w:rsid w:val="00E104FB"/>
    <w:rsid w:val="00E10CAC"/>
    <w:rsid w:val="00E12495"/>
    <w:rsid w:val="00E12594"/>
    <w:rsid w:val="00E1271D"/>
    <w:rsid w:val="00E13852"/>
    <w:rsid w:val="00E13DDA"/>
    <w:rsid w:val="00E143C8"/>
    <w:rsid w:val="00E149A6"/>
    <w:rsid w:val="00E14A8F"/>
    <w:rsid w:val="00E152BC"/>
    <w:rsid w:val="00E16BFC"/>
    <w:rsid w:val="00E1776D"/>
    <w:rsid w:val="00E178F3"/>
    <w:rsid w:val="00E17B77"/>
    <w:rsid w:val="00E21514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2061"/>
    <w:rsid w:val="00E32A88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880"/>
    <w:rsid w:val="00E43FD8"/>
    <w:rsid w:val="00E4471B"/>
    <w:rsid w:val="00E44C0F"/>
    <w:rsid w:val="00E45A08"/>
    <w:rsid w:val="00E46137"/>
    <w:rsid w:val="00E46E72"/>
    <w:rsid w:val="00E4714C"/>
    <w:rsid w:val="00E47265"/>
    <w:rsid w:val="00E47B2B"/>
    <w:rsid w:val="00E47D5C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07D0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80633"/>
    <w:rsid w:val="00E816F6"/>
    <w:rsid w:val="00E8342D"/>
    <w:rsid w:val="00E84777"/>
    <w:rsid w:val="00E84888"/>
    <w:rsid w:val="00E84BFA"/>
    <w:rsid w:val="00E84EBA"/>
    <w:rsid w:val="00E854AF"/>
    <w:rsid w:val="00E864D2"/>
    <w:rsid w:val="00E86D8E"/>
    <w:rsid w:val="00E86E65"/>
    <w:rsid w:val="00E90C23"/>
    <w:rsid w:val="00E91653"/>
    <w:rsid w:val="00E91B49"/>
    <w:rsid w:val="00E921F9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ADB"/>
    <w:rsid w:val="00E95F93"/>
    <w:rsid w:val="00E96E40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4ED"/>
    <w:rsid w:val="00EB1552"/>
    <w:rsid w:val="00EB1A56"/>
    <w:rsid w:val="00EB26A3"/>
    <w:rsid w:val="00EB2B33"/>
    <w:rsid w:val="00EB2C71"/>
    <w:rsid w:val="00EB34D8"/>
    <w:rsid w:val="00EB38A2"/>
    <w:rsid w:val="00EB39EC"/>
    <w:rsid w:val="00EB3C40"/>
    <w:rsid w:val="00EB4340"/>
    <w:rsid w:val="00EB5312"/>
    <w:rsid w:val="00EB56DC"/>
    <w:rsid w:val="00EB57EB"/>
    <w:rsid w:val="00EB5B0B"/>
    <w:rsid w:val="00EC00C2"/>
    <w:rsid w:val="00EC01B6"/>
    <w:rsid w:val="00EC027D"/>
    <w:rsid w:val="00EC061C"/>
    <w:rsid w:val="00EC0E35"/>
    <w:rsid w:val="00EC155C"/>
    <w:rsid w:val="00EC1596"/>
    <w:rsid w:val="00EC16C1"/>
    <w:rsid w:val="00EC1FB2"/>
    <w:rsid w:val="00EC2752"/>
    <w:rsid w:val="00EC37B2"/>
    <w:rsid w:val="00EC3988"/>
    <w:rsid w:val="00EC3BA2"/>
    <w:rsid w:val="00EC4B30"/>
    <w:rsid w:val="00EC4D3D"/>
    <w:rsid w:val="00EC53E1"/>
    <w:rsid w:val="00EC5989"/>
    <w:rsid w:val="00EC5F1B"/>
    <w:rsid w:val="00EC62A3"/>
    <w:rsid w:val="00EC6420"/>
    <w:rsid w:val="00EC67B5"/>
    <w:rsid w:val="00EC697A"/>
    <w:rsid w:val="00EC7FCC"/>
    <w:rsid w:val="00ED0279"/>
    <w:rsid w:val="00ED11AB"/>
    <w:rsid w:val="00ED13F7"/>
    <w:rsid w:val="00ED14E4"/>
    <w:rsid w:val="00ED3542"/>
    <w:rsid w:val="00ED3D41"/>
    <w:rsid w:val="00ED4FDD"/>
    <w:rsid w:val="00ED500D"/>
    <w:rsid w:val="00ED55C0"/>
    <w:rsid w:val="00ED62C2"/>
    <w:rsid w:val="00ED670D"/>
    <w:rsid w:val="00ED682B"/>
    <w:rsid w:val="00EE027D"/>
    <w:rsid w:val="00EE1C2B"/>
    <w:rsid w:val="00EE1C4E"/>
    <w:rsid w:val="00EE2641"/>
    <w:rsid w:val="00EE2B65"/>
    <w:rsid w:val="00EE2DA1"/>
    <w:rsid w:val="00EE3DB6"/>
    <w:rsid w:val="00EE40C1"/>
    <w:rsid w:val="00EE41D5"/>
    <w:rsid w:val="00EE4372"/>
    <w:rsid w:val="00EE4A25"/>
    <w:rsid w:val="00EE4B5D"/>
    <w:rsid w:val="00EE5894"/>
    <w:rsid w:val="00EE5E25"/>
    <w:rsid w:val="00EE6925"/>
    <w:rsid w:val="00EE718C"/>
    <w:rsid w:val="00EE71F9"/>
    <w:rsid w:val="00EE72AC"/>
    <w:rsid w:val="00EE7D65"/>
    <w:rsid w:val="00EF0334"/>
    <w:rsid w:val="00EF0908"/>
    <w:rsid w:val="00EF1098"/>
    <w:rsid w:val="00EF1269"/>
    <w:rsid w:val="00EF135C"/>
    <w:rsid w:val="00EF2275"/>
    <w:rsid w:val="00EF3C9B"/>
    <w:rsid w:val="00EF47A0"/>
    <w:rsid w:val="00EF58D7"/>
    <w:rsid w:val="00EF5DBB"/>
    <w:rsid w:val="00EF686D"/>
    <w:rsid w:val="00EF7B65"/>
    <w:rsid w:val="00EF7B92"/>
    <w:rsid w:val="00F00196"/>
    <w:rsid w:val="00F001A8"/>
    <w:rsid w:val="00F00806"/>
    <w:rsid w:val="00F02279"/>
    <w:rsid w:val="00F036BD"/>
    <w:rsid w:val="00F037A4"/>
    <w:rsid w:val="00F03AE0"/>
    <w:rsid w:val="00F03FEA"/>
    <w:rsid w:val="00F04FC6"/>
    <w:rsid w:val="00F05545"/>
    <w:rsid w:val="00F072F9"/>
    <w:rsid w:val="00F073D0"/>
    <w:rsid w:val="00F079DE"/>
    <w:rsid w:val="00F10C4B"/>
    <w:rsid w:val="00F11B41"/>
    <w:rsid w:val="00F1268D"/>
    <w:rsid w:val="00F13D23"/>
    <w:rsid w:val="00F15FE1"/>
    <w:rsid w:val="00F16D68"/>
    <w:rsid w:val="00F17264"/>
    <w:rsid w:val="00F17443"/>
    <w:rsid w:val="00F20C16"/>
    <w:rsid w:val="00F21675"/>
    <w:rsid w:val="00F21B3D"/>
    <w:rsid w:val="00F22774"/>
    <w:rsid w:val="00F229C7"/>
    <w:rsid w:val="00F22C60"/>
    <w:rsid w:val="00F2486B"/>
    <w:rsid w:val="00F25162"/>
    <w:rsid w:val="00F2665F"/>
    <w:rsid w:val="00F268B4"/>
    <w:rsid w:val="00F2793F"/>
    <w:rsid w:val="00F27C89"/>
    <w:rsid w:val="00F27C8F"/>
    <w:rsid w:val="00F30525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308D"/>
    <w:rsid w:val="00F34114"/>
    <w:rsid w:val="00F3419A"/>
    <w:rsid w:val="00F34287"/>
    <w:rsid w:val="00F34458"/>
    <w:rsid w:val="00F351F8"/>
    <w:rsid w:val="00F3552A"/>
    <w:rsid w:val="00F355B9"/>
    <w:rsid w:val="00F366C2"/>
    <w:rsid w:val="00F36E00"/>
    <w:rsid w:val="00F37172"/>
    <w:rsid w:val="00F3765E"/>
    <w:rsid w:val="00F40A51"/>
    <w:rsid w:val="00F40C43"/>
    <w:rsid w:val="00F41266"/>
    <w:rsid w:val="00F41469"/>
    <w:rsid w:val="00F4166A"/>
    <w:rsid w:val="00F41A2A"/>
    <w:rsid w:val="00F4242D"/>
    <w:rsid w:val="00F42C84"/>
    <w:rsid w:val="00F4303C"/>
    <w:rsid w:val="00F43225"/>
    <w:rsid w:val="00F43FA4"/>
    <w:rsid w:val="00F4477E"/>
    <w:rsid w:val="00F45273"/>
    <w:rsid w:val="00F4558B"/>
    <w:rsid w:val="00F4561B"/>
    <w:rsid w:val="00F45A61"/>
    <w:rsid w:val="00F45B00"/>
    <w:rsid w:val="00F4666A"/>
    <w:rsid w:val="00F46B4F"/>
    <w:rsid w:val="00F5043B"/>
    <w:rsid w:val="00F52149"/>
    <w:rsid w:val="00F52B89"/>
    <w:rsid w:val="00F533FF"/>
    <w:rsid w:val="00F53E18"/>
    <w:rsid w:val="00F53EA6"/>
    <w:rsid w:val="00F54D0D"/>
    <w:rsid w:val="00F54FDE"/>
    <w:rsid w:val="00F550DC"/>
    <w:rsid w:val="00F5619A"/>
    <w:rsid w:val="00F5668E"/>
    <w:rsid w:val="00F56A3E"/>
    <w:rsid w:val="00F57AE0"/>
    <w:rsid w:val="00F60BD6"/>
    <w:rsid w:val="00F60EF6"/>
    <w:rsid w:val="00F6110C"/>
    <w:rsid w:val="00F61A90"/>
    <w:rsid w:val="00F624C1"/>
    <w:rsid w:val="00F6272F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71668"/>
    <w:rsid w:val="00F71BDD"/>
    <w:rsid w:val="00F720E6"/>
    <w:rsid w:val="00F721CD"/>
    <w:rsid w:val="00F7265E"/>
    <w:rsid w:val="00F73039"/>
    <w:rsid w:val="00F73B32"/>
    <w:rsid w:val="00F74FA7"/>
    <w:rsid w:val="00F74FC1"/>
    <w:rsid w:val="00F75CFF"/>
    <w:rsid w:val="00F76212"/>
    <w:rsid w:val="00F7680C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51C0"/>
    <w:rsid w:val="00F85F99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3B35"/>
    <w:rsid w:val="00F94AB3"/>
    <w:rsid w:val="00F94EAF"/>
    <w:rsid w:val="00F951CD"/>
    <w:rsid w:val="00F95A48"/>
    <w:rsid w:val="00F95E23"/>
    <w:rsid w:val="00F9672B"/>
    <w:rsid w:val="00F96B18"/>
    <w:rsid w:val="00F9715D"/>
    <w:rsid w:val="00F97C0A"/>
    <w:rsid w:val="00F97C14"/>
    <w:rsid w:val="00FA0133"/>
    <w:rsid w:val="00FA124A"/>
    <w:rsid w:val="00FA17CD"/>
    <w:rsid w:val="00FA17D1"/>
    <w:rsid w:val="00FA1B12"/>
    <w:rsid w:val="00FA27D9"/>
    <w:rsid w:val="00FA4270"/>
    <w:rsid w:val="00FA4353"/>
    <w:rsid w:val="00FA43B7"/>
    <w:rsid w:val="00FA4CE5"/>
    <w:rsid w:val="00FA4E92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2A6A"/>
    <w:rsid w:val="00FB3380"/>
    <w:rsid w:val="00FB3731"/>
    <w:rsid w:val="00FB42D4"/>
    <w:rsid w:val="00FB483F"/>
    <w:rsid w:val="00FB5367"/>
    <w:rsid w:val="00FB5906"/>
    <w:rsid w:val="00FB5D78"/>
    <w:rsid w:val="00FB5F0A"/>
    <w:rsid w:val="00FB6189"/>
    <w:rsid w:val="00FB6FDA"/>
    <w:rsid w:val="00FB762F"/>
    <w:rsid w:val="00FC0CCA"/>
    <w:rsid w:val="00FC1732"/>
    <w:rsid w:val="00FC1BA8"/>
    <w:rsid w:val="00FC25E0"/>
    <w:rsid w:val="00FC2AED"/>
    <w:rsid w:val="00FC31D0"/>
    <w:rsid w:val="00FC3AF2"/>
    <w:rsid w:val="00FC3D48"/>
    <w:rsid w:val="00FC44A0"/>
    <w:rsid w:val="00FC472C"/>
    <w:rsid w:val="00FC48BE"/>
    <w:rsid w:val="00FC4A03"/>
    <w:rsid w:val="00FC58E0"/>
    <w:rsid w:val="00FC5974"/>
    <w:rsid w:val="00FC666F"/>
    <w:rsid w:val="00FC6D31"/>
    <w:rsid w:val="00FC6E6B"/>
    <w:rsid w:val="00FC76E2"/>
    <w:rsid w:val="00FC7C8A"/>
    <w:rsid w:val="00FC7E62"/>
    <w:rsid w:val="00FD0303"/>
    <w:rsid w:val="00FD054F"/>
    <w:rsid w:val="00FD098D"/>
    <w:rsid w:val="00FD0A15"/>
    <w:rsid w:val="00FD1343"/>
    <w:rsid w:val="00FD179A"/>
    <w:rsid w:val="00FD2EDF"/>
    <w:rsid w:val="00FD3413"/>
    <w:rsid w:val="00FD3C4C"/>
    <w:rsid w:val="00FD45DD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1465"/>
    <w:rsid w:val="00FE19DD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1983"/>
    <w:rsid w:val="00FF356A"/>
    <w:rsid w:val="00FF41ED"/>
    <w:rsid w:val="00FF49E8"/>
    <w:rsid w:val="00FF4C75"/>
    <w:rsid w:val="00FF55D2"/>
    <w:rsid w:val="00FF60C9"/>
    <w:rsid w:val="00FF659F"/>
    <w:rsid w:val="00FF6AE6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DCA2EE"/>
  <w15:docId w15:val="{72D0133F-1331-41F8-93E9-F09B05F3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prices/prices-in-the-national-economy-in-20142018,2,15.html" TargetMode="External"/><Relationship Id="rId39" Type="http://schemas.openxmlformats.org/officeDocument/2006/relationships/hyperlink" Target="http://swaid.stat.gov.pl/EN/SitePagesDBW/Ceny.aspx" TargetMode="External"/><Relationship Id="rId21" Type="http://schemas.openxmlformats.org/officeDocument/2006/relationships/image" Target="media/image5.png"/><Relationship Id="rId42" Type="http://schemas.openxmlformats.org/officeDocument/2006/relationships/hyperlink" Target="https://stat.gov.pl/metainformacje/slownik-pojec/pojecia-stosowane-w-statystyce-publicznej/529,pojecie.htm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s://stat.gov.pl/en/topics/prices-trade/prices/prices-in-the-national-economy-in-20142018,2,15.html" TargetMode="External"/><Relationship Id="rId40" Type="http://schemas.openxmlformats.org/officeDocument/2006/relationships/hyperlink" Target="https://stat.gov.pl/metainformacje/slownik-pojec/pojecia-stosowane-w-statystyce-publicznej/2331,pojecie.html" TargetMode="External"/><Relationship Id="rId45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s://stat.gov.pl/obszary-tematyczne/rolnictwo-lesnictwo/rolnictwo/skup-i-ceny-produktow-rolnych-w-2018-roku,7,15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35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43" Type="http://schemas.openxmlformats.org/officeDocument/2006/relationships/hyperlink" Target="http://stat.gov.pl/metainformacje/slownik-pojec/pojecia-stosowane-w-statystyce-publicznej/1718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rolnictwo-lesnictwo/rolnictwo/skup-i-ceny-produktow-rolnych-w-2018-roku,7,15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stat.gov.pl/metainformacje/slownik-pojec/pojecia-stosowane-w-statystyce-publicznej/323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800692244146771E-2"/>
          <c:y val="0.10004024496937883"/>
          <c:w val="0.94227212722670017"/>
          <c:h val="0.6517293671624380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159796934918E-2"/>
                  <c:y val="5.35293088363954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431913075351935E-2"/>
                  <c:y val="-5.51105278506853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197357121867111E-2"/>
                  <c:y val="-1.56552930883639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751871415651048E-2"/>
                  <c:y val="-4.80839895013123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92546665819344E-2"/>
                      <c:h val="5.90127639400753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194713413035E-2"/>
                  <c:y val="5.2299795858850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561204559309E-2"/>
                  <c:y val="4.3678040244969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940190500715961E-2"/>
                  <c:y val="-5.95328083989501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107071246187903E-2"/>
                  <c:y val="5.04747739865850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414950142309667E-2"/>
                  <c:y val="5.878011081948082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677246347767125E-2"/>
                  <c:y val="-5.23785360163312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778459068720851E-2"/>
                  <c:y val="-5.15333916593759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618921728148E-2"/>
                  <c:y val="4.748964712744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453819723147822E-2"/>
                  <c:y val="-6.11017789442986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6938998443472286E-2"/>
                  <c:y val="3.39819189268008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69551971307652E-2"/>
                  <c:y val="4.73280839895013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-3.3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25385806067E-2"/>
                  <c:y val="-6.04636920384952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2.0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231446013299E-2"/>
                  <c:y val="6.47136191309418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 sz="900"/>
                      <a:t>-1.7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3.7428624534157941E-2"/>
                  <c:y val="4.612802566345873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-0.1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20185880614E-2"/>
                      <c:h val="9.0107885971921098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126379873755E-2"/>
                  <c:y val="-5.600408282298045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9915216486E-2"/>
                  <c:y val="-6.316068824730242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900"/>
                    </a:pPr>
                    <a:r>
                      <a:rPr lang="en-US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wskaźnik!$B$4:$B$25</c:f>
              <c:numCache>
                <c:formatCode>0.0</c:formatCode>
                <c:ptCount val="22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  <c:pt idx="18">
                  <c:v>-1.7</c:v>
                </c:pt>
                <c:pt idx="19">
                  <c:v>-0.1</c:v>
                </c:pt>
                <c:pt idx="20">
                  <c:v>1.3</c:v>
                </c:pt>
                <c:pt idx="21">
                  <c:v>1.4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665104"/>
        <c:axId val="151665648"/>
        <c:extLst/>
      </c:lineChart>
      <c:catAx>
        <c:axId val="15166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30" baseline="0"/>
            </a:pPr>
            <a:endParaRPr lang="pl-PL"/>
          </a:p>
        </c:txPr>
        <c:crossAx val="15166564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51665648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20" baseline="0"/>
                </a:pPr>
                <a:r>
                  <a:rPr lang="pl-PL" sz="7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3218562176769336E-3"/>
              <c:y val="2.71741032370953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20" baseline="0"/>
            </a:pPr>
            <a:endParaRPr lang="pl-PL"/>
          </a:p>
        </c:txPr>
        <c:crossAx val="15166510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61700707715138E-2"/>
          <c:y val="0.10028456969194641"/>
          <c:w val="0.92961715992397498"/>
          <c:h val="0.6546672192291752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593688719944491E-2"/>
                  <c:y val="-5.94044911052785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91098239158E-2"/>
                  <c:y val="-6.33537474482356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65395561187E-2"/>
                  <c:y val="-5.78932633420822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399644038204146E-2"/>
                  <c:y val="-2.0965242318595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2979977973123996E-2"/>
                  <c:y val="-3.17582717678830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7021037812009E-2"/>
                  <c:y val="-3.77916604803618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453231533914092E-2"/>
                  <c:y val="-5.61541649399088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793522582371E-2"/>
                  <c:y val="-4.34886886208901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6485174362E-2"/>
                  <c:y val="-4.69134600917542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257641859097E-2"/>
                  <c:y val="-4.61427996128821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228692347254E-2"/>
                  <c:y val="-4.97062283175367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382365392183E-2"/>
                  <c:y val="-6.49028871391076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9075632787280805E-2"/>
                  <c:y val="-4.77836103820355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512364115405208E-2"/>
                  <c:y val="6.00064158646835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508774047014E-2"/>
                  <c:y val="6.23773694954795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26496340602E-2"/>
                  <c:y val="5.9104852350953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4567427174070036E-2"/>
                  <c:y val="6.3248177311169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9178532474712008E-3"/>
                  <c:y val="7.5385826771653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wskaźnik!$A$4:$A$25</c:f>
              <c:strCache>
                <c:ptCount val="22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wskaźnik!$B$4:$B$25</c:f>
              <c:numCache>
                <c:formatCode>0.0</c:formatCode>
                <c:ptCount val="22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  <c:pt idx="18">
                  <c:v>-4.2</c:v>
                </c:pt>
                <c:pt idx="19">
                  <c:v>-5.0999999999999996</c:v>
                </c:pt>
                <c:pt idx="20">
                  <c:v>-4.9000000000000004</c:v>
                </c:pt>
                <c:pt idx="21">
                  <c:v>-3.8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534448"/>
        <c:axId val="151536624"/>
        <c:extLst/>
      </c:lineChart>
      <c:catAx>
        <c:axId val="15153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5153662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51536624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20" baseline="0"/>
                </a:pPr>
                <a:r>
                  <a:rPr lang="pl-PL" sz="7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7937168773443551E-2"/>
              <c:y val="2.717410323709537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20" baseline="0"/>
            </a:pPr>
            <a:endParaRPr lang="pl-PL"/>
          </a:p>
        </c:txPr>
        <c:crossAx val="151534448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3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590922090484322E-2"/>
          <c:y val="0.1015668009970984"/>
          <c:w val="0.93230825693088082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zyto'!$A$4:$A$25</c:f>
              <c:strCache>
                <c:ptCount val="22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'pszenica i zyto'!$B$4:$B$25</c:f>
              <c:numCache>
                <c:formatCode>0.00</c:formatCode>
                <c:ptCount val="22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  <c:pt idx="18">
                  <c:v>71.61</c:v>
                </c:pt>
                <c:pt idx="19">
                  <c:v>68.400000000000006</c:v>
                </c:pt>
                <c:pt idx="20">
                  <c:v>71.38</c:v>
                </c:pt>
                <c:pt idx="21">
                  <c:v>76.42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zyto'!$A$4:$A$25</c:f>
              <c:strCache>
                <c:ptCount val="22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'pszenica i zyto'!$C$4:$C$25</c:f>
              <c:numCache>
                <c:formatCode>0.00</c:formatCode>
                <c:ptCount val="22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  <c:pt idx="18">
                  <c:v>87.67</c:v>
                </c:pt>
                <c:pt idx="19">
                  <c:v>84.97</c:v>
                </c:pt>
                <c:pt idx="20">
                  <c:v>84.86</c:v>
                </c:pt>
                <c:pt idx="21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zyto'!$A$4:$A$25</c:f>
              <c:strCache>
                <c:ptCount val="22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'pszenica i zyto'!$D$4:$D$25</c:f>
              <c:numCache>
                <c:formatCode>0.00</c:formatCode>
                <c:ptCount val="22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  <c:pt idx="18">
                  <c:v>55.46</c:v>
                </c:pt>
                <c:pt idx="19">
                  <c:v>51.15</c:v>
                </c:pt>
                <c:pt idx="20">
                  <c:v>56.21</c:v>
                </c:pt>
                <c:pt idx="21">
                  <c:v>60.24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zyto'!$A$4:$A$25</c:f>
              <c:strCache>
                <c:ptCount val="22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 </c:v>
                </c:pt>
                <c:pt idx="20">
                  <c:v>IX </c:v>
                </c:pt>
                <c:pt idx="21">
                  <c:v>X</c:v>
                </c:pt>
              </c:strCache>
            </c:strRef>
          </c:cat>
          <c:val>
            <c:numRef>
              <c:f>'pszenica i zyto'!$E$4:$E$25</c:f>
              <c:numCache>
                <c:formatCode>0.00</c:formatCode>
                <c:ptCount val="22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  <c:pt idx="18">
                  <c:v>67.16</c:v>
                </c:pt>
                <c:pt idx="19">
                  <c:v>65.89</c:v>
                </c:pt>
                <c:pt idx="20">
                  <c:v>66.260000000000005</c:v>
                </c:pt>
                <c:pt idx="21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37712"/>
        <c:axId val="72764496"/>
      </c:lineChart>
      <c:catAx>
        <c:axId val="15153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2764496"/>
        <c:crosses val="autoZero"/>
        <c:auto val="1"/>
        <c:lblAlgn val="ctr"/>
        <c:lblOffset val="100"/>
        <c:noMultiLvlLbl val="0"/>
      </c:catAx>
      <c:valAx>
        <c:axId val="7276449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0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3.22105515910528E-5"/>
              <c:y val="3.594578568689426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1537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531418464845094E-2"/>
          <c:y val="7.1242470049410006E-2"/>
          <c:w val="0.92325709193379468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'ziemniaki 4'!$B$4:$B$25</c:f>
              <c:numCache>
                <c:formatCode>0.00</c:formatCode>
                <c:ptCount val="22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  <c:pt idx="18">
                  <c:v>65.16</c:v>
                </c:pt>
                <c:pt idx="19">
                  <c:v>40.39</c:v>
                </c:pt>
                <c:pt idx="20">
                  <c:v>32.479999999999997</c:v>
                </c:pt>
                <c:pt idx="21">
                  <c:v>31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'ziemniaki 4'!$C$4:$C$25</c:f>
              <c:numCache>
                <c:formatCode>General</c:formatCode>
                <c:ptCount val="22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  <c:pt idx="18" formatCode="0.00">
                  <c:v>138.02000000000001</c:v>
                </c:pt>
                <c:pt idx="19" formatCode="0.00">
                  <c:v>122.8</c:v>
                </c:pt>
                <c:pt idx="20" formatCode="0.00">
                  <c:v>111.36</c:v>
                </c:pt>
                <c:pt idx="21" formatCode="0.00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768848"/>
        <c:axId val="72765040"/>
        <c:extLst/>
      </c:lineChart>
      <c:catAx>
        <c:axId val="7276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727650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276504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0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0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5684469340901E-3"/>
              <c:y val="7.2498101061148568E-5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72768848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67363293050622"/>
          <c:y val="0.91909031428378041"/>
          <c:w val="0.67859576447174885"/>
          <c:h val="4.777865517526640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681653342950449E-2"/>
          <c:y val="7.1001982087290388E-2"/>
          <c:w val="0.94849191560978541"/>
          <c:h val="0.737333771041654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'bydło_trzoda 5'!$B$4:$B$25</c:f>
              <c:numCache>
                <c:formatCode>0.00</c:formatCode>
                <c:ptCount val="22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  <c:pt idx="18">
                  <c:v>6.29</c:v>
                </c:pt>
                <c:pt idx="19">
                  <c:v>6.14</c:v>
                </c:pt>
                <c:pt idx="20">
                  <c:v>6.4</c:v>
                </c:pt>
                <c:pt idx="21">
                  <c:v>6.44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'bydło_trzoda 5'!$C$4:$C$25</c:f>
              <c:numCache>
                <c:formatCode>0.00</c:formatCode>
                <c:ptCount val="22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  <c:pt idx="18">
                  <c:v>6.74</c:v>
                </c:pt>
                <c:pt idx="19">
                  <c:v>6.79</c:v>
                </c:pt>
                <c:pt idx="20">
                  <c:v>7.08</c:v>
                </c:pt>
                <c:pt idx="21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'bydło_trzoda 5'!$D$4:$D$25</c:f>
              <c:numCache>
                <c:formatCode>0.00</c:formatCode>
                <c:ptCount val="22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  <c:pt idx="18">
                  <c:v>5.03</c:v>
                </c:pt>
                <c:pt idx="19">
                  <c:v>5.03</c:v>
                </c:pt>
                <c:pt idx="20">
                  <c:v>4.74</c:v>
                </c:pt>
                <c:pt idx="21">
                  <c:v>4.51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'bydło_trzoda 5'!$E$4:$E$25</c:f>
              <c:numCache>
                <c:formatCode>0.00</c:formatCode>
                <c:ptCount val="22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  <c:pt idx="18">
                  <c:v>5.35</c:v>
                </c:pt>
                <c:pt idx="19">
                  <c:v>5.6</c:v>
                </c:pt>
                <c:pt idx="20">
                  <c:v>5.55</c:v>
                </c:pt>
                <c:pt idx="21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763408"/>
        <c:axId val="72763952"/>
      </c:lineChart>
      <c:catAx>
        <c:axId val="7276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2763952"/>
        <c:crosses val="autoZero"/>
        <c:auto val="1"/>
        <c:lblAlgn val="ctr"/>
        <c:lblOffset val="100"/>
        <c:noMultiLvlLbl val="0"/>
      </c:catAx>
      <c:valAx>
        <c:axId val="72763952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3.3756085832782352E-3"/>
              <c:y val="1.0437539992415017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27634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892"/>
          <c:w val="0.83070565606780067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219675961851002E-2"/>
          <c:y val="7.3393368932332143E-2"/>
          <c:w val="0.88292323444693999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'drób_mleko 6'!$B$4:$B$25</c:f>
              <c:numCache>
                <c:formatCode>General</c:formatCode>
                <c:ptCount val="22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  <c:pt idx="18" formatCode="0.00">
                  <c:v>3.58</c:v>
                </c:pt>
                <c:pt idx="19" formatCode="0.00">
                  <c:v>3.54</c:v>
                </c:pt>
                <c:pt idx="20" formatCode="0.00">
                  <c:v>3.51</c:v>
                </c:pt>
                <c:pt idx="21" formatCode="0.00">
                  <c:v>3.48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761776"/>
        <c:axId val="72766672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6'!$A$4:$A$25</c:f>
              <c:strCache>
                <c:ptCount val="22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'drób_mleko 6'!$C$4:$C$25</c:f>
              <c:numCache>
                <c:formatCode>General</c:formatCode>
                <c:ptCount val="22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  <c:pt idx="18">
                  <c:v>130.69</c:v>
                </c:pt>
                <c:pt idx="19">
                  <c:v>133.26</c:v>
                </c:pt>
                <c:pt idx="20">
                  <c:v>138.16999999999999</c:v>
                </c:pt>
                <c:pt idx="21">
                  <c:v>144.59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762320"/>
        <c:axId val="72767760"/>
        <c:extLst/>
      </c:lineChart>
      <c:catAx>
        <c:axId val="7276177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72766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276667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6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6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1.4699724453372143E-4"/>
              <c:y val="4.996310174603969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72761776"/>
        <c:crosses val="autoZero"/>
        <c:crossBetween val="between"/>
        <c:majorUnit val="1"/>
      </c:valAx>
      <c:catAx>
        <c:axId val="727623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2767760"/>
        <c:crosses val="autoZero"/>
        <c:auto val="0"/>
        <c:lblAlgn val="ctr"/>
        <c:lblOffset val="100"/>
        <c:noMultiLvlLbl val="0"/>
      </c:catAx>
      <c:valAx>
        <c:axId val="7276776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6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6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3498561906964084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7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7276232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958050625837371"/>
          <c:w val="0.68712446645173442"/>
          <c:h val="6.5669936162438297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8CCA-96AF-4C30-A62A-9894DF85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2020-11-23T07:48:00Z</cp:lastPrinted>
  <dcterms:created xsi:type="dcterms:W3CDTF">2020-11-20T14:00:00Z</dcterms:created>
  <dcterms:modified xsi:type="dcterms:W3CDTF">2020-11-23T07:49:00Z</dcterms:modified>
</cp:coreProperties>
</file>