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D098D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66A8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466A8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6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FD098D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66A8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466A8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6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466A8C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May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B71855" w:rsidRPr="000F45BD" w:rsidRDefault="001F31E6" w:rsidP="00B7185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67640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F31E6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04800" cy="361950"/>
                                  <wp:effectExtent l="0" t="0" r="0" b="0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048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466A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466A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</w:t>
                            </w:r>
                            <w:r w:rsidR="00453C6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decrease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prices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of basic ag</w:t>
                            </w:r>
                            <w:r w:rsidR="00000D7A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r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icultural products 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 comparison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with </w:t>
                            </w:r>
                            <w:r w:rsidR="00466A8C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May</w:t>
                            </w:r>
                            <w:r w:rsidR="00C7735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35pt;width:132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" fillcolor="#001d77" stroked="f">
                <v:textbox>
                  <w:txbxContent>
                    <w:p w:rsidR="00133140" w:rsidRPr="000F45BD" w:rsidRDefault="001F31E6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04800" cy="361950"/>
                            <wp:effectExtent l="0" t="0" r="0" b="0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048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466A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466A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</w:t>
                      </w:r>
                      <w:r w:rsidR="00453C6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decrease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prices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of basic ag</w:t>
                      </w:r>
                      <w:r w:rsidR="00000D7A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r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icultural products 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 comparison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with </w:t>
                      </w:r>
                      <w:r w:rsidR="00466A8C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May</w:t>
                      </w:r>
                      <w:r w:rsidR="00C7735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Procurement prices of basic agricultural products</w:t>
      </w:r>
      <w:r w:rsidR="0034516E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decreased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1C48F2">
        <w:rPr>
          <w:rFonts w:ascii="Fira Sans" w:hAnsi="Fira Sans"/>
          <w:b/>
          <w:sz w:val="19"/>
          <w:szCs w:val="20"/>
          <w:lang w:val="en-US" w:eastAsia="pl-PL"/>
        </w:rPr>
        <w:t xml:space="preserve">May 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2020 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466A8C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66A8C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C944C4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while compared to </w:t>
      </w:r>
      <w:r w:rsidR="00466A8C">
        <w:rPr>
          <w:rFonts w:ascii="Fira Sans" w:hAnsi="Fira Sans"/>
          <w:b/>
          <w:sz w:val="19"/>
          <w:szCs w:val="20"/>
          <w:lang w:val="en-US" w:eastAsia="pl-PL"/>
        </w:rPr>
        <w:t xml:space="preserve">May </w:t>
      </w:r>
      <w:r w:rsidR="001C48F2" w:rsidRPr="00661C39">
        <w:rPr>
          <w:rFonts w:ascii="Fira Sans" w:hAnsi="Fira Sans"/>
          <w:b/>
          <w:sz w:val="19"/>
          <w:szCs w:val="20"/>
          <w:lang w:val="en-US" w:eastAsia="pl-PL"/>
        </w:rPr>
        <w:t>20</w:t>
      </w:r>
      <w:r w:rsidR="001C48F2">
        <w:rPr>
          <w:rFonts w:ascii="Fira Sans" w:hAnsi="Fira Sans"/>
          <w:b/>
          <w:sz w:val="19"/>
          <w:szCs w:val="20"/>
          <w:lang w:val="en-US" w:eastAsia="pl-PL"/>
        </w:rPr>
        <w:t xml:space="preserve">19 </w:t>
      </w:r>
      <w:r w:rsidR="001C48F2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(by </w:t>
      </w:r>
      <w:r w:rsidR="00466A8C">
        <w:rPr>
          <w:rFonts w:ascii="Fira Sans" w:hAnsi="Fira Sans"/>
          <w:b/>
          <w:sz w:val="19"/>
          <w:szCs w:val="20"/>
          <w:lang w:val="en-US" w:eastAsia="pl-PL"/>
        </w:rPr>
        <w:t>7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66A8C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A44CD9" w:rsidRDefault="00A44CD9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E006FC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1DDF3004" wp14:editId="0A9084BA">
            <wp:extent cx="4819650" cy="1952625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F31E6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1448435" cy="1488440"/>
                <wp:effectExtent l="0" t="0" r="0" b="0"/>
                <wp:wrapTight wrapText="bothSides">
                  <wp:wrapPolygon edited="0">
                    <wp:start x="852" y="0"/>
                    <wp:lineTo x="852" y="21287"/>
                    <wp:lineTo x="20454" y="21287"/>
                    <wp:lineTo x="20454" y="0"/>
                    <wp:lineTo x="852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11103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356DB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fall</w:t>
                            </w:r>
                            <w:r w:rsidR="005263E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procurement prices of </w:t>
                            </w:r>
                            <w:r w:rsidR="0066541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="005263E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asic agricultural products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65080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D016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May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9C699E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A5C6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D016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April</w:t>
                            </w:r>
                            <w:r w:rsidR="008617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C699E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2020 </w:t>
                            </w:r>
                            <w:r w:rsidR="00DE4CA5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was the re</w:t>
                            </w:r>
                            <w:r w:rsidR="007A5EDD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DE4CA5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ult</w:t>
                            </w:r>
                            <w:r w:rsidR="009C699E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E4CA5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 price</w:t>
                            </w:r>
                            <w:r w:rsidR="00C96E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drop of</w:t>
                            </w:r>
                            <w:r w:rsidR="009F3DD7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pigs  </w:t>
                            </w:r>
                            <w:r w:rsidR="0005381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</w:t>
                            </w:r>
                            <w:r w:rsidR="009247A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or slaughter</w:t>
                            </w:r>
                            <w:r w:rsidR="00D016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 poultry</w:t>
                            </w:r>
                            <w:r w:rsidR="009247A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cows’</w:t>
                            </w:r>
                            <w:r w:rsidR="00E2584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247A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milk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4.25pt;margin-top:9.5pt;width:114.05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" filled="f" stroked="f">
                <v:textbox>
                  <w:txbxContent>
                    <w:p w:rsidR="009C699E" w:rsidRPr="00661C39" w:rsidRDefault="0011103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356DB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fall</w:t>
                      </w:r>
                      <w:r w:rsidR="005263E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procurement prices of </w:t>
                      </w:r>
                      <w:r w:rsidR="0066541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</w:t>
                      </w:r>
                      <w:r w:rsidR="005263E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asic agricultural products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65080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D016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May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9C699E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A5C6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D016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April</w:t>
                      </w:r>
                      <w:r w:rsidR="008617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C699E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2020 </w:t>
                      </w:r>
                      <w:r w:rsidR="00DE4CA5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was the re</w:t>
                      </w:r>
                      <w:r w:rsidR="007A5EDD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</w:t>
                      </w:r>
                      <w:r w:rsidR="00DE4CA5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ult</w:t>
                      </w:r>
                      <w:r w:rsidR="009C699E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E4CA5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of price</w:t>
                      </w:r>
                      <w:r w:rsidR="00C96E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drop of</w:t>
                      </w:r>
                      <w:r w:rsidR="009F3DD7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pigs  </w:t>
                      </w:r>
                      <w:r w:rsidR="0005381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</w:t>
                      </w:r>
                      <w:r w:rsidR="009247A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or slaughter</w:t>
                      </w:r>
                      <w:r w:rsidR="00D016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 poultry</w:t>
                      </w:r>
                      <w:r w:rsidR="009247A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cows’</w:t>
                      </w:r>
                      <w:r w:rsidR="00E2584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247A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milk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5E76C0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A575CC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2644B7D9" wp14:editId="1401328C">
            <wp:extent cx="5076825" cy="1809750"/>
            <wp:effectExtent l="0" t="0" r="9525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F31E6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104140</wp:posOffset>
                </wp:positionV>
                <wp:extent cx="1402715" cy="1802130"/>
                <wp:effectExtent l="0" t="0" r="0" b="0"/>
                <wp:wrapTight wrapText="bothSides">
                  <wp:wrapPolygon edited="0">
                    <wp:start x="880" y="0"/>
                    <wp:lineTo x="880" y="21235"/>
                    <wp:lineTo x="20534" y="21235"/>
                    <wp:lineTo x="20534" y="0"/>
                    <wp:lineTo x="880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80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6B8" w:rsidRPr="00661C39" w:rsidRDefault="00F749DA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all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basic agricultural products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54A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excluding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wheat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May </w:t>
                            </w:r>
                            <w:r w:rsidR="004216C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</w:t>
                            </w:r>
                            <w:r w:rsidR="0099233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83CB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 were lower than those recorded in May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34.25pt;margin-top:8.2pt;width:110.45pt;height:141.9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" filled="f" stroked="f">
                <v:textbox>
                  <w:txbxContent>
                    <w:p w:rsidR="00BA56B8" w:rsidRPr="00661C39" w:rsidRDefault="00F749DA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all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basic agricultural products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54A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excluding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wheat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May </w:t>
                      </w:r>
                      <w:r w:rsidR="004216C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this</w:t>
                      </w:r>
                      <w:r w:rsidR="0099233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83CB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year were lower than those recorded in May 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526A72">
        <w:rPr>
          <w:rFonts w:ascii="Fira Sans" w:hAnsi="Fira Sans"/>
          <w:sz w:val="19"/>
          <w:szCs w:val="18"/>
          <w:lang w:val="en-US"/>
        </w:rPr>
        <w:t xml:space="preserve">May </w:t>
      </w:r>
      <w:r w:rsidRPr="00661C39">
        <w:rPr>
          <w:rFonts w:ascii="Fira Sans" w:hAnsi="Fira Sans"/>
          <w:sz w:val="19"/>
          <w:szCs w:val="18"/>
          <w:lang w:val="en-US"/>
        </w:rPr>
        <w:t xml:space="preserve">2020 compared to the </w:t>
      </w:r>
      <w:r w:rsidR="00526A72">
        <w:rPr>
          <w:rFonts w:ascii="Fira Sans" w:hAnsi="Fira Sans"/>
          <w:sz w:val="19"/>
          <w:szCs w:val="18"/>
          <w:lang w:val="en-US"/>
        </w:rPr>
        <w:t xml:space="preserve">April </w:t>
      </w:r>
      <w:r w:rsidR="000B1C57">
        <w:rPr>
          <w:rFonts w:ascii="Fira Sans" w:hAnsi="Fira Sans"/>
          <w:sz w:val="19"/>
          <w:szCs w:val="18"/>
          <w:lang w:val="en-US"/>
        </w:rPr>
        <w:t>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procurement prices of </w:t>
      </w:r>
      <w:r w:rsidR="00E711C8">
        <w:rPr>
          <w:rFonts w:ascii="Fira Sans" w:hAnsi="Fira Sans"/>
          <w:sz w:val="19"/>
          <w:szCs w:val="18"/>
          <w:lang w:val="en-US"/>
        </w:rPr>
        <w:t>cereal grain</w:t>
      </w:r>
      <w:r w:rsidR="006E4CDA">
        <w:rPr>
          <w:rFonts w:ascii="Fira Sans" w:hAnsi="Fira Sans"/>
          <w:sz w:val="19"/>
          <w:szCs w:val="18"/>
          <w:lang w:val="en-US"/>
        </w:rPr>
        <w:t xml:space="preserve"> </w:t>
      </w:r>
      <w:r w:rsidR="00526A72">
        <w:rPr>
          <w:rFonts w:ascii="Fira Sans" w:hAnsi="Fira Sans"/>
          <w:sz w:val="19"/>
          <w:szCs w:val="18"/>
          <w:lang w:val="en-US"/>
        </w:rPr>
        <w:t xml:space="preserve">and </w:t>
      </w:r>
      <w:r w:rsidR="001C48F2">
        <w:rPr>
          <w:rFonts w:ascii="Fira Sans" w:hAnsi="Fira Sans"/>
          <w:sz w:val="19"/>
          <w:szCs w:val="18"/>
          <w:lang w:val="en-US"/>
        </w:rPr>
        <w:t xml:space="preserve">cattle  </w:t>
      </w:r>
      <w:r w:rsidR="00526A72">
        <w:rPr>
          <w:rFonts w:ascii="Fira Sans" w:hAnsi="Fira Sans"/>
          <w:sz w:val="19"/>
          <w:szCs w:val="18"/>
          <w:lang w:val="en-US"/>
        </w:rPr>
        <w:t>for slaughter</w:t>
      </w:r>
      <w:r w:rsidRPr="00661C39">
        <w:rPr>
          <w:rFonts w:ascii="Fira Sans" w:hAnsi="Fira Sans"/>
          <w:sz w:val="19"/>
          <w:szCs w:val="18"/>
          <w:lang w:val="en-US"/>
        </w:rPr>
        <w:t xml:space="preserve"> 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753625">
        <w:rPr>
          <w:rFonts w:ascii="Fira Sans" w:hAnsi="Fira Sans"/>
          <w:sz w:val="19"/>
          <w:szCs w:val="18"/>
          <w:lang w:val="en-US"/>
        </w:rPr>
        <w:t>potatoes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526A72">
        <w:rPr>
          <w:rFonts w:ascii="Fira Sans" w:hAnsi="Fira Sans"/>
          <w:sz w:val="19"/>
          <w:szCs w:val="18"/>
          <w:lang w:val="en-US"/>
        </w:rPr>
        <w:t>pigs</w:t>
      </w:r>
      <w:r w:rsidR="00753625">
        <w:rPr>
          <w:rFonts w:ascii="Fira Sans" w:hAnsi="Fira Sans"/>
          <w:sz w:val="19"/>
          <w:szCs w:val="18"/>
          <w:lang w:val="en-US"/>
        </w:rPr>
        <w:t xml:space="preserve"> for slaughter</w:t>
      </w:r>
      <w:r w:rsidR="00526A72">
        <w:rPr>
          <w:rFonts w:ascii="Fira Sans" w:hAnsi="Fira Sans"/>
          <w:sz w:val="19"/>
          <w:szCs w:val="18"/>
          <w:lang w:val="en-US"/>
        </w:rPr>
        <w:t>, poultry</w:t>
      </w:r>
      <w:r w:rsidR="00A83ED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8F0FEC">
        <w:rPr>
          <w:rFonts w:ascii="Fira Sans" w:hAnsi="Fira Sans"/>
          <w:sz w:val="19"/>
          <w:szCs w:val="18"/>
          <w:lang w:val="en-US"/>
        </w:rPr>
        <w:t>cows</w:t>
      </w:r>
      <w:r w:rsidR="006A5E7B">
        <w:rPr>
          <w:rFonts w:ascii="Fira Sans" w:hAnsi="Fira Sans"/>
          <w:sz w:val="19"/>
          <w:szCs w:val="18"/>
          <w:lang w:val="en-US"/>
        </w:rPr>
        <w:t>’</w:t>
      </w:r>
      <w:r w:rsidR="0047267E">
        <w:rPr>
          <w:rFonts w:ascii="Fira Sans" w:hAnsi="Fira Sans"/>
          <w:sz w:val="19"/>
          <w:szCs w:val="18"/>
          <w:lang w:val="en-US"/>
        </w:rPr>
        <w:t xml:space="preserve"> </w:t>
      </w:r>
      <w:r w:rsidR="008F0FEC">
        <w:rPr>
          <w:rFonts w:ascii="Fira Sans" w:hAnsi="Fira Sans"/>
          <w:sz w:val="19"/>
          <w:szCs w:val="18"/>
          <w:lang w:val="en-US"/>
        </w:rPr>
        <w:t>milk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lower</w:t>
      </w:r>
      <w:r w:rsidR="00753625">
        <w:rPr>
          <w:rFonts w:ascii="Fira Sans" w:hAnsi="Fira Sans"/>
          <w:sz w:val="19"/>
          <w:szCs w:val="18"/>
          <w:lang w:val="en-US"/>
        </w:rPr>
        <w:t>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</w:p>
    <w:p w:rsidR="0052321F" w:rsidRPr="00661C39" w:rsidRDefault="00AF6CD4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comparison 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52321F" w:rsidRPr="00661C39">
        <w:rPr>
          <w:rFonts w:ascii="Fira Sans" w:hAnsi="Fira Sans"/>
          <w:sz w:val="19"/>
          <w:szCs w:val="18"/>
          <w:lang w:val="en-US"/>
        </w:rPr>
        <w:t>with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4C065A">
        <w:rPr>
          <w:rFonts w:ascii="Fira Sans" w:hAnsi="Fira Sans"/>
          <w:sz w:val="19"/>
          <w:szCs w:val="18"/>
          <w:lang w:val="en-US"/>
        </w:rPr>
        <w:t>May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753625">
        <w:rPr>
          <w:rFonts w:ascii="Fira Sans" w:hAnsi="Fira Sans"/>
          <w:sz w:val="19"/>
          <w:szCs w:val="18"/>
          <w:lang w:val="en-US"/>
        </w:rPr>
        <w:t>this year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the drop in prices of most agricultural products was recorded</w:t>
      </w:r>
      <w:r w:rsidR="0080666A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0666A">
        <w:rPr>
          <w:rFonts w:ascii="Fira Sans" w:hAnsi="Fira Sans"/>
          <w:sz w:val="19"/>
          <w:szCs w:val="18"/>
          <w:lang w:val="en-US"/>
        </w:rPr>
        <w:t>h</w:t>
      </w:r>
      <w:r w:rsidR="00E47D5C">
        <w:rPr>
          <w:rFonts w:ascii="Fira Sans" w:hAnsi="Fira Sans"/>
          <w:sz w:val="19"/>
          <w:szCs w:val="18"/>
          <w:lang w:val="en-US"/>
        </w:rPr>
        <w:t xml:space="preserve">owever, 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the prices of </w:t>
      </w:r>
      <w:r w:rsidR="0080666A">
        <w:rPr>
          <w:rFonts w:ascii="Fira Sans" w:hAnsi="Fira Sans"/>
          <w:sz w:val="19"/>
          <w:szCs w:val="18"/>
          <w:lang w:val="en-US"/>
        </w:rPr>
        <w:t>wheat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and </w:t>
      </w:r>
      <w:r w:rsidR="008F0E90">
        <w:rPr>
          <w:rFonts w:ascii="Fira Sans" w:hAnsi="Fira Sans"/>
          <w:sz w:val="19"/>
          <w:szCs w:val="18"/>
          <w:lang w:val="en-US"/>
        </w:rPr>
        <w:t xml:space="preserve">maize </w:t>
      </w:r>
      <w:r w:rsidR="003B6154">
        <w:rPr>
          <w:rFonts w:ascii="Fira Sans" w:hAnsi="Fira Sans"/>
          <w:sz w:val="19"/>
          <w:szCs w:val="18"/>
          <w:lang w:val="en-US"/>
        </w:rPr>
        <w:t>increased.</w:t>
      </w: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May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 prices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 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71BA2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71BA2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Cereal grain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AC65E1" w:rsidRDefault="00471315" w:rsidP="00471315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C65E1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E602AF" w:rsidRDefault="00471315" w:rsidP="00471315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602AF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 w:rsidRPr="00E602A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AC65E1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3559E2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644504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09764F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764F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192A02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2A02">
              <w:rPr>
                <w:rFonts w:ascii="Fira Sans" w:hAnsi="Fira Sans" w:cs="Arial"/>
                <w:sz w:val="16"/>
                <w:szCs w:val="16"/>
              </w:rPr>
              <w:t>87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F41CC6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B55D95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6D05C7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D05C7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 w:rsidRPr="006D05C7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223D14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23D14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644504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71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9D4654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D4654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B33CF9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Potatoes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D12B1C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AF12A2" w:rsidRDefault="00471315" w:rsidP="0047131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0F45BD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C92A85" w:rsidRDefault="00471315" w:rsidP="00471315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C92A85" w:rsidRDefault="00471315" w:rsidP="00471315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 calves)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89790F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FE0EFB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of which young cattle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204A71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04A71">
              <w:rPr>
                <w:rFonts w:ascii="Fira Sans" w:hAnsi="Fira Sans" w:cs="Arial"/>
                <w:sz w:val="16"/>
                <w:szCs w:val="16"/>
              </w:rPr>
              <w:t>6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 w:rsidRPr="00204A71">
              <w:rPr>
                <w:rFonts w:ascii="Fira Sans" w:hAnsi="Fira Sans" w:cs="Arial"/>
                <w:sz w:val="16"/>
                <w:szCs w:val="16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204A71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04A71">
              <w:rPr>
                <w:rFonts w:ascii="Fira Sans" w:hAnsi="Fira Sans" w:cs="Arial"/>
                <w:sz w:val="16"/>
                <w:szCs w:val="16"/>
              </w:rPr>
              <w:t>101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 w:rsidRPr="00204A71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204A71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04A71">
              <w:rPr>
                <w:rFonts w:ascii="Fira Sans" w:hAnsi="Fira Sans" w:cs="Arial"/>
                <w:sz w:val="16"/>
                <w:szCs w:val="16"/>
              </w:rPr>
              <w:t>95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 w:rsidRPr="00204A71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0A33A8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537E7D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3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82746B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5408B1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71315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4656E0" w:rsidRDefault="00471315" w:rsidP="0047131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Cows’ milk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7C5F30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E47093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71315" w:rsidRPr="00371C64" w:rsidRDefault="00471315" w:rsidP="004713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1742E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315" w:rsidRPr="00BA24FC" w:rsidRDefault="00471315" w:rsidP="0047131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No data due to the current decision to close the marketplaces 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because of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1742E2">
        <w:rPr>
          <w:rFonts w:ascii="Fira Sans" w:hAnsi="Fira Sans"/>
          <w:spacing w:val="-4"/>
          <w:sz w:val="16"/>
          <w:szCs w:val="16"/>
          <w:lang w:val="en-US"/>
        </w:rPr>
        <w:t>.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 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 xml:space="preserve"> were  calculated on the basis of absolute data expressed with more precision than In the tables.</w:t>
      </w:r>
    </w:p>
    <w:p w:rsidR="004D76BC" w:rsidRPr="000F45BD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B6525E" w:rsidRDefault="000F4482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E87E3C">
        <w:rPr>
          <w:rFonts w:ascii="Fira Sans" w:hAnsi="Fira Sans"/>
          <w:sz w:val="19"/>
          <w:szCs w:val="18"/>
          <w:lang w:val="en-US"/>
        </w:rPr>
        <w:t>May</w:t>
      </w:r>
      <w:r w:rsidR="00143C97">
        <w:rPr>
          <w:rFonts w:ascii="Fira Sans" w:hAnsi="Fira Sans"/>
          <w:sz w:val="19"/>
          <w:szCs w:val="18"/>
          <w:lang w:val="en-US"/>
        </w:rPr>
        <w:t xml:space="preserve"> </w:t>
      </w:r>
      <w:r>
        <w:rPr>
          <w:rFonts w:ascii="Fira Sans" w:hAnsi="Fira Sans"/>
          <w:sz w:val="19"/>
          <w:szCs w:val="18"/>
          <w:lang w:val="en-US"/>
        </w:rPr>
        <w:t>2020 8</w:t>
      </w:r>
      <w:r w:rsidR="00E87E3C">
        <w:rPr>
          <w:rFonts w:ascii="Fira Sans" w:hAnsi="Fira Sans"/>
          <w:sz w:val="19"/>
          <w:szCs w:val="18"/>
          <w:lang w:val="en-US"/>
        </w:rPr>
        <w:t>1</w:t>
      </w:r>
      <w:r w:rsidR="0051442B" w:rsidRPr="00661C39">
        <w:rPr>
          <w:rFonts w:ascii="Fira Sans" w:hAnsi="Fira Sans"/>
          <w:sz w:val="19"/>
          <w:szCs w:val="18"/>
          <w:lang w:val="en-US"/>
        </w:rPr>
        <w:t>.</w:t>
      </w:r>
      <w:r w:rsidR="00E87E3C">
        <w:rPr>
          <w:rFonts w:ascii="Fira Sans" w:hAnsi="Fira Sans"/>
          <w:sz w:val="19"/>
          <w:szCs w:val="18"/>
          <w:lang w:val="en-US"/>
        </w:rPr>
        <w:t>56</w:t>
      </w:r>
      <w:r w:rsidR="00541023" w:rsidRPr="00661C39">
        <w:rPr>
          <w:rFonts w:ascii="Fira Sans" w:hAnsi="Fira Sans"/>
          <w:sz w:val="19"/>
          <w:szCs w:val="18"/>
          <w:lang w:val="en-US"/>
        </w:rPr>
        <w:t xml:space="preserve"> PL</w:t>
      </w:r>
      <w:r w:rsidR="00D703C8">
        <w:rPr>
          <w:rFonts w:ascii="Fira Sans" w:hAnsi="Fira Sans"/>
          <w:sz w:val="19"/>
          <w:szCs w:val="18"/>
          <w:lang w:val="en-US"/>
        </w:rPr>
        <w:t>N</w:t>
      </w:r>
      <w:r w:rsidR="0051442B" w:rsidRPr="00661C39">
        <w:rPr>
          <w:rFonts w:ascii="Fira Sans" w:hAnsi="Fira Sans"/>
          <w:sz w:val="19"/>
          <w:szCs w:val="18"/>
          <w:lang w:val="en-US"/>
        </w:rPr>
        <w:t xml:space="preserve">/dt were paid for </w:t>
      </w:r>
      <w:r w:rsidR="0051442B" w:rsidRPr="00661C39">
        <w:rPr>
          <w:rFonts w:ascii="Fira Sans" w:hAnsi="Fira Sans"/>
          <w:b/>
          <w:sz w:val="19"/>
          <w:szCs w:val="18"/>
          <w:lang w:val="en-US"/>
        </w:rPr>
        <w:t>wheat</w:t>
      </w:r>
      <w:r w:rsidR="00B6525E">
        <w:rPr>
          <w:rFonts w:ascii="Fira Sans" w:hAnsi="Fira Sans"/>
          <w:sz w:val="19"/>
          <w:szCs w:val="18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i.e.</w:t>
      </w:r>
      <w:r w:rsidR="00C0592A">
        <w:rPr>
          <w:rFonts w:ascii="Fira Sans" w:hAnsi="Fira Sans"/>
          <w:sz w:val="19"/>
          <w:szCs w:val="18"/>
          <w:lang w:val="en-US"/>
        </w:rPr>
        <w:t xml:space="preserve"> more compared to the previous month </w:t>
      </w:r>
      <w:r w:rsidR="005115B4">
        <w:rPr>
          <w:rFonts w:ascii="Fira Sans" w:hAnsi="Fira Sans"/>
          <w:sz w:val="19"/>
          <w:szCs w:val="18"/>
          <w:lang w:val="en-US"/>
        </w:rPr>
        <w:t>as well as</w:t>
      </w:r>
      <w:r w:rsidR="00C0592A">
        <w:rPr>
          <w:rFonts w:ascii="Fira Sans" w:hAnsi="Fira Sans"/>
          <w:sz w:val="19"/>
          <w:szCs w:val="18"/>
          <w:lang w:val="en-US"/>
        </w:rPr>
        <w:t xml:space="preserve"> with the same period last year</w:t>
      </w:r>
      <w:r w:rsidR="00666F6F">
        <w:rPr>
          <w:rFonts w:ascii="Fira Sans" w:hAnsi="Fira Sans"/>
          <w:sz w:val="19"/>
          <w:szCs w:val="18"/>
          <w:lang w:val="en-US"/>
        </w:rPr>
        <w:t>:</w:t>
      </w:r>
      <w:r w:rsidR="00C0592A">
        <w:rPr>
          <w:rFonts w:ascii="Fira Sans" w:hAnsi="Fira Sans"/>
          <w:sz w:val="19"/>
          <w:szCs w:val="18"/>
          <w:lang w:val="en-US"/>
        </w:rPr>
        <w:t xml:space="preserve"> respectively</w:t>
      </w:r>
      <w:r w:rsidR="00AC60C7">
        <w:rPr>
          <w:rFonts w:ascii="Fira Sans" w:hAnsi="Fira Sans"/>
          <w:sz w:val="19"/>
          <w:szCs w:val="18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by </w:t>
      </w:r>
      <w:r w:rsidR="00E95C4B">
        <w:rPr>
          <w:rFonts w:ascii="Fira Sans" w:hAnsi="Fira Sans"/>
          <w:sz w:val="19"/>
          <w:szCs w:val="18"/>
          <w:lang w:val="en-US"/>
        </w:rPr>
        <w:t>1</w:t>
      </w:r>
      <w:r w:rsidR="00B6525E" w:rsidRPr="00661C39">
        <w:rPr>
          <w:rFonts w:ascii="Fira Sans" w:hAnsi="Fira Sans"/>
          <w:sz w:val="19"/>
          <w:szCs w:val="18"/>
          <w:lang w:val="en-US"/>
        </w:rPr>
        <w:t>.</w:t>
      </w:r>
      <w:r w:rsidR="00E95C4B">
        <w:rPr>
          <w:rFonts w:ascii="Fira Sans" w:hAnsi="Fira Sans"/>
          <w:sz w:val="19"/>
          <w:szCs w:val="18"/>
          <w:lang w:val="en-US"/>
        </w:rPr>
        <w:t>8</w:t>
      </w:r>
      <w:r w:rsidR="00B6525E" w:rsidRPr="00661C39">
        <w:rPr>
          <w:rFonts w:ascii="Fira Sans" w:hAnsi="Fira Sans"/>
          <w:sz w:val="19"/>
          <w:szCs w:val="18"/>
          <w:lang w:val="en-US"/>
        </w:rPr>
        <w:t>%</w:t>
      </w:r>
      <w:r w:rsidR="00A07956">
        <w:rPr>
          <w:rFonts w:ascii="Fira Sans" w:hAnsi="Fira Sans"/>
          <w:sz w:val="19"/>
          <w:szCs w:val="18"/>
          <w:lang w:val="en-US"/>
        </w:rPr>
        <w:t xml:space="preserve"> </w:t>
      </w:r>
      <w:r w:rsidR="00C0592A">
        <w:rPr>
          <w:rFonts w:ascii="Fira Sans" w:hAnsi="Fira Sans"/>
          <w:sz w:val="19"/>
          <w:szCs w:val="18"/>
          <w:lang w:val="en-US"/>
        </w:rPr>
        <w:t xml:space="preserve">and by </w:t>
      </w:r>
      <w:r w:rsidR="00E95C4B">
        <w:rPr>
          <w:rFonts w:ascii="Fira Sans" w:hAnsi="Fira Sans"/>
          <w:sz w:val="19"/>
          <w:szCs w:val="18"/>
          <w:lang w:val="en-US"/>
        </w:rPr>
        <w:t>3</w:t>
      </w:r>
      <w:r w:rsidR="00590D04">
        <w:rPr>
          <w:rFonts w:ascii="Fira Sans" w:hAnsi="Fira Sans"/>
          <w:sz w:val="19"/>
          <w:szCs w:val="18"/>
          <w:lang w:val="en-US"/>
        </w:rPr>
        <w:t>.</w:t>
      </w:r>
      <w:r w:rsidR="00E95C4B">
        <w:rPr>
          <w:rFonts w:ascii="Fira Sans" w:hAnsi="Fira Sans"/>
          <w:sz w:val="19"/>
          <w:szCs w:val="18"/>
          <w:lang w:val="en-US"/>
        </w:rPr>
        <w:t>2</w:t>
      </w:r>
      <w:r w:rsidR="00C0592A">
        <w:rPr>
          <w:rFonts w:ascii="Fira Sans" w:hAnsi="Fira Sans"/>
          <w:sz w:val="19"/>
          <w:szCs w:val="18"/>
          <w:lang w:val="en-US"/>
        </w:rPr>
        <w:t>%.</w:t>
      </w:r>
    </w:p>
    <w:p w:rsidR="0051442B" w:rsidRPr="00661C39" w:rsidRDefault="0051442B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</w:t>
      </w:r>
      <w:r w:rsidR="00C0592A">
        <w:rPr>
          <w:rFonts w:ascii="Fira Sans" w:hAnsi="Fira Sans"/>
          <w:sz w:val="19"/>
          <w:szCs w:val="18"/>
          <w:lang w:val="en-US"/>
        </w:rPr>
        <w:t xml:space="preserve"> amounted to </w:t>
      </w:r>
      <w:r w:rsidR="00E44D60">
        <w:rPr>
          <w:rFonts w:ascii="Fira Sans" w:hAnsi="Fira Sans"/>
          <w:sz w:val="19"/>
          <w:szCs w:val="18"/>
          <w:lang w:val="en-US"/>
        </w:rPr>
        <w:t>60</w:t>
      </w:r>
      <w:r w:rsidR="00C0592A">
        <w:rPr>
          <w:rFonts w:ascii="Fira Sans" w:hAnsi="Fira Sans"/>
          <w:sz w:val="19"/>
          <w:szCs w:val="18"/>
          <w:lang w:val="en-US"/>
        </w:rPr>
        <w:t>.</w:t>
      </w:r>
      <w:r w:rsidR="00E44D60">
        <w:rPr>
          <w:rFonts w:ascii="Fira Sans" w:hAnsi="Fira Sans"/>
          <w:sz w:val="19"/>
          <w:szCs w:val="18"/>
          <w:lang w:val="en-US"/>
        </w:rPr>
        <w:t>66</w:t>
      </w:r>
      <w:r w:rsidR="00C0592A" w:rsidRPr="00A07956">
        <w:rPr>
          <w:rFonts w:ascii="Fira Sans" w:hAnsi="Fira Sans"/>
          <w:sz w:val="19"/>
          <w:szCs w:val="18"/>
          <w:lang w:val="en-US"/>
        </w:rPr>
        <w:t xml:space="preserve"> </w:t>
      </w:r>
      <w:r w:rsidR="00C0592A" w:rsidRPr="00661C39">
        <w:rPr>
          <w:rFonts w:ascii="Fira Sans" w:hAnsi="Fira Sans"/>
          <w:sz w:val="19"/>
          <w:szCs w:val="18"/>
          <w:lang w:val="en-US"/>
        </w:rPr>
        <w:t>PLN</w:t>
      </w:r>
      <w:r w:rsidR="00C0592A">
        <w:rPr>
          <w:rFonts w:ascii="Fira Sans" w:hAnsi="Fira Sans"/>
          <w:sz w:val="19"/>
          <w:szCs w:val="18"/>
          <w:lang w:val="en-US"/>
        </w:rPr>
        <w:t xml:space="preserve">/dt and </w:t>
      </w:r>
      <w:r w:rsidR="007C6EF9">
        <w:rPr>
          <w:rFonts w:ascii="Fira Sans" w:hAnsi="Fira Sans"/>
          <w:sz w:val="19"/>
          <w:szCs w:val="18"/>
          <w:lang w:val="en-US"/>
        </w:rPr>
        <w:t>were</w:t>
      </w:r>
      <w:r w:rsidR="00C0592A">
        <w:rPr>
          <w:rFonts w:ascii="Fira Sans" w:hAnsi="Fira Sans"/>
          <w:sz w:val="19"/>
          <w:szCs w:val="18"/>
          <w:lang w:val="en-US"/>
        </w:rPr>
        <w:t xml:space="preserve"> higher</w:t>
      </w:r>
      <w:r w:rsidR="006A388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by </w:t>
      </w:r>
      <w:r w:rsidR="00E44D60">
        <w:rPr>
          <w:rFonts w:ascii="Fira Sans" w:hAnsi="Fira Sans"/>
          <w:sz w:val="19"/>
          <w:szCs w:val="18"/>
          <w:lang w:val="en-US"/>
        </w:rPr>
        <w:t>2</w:t>
      </w:r>
      <w:r w:rsidR="00590D04">
        <w:rPr>
          <w:rFonts w:ascii="Fira Sans" w:hAnsi="Fira Sans"/>
          <w:sz w:val="19"/>
          <w:szCs w:val="18"/>
          <w:lang w:val="en-US"/>
        </w:rPr>
        <w:t>.</w:t>
      </w:r>
      <w:r w:rsidR="00E44D60">
        <w:rPr>
          <w:rFonts w:ascii="Fira Sans" w:hAnsi="Fira Sans"/>
          <w:sz w:val="19"/>
          <w:szCs w:val="18"/>
          <w:lang w:val="en-US"/>
        </w:rPr>
        <w:t>4</w:t>
      </w:r>
      <w:r w:rsidRPr="00661C39">
        <w:rPr>
          <w:rFonts w:ascii="Fira Sans" w:hAnsi="Fira Sans"/>
          <w:sz w:val="19"/>
          <w:szCs w:val="18"/>
          <w:lang w:val="en-US"/>
        </w:rPr>
        <w:t xml:space="preserve">% </w:t>
      </w:r>
      <w:r w:rsidR="006A3889">
        <w:rPr>
          <w:rFonts w:ascii="Fira Sans" w:hAnsi="Fira Sans"/>
          <w:sz w:val="19"/>
          <w:szCs w:val="18"/>
          <w:lang w:val="en-US"/>
        </w:rPr>
        <w:t xml:space="preserve">than in </w:t>
      </w:r>
      <w:r w:rsidR="00E44D60">
        <w:rPr>
          <w:rFonts w:ascii="Fira Sans" w:hAnsi="Fira Sans"/>
          <w:sz w:val="19"/>
          <w:szCs w:val="18"/>
          <w:lang w:val="en-US"/>
        </w:rPr>
        <w:t>April</w:t>
      </w:r>
      <w:r w:rsidR="00A01E46">
        <w:rPr>
          <w:rFonts w:ascii="Fira Sans" w:hAnsi="Fira Sans"/>
          <w:sz w:val="19"/>
          <w:szCs w:val="18"/>
          <w:lang w:val="en-US"/>
        </w:rPr>
        <w:t xml:space="preserve"> this year</w:t>
      </w:r>
      <w:r w:rsidR="006A3889">
        <w:rPr>
          <w:rFonts w:ascii="Fira Sans" w:hAnsi="Fira Sans"/>
          <w:sz w:val="19"/>
          <w:szCs w:val="18"/>
          <w:lang w:val="en-US"/>
        </w:rPr>
        <w:t xml:space="preserve"> </w:t>
      </w:r>
      <w:r w:rsidR="007C6EF9">
        <w:rPr>
          <w:rFonts w:ascii="Fira Sans" w:hAnsi="Fira Sans"/>
          <w:sz w:val="19"/>
          <w:szCs w:val="18"/>
          <w:lang w:val="en-US"/>
        </w:rPr>
        <w:t xml:space="preserve">while as related to </w:t>
      </w:r>
      <w:r w:rsidR="00E44D60">
        <w:rPr>
          <w:rFonts w:ascii="Fira Sans" w:hAnsi="Fira Sans"/>
          <w:sz w:val="19"/>
          <w:szCs w:val="18"/>
          <w:lang w:val="en-US"/>
        </w:rPr>
        <w:t>May</w:t>
      </w:r>
      <w:r w:rsidR="007C6EF9">
        <w:rPr>
          <w:rFonts w:ascii="Fira Sans" w:hAnsi="Fira Sans"/>
          <w:sz w:val="19"/>
          <w:szCs w:val="18"/>
          <w:lang w:val="en-US"/>
        </w:rPr>
        <w:t xml:space="preserve"> 2019 w</w:t>
      </w:r>
      <w:r w:rsidR="005C441B">
        <w:rPr>
          <w:rFonts w:ascii="Fira Sans" w:hAnsi="Fira Sans"/>
          <w:sz w:val="19"/>
          <w:szCs w:val="18"/>
          <w:lang w:val="en-US"/>
        </w:rPr>
        <w:t>ere</w:t>
      </w:r>
      <w:r w:rsidR="007C6EF9">
        <w:rPr>
          <w:rFonts w:ascii="Fira Sans" w:hAnsi="Fira Sans"/>
          <w:sz w:val="19"/>
          <w:szCs w:val="18"/>
          <w:lang w:val="en-US"/>
        </w:rPr>
        <w:t xml:space="preserve"> lower</w:t>
      </w:r>
      <w:r w:rsidRPr="00661C39">
        <w:rPr>
          <w:rFonts w:ascii="Fira Sans" w:hAnsi="Fira Sans"/>
          <w:sz w:val="19"/>
          <w:szCs w:val="18"/>
          <w:lang w:val="en-US"/>
        </w:rPr>
        <w:t xml:space="preserve"> by </w:t>
      </w:r>
      <w:r w:rsidR="007C6EF9">
        <w:rPr>
          <w:rFonts w:ascii="Fira Sans" w:hAnsi="Fira Sans"/>
          <w:sz w:val="19"/>
          <w:szCs w:val="18"/>
          <w:lang w:val="en-US"/>
        </w:rPr>
        <w:t>1</w:t>
      </w:r>
      <w:r w:rsidR="00E44D60">
        <w:rPr>
          <w:rFonts w:ascii="Fira Sans" w:hAnsi="Fira Sans"/>
          <w:sz w:val="19"/>
          <w:szCs w:val="18"/>
          <w:lang w:val="en-US"/>
        </w:rPr>
        <w:t>9</w:t>
      </w:r>
      <w:r w:rsidR="00855A96">
        <w:rPr>
          <w:rFonts w:ascii="Fira Sans" w:hAnsi="Fira Sans"/>
          <w:sz w:val="19"/>
          <w:szCs w:val="18"/>
          <w:lang w:val="en-US"/>
        </w:rPr>
        <w:t>.</w:t>
      </w:r>
      <w:r w:rsidR="00E44D60">
        <w:rPr>
          <w:rFonts w:ascii="Fira Sans" w:hAnsi="Fira Sans"/>
          <w:sz w:val="19"/>
          <w:szCs w:val="18"/>
          <w:lang w:val="en-US"/>
        </w:rPr>
        <w:t>5</w:t>
      </w:r>
      <w:r w:rsidR="007C6EF9">
        <w:rPr>
          <w:rFonts w:ascii="Fira Sans" w:hAnsi="Fira Sans"/>
          <w:sz w:val="19"/>
          <w:szCs w:val="18"/>
          <w:lang w:val="en-US"/>
        </w:rPr>
        <w:t>%.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:rsidR="0051442B" w:rsidRPr="00661C39" w:rsidRDefault="001F31E6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12700</wp:posOffset>
                </wp:positionV>
                <wp:extent cx="1329690" cy="1746250"/>
                <wp:effectExtent l="0" t="0" r="0" b="6350"/>
                <wp:wrapTight wrapText="bothSides">
                  <wp:wrapPolygon edited="0">
                    <wp:start x="928" y="0"/>
                    <wp:lineTo x="928" y="21443"/>
                    <wp:lineTo x="20424" y="21443"/>
                    <wp:lineTo x="20424" y="0"/>
                    <wp:lineTo x="928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74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5E4" w:rsidRDefault="001B2CD3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Both o</w:t>
                            </w:r>
                            <w:r w:rsidR="001A217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a monthly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and </w:t>
                            </w:r>
                            <w:r w:rsidR="001B2FC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on</w:t>
                            </w:r>
                            <w:r w:rsidR="00BF6F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 </w:t>
                            </w:r>
                            <w:r w:rsidR="00F03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annual </w:t>
                            </w:r>
                            <w:r w:rsidR="001A217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basis</w:t>
                            </w:r>
                            <w:r w:rsidR="007063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the drop </w:t>
                            </w:r>
                            <w:r w:rsidR="001B2FC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noted </w:t>
                            </w:r>
                            <w:r w:rsidR="007063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1A217C" w:rsidRPr="00B3556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prices of </w:t>
                            </w:r>
                            <w:r w:rsidR="007930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potatoes</w:t>
                            </w:r>
                            <w:r w:rsidR="000F3CA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pigs for slaughter, poultry and </w:t>
                            </w:r>
                            <w:r w:rsidR="00C71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05C7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cows’</w:t>
                            </w:r>
                            <w:r w:rsidR="00C71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3CA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8.2pt;margin-top:1pt;width:104.7pt;height:137.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" filled="f" stroked="f">
                <v:textbox>
                  <w:txbxContent>
                    <w:p w:rsidR="00D215E4" w:rsidRDefault="001B2CD3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Both o</w:t>
                      </w:r>
                      <w:r w:rsidR="001A217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a monthly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and </w:t>
                      </w:r>
                      <w:r w:rsidR="001B2FC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on</w:t>
                      </w:r>
                      <w:r w:rsidR="00BF6F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 </w:t>
                      </w:r>
                      <w:r w:rsidR="00F03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annual </w:t>
                      </w:r>
                      <w:r w:rsidR="001A217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basis</w:t>
                      </w:r>
                      <w:r w:rsidR="007063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the drop </w:t>
                      </w:r>
                      <w:r w:rsidR="001B2FC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noted </w:t>
                      </w:r>
                      <w:r w:rsidR="007063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1A217C" w:rsidRPr="00B3556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prices of </w:t>
                      </w:r>
                      <w:r w:rsidR="007930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potatoes</w:t>
                      </w:r>
                      <w:r w:rsidR="000F3CA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pigs for slaughter, poultry and </w:t>
                      </w:r>
                      <w:r w:rsidR="00C71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05C7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cows’</w:t>
                      </w:r>
                      <w:r w:rsidR="00C71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3CA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milk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3BB9">
        <w:rPr>
          <w:rFonts w:ascii="Fira Sans" w:hAnsi="Fira Sans"/>
          <w:sz w:val="19"/>
          <w:lang w:val="en-US"/>
        </w:rPr>
        <w:t>For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1442B" w:rsidRPr="00661C39">
        <w:rPr>
          <w:rFonts w:ascii="Fira Sans" w:hAnsi="Fira Sans"/>
          <w:sz w:val="19"/>
          <w:lang w:val="en-US"/>
        </w:rPr>
        <w:t xml:space="preserve"> was paid on average </w:t>
      </w:r>
      <w:r w:rsidR="00D63BB9">
        <w:rPr>
          <w:rFonts w:ascii="Fira Sans" w:hAnsi="Fira Sans"/>
          <w:sz w:val="19"/>
          <w:lang w:val="en-US"/>
        </w:rPr>
        <w:t>8</w:t>
      </w:r>
      <w:r w:rsidR="00A7781D">
        <w:rPr>
          <w:rFonts w:ascii="Fira Sans" w:hAnsi="Fira Sans"/>
          <w:sz w:val="19"/>
          <w:lang w:val="en-US"/>
        </w:rPr>
        <w:t>3.33</w:t>
      </w:r>
      <w:r w:rsidR="0051442B" w:rsidRPr="00661C39">
        <w:rPr>
          <w:rFonts w:ascii="Fira Sans" w:hAnsi="Fira Sans"/>
          <w:sz w:val="19"/>
          <w:lang w:val="en-US"/>
        </w:rPr>
        <w:t xml:space="preserve"> PLN/dt i.e</w:t>
      </w:r>
      <w:r w:rsidR="005115B4">
        <w:rPr>
          <w:rFonts w:ascii="Fira Sans" w:hAnsi="Fira Sans"/>
          <w:sz w:val="19"/>
          <w:lang w:val="en-US"/>
        </w:rPr>
        <w:t xml:space="preserve"> 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115B4">
        <w:rPr>
          <w:rFonts w:ascii="Fira Sans" w:hAnsi="Fira Sans"/>
          <w:sz w:val="19"/>
          <w:lang w:val="en-US"/>
        </w:rPr>
        <w:t>compared to the previous month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90D04">
        <w:rPr>
          <w:rFonts w:ascii="Fira Sans" w:hAnsi="Fira Sans"/>
          <w:sz w:val="19"/>
          <w:lang w:val="en-US"/>
        </w:rPr>
        <w:t xml:space="preserve">and the same month last </w:t>
      </w:r>
      <w:r w:rsidR="00B23EBD">
        <w:rPr>
          <w:rFonts w:ascii="Fira Sans" w:hAnsi="Fira Sans"/>
          <w:sz w:val="19"/>
          <w:lang w:val="en-US"/>
        </w:rPr>
        <w:t xml:space="preserve">year </w:t>
      </w:r>
      <w:r w:rsidR="00590D04">
        <w:rPr>
          <w:rFonts w:ascii="Fira Sans" w:hAnsi="Fira Sans"/>
          <w:sz w:val="19"/>
          <w:lang w:val="en-US"/>
        </w:rPr>
        <w:t>respectively</w:t>
      </w:r>
      <w:r w:rsidR="008C7FB0">
        <w:rPr>
          <w:rFonts w:ascii="Fira Sans" w:hAnsi="Fira Sans"/>
          <w:sz w:val="19"/>
          <w:lang w:val="en-US"/>
        </w:rPr>
        <w:t>:</w:t>
      </w:r>
      <w:r w:rsidR="00590D04">
        <w:rPr>
          <w:rFonts w:ascii="Fira Sans" w:hAnsi="Fira Sans"/>
          <w:sz w:val="19"/>
          <w:lang w:val="en-US"/>
        </w:rPr>
        <w:t xml:space="preserve"> by </w:t>
      </w:r>
      <w:r w:rsidR="007E0004">
        <w:rPr>
          <w:rFonts w:ascii="Fira Sans" w:hAnsi="Fira Sans"/>
          <w:sz w:val="19"/>
          <w:lang w:val="en-US"/>
        </w:rPr>
        <w:t>2</w:t>
      </w:r>
      <w:r w:rsidR="00590D04">
        <w:rPr>
          <w:rFonts w:ascii="Fira Sans" w:hAnsi="Fira Sans"/>
          <w:sz w:val="19"/>
          <w:lang w:val="en-US"/>
        </w:rPr>
        <w:t>.</w:t>
      </w:r>
      <w:r w:rsidR="007E0004">
        <w:rPr>
          <w:rFonts w:ascii="Fira Sans" w:hAnsi="Fira Sans"/>
          <w:sz w:val="19"/>
          <w:lang w:val="en-US"/>
        </w:rPr>
        <w:t>5</w:t>
      </w:r>
      <w:r w:rsidR="00590D04">
        <w:rPr>
          <w:rFonts w:ascii="Fira Sans" w:hAnsi="Fira Sans"/>
          <w:sz w:val="19"/>
          <w:lang w:val="en-US"/>
        </w:rPr>
        <w:t xml:space="preserve">% and </w:t>
      </w:r>
      <w:r w:rsidR="001B2FC3">
        <w:rPr>
          <w:rFonts w:ascii="Fira Sans" w:hAnsi="Fira Sans"/>
          <w:sz w:val="19"/>
          <w:lang w:val="en-US"/>
        </w:rPr>
        <w:t xml:space="preserve"> by </w:t>
      </w:r>
      <w:r w:rsidR="007E0004">
        <w:rPr>
          <w:rFonts w:ascii="Fira Sans" w:hAnsi="Fira Sans"/>
          <w:sz w:val="19"/>
          <w:lang w:val="en-US"/>
        </w:rPr>
        <w:t>6</w:t>
      </w:r>
      <w:r w:rsidR="00590D04">
        <w:rPr>
          <w:rFonts w:ascii="Fira Sans" w:hAnsi="Fira Sans"/>
          <w:sz w:val="19"/>
          <w:lang w:val="en-US"/>
        </w:rPr>
        <w:t>.</w:t>
      </w:r>
      <w:r w:rsidR="007E0004">
        <w:rPr>
          <w:rFonts w:ascii="Fira Sans" w:hAnsi="Fira Sans"/>
          <w:sz w:val="19"/>
          <w:lang w:val="en-US"/>
        </w:rPr>
        <w:t>4</w:t>
      </w:r>
      <w:r w:rsidR="00590D04">
        <w:rPr>
          <w:rFonts w:ascii="Fira Sans" w:hAnsi="Fira Sans"/>
          <w:sz w:val="19"/>
          <w:lang w:val="en-US"/>
        </w:rPr>
        <w:t>%</w:t>
      </w:r>
    </w:p>
    <w:p w:rsidR="00CA6462" w:rsidRDefault="00F037E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0F7F34">
        <w:rPr>
          <w:rFonts w:ascii="Fira Sans" w:hAnsi="Fira Sans"/>
          <w:sz w:val="19"/>
          <w:lang w:val="en-US"/>
        </w:rPr>
        <w:t>May</w:t>
      </w:r>
      <w:r>
        <w:rPr>
          <w:rFonts w:ascii="Fira Sans" w:hAnsi="Fira Sans"/>
          <w:sz w:val="19"/>
          <w:lang w:val="en-US"/>
        </w:rPr>
        <w:t xml:space="preserve"> 2020 </w:t>
      </w:r>
      <w:r w:rsidR="0051442B" w:rsidRPr="00661C39">
        <w:rPr>
          <w:rFonts w:ascii="Fira Sans" w:hAnsi="Fira Sans"/>
          <w:sz w:val="19"/>
          <w:lang w:val="en-US"/>
        </w:rPr>
        <w:t xml:space="preserve">prices of </w:t>
      </w:r>
      <w:r w:rsidR="0051442B" w:rsidRPr="00661C39">
        <w:rPr>
          <w:rFonts w:ascii="Fira Sans" w:hAnsi="Fira Sans"/>
          <w:b/>
          <w:sz w:val="19"/>
          <w:lang w:val="en-US"/>
        </w:rPr>
        <w:t>cattle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(6.</w:t>
      </w:r>
      <w:r w:rsidR="000F7F34">
        <w:rPr>
          <w:rFonts w:ascii="Fira Sans" w:hAnsi="Fira Sans"/>
          <w:sz w:val="19"/>
          <w:lang w:val="en-US"/>
        </w:rPr>
        <w:t>2</w:t>
      </w:r>
      <w:r>
        <w:rPr>
          <w:rFonts w:ascii="Fira Sans" w:hAnsi="Fira Sans"/>
          <w:sz w:val="19"/>
          <w:lang w:val="en-US"/>
        </w:rPr>
        <w:t>2</w:t>
      </w:r>
      <w:r w:rsidR="00D123D0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PLN/kg) </w:t>
      </w:r>
      <w:r w:rsidR="000F7F34">
        <w:rPr>
          <w:rFonts w:ascii="Fira Sans" w:hAnsi="Fira Sans"/>
          <w:sz w:val="19"/>
          <w:lang w:val="en-US"/>
        </w:rPr>
        <w:t>increased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on a monthly</w:t>
      </w:r>
      <w:r w:rsidR="00E83942">
        <w:rPr>
          <w:rFonts w:ascii="Fira Sans" w:hAnsi="Fira Sans"/>
          <w:sz w:val="19"/>
          <w:lang w:val="en-US"/>
        </w:rPr>
        <w:t xml:space="preserve"> basis</w:t>
      </w:r>
      <w:r w:rsidR="00A0272A">
        <w:rPr>
          <w:rFonts w:ascii="Fira Sans" w:hAnsi="Fira Sans"/>
          <w:sz w:val="19"/>
          <w:lang w:val="en-US"/>
        </w:rPr>
        <w:t xml:space="preserve"> by </w:t>
      </w:r>
      <w:r w:rsidR="000F7F34">
        <w:rPr>
          <w:rFonts w:ascii="Fira Sans" w:hAnsi="Fira Sans"/>
          <w:sz w:val="19"/>
          <w:lang w:val="en-US"/>
        </w:rPr>
        <w:t>1</w:t>
      </w:r>
      <w:r w:rsidR="00A0272A">
        <w:rPr>
          <w:rFonts w:ascii="Fira Sans" w:hAnsi="Fira Sans"/>
          <w:sz w:val="19"/>
          <w:lang w:val="en-US"/>
        </w:rPr>
        <w:t>.</w:t>
      </w:r>
      <w:r w:rsidR="000F7F34">
        <w:rPr>
          <w:rFonts w:ascii="Fira Sans" w:hAnsi="Fira Sans"/>
          <w:sz w:val="19"/>
          <w:lang w:val="en-US"/>
        </w:rPr>
        <w:t>7</w:t>
      </w:r>
      <w:r w:rsidR="00A0272A">
        <w:rPr>
          <w:rFonts w:ascii="Fira Sans" w:hAnsi="Fira Sans"/>
          <w:sz w:val="19"/>
          <w:lang w:val="en-US"/>
        </w:rPr>
        <w:t>%</w:t>
      </w:r>
      <w:r>
        <w:rPr>
          <w:rFonts w:ascii="Fira Sans" w:hAnsi="Fira Sans"/>
          <w:sz w:val="19"/>
          <w:lang w:val="en-US"/>
        </w:rPr>
        <w:t xml:space="preserve"> </w:t>
      </w:r>
      <w:r w:rsidR="00B946BB">
        <w:rPr>
          <w:rFonts w:ascii="Fira Sans" w:hAnsi="Fira Sans"/>
          <w:sz w:val="19"/>
          <w:lang w:val="en-US"/>
        </w:rPr>
        <w:t xml:space="preserve">while </w:t>
      </w:r>
      <w:r w:rsidR="001B2FC3">
        <w:rPr>
          <w:rFonts w:ascii="Fira Sans" w:hAnsi="Fira Sans"/>
          <w:sz w:val="19"/>
          <w:lang w:val="en-US"/>
        </w:rPr>
        <w:t>on</w:t>
      </w:r>
      <w:r w:rsidR="006A72BC">
        <w:rPr>
          <w:rFonts w:ascii="Fira Sans" w:hAnsi="Fira Sans"/>
          <w:sz w:val="19"/>
          <w:lang w:val="en-US"/>
        </w:rPr>
        <w:t xml:space="preserve"> an</w:t>
      </w:r>
      <w:r w:rsidR="001B2FC3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annual basis </w:t>
      </w:r>
      <w:r w:rsidR="00B946BB">
        <w:rPr>
          <w:rFonts w:ascii="Fira Sans" w:hAnsi="Fira Sans"/>
          <w:sz w:val="19"/>
          <w:lang w:val="en-US"/>
        </w:rPr>
        <w:t xml:space="preserve">fell </w:t>
      </w:r>
      <w:r w:rsidR="0051442B" w:rsidRPr="00661C39">
        <w:rPr>
          <w:rFonts w:ascii="Fira Sans" w:hAnsi="Fira Sans"/>
          <w:sz w:val="19"/>
          <w:lang w:val="en-US"/>
        </w:rPr>
        <w:t xml:space="preserve">by </w:t>
      </w:r>
      <w:r w:rsidR="00B946BB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B946BB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%</w:t>
      </w:r>
      <w:r w:rsidR="00B946BB">
        <w:rPr>
          <w:rFonts w:ascii="Fira Sans" w:hAnsi="Fira Sans"/>
          <w:sz w:val="19"/>
          <w:lang w:val="en-US"/>
        </w:rPr>
        <w:t>.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</w:p>
    <w:p w:rsidR="003E1CC5" w:rsidRDefault="0051442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prices of </w:t>
      </w:r>
      <w:r w:rsidRPr="00661C39">
        <w:rPr>
          <w:rFonts w:ascii="Fira Sans" w:hAnsi="Fira Sans"/>
          <w:b/>
          <w:sz w:val="19"/>
          <w:lang w:val="en-US"/>
        </w:rPr>
        <w:t>pigs for slaughter</w:t>
      </w:r>
      <w:r w:rsidRPr="00661C39">
        <w:rPr>
          <w:rFonts w:ascii="Fira Sans" w:hAnsi="Fira Sans"/>
          <w:sz w:val="19"/>
          <w:lang w:val="en-US"/>
        </w:rPr>
        <w:t xml:space="preserve"> were at the level of </w:t>
      </w:r>
      <w:r w:rsidR="003E1CC5">
        <w:rPr>
          <w:rFonts w:ascii="Fira Sans" w:hAnsi="Fira Sans"/>
          <w:sz w:val="19"/>
          <w:lang w:val="en-US"/>
        </w:rPr>
        <w:t>5</w:t>
      </w:r>
      <w:r w:rsidRPr="00661C39">
        <w:rPr>
          <w:rFonts w:ascii="Fira Sans" w:hAnsi="Fira Sans"/>
          <w:sz w:val="19"/>
          <w:lang w:val="en-US"/>
        </w:rPr>
        <w:t>.</w:t>
      </w:r>
      <w:r w:rsidR="003E1CC5">
        <w:rPr>
          <w:rFonts w:ascii="Fira Sans" w:hAnsi="Fira Sans"/>
          <w:sz w:val="19"/>
          <w:lang w:val="en-US"/>
        </w:rPr>
        <w:t>31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 xml:space="preserve">/kg and </w:t>
      </w:r>
      <w:r w:rsidR="003E1CC5">
        <w:rPr>
          <w:rFonts w:ascii="Fira Sans" w:hAnsi="Fira Sans"/>
          <w:sz w:val="19"/>
          <w:lang w:val="en-US"/>
        </w:rPr>
        <w:t>decreased on a monthly basis (</w:t>
      </w:r>
      <w:r w:rsidRPr="00661C39">
        <w:rPr>
          <w:rFonts w:ascii="Fira Sans" w:hAnsi="Fira Sans"/>
          <w:sz w:val="19"/>
          <w:lang w:val="en-US"/>
        </w:rPr>
        <w:t xml:space="preserve"> by </w:t>
      </w:r>
      <w:r w:rsidR="003E1CC5">
        <w:rPr>
          <w:rFonts w:ascii="Fira Sans" w:hAnsi="Fira Sans"/>
          <w:sz w:val="19"/>
          <w:lang w:val="en-US"/>
        </w:rPr>
        <w:t>12</w:t>
      </w:r>
      <w:r w:rsidRPr="00661C39">
        <w:rPr>
          <w:rFonts w:ascii="Fira Sans" w:hAnsi="Fira Sans"/>
          <w:sz w:val="19"/>
          <w:lang w:val="en-US"/>
        </w:rPr>
        <w:t>.</w:t>
      </w:r>
      <w:r w:rsidR="003E1CC5">
        <w:rPr>
          <w:rFonts w:ascii="Fira Sans" w:hAnsi="Fira Sans"/>
          <w:sz w:val="19"/>
          <w:lang w:val="en-US"/>
        </w:rPr>
        <w:t>6</w:t>
      </w:r>
      <w:r w:rsidRPr="00661C39">
        <w:rPr>
          <w:rFonts w:ascii="Fira Sans" w:hAnsi="Fira Sans"/>
          <w:sz w:val="19"/>
          <w:lang w:val="en-US"/>
        </w:rPr>
        <w:t>%</w:t>
      </w:r>
      <w:r w:rsidR="003E1CC5">
        <w:rPr>
          <w:rFonts w:ascii="Fira Sans" w:hAnsi="Fira Sans"/>
          <w:sz w:val="19"/>
          <w:lang w:val="en-US"/>
        </w:rPr>
        <w:t>)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3E1CC5">
        <w:rPr>
          <w:rFonts w:ascii="Fira Sans" w:hAnsi="Fira Sans"/>
          <w:sz w:val="19"/>
          <w:lang w:val="en-US"/>
        </w:rPr>
        <w:t>and on an annual basis (by 8.9%).</w:t>
      </w:r>
      <w:r w:rsidR="001B2FC3">
        <w:rPr>
          <w:rFonts w:ascii="Fira Sans" w:hAnsi="Fira Sans"/>
          <w:sz w:val="19"/>
          <w:lang w:val="en-US"/>
        </w:rPr>
        <w:t xml:space="preserve"> </w:t>
      </w:r>
    </w:p>
    <w:p w:rsidR="00951962" w:rsidRDefault="00951962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>
        <w:rPr>
          <w:rFonts w:ascii="Fira Sans" w:hAnsi="Fira Sans"/>
          <w:b/>
          <w:sz w:val="19"/>
          <w:lang w:val="en-US"/>
        </w:rPr>
        <w:t xml:space="preserve">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(3.</w:t>
      </w:r>
      <w:r>
        <w:rPr>
          <w:rFonts w:ascii="Fira Sans" w:hAnsi="Fira Sans"/>
          <w:sz w:val="19"/>
          <w:lang w:val="en-US"/>
        </w:rPr>
        <w:t>3</w:t>
      </w:r>
      <w:r w:rsidR="003431F4">
        <w:rPr>
          <w:rFonts w:ascii="Fira Sans" w:hAnsi="Fira Sans"/>
          <w:sz w:val="19"/>
          <w:lang w:val="en-US"/>
        </w:rPr>
        <w:t>1</w:t>
      </w:r>
      <w:r w:rsidR="0051442B" w:rsidRPr="00661C39">
        <w:rPr>
          <w:rFonts w:ascii="Fira Sans" w:hAnsi="Fira Sans"/>
          <w:sz w:val="19"/>
          <w:lang w:val="en-US"/>
        </w:rPr>
        <w:t xml:space="preserve"> PLN/kg)</w:t>
      </w:r>
      <w:r>
        <w:rPr>
          <w:rFonts w:ascii="Fira Sans" w:hAnsi="Fira Sans"/>
          <w:sz w:val="19"/>
          <w:lang w:val="en-US"/>
        </w:rPr>
        <w:t xml:space="preserve"> on a monthly basis decreased by </w:t>
      </w:r>
      <w:r w:rsidR="003431F4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>.</w:t>
      </w:r>
      <w:r w:rsidR="003431F4">
        <w:rPr>
          <w:rFonts w:ascii="Fira Sans" w:hAnsi="Fira Sans"/>
          <w:sz w:val="19"/>
          <w:lang w:val="en-US"/>
        </w:rPr>
        <w:t>8</w:t>
      </w:r>
      <w:r>
        <w:rPr>
          <w:rFonts w:ascii="Fira Sans" w:hAnsi="Fira Sans"/>
          <w:sz w:val="19"/>
          <w:lang w:val="en-US"/>
        </w:rPr>
        <w:t xml:space="preserve">% </w:t>
      </w:r>
      <w:r w:rsidR="007D4367">
        <w:rPr>
          <w:rFonts w:ascii="Fira Sans" w:hAnsi="Fira Sans"/>
          <w:sz w:val="19"/>
          <w:lang w:val="en-US"/>
        </w:rPr>
        <w:t>and on an annual basis – by 1</w:t>
      </w:r>
      <w:r w:rsidR="003431F4">
        <w:rPr>
          <w:rFonts w:ascii="Fira Sans" w:hAnsi="Fira Sans"/>
          <w:sz w:val="19"/>
          <w:lang w:val="en-US"/>
        </w:rPr>
        <w:t>4</w:t>
      </w:r>
      <w:r w:rsidR="007D4367">
        <w:rPr>
          <w:rFonts w:ascii="Fira Sans" w:hAnsi="Fira Sans"/>
          <w:sz w:val="19"/>
          <w:lang w:val="en-US"/>
        </w:rPr>
        <w:t>.</w:t>
      </w:r>
      <w:r w:rsidR="003431F4">
        <w:rPr>
          <w:rFonts w:ascii="Fira Sans" w:hAnsi="Fira Sans"/>
          <w:sz w:val="19"/>
          <w:lang w:val="en-US"/>
        </w:rPr>
        <w:t>3</w:t>
      </w:r>
      <w:r w:rsidR="007D4367">
        <w:rPr>
          <w:rFonts w:ascii="Fira Sans" w:hAnsi="Fira Sans"/>
          <w:sz w:val="19"/>
          <w:lang w:val="en-US"/>
        </w:rPr>
        <w:t>%.</w:t>
      </w:r>
    </w:p>
    <w:p w:rsidR="0051442B" w:rsidRPr="00661C39" w:rsidRDefault="007D436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571D6">
        <w:rPr>
          <w:rFonts w:ascii="Fira Sans" w:hAnsi="Fira Sans"/>
          <w:sz w:val="19"/>
          <w:lang w:val="en-US"/>
        </w:rPr>
        <w:t>May</w:t>
      </w:r>
      <w:r>
        <w:rPr>
          <w:rFonts w:ascii="Fira Sans" w:hAnsi="Fira Sans"/>
          <w:sz w:val="19"/>
          <w:lang w:val="en-US"/>
        </w:rPr>
        <w:t xml:space="preserve"> this year</w:t>
      </w:r>
      <w:r w:rsidR="00D16E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13</w:t>
      </w:r>
      <w:r w:rsidR="00C571D6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>.8</w:t>
      </w:r>
      <w:r w:rsidR="00C571D6">
        <w:rPr>
          <w:rFonts w:ascii="Fira Sans" w:hAnsi="Fira Sans"/>
          <w:sz w:val="19"/>
          <w:lang w:val="en-US"/>
        </w:rPr>
        <w:t>8</w:t>
      </w:r>
      <w:r>
        <w:rPr>
          <w:rFonts w:ascii="Fira Sans" w:hAnsi="Fira Sans"/>
          <w:sz w:val="19"/>
          <w:lang w:val="en-US"/>
        </w:rPr>
        <w:t xml:space="preserve"> PLN was paid for 1 hl</w:t>
      </w:r>
      <w:r w:rsidR="006828EB">
        <w:rPr>
          <w:rFonts w:ascii="Fira Sans" w:hAnsi="Fira Sans"/>
          <w:sz w:val="19"/>
          <w:lang w:val="en-US"/>
        </w:rPr>
        <w:t xml:space="preserve"> of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D16EF1" w:rsidRPr="00D16EF1">
        <w:rPr>
          <w:rFonts w:ascii="Fira Sans" w:hAnsi="Fira Sans"/>
          <w:b/>
          <w:sz w:val="19"/>
          <w:lang w:val="en-US"/>
        </w:rPr>
        <w:t>milk</w:t>
      </w:r>
      <w:r w:rsidR="00D16E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i.e less to the previous month and as well as compared to </w:t>
      </w:r>
      <w:r w:rsidR="00C571D6">
        <w:rPr>
          <w:rFonts w:ascii="Fira Sans" w:hAnsi="Fira Sans"/>
          <w:sz w:val="19"/>
          <w:lang w:val="en-US"/>
        </w:rPr>
        <w:t>May</w:t>
      </w:r>
      <w:r>
        <w:rPr>
          <w:rFonts w:ascii="Fira Sans" w:hAnsi="Fira Sans"/>
          <w:sz w:val="19"/>
          <w:lang w:val="en-US"/>
        </w:rPr>
        <w:t xml:space="preserve"> 2019 </w:t>
      </w:r>
      <w:r w:rsidR="00597D52">
        <w:rPr>
          <w:rFonts w:ascii="Fira Sans" w:hAnsi="Fira Sans"/>
          <w:sz w:val="19"/>
          <w:lang w:val="en-US"/>
        </w:rPr>
        <w:t xml:space="preserve">respectively by </w:t>
      </w:r>
      <w:r w:rsidR="00C571D6">
        <w:rPr>
          <w:rFonts w:ascii="Fira Sans" w:hAnsi="Fira Sans"/>
          <w:sz w:val="19"/>
          <w:lang w:val="en-US"/>
        </w:rPr>
        <w:t>1</w:t>
      </w:r>
      <w:r w:rsidR="00597D52">
        <w:rPr>
          <w:rFonts w:ascii="Fira Sans" w:hAnsi="Fira Sans"/>
          <w:sz w:val="19"/>
          <w:lang w:val="en-US"/>
        </w:rPr>
        <w:t>.</w:t>
      </w:r>
      <w:r w:rsidR="00C571D6">
        <w:rPr>
          <w:rFonts w:ascii="Fira Sans" w:hAnsi="Fira Sans"/>
          <w:sz w:val="19"/>
          <w:lang w:val="en-US"/>
        </w:rPr>
        <w:t>5</w:t>
      </w:r>
      <w:r w:rsidR="00597D52">
        <w:rPr>
          <w:rFonts w:ascii="Fira Sans" w:hAnsi="Fira Sans"/>
          <w:sz w:val="19"/>
          <w:lang w:val="en-US"/>
        </w:rPr>
        <w:t>% and 2.</w:t>
      </w:r>
      <w:r w:rsidR="00C571D6">
        <w:rPr>
          <w:rFonts w:ascii="Fira Sans" w:hAnsi="Fira Sans"/>
          <w:sz w:val="19"/>
          <w:lang w:val="en-US"/>
        </w:rPr>
        <w:t>8</w:t>
      </w:r>
      <w:r w:rsidR="00597D52">
        <w:rPr>
          <w:rFonts w:ascii="Fira Sans" w:hAnsi="Fira Sans"/>
          <w:sz w:val="19"/>
          <w:lang w:val="en-US"/>
        </w:rPr>
        <w:t>%.</w:t>
      </w:r>
    </w:p>
    <w:p w:rsidR="00D65656" w:rsidRPr="00332DEC" w:rsidRDefault="001B2FC3" w:rsidP="00AB7F1C">
      <w:pPr>
        <w:spacing w:before="120" w:after="120" w:line="240" w:lineRule="exact"/>
        <w:rPr>
          <w:rFonts w:ascii="Fira Sans" w:hAnsi="Fira Sans"/>
          <w:color w:val="001D77"/>
          <w:sz w:val="19"/>
          <w:lang w:val="en-US"/>
        </w:rPr>
      </w:pPr>
      <w:r>
        <w:rPr>
          <w:rFonts w:ascii="Fira Sans" w:hAnsi="Fira Sans"/>
          <w:color w:val="001D77"/>
          <w:sz w:val="19"/>
          <w:lang w:val="en-US"/>
        </w:rPr>
        <w:t xml:space="preserve"> </w:t>
      </w: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A525AE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4139BFCC" wp14:editId="49266AD0">
            <wp:extent cx="5029200" cy="3154680"/>
            <wp:effectExtent l="0" t="0" r="0" b="762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A23FCB" w:rsidRDefault="00A23FC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0B4137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69CB2D9" wp14:editId="7ED5173C">
            <wp:extent cx="5153025" cy="337693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0615F6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3563B" w:rsidRDefault="00D3563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EE176B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D1AC7F5" wp14:editId="6CE97D61">
            <wp:extent cx="4953000" cy="3467100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391BB3" w:rsidRDefault="006317C6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1608E8CD" wp14:editId="6ED7C34F">
            <wp:extent cx="5133975" cy="3145155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Departament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r w:rsidR="0084287F">
              <w:rPr>
                <w:rFonts w:ascii="Fira Sans" w:hAnsi="Fira Sans"/>
                <w:sz w:val="20"/>
              </w:rPr>
              <w:t>StatPoland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BD0860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BD0860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BD0860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BD0860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BD0860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BD0860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BD0860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 prices</w:t>
                              </w:r>
                            </w:hyperlink>
                          </w:p>
                          <w:p w:rsidR="00713967" w:rsidRPr="00B94304" w:rsidRDefault="00BD0860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BD0860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094684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7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094684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2018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094684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9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094684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40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094684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41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094684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42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094684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3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094684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4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094684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5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6"/>
      <w:headerReference w:type="first" r:id="rId4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60" w:rsidRDefault="00BD0860" w:rsidP="000662E2">
      <w:pPr>
        <w:spacing w:after="0" w:line="240" w:lineRule="auto"/>
      </w:pPr>
      <w:r>
        <w:separator/>
      </w:r>
    </w:p>
  </w:endnote>
  <w:endnote w:type="continuationSeparator" w:id="0">
    <w:p w:rsidR="00BD0860" w:rsidRDefault="00BD086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F51922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F51922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60" w:rsidRDefault="00BD0860" w:rsidP="000662E2">
      <w:pPr>
        <w:spacing w:after="0" w:line="240" w:lineRule="auto"/>
      </w:pPr>
      <w:r>
        <w:separator/>
      </w:r>
    </w:p>
  </w:footnote>
  <w:footnote w:type="continuationSeparator" w:id="0">
    <w:p w:rsidR="00BD0860" w:rsidRDefault="00BD0860" w:rsidP="000662E2">
      <w:pPr>
        <w:spacing w:after="0" w:line="240" w:lineRule="auto"/>
      </w:pPr>
      <w:r>
        <w:continuationSeparator/>
      </w:r>
    </w:p>
  </w:footnote>
  <w:footnote w:id="1">
    <w:p w:rsidR="0034516E" w:rsidRPr="00661C39" w:rsidRDefault="0034516E" w:rsidP="0034516E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 xml:space="preserve">Wheat, rye, cattle for slaughter, pigs for slaughter, </w:t>
      </w:r>
      <w:r w:rsidR="008F34D8" w:rsidRPr="0031038F">
        <w:rPr>
          <w:rFonts w:ascii="Fira Sans" w:hAnsi="Fira Sans"/>
          <w:sz w:val="16"/>
          <w:szCs w:val="16"/>
          <w:lang w:val="en-US"/>
        </w:rPr>
        <w:t>poultry,</w:t>
      </w:r>
      <w:r w:rsidRPr="0031038F">
        <w:rPr>
          <w:rFonts w:ascii="Fira Sans" w:hAnsi="Fira Sans"/>
          <w:sz w:val="16"/>
          <w:szCs w:val="16"/>
          <w:lang w:val="en-US"/>
        </w:rPr>
        <w:t xml:space="preserve">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3.75pt;height:124.5pt;visibility:visible" o:bullet="t">
        <v:imagedata r:id="rId1" o:title=""/>
      </v:shape>
    </w:pict>
  </w:numPicBullet>
  <w:numPicBullet w:numPicBulletId="1">
    <w:pict>
      <v:shape id="_x0000_i1071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trackedChanges" w:enforcement="1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8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349A"/>
    <w:rsid w:val="00013BCB"/>
    <w:rsid w:val="00014825"/>
    <w:rsid w:val="000152F5"/>
    <w:rsid w:val="00015F80"/>
    <w:rsid w:val="00017AE5"/>
    <w:rsid w:val="00020239"/>
    <w:rsid w:val="0002066A"/>
    <w:rsid w:val="00020DDD"/>
    <w:rsid w:val="0002303D"/>
    <w:rsid w:val="0002385D"/>
    <w:rsid w:val="00024A98"/>
    <w:rsid w:val="00024DEB"/>
    <w:rsid w:val="000254D2"/>
    <w:rsid w:val="000258E1"/>
    <w:rsid w:val="00026041"/>
    <w:rsid w:val="00026D6C"/>
    <w:rsid w:val="00027917"/>
    <w:rsid w:val="000309E6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7CA1"/>
    <w:rsid w:val="00060730"/>
    <w:rsid w:val="00060BE6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592"/>
    <w:rsid w:val="00071652"/>
    <w:rsid w:val="00071959"/>
    <w:rsid w:val="00071C6F"/>
    <w:rsid w:val="000723BA"/>
    <w:rsid w:val="000740C0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2E3E"/>
    <w:rsid w:val="000833A1"/>
    <w:rsid w:val="00083D8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0D8"/>
    <w:rsid w:val="00093582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2D8"/>
    <w:rsid w:val="000A642B"/>
    <w:rsid w:val="000A7C99"/>
    <w:rsid w:val="000B04C5"/>
    <w:rsid w:val="000B0727"/>
    <w:rsid w:val="000B08BA"/>
    <w:rsid w:val="000B1C57"/>
    <w:rsid w:val="000B2A6F"/>
    <w:rsid w:val="000B4137"/>
    <w:rsid w:val="000B47B4"/>
    <w:rsid w:val="000B5193"/>
    <w:rsid w:val="000B54C0"/>
    <w:rsid w:val="000B5A17"/>
    <w:rsid w:val="000B691F"/>
    <w:rsid w:val="000B6AB6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964"/>
    <w:rsid w:val="000F3CA1"/>
    <w:rsid w:val="000F4482"/>
    <w:rsid w:val="000F45BD"/>
    <w:rsid w:val="000F4A02"/>
    <w:rsid w:val="000F523E"/>
    <w:rsid w:val="000F5A18"/>
    <w:rsid w:val="000F6141"/>
    <w:rsid w:val="000F78B6"/>
    <w:rsid w:val="000F7F34"/>
    <w:rsid w:val="001005FB"/>
    <w:rsid w:val="00100B9F"/>
    <w:rsid w:val="001011C3"/>
    <w:rsid w:val="001018E2"/>
    <w:rsid w:val="00101D99"/>
    <w:rsid w:val="00102047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36923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2E2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945"/>
    <w:rsid w:val="001820A2"/>
    <w:rsid w:val="0018210A"/>
    <w:rsid w:val="00182AAF"/>
    <w:rsid w:val="00182B67"/>
    <w:rsid w:val="001831A8"/>
    <w:rsid w:val="00183869"/>
    <w:rsid w:val="00183CB1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6542"/>
    <w:rsid w:val="001B7CC3"/>
    <w:rsid w:val="001C0587"/>
    <w:rsid w:val="001C0B59"/>
    <w:rsid w:val="001C1462"/>
    <w:rsid w:val="001C3269"/>
    <w:rsid w:val="001C3883"/>
    <w:rsid w:val="001C40EC"/>
    <w:rsid w:val="001C44D2"/>
    <w:rsid w:val="001C48F2"/>
    <w:rsid w:val="001C4FAF"/>
    <w:rsid w:val="001C50BC"/>
    <w:rsid w:val="001C60C1"/>
    <w:rsid w:val="001C707C"/>
    <w:rsid w:val="001C7E09"/>
    <w:rsid w:val="001D06D4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E68"/>
    <w:rsid w:val="001D6CCC"/>
    <w:rsid w:val="001D7241"/>
    <w:rsid w:val="001D726E"/>
    <w:rsid w:val="001D73E1"/>
    <w:rsid w:val="001D7B0F"/>
    <w:rsid w:val="001E009B"/>
    <w:rsid w:val="001E07FB"/>
    <w:rsid w:val="001E17F5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1E6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40D1"/>
    <w:rsid w:val="00204FA1"/>
    <w:rsid w:val="0020567E"/>
    <w:rsid w:val="00205CCB"/>
    <w:rsid w:val="0020676D"/>
    <w:rsid w:val="00207A22"/>
    <w:rsid w:val="00207C4A"/>
    <w:rsid w:val="002103B9"/>
    <w:rsid w:val="00212390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601D"/>
    <w:rsid w:val="00226FAC"/>
    <w:rsid w:val="002270CF"/>
    <w:rsid w:val="002314EB"/>
    <w:rsid w:val="0023159C"/>
    <w:rsid w:val="00231F58"/>
    <w:rsid w:val="00232B69"/>
    <w:rsid w:val="002331DA"/>
    <w:rsid w:val="002351B7"/>
    <w:rsid w:val="002359B7"/>
    <w:rsid w:val="00236FC5"/>
    <w:rsid w:val="00237277"/>
    <w:rsid w:val="00237BF1"/>
    <w:rsid w:val="00237E10"/>
    <w:rsid w:val="00240A07"/>
    <w:rsid w:val="00240E7F"/>
    <w:rsid w:val="002410D2"/>
    <w:rsid w:val="00242755"/>
    <w:rsid w:val="00242A4E"/>
    <w:rsid w:val="00242ED6"/>
    <w:rsid w:val="002438FE"/>
    <w:rsid w:val="00244414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17E"/>
    <w:rsid w:val="002574F9"/>
    <w:rsid w:val="00257831"/>
    <w:rsid w:val="00257D7C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700F2"/>
    <w:rsid w:val="002701DE"/>
    <w:rsid w:val="00272203"/>
    <w:rsid w:val="00272695"/>
    <w:rsid w:val="002726B0"/>
    <w:rsid w:val="00274691"/>
    <w:rsid w:val="00275D0C"/>
    <w:rsid w:val="0027610A"/>
    <w:rsid w:val="00276811"/>
    <w:rsid w:val="00276E4C"/>
    <w:rsid w:val="0027727C"/>
    <w:rsid w:val="002774DA"/>
    <w:rsid w:val="00281881"/>
    <w:rsid w:val="00281E52"/>
    <w:rsid w:val="00282699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73F"/>
    <w:rsid w:val="002B3EFC"/>
    <w:rsid w:val="002B436C"/>
    <w:rsid w:val="002B6845"/>
    <w:rsid w:val="002B6B12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139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1444"/>
    <w:rsid w:val="002E1B93"/>
    <w:rsid w:val="002E29CD"/>
    <w:rsid w:val="002E2EA2"/>
    <w:rsid w:val="002E38F8"/>
    <w:rsid w:val="002E44EE"/>
    <w:rsid w:val="002E466E"/>
    <w:rsid w:val="002E59C9"/>
    <w:rsid w:val="002E5E9D"/>
    <w:rsid w:val="002E6140"/>
    <w:rsid w:val="002E66DC"/>
    <w:rsid w:val="002E6985"/>
    <w:rsid w:val="002E6A5F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5A2"/>
    <w:rsid w:val="003175E9"/>
    <w:rsid w:val="0031763A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30DCA"/>
    <w:rsid w:val="0033123E"/>
    <w:rsid w:val="00331948"/>
    <w:rsid w:val="00332320"/>
    <w:rsid w:val="00332DEC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2DE0"/>
    <w:rsid w:val="003431C5"/>
    <w:rsid w:val="003431F4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CE6"/>
    <w:rsid w:val="00360006"/>
    <w:rsid w:val="00360261"/>
    <w:rsid w:val="0036045A"/>
    <w:rsid w:val="0036047D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0D2"/>
    <w:rsid w:val="00367237"/>
    <w:rsid w:val="0036795A"/>
    <w:rsid w:val="00367BE4"/>
    <w:rsid w:val="00370192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1BB3"/>
    <w:rsid w:val="00392155"/>
    <w:rsid w:val="00393962"/>
    <w:rsid w:val="00393A33"/>
    <w:rsid w:val="0039412E"/>
    <w:rsid w:val="0039417E"/>
    <w:rsid w:val="003956B3"/>
    <w:rsid w:val="00396338"/>
    <w:rsid w:val="00396F14"/>
    <w:rsid w:val="00397138"/>
    <w:rsid w:val="00397D18"/>
    <w:rsid w:val="003A0560"/>
    <w:rsid w:val="003A1417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1CC5"/>
    <w:rsid w:val="003E3302"/>
    <w:rsid w:val="003E3878"/>
    <w:rsid w:val="003E4AF6"/>
    <w:rsid w:val="003E50D0"/>
    <w:rsid w:val="003E5AA9"/>
    <w:rsid w:val="003E6589"/>
    <w:rsid w:val="003E73C4"/>
    <w:rsid w:val="003E7BC5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12CB"/>
    <w:rsid w:val="00402BDC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F03"/>
    <w:rsid w:val="00442692"/>
    <w:rsid w:val="00443C99"/>
    <w:rsid w:val="00444690"/>
    <w:rsid w:val="00445047"/>
    <w:rsid w:val="0044541F"/>
    <w:rsid w:val="00446151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6E0"/>
    <w:rsid w:val="004657FC"/>
    <w:rsid w:val="0046631D"/>
    <w:rsid w:val="0046678C"/>
    <w:rsid w:val="00466A8C"/>
    <w:rsid w:val="00467984"/>
    <w:rsid w:val="00467C68"/>
    <w:rsid w:val="0047059B"/>
    <w:rsid w:val="00470D45"/>
    <w:rsid w:val="00470DCE"/>
    <w:rsid w:val="00470FF5"/>
    <w:rsid w:val="00471315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45F7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3F3"/>
    <w:rsid w:val="004A3691"/>
    <w:rsid w:val="004A3B58"/>
    <w:rsid w:val="004A4FF3"/>
    <w:rsid w:val="004A6298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D45"/>
    <w:rsid w:val="004D5E7B"/>
    <w:rsid w:val="004D6F5D"/>
    <w:rsid w:val="004D76BC"/>
    <w:rsid w:val="004D77D8"/>
    <w:rsid w:val="004E0172"/>
    <w:rsid w:val="004E10FE"/>
    <w:rsid w:val="004E2F7E"/>
    <w:rsid w:val="004E5C45"/>
    <w:rsid w:val="004E6B3D"/>
    <w:rsid w:val="004E7827"/>
    <w:rsid w:val="004E799F"/>
    <w:rsid w:val="004E7B11"/>
    <w:rsid w:val="004F030D"/>
    <w:rsid w:val="004F096E"/>
    <w:rsid w:val="004F0C3C"/>
    <w:rsid w:val="004F0F29"/>
    <w:rsid w:val="004F14DF"/>
    <w:rsid w:val="004F162D"/>
    <w:rsid w:val="004F2A5F"/>
    <w:rsid w:val="004F3628"/>
    <w:rsid w:val="004F4001"/>
    <w:rsid w:val="004F575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77F"/>
    <w:rsid w:val="0050466E"/>
    <w:rsid w:val="005048AB"/>
    <w:rsid w:val="005059A8"/>
    <w:rsid w:val="00505A92"/>
    <w:rsid w:val="00505C76"/>
    <w:rsid w:val="0050636E"/>
    <w:rsid w:val="00507B04"/>
    <w:rsid w:val="00510774"/>
    <w:rsid w:val="005115B4"/>
    <w:rsid w:val="005130E1"/>
    <w:rsid w:val="00513C35"/>
    <w:rsid w:val="0051442B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63EB"/>
    <w:rsid w:val="00526A72"/>
    <w:rsid w:val="0053099E"/>
    <w:rsid w:val="00531632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D04"/>
    <w:rsid w:val="00590FFD"/>
    <w:rsid w:val="00591320"/>
    <w:rsid w:val="005916D7"/>
    <w:rsid w:val="0059189F"/>
    <w:rsid w:val="00593195"/>
    <w:rsid w:val="00595CEC"/>
    <w:rsid w:val="00597D52"/>
    <w:rsid w:val="005A0542"/>
    <w:rsid w:val="005A0D09"/>
    <w:rsid w:val="005A110B"/>
    <w:rsid w:val="005A1CA4"/>
    <w:rsid w:val="005A2282"/>
    <w:rsid w:val="005A230D"/>
    <w:rsid w:val="005A315F"/>
    <w:rsid w:val="005A45B3"/>
    <w:rsid w:val="005A5677"/>
    <w:rsid w:val="005A5F08"/>
    <w:rsid w:val="005A5F33"/>
    <w:rsid w:val="005A60C5"/>
    <w:rsid w:val="005A6352"/>
    <w:rsid w:val="005A651F"/>
    <w:rsid w:val="005A698C"/>
    <w:rsid w:val="005A76FE"/>
    <w:rsid w:val="005B008D"/>
    <w:rsid w:val="005B00E1"/>
    <w:rsid w:val="005B09B1"/>
    <w:rsid w:val="005B17B9"/>
    <w:rsid w:val="005B1E98"/>
    <w:rsid w:val="005B2464"/>
    <w:rsid w:val="005B397D"/>
    <w:rsid w:val="005B46C4"/>
    <w:rsid w:val="005B4A9F"/>
    <w:rsid w:val="005B4F6A"/>
    <w:rsid w:val="005C17B6"/>
    <w:rsid w:val="005C1ACD"/>
    <w:rsid w:val="005C1CC1"/>
    <w:rsid w:val="005C1EAD"/>
    <w:rsid w:val="005C296A"/>
    <w:rsid w:val="005C2CFA"/>
    <w:rsid w:val="005C3757"/>
    <w:rsid w:val="005C401C"/>
    <w:rsid w:val="005C441B"/>
    <w:rsid w:val="005C4646"/>
    <w:rsid w:val="005C5687"/>
    <w:rsid w:val="005C572D"/>
    <w:rsid w:val="005C5733"/>
    <w:rsid w:val="005C5F3F"/>
    <w:rsid w:val="005C70EF"/>
    <w:rsid w:val="005C7AFA"/>
    <w:rsid w:val="005C7E09"/>
    <w:rsid w:val="005D031D"/>
    <w:rsid w:val="005D0646"/>
    <w:rsid w:val="005D1D90"/>
    <w:rsid w:val="005D3ACB"/>
    <w:rsid w:val="005D4D2A"/>
    <w:rsid w:val="005D501E"/>
    <w:rsid w:val="005D627C"/>
    <w:rsid w:val="005D678E"/>
    <w:rsid w:val="005D6965"/>
    <w:rsid w:val="005D6F34"/>
    <w:rsid w:val="005E0259"/>
    <w:rsid w:val="005E0ADF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265B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20308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6CD"/>
    <w:rsid w:val="006317C6"/>
    <w:rsid w:val="00631EDA"/>
    <w:rsid w:val="00632905"/>
    <w:rsid w:val="0063332A"/>
    <w:rsid w:val="0063437B"/>
    <w:rsid w:val="006359F5"/>
    <w:rsid w:val="00635BAB"/>
    <w:rsid w:val="00636475"/>
    <w:rsid w:val="006367CB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AF2"/>
    <w:rsid w:val="00650DD7"/>
    <w:rsid w:val="00651C52"/>
    <w:rsid w:val="006527B4"/>
    <w:rsid w:val="00652E05"/>
    <w:rsid w:val="00653646"/>
    <w:rsid w:val="006537E1"/>
    <w:rsid w:val="00653A13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6682"/>
    <w:rsid w:val="00666A3D"/>
    <w:rsid w:val="00666F6F"/>
    <w:rsid w:val="006673CA"/>
    <w:rsid w:val="00667532"/>
    <w:rsid w:val="00667F18"/>
    <w:rsid w:val="00670F4C"/>
    <w:rsid w:val="006752FE"/>
    <w:rsid w:val="00680455"/>
    <w:rsid w:val="00680DD6"/>
    <w:rsid w:val="00682501"/>
    <w:rsid w:val="006828EB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4784"/>
    <w:rsid w:val="00695127"/>
    <w:rsid w:val="00697161"/>
    <w:rsid w:val="00697272"/>
    <w:rsid w:val="00697454"/>
    <w:rsid w:val="006A1109"/>
    <w:rsid w:val="006A11E0"/>
    <w:rsid w:val="006A15C9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E9E"/>
    <w:rsid w:val="006B1148"/>
    <w:rsid w:val="006B126F"/>
    <w:rsid w:val="006B1271"/>
    <w:rsid w:val="006B17C8"/>
    <w:rsid w:val="006B2001"/>
    <w:rsid w:val="006B2275"/>
    <w:rsid w:val="006B2B97"/>
    <w:rsid w:val="006B33D8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0AC2"/>
    <w:rsid w:val="006C1BDE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540C"/>
    <w:rsid w:val="006D612C"/>
    <w:rsid w:val="006D6332"/>
    <w:rsid w:val="006D6503"/>
    <w:rsid w:val="006D6CF9"/>
    <w:rsid w:val="006D7090"/>
    <w:rsid w:val="006E02EC"/>
    <w:rsid w:val="006E0A6F"/>
    <w:rsid w:val="006E1DDA"/>
    <w:rsid w:val="006E2BFD"/>
    <w:rsid w:val="006E49D2"/>
    <w:rsid w:val="006E4CDA"/>
    <w:rsid w:val="006E64A8"/>
    <w:rsid w:val="006E65EF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0D52"/>
    <w:rsid w:val="007024CD"/>
    <w:rsid w:val="00703DC0"/>
    <w:rsid w:val="007053D5"/>
    <w:rsid w:val="00705CB0"/>
    <w:rsid w:val="00706309"/>
    <w:rsid w:val="007066A3"/>
    <w:rsid w:val="00706DD3"/>
    <w:rsid w:val="00706F4E"/>
    <w:rsid w:val="00707CF2"/>
    <w:rsid w:val="00707ECB"/>
    <w:rsid w:val="00712027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2703C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4E28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95E"/>
    <w:rsid w:val="00744346"/>
    <w:rsid w:val="00744556"/>
    <w:rsid w:val="00744AA8"/>
    <w:rsid w:val="007456A5"/>
    <w:rsid w:val="00746187"/>
    <w:rsid w:val="007465CF"/>
    <w:rsid w:val="0074773B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CD8"/>
    <w:rsid w:val="00752D23"/>
    <w:rsid w:val="007530C0"/>
    <w:rsid w:val="00753625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527"/>
    <w:rsid w:val="00765F07"/>
    <w:rsid w:val="00766661"/>
    <w:rsid w:val="00770224"/>
    <w:rsid w:val="00772292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6BD"/>
    <w:rsid w:val="00797FBA"/>
    <w:rsid w:val="007A18B3"/>
    <w:rsid w:val="007A2410"/>
    <w:rsid w:val="007A2DC1"/>
    <w:rsid w:val="007A4B8A"/>
    <w:rsid w:val="007A508F"/>
    <w:rsid w:val="007A5500"/>
    <w:rsid w:val="007A5EDD"/>
    <w:rsid w:val="007A6A73"/>
    <w:rsid w:val="007A7CA3"/>
    <w:rsid w:val="007A7E0A"/>
    <w:rsid w:val="007B2346"/>
    <w:rsid w:val="007B285E"/>
    <w:rsid w:val="007B3380"/>
    <w:rsid w:val="007B33D5"/>
    <w:rsid w:val="007B4120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C6EF9"/>
    <w:rsid w:val="007D072A"/>
    <w:rsid w:val="007D0C3C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C22"/>
    <w:rsid w:val="007E46FA"/>
    <w:rsid w:val="007E4B03"/>
    <w:rsid w:val="007E5284"/>
    <w:rsid w:val="007E7373"/>
    <w:rsid w:val="007E7A46"/>
    <w:rsid w:val="007F0AFD"/>
    <w:rsid w:val="007F0D21"/>
    <w:rsid w:val="007F14F2"/>
    <w:rsid w:val="007F18D8"/>
    <w:rsid w:val="007F2AC2"/>
    <w:rsid w:val="007F2BE5"/>
    <w:rsid w:val="007F306D"/>
    <w:rsid w:val="007F324B"/>
    <w:rsid w:val="007F3410"/>
    <w:rsid w:val="007F3E45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CF4"/>
    <w:rsid w:val="0083133D"/>
    <w:rsid w:val="00831F69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87F"/>
    <w:rsid w:val="00842DA2"/>
    <w:rsid w:val="00843135"/>
    <w:rsid w:val="00843509"/>
    <w:rsid w:val="00843795"/>
    <w:rsid w:val="0084406B"/>
    <w:rsid w:val="0084428E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47E2"/>
    <w:rsid w:val="00855A96"/>
    <w:rsid w:val="00855A9F"/>
    <w:rsid w:val="0085624B"/>
    <w:rsid w:val="00856648"/>
    <w:rsid w:val="008602AB"/>
    <w:rsid w:val="008610A6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CCF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6F9A"/>
    <w:rsid w:val="00887EA6"/>
    <w:rsid w:val="008902D8"/>
    <w:rsid w:val="008914E2"/>
    <w:rsid w:val="008918A2"/>
    <w:rsid w:val="00892AB4"/>
    <w:rsid w:val="00892C15"/>
    <w:rsid w:val="008956F7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A40E3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B36"/>
    <w:rsid w:val="008C7FB0"/>
    <w:rsid w:val="008D094F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B54"/>
    <w:rsid w:val="00901D20"/>
    <w:rsid w:val="009043FA"/>
    <w:rsid w:val="009046B7"/>
    <w:rsid w:val="00904AE7"/>
    <w:rsid w:val="009056AE"/>
    <w:rsid w:val="0090648B"/>
    <w:rsid w:val="009103ED"/>
    <w:rsid w:val="00910C98"/>
    <w:rsid w:val="00911FCE"/>
    <w:rsid w:val="00912639"/>
    <w:rsid w:val="00917178"/>
    <w:rsid w:val="00917989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1962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11"/>
    <w:rsid w:val="00962BD1"/>
    <w:rsid w:val="00963416"/>
    <w:rsid w:val="0096391E"/>
    <w:rsid w:val="00964491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2338"/>
    <w:rsid w:val="00993416"/>
    <w:rsid w:val="00993726"/>
    <w:rsid w:val="00993E30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76B"/>
    <w:rsid w:val="009B244D"/>
    <w:rsid w:val="009B3224"/>
    <w:rsid w:val="009B3E22"/>
    <w:rsid w:val="009B4EE0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591C"/>
    <w:rsid w:val="009D6D1B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25AE"/>
    <w:rsid w:val="00A53132"/>
    <w:rsid w:val="00A5362E"/>
    <w:rsid w:val="00A536CA"/>
    <w:rsid w:val="00A54E97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CC4"/>
    <w:rsid w:val="00A64ECB"/>
    <w:rsid w:val="00A658B0"/>
    <w:rsid w:val="00A665B9"/>
    <w:rsid w:val="00A66778"/>
    <w:rsid w:val="00A70DA1"/>
    <w:rsid w:val="00A71000"/>
    <w:rsid w:val="00A713D0"/>
    <w:rsid w:val="00A717DE"/>
    <w:rsid w:val="00A72F83"/>
    <w:rsid w:val="00A73769"/>
    <w:rsid w:val="00A74227"/>
    <w:rsid w:val="00A748C7"/>
    <w:rsid w:val="00A75291"/>
    <w:rsid w:val="00A75BC8"/>
    <w:rsid w:val="00A77626"/>
    <w:rsid w:val="00A7781D"/>
    <w:rsid w:val="00A77C47"/>
    <w:rsid w:val="00A77F7C"/>
    <w:rsid w:val="00A77FC3"/>
    <w:rsid w:val="00A80FF5"/>
    <w:rsid w:val="00A81107"/>
    <w:rsid w:val="00A81235"/>
    <w:rsid w:val="00A82991"/>
    <w:rsid w:val="00A8381C"/>
    <w:rsid w:val="00A83EDC"/>
    <w:rsid w:val="00A844B5"/>
    <w:rsid w:val="00A84C3A"/>
    <w:rsid w:val="00A85DCA"/>
    <w:rsid w:val="00A8603E"/>
    <w:rsid w:val="00A86077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33A8"/>
    <w:rsid w:val="00AA35CC"/>
    <w:rsid w:val="00AA3A3D"/>
    <w:rsid w:val="00AA4800"/>
    <w:rsid w:val="00AA4B14"/>
    <w:rsid w:val="00AA59FE"/>
    <w:rsid w:val="00AA5C62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954"/>
    <w:rsid w:val="00AB3D3E"/>
    <w:rsid w:val="00AB3E11"/>
    <w:rsid w:val="00AB3F4B"/>
    <w:rsid w:val="00AB587B"/>
    <w:rsid w:val="00AB6123"/>
    <w:rsid w:val="00AB635D"/>
    <w:rsid w:val="00AB6D25"/>
    <w:rsid w:val="00AB7938"/>
    <w:rsid w:val="00AB7F1C"/>
    <w:rsid w:val="00AC02E7"/>
    <w:rsid w:val="00AC0C7B"/>
    <w:rsid w:val="00AC10DF"/>
    <w:rsid w:val="00AC1770"/>
    <w:rsid w:val="00AC1942"/>
    <w:rsid w:val="00AC1F5F"/>
    <w:rsid w:val="00AC3371"/>
    <w:rsid w:val="00AC3742"/>
    <w:rsid w:val="00AC3E26"/>
    <w:rsid w:val="00AC40AE"/>
    <w:rsid w:val="00AC4C4A"/>
    <w:rsid w:val="00AC60C7"/>
    <w:rsid w:val="00AC675E"/>
    <w:rsid w:val="00AC6D6A"/>
    <w:rsid w:val="00AD0323"/>
    <w:rsid w:val="00AD06AD"/>
    <w:rsid w:val="00AD0E41"/>
    <w:rsid w:val="00AD1310"/>
    <w:rsid w:val="00AD2DC1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F99"/>
    <w:rsid w:val="00AE626C"/>
    <w:rsid w:val="00AE6F15"/>
    <w:rsid w:val="00AE771B"/>
    <w:rsid w:val="00AE7949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533"/>
    <w:rsid w:val="00B03638"/>
    <w:rsid w:val="00B0366F"/>
    <w:rsid w:val="00B05438"/>
    <w:rsid w:val="00B06227"/>
    <w:rsid w:val="00B10211"/>
    <w:rsid w:val="00B125DF"/>
    <w:rsid w:val="00B12CC4"/>
    <w:rsid w:val="00B1362B"/>
    <w:rsid w:val="00B14952"/>
    <w:rsid w:val="00B152C9"/>
    <w:rsid w:val="00B168D2"/>
    <w:rsid w:val="00B16A9B"/>
    <w:rsid w:val="00B17E1B"/>
    <w:rsid w:val="00B2134B"/>
    <w:rsid w:val="00B2194A"/>
    <w:rsid w:val="00B2215B"/>
    <w:rsid w:val="00B22545"/>
    <w:rsid w:val="00B228F5"/>
    <w:rsid w:val="00B22BA1"/>
    <w:rsid w:val="00B22DFE"/>
    <w:rsid w:val="00B23EBD"/>
    <w:rsid w:val="00B240EB"/>
    <w:rsid w:val="00B2462B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969"/>
    <w:rsid w:val="00B41AC9"/>
    <w:rsid w:val="00B4311B"/>
    <w:rsid w:val="00B4375E"/>
    <w:rsid w:val="00B438BA"/>
    <w:rsid w:val="00B440B8"/>
    <w:rsid w:val="00B4459D"/>
    <w:rsid w:val="00B44E67"/>
    <w:rsid w:val="00B4565C"/>
    <w:rsid w:val="00B45D46"/>
    <w:rsid w:val="00B462A1"/>
    <w:rsid w:val="00B47C5B"/>
    <w:rsid w:val="00B47D3F"/>
    <w:rsid w:val="00B51A57"/>
    <w:rsid w:val="00B52112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1475"/>
    <w:rsid w:val="00B71855"/>
    <w:rsid w:val="00B71B74"/>
    <w:rsid w:val="00B7235F"/>
    <w:rsid w:val="00B73612"/>
    <w:rsid w:val="00B74623"/>
    <w:rsid w:val="00B74EC0"/>
    <w:rsid w:val="00B759DD"/>
    <w:rsid w:val="00B761C1"/>
    <w:rsid w:val="00B761FC"/>
    <w:rsid w:val="00B76E7A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46BB"/>
    <w:rsid w:val="00B95145"/>
    <w:rsid w:val="00B956EE"/>
    <w:rsid w:val="00B96047"/>
    <w:rsid w:val="00B96C90"/>
    <w:rsid w:val="00B97998"/>
    <w:rsid w:val="00BA07CF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1F7C"/>
    <w:rsid w:val="00BC3E9C"/>
    <w:rsid w:val="00BC4B00"/>
    <w:rsid w:val="00BC54E6"/>
    <w:rsid w:val="00BC56C8"/>
    <w:rsid w:val="00BC6015"/>
    <w:rsid w:val="00BC6C2E"/>
    <w:rsid w:val="00BD0860"/>
    <w:rsid w:val="00BD214B"/>
    <w:rsid w:val="00BD23B3"/>
    <w:rsid w:val="00BD2DDA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131C"/>
    <w:rsid w:val="00BE1FB4"/>
    <w:rsid w:val="00BE2638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FB3"/>
    <w:rsid w:val="00BF1E98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BD9"/>
    <w:rsid w:val="00BF6FE5"/>
    <w:rsid w:val="00BF7284"/>
    <w:rsid w:val="00BF75C9"/>
    <w:rsid w:val="00C009C4"/>
    <w:rsid w:val="00C00BF5"/>
    <w:rsid w:val="00C0125E"/>
    <w:rsid w:val="00C013E6"/>
    <w:rsid w:val="00C01489"/>
    <w:rsid w:val="00C01726"/>
    <w:rsid w:val="00C030DE"/>
    <w:rsid w:val="00C041B3"/>
    <w:rsid w:val="00C05487"/>
    <w:rsid w:val="00C0592A"/>
    <w:rsid w:val="00C06780"/>
    <w:rsid w:val="00C06950"/>
    <w:rsid w:val="00C06A88"/>
    <w:rsid w:val="00C07640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E0B"/>
    <w:rsid w:val="00C44E36"/>
    <w:rsid w:val="00C4523F"/>
    <w:rsid w:val="00C4577D"/>
    <w:rsid w:val="00C4726F"/>
    <w:rsid w:val="00C4735E"/>
    <w:rsid w:val="00C47A6B"/>
    <w:rsid w:val="00C51B9B"/>
    <w:rsid w:val="00C52068"/>
    <w:rsid w:val="00C53CB4"/>
    <w:rsid w:val="00C540DF"/>
    <w:rsid w:val="00C55277"/>
    <w:rsid w:val="00C55544"/>
    <w:rsid w:val="00C571D6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1BA2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6E7B"/>
    <w:rsid w:val="00C90019"/>
    <w:rsid w:val="00C90962"/>
    <w:rsid w:val="00C91687"/>
    <w:rsid w:val="00C9221A"/>
    <w:rsid w:val="00C924A8"/>
    <w:rsid w:val="00C9276F"/>
    <w:rsid w:val="00C93F22"/>
    <w:rsid w:val="00C944C4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6462"/>
    <w:rsid w:val="00CA7B7B"/>
    <w:rsid w:val="00CB1C25"/>
    <w:rsid w:val="00CB30D1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6A3"/>
    <w:rsid w:val="00CD0936"/>
    <w:rsid w:val="00CD0A2B"/>
    <w:rsid w:val="00CD0E08"/>
    <w:rsid w:val="00CD103D"/>
    <w:rsid w:val="00CD26D8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CE8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6A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A6"/>
    <w:rsid w:val="00D16EF1"/>
    <w:rsid w:val="00D20E75"/>
    <w:rsid w:val="00D215E4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617"/>
    <w:rsid w:val="00D3563B"/>
    <w:rsid w:val="00D35ABF"/>
    <w:rsid w:val="00D36A5E"/>
    <w:rsid w:val="00D36FC0"/>
    <w:rsid w:val="00D37BB9"/>
    <w:rsid w:val="00D37E99"/>
    <w:rsid w:val="00D401E4"/>
    <w:rsid w:val="00D40CAD"/>
    <w:rsid w:val="00D40CBF"/>
    <w:rsid w:val="00D413CF"/>
    <w:rsid w:val="00D41F0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BB9"/>
    <w:rsid w:val="00D63D5A"/>
    <w:rsid w:val="00D643D6"/>
    <w:rsid w:val="00D65656"/>
    <w:rsid w:val="00D65740"/>
    <w:rsid w:val="00D666D4"/>
    <w:rsid w:val="00D66C2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472"/>
    <w:rsid w:val="00D84A46"/>
    <w:rsid w:val="00D8518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CD9"/>
    <w:rsid w:val="00DB3FDE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316"/>
    <w:rsid w:val="00DC1A99"/>
    <w:rsid w:val="00DC1B1B"/>
    <w:rsid w:val="00DC2BD5"/>
    <w:rsid w:val="00DC301C"/>
    <w:rsid w:val="00DC3553"/>
    <w:rsid w:val="00DC3860"/>
    <w:rsid w:val="00DC3887"/>
    <w:rsid w:val="00DC3B08"/>
    <w:rsid w:val="00DC3E22"/>
    <w:rsid w:val="00DC42F7"/>
    <w:rsid w:val="00DC4CFA"/>
    <w:rsid w:val="00DC51C8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50E3"/>
    <w:rsid w:val="00DD52CE"/>
    <w:rsid w:val="00DD6945"/>
    <w:rsid w:val="00DD6CCB"/>
    <w:rsid w:val="00DD7814"/>
    <w:rsid w:val="00DE08D5"/>
    <w:rsid w:val="00DE146B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62E2"/>
    <w:rsid w:val="00DF64DD"/>
    <w:rsid w:val="00DF6DE7"/>
    <w:rsid w:val="00DF6FA0"/>
    <w:rsid w:val="00DF75AF"/>
    <w:rsid w:val="00DF7947"/>
    <w:rsid w:val="00E006FC"/>
    <w:rsid w:val="00E00706"/>
    <w:rsid w:val="00E00E4F"/>
    <w:rsid w:val="00E01436"/>
    <w:rsid w:val="00E020E5"/>
    <w:rsid w:val="00E024E6"/>
    <w:rsid w:val="00E03530"/>
    <w:rsid w:val="00E03D47"/>
    <w:rsid w:val="00E045BD"/>
    <w:rsid w:val="00E04C02"/>
    <w:rsid w:val="00E04CC8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6CD"/>
    <w:rsid w:val="00E42C3E"/>
    <w:rsid w:val="00E42FF9"/>
    <w:rsid w:val="00E43767"/>
    <w:rsid w:val="00E43880"/>
    <w:rsid w:val="00E43FD8"/>
    <w:rsid w:val="00E444EA"/>
    <w:rsid w:val="00E4471B"/>
    <w:rsid w:val="00E44C0F"/>
    <w:rsid w:val="00E44D60"/>
    <w:rsid w:val="00E45A08"/>
    <w:rsid w:val="00E45B29"/>
    <w:rsid w:val="00E46137"/>
    <w:rsid w:val="00E46776"/>
    <w:rsid w:val="00E46E72"/>
    <w:rsid w:val="00E4714C"/>
    <w:rsid w:val="00E47265"/>
    <w:rsid w:val="00E47B2B"/>
    <w:rsid w:val="00E47D5C"/>
    <w:rsid w:val="00E504A0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1D1F"/>
    <w:rsid w:val="00E8342D"/>
    <w:rsid w:val="00E83942"/>
    <w:rsid w:val="00E84777"/>
    <w:rsid w:val="00E84888"/>
    <w:rsid w:val="00E84EBA"/>
    <w:rsid w:val="00E854AF"/>
    <w:rsid w:val="00E864D2"/>
    <w:rsid w:val="00E86D8E"/>
    <w:rsid w:val="00E86E65"/>
    <w:rsid w:val="00E87E3C"/>
    <w:rsid w:val="00E90C23"/>
    <w:rsid w:val="00E9165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5C4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151"/>
    <w:rsid w:val="00ED3542"/>
    <w:rsid w:val="00ED4FDD"/>
    <w:rsid w:val="00ED55C0"/>
    <w:rsid w:val="00ED5908"/>
    <w:rsid w:val="00ED62C2"/>
    <w:rsid w:val="00ED670D"/>
    <w:rsid w:val="00ED682B"/>
    <w:rsid w:val="00EE027D"/>
    <w:rsid w:val="00EE176B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7E7"/>
    <w:rsid w:val="00F03AE0"/>
    <w:rsid w:val="00F03FEA"/>
    <w:rsid w:val="00F04FC6"/>
    <w:rsid w:val="00F05545"/>
    <w:rsid w:val="00F072F9"/>
    <w:rsid w:val="00F073D0"/>
    <w:rsid w:val="00F10C4B"/>
    <w:rsid w:val="00F11B41"/>
    <w:rsid w:val="00F121A7"/>
    <w:rsid w:val="00F1268D"/>
    <w:rsid w:val="00F13D23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86B"/>
    <w:rsid w:val="00F24F3A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1922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BDD"/>
    <w:rsid w:val="00F720E6"/>
    <w:rsid w:val="00F721CD"/>
    <w:rsid w:val="00F7265E"/>
    <w:rsid w:val="00F73B32"/>
    <w:rsid w:val="00F749DA"/>
    <w:rsid w:val="00F74B8C"/>
    <w:rsid w:val="00F74FA7"/>
    <w:rsid w:val="00F74FC1"/>
    <w:rsid w:val="00F75B48"/>
    <w:rsid w:val="00F75CFF"/>
    <w:rsid w:val="00F76212"/>
    <w:rsid w:val="00F7680C"/>
    <w:rsid w:val="00F7753D"/>
    <w:rsid w:val="00F77788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124A"/>
    <w:rsid w:val="00FA17CD"/>
    <w:rsid w:val="00FA17D1"/>
    <w:rsid w:val="00FA1B12"/>
    <w:rsid w:val="00FA21B5"/>
    <w:rsid w:val="00FA4270"/>
    <w:rsid w:val="00FA4353"/>
    <w:rsid w:val="00FA43B7"/>
    <w:rsid w:val="00FA4C74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3C4C"/>
    <w:rsid w:val="00FD471F"/>
    <w:rsid w:val="00FD5142"/>
    <w:rsid w:val="00FD51B5"/>
    <w:rsid w:val="00FD5BC1"/>
    <w:rsid w:val="00FD6D55"/>
    <w:rsid w:val="00FD6F1D"/>
    <w:rsid w:val="00FD78A9"/>
    <w:rsid w:val="00FD7B34"/>
    <w:rsid w:val="00FE039E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en/topics/prices-trade/prices/prices-in-the-national-economy-in-20142018,2,15.html" TargetMode="External"/><Relationship Id="rId21" Type="http://schemas.openxmlformats.org/officeDocument/2006/relationships/image" Target="media/image5.png"/><Relationship Id="rId42" Type="http://schemas.openxmlformats.org/officeDocument/2006/relationships/hyperlink" Target="https://stat.gov.pl/metainformacje/slownik-pojec/pojecia-stosowane-w-statystyce-publicznej/2331,pojecie.html" TargetMode="External"/><Relationship Id="rId47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49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hyperlink" Target="https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43" Type="http://schemas.openxmlformats.org/officeDocument/2006/relationships/hyperlink" Target="https://stat.gov.pl/metainformacje/slownik-pojec/pojecia-stosowane-w-statystyce-publicznej/3234,pojecie.html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8" Type="http://schemas.openxmlformats.org/officeDocument/2006/relationships/hyperlink" Target="https://stat.gov.pl/obszary-tematyczne/rolnictwo-lesnictwo/rolnictwo/skup-i-ceny-produktow-rolnych-w-2018-roku,7,15.html" TargetMode="External"/><Relationship Id="rId46" Type="http://schemas.openxmlformats.org/officeDocument/2006/relationships/header" Target="header3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waid.stat.gov.pl/EN/SitePagesDBW/Ceny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08231306416042E-2"/>
          <c:y val="0.1104390243902439"/>
          <c:w val="0.95519176869358391"/>
          <c:h val="0.6951099161385314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6783853792E-2"/>
                  <c:y val="3.87147342540415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94331573680092E-2"/>
                  <c:y val="-3.28882083144570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575205558055409E-2"/>
                  <c:y val="-1.56555793500459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341124355502991E-2"/>
                  <c:y val="-5.6723129121054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7E-2"/>
                  <c:y val="-2.8474914432396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20382939447E-2"/>
                  <c:y val="3.7485229349818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98026058719E-2"/>
                  <c:y val="3.6270846209378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691916480075029E-2"/>
                  <c:y val="-3.44781817019630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59995390524E-2"/>
                  <c:y val="2.8252415959672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2419019970683212E-2"/>
                  <c:y val="3.943271767339157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249988576033346E-2"/>
                      <c:h val="6.3545857189308386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8510750602950276E-2"/>
                  <c:y val="-3.24439099513402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9600833438786609E-2"/>
                  <c:y val="-2.568122446061450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1.9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404593694562872E-2"/>
                      <c:h val="7.9189296459893727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963371767121119E-2"/>
                  <c:y val="2.98430879295103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164867905170349E-2"/>
                  <c:y val="-3.3172966928399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0790972197919735E-2"/>
                  <c:y val="1.8622807804980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715867075095182E-2"/>
                  <c:y val="3.2513369518390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21195522695953E-2"/>
                  <c:y val="4.434789613626730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744214721697801E-2"/>
                      <c:h val="8.23170165832625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346986525965155E-2"/>
                  <c:y val="-2.42896318186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498200219871851E-2"/>
                  <c:y val="3.3425348367360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876295099614801E-2"/>
                  <c:y val="2.8208602323660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78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wskaźnik!$B$4:$B$20</c:f>
              <c:numCache>
                <c:formatCode>0.0</c:formatCode>
                <c:ptCount val="17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2355920"/>
        <c:axId val="-82358096"/>
        <c:extLst/>
      </c:lineChart>
      <c:catAx>
        <c:axId val="-8235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-8235809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235809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6387173160241188E-3"/>
              <c:y val="2.717367646117406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8235592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43038964050836E-2"/>
          <c:y val="0.10825307362895427"/>
          <c:w val="0.89816683250463214"/>
          <c:h val="0.647390523552977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1627127255190482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7000499074282824E-2"/>
                  <c:y val="-3.98841625795674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229992176486681E-2"/>
                  <c:y val="-4.61621654367712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3522582371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1957052481E-2"/>
                  <c:y val="-4.081335631243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7641859097E-2"/>
                  <c:y val="-4.614279961288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432122802459E-2"/>
                  <c:y val="-4.560371047105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473498050109638E-2"/>
                  <c:y val="-4.3850184000154925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7.</a:t>
                    </a:r>
                    <a:r>
                      <a:rPr lang="en-US"/>
                      <a:t>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59975555265E-2"/>
                  <c:y val="-3.296857721278124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</a:t>
                    </a:r>
                    <a:r>
                      <a:rPr lang="en-US"/>
                      <a:t>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730820444159706E-2"/>
                  <c:y val="5.607111223829094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-</a:t>
                    </a:r>
                    <a:r>
                      <a:rPr lang="en-US"/>
                      <a:t>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749929203462712E-2"/>
                  <c:y val="4.90104674017672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6612596074054E-2"/>
                      <c:h val="9.1274667465939638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9338520450875746E-2"/>
                  <c:y val="-3.1599065872105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90229659384E-2"/>
                  <c:y val="-3.6820886487968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467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wskaźnik!$A$4:$A$20</c:f>
              <c:strCache>
                <c:ptCount val="17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wskaźnik!$B$4:$B$20</c:f>
              <c:numCache>
                <c:formatCode>0.0</c:formatCode>
                <c:ptCount val="17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51775552"/>
        <c:axId val="-1951777728"/>
        <c:extLst/>
      </c:lineChart>
      <c:catAx>
        <c:axId val="-195177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195177772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951777728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7367096426356412E-2"/>
              <c:y val="2.717174059528561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1951775552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64E-2"/>
          <c:y val="0.1015668009970984"/>
          <c:w val="0.88421658845308249"/>
          <c:h val="0.67649164621072722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zyto'!$B$4:$B$20</c:f>
              <c:numCache>
                <c:formatCode>0.00</c:formatCode>
                <c:ptCount val="17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zyto'!$C$4:$C$20</c:f>
              <c:numCache>
                <c:formatCode>0.00</c:formatCode>
                <c:ptCount val="17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zyto'!$D$4:$D$20</c:f>
              <c:numCache>
                <c:formatCode>0.00</c:formatCode>
                <c:ptCount val="17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zyto'!$E$4:$E$20</c:f>
              <c:numCache>
                <c:formatCode>0.00</c:formatCode>
                <c:ptCount val="17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1782624"/>
        <c:axId val="-1951778816"/>
      </c:lineChart>
      <c:catAx>
        <c:axId val="-195178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778816"/>
        <c:crosses val="autoZero"/>
        <c:auto val="1"/>
        <c:lblAlgn val="ctr"/>
        <c:lblOffset val="100"/>
        <c:noMultiLvlLbl val="0"/>
      </c:catAx>
      <c:valAx>
        <c:axId val="-195177881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2345282608217248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78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66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37346024907699"/>
          <c:y val="7.1242609969083909E-2"/>
          <c:w val="0.87240232678863383"/>
          <c:h val="0.69204632610092598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'ziemniaki 4'!$B$4:$B$20</c:f>
              <c:numCache>
                <c:formatCode>0.00</c:formatCode>
                <c:ptCount val="17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'ziemniaki 4'!$C$4:$C$20</c:f>
              <c:numCache>
                <c:formatCode>General</c:formatCode>
                <c:ptCount val="17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1781536"/>
        <c:axId val="-1951776640"/>
        <c:extLst/>
      </c:lineChart>
      <c:catAx>
        <c:axId val="-195178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517766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95177664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3.7105195491968307E-2"/>
              <c:y val="4.207964038342518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5178153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1449469001217731"/>
          <c:y val="0.88922313609046677"/>
          <c:w val="0.75129482197350095"/>
          <c:h val="7.591449194456528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93812162918176E-2"/>
          <c:y val="7.1002125049082571E-2"/>
          <c:w val="0.85933577139203599"/>
          <c:h val="0.73733377104165421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5'!$B$4:$B$20</c:f>
              <c:numCache>
                <c:formatCode>0.00</c:formatCode>
                <c:ptCount val="17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5'!$C$4:$C$20</c:f>
              <c:numCache>
                <c:formatCode>0.00</c:formatCode>
                <c:ptCount val="17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5'!$D$4:$D$20</c:f>
              <c:numCache>
                <c:formatCode>0.00</c:formatCode>
                <c:ptCount val="17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5'!$E$4:$E$20</c:f>
              <c:numCache>
                <c:formatCode>0.00</c:formatCode>
                <c:ptCount val="17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1779360"/>
        <c:axId val="-1959817632"/>
      </c:lineChart>
      <c:catAx>
        <c:axId val="-195177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9817632"/>
        <c:crosses val="autoZero"/>
        <c:auto val="1"/>
        <c:lblAlgn val="ctr"/>
        <c:lblOffset val="100"/>
        <c:noMultiLvlLbl val="0"/>
      </c:catAx>
      <c:valAx>
        <c:axId val="-1959817632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9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3.6454581281331208E-2"/>
              <c:y val="6.194093219648943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7793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903"/>
          <c:w val="0.83194427769790213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850532344659095E-2"/>
          <c:y val="7.339336893233217E-2"/>
          <c:w val="0.8484523200833662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'drób_mleko 6'!$B$4:$B$20</c:f>
              <c:numCache>
                <c:formatCode>General</c:formatCode>
                <c:ptCount val="17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9818176"/>
        <c:axId val="-195981436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Caws'milk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'drób_mleko 6'!$C$4:$C$20</c:f>
              <c:numCache>
                <c:formatCode>General</c:formatCode>
                <c:ptCount val="17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9813280"/>
        <c:axId val="-1959812192"/>
        <c:extLst/>
      </c:lineChart>
      <c:catAx>
        <c:axId val="-195981817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959814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95981436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1.537562827830447E-2"/>
              <c:y val="9.034212940220751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959818176"/>
        <c:crosses val="autoZero"/>
        <c:crossBetween val="between"/>
        <c:majorUnit val="1"/>
      </c:valAx>
      <c:catAx>
        <c:axId val="-1959813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59812192"/>
        <c:crosses val="autoZero"/>
        <c:auto val="0"/>
        <c:lblAlgn val="ctr"/>
        <c:lblOffset val="100"/>
        <c:noMultiLvlLbl val="0"/>
      </c:catAx>
      <c:valAx>
        <c:axId val="-195981219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2725768475295278"/>
              <c:y val="2.0461152033415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95981328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6870-9A34-4095-B167-A8EDBC9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2020-02-21T08:34:00Z</cp:lastPrinted>
  <dcterms:created xsi:type="dcterms:W3CDTF">2020-06-23T06:55:00Z</dcterms:created>
  <dcterms:modified xsi:type="dcterms:W3CDTF">2020-06-23T06:55:00Z</dcterms:modified>
</cp:coreProperties>
</file>