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78" w:rsidRPr="000F45BD" w:rsidRDefault="008E7952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56" type="#_x0000_t202" style="position:absolute;margin-left:414.6pt;margin-top:7.2pt;width:112.8pt;height:26.5pt;z-index:2518261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dHt8&#10;7d0AAAAJAQAADwAAAAAAAAAAAAAAAABpBAAAZHJzL2Rvd25yZXYueG1sUEsFBgAAAAAEAAQA8wAA&#10;AHMFAAAAAA==&#10;" filled="f" stroked="f">
            <v:textbox>
              <w:txbxContent>
                <w:p w:rsidR="00FB5D78" w:rsidRPr="00F75CFF" w:rsidRDefault="00FD098D" w:rsidP="00FB5D78">
                  <w:pPr>
                    <w:jc w:val="both"/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</w:pPr>
                  <w:r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20</w:t>
                  </w:r>
                  <w:r w:rsidR="00FB5D78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.0</w:t>
                  </w:r>
                  <w:r w:rsidR="00D35AB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5</w:t>
                  </w:r>
                  <w:r w:rsidR="00FB5D78"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.20</w:t>
                  </w:r>
                  <w:r w:rsidR="00FB5D78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20</w:t>
                  </w:r>
                  <w:r w:rsidR="00FB5D78"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D35ABF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April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2020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B71855" w:rsidRPr="000F45BD" w:rsidRDefault="008E7952" w:rsidP="00B7185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8E7952">
        <w:rPr>
          <w:rFonts w:ascii="Fira Sans" w:hAnsi="Fira Sans"/>
          <w:b/>
          <w:noProof/>
          <w:sz w:val="19"/>
          <w:szCs w:val="20"/>
          <w:lang w:eastAsia="pl-PL"/>
        </w:rPr>
        <w:pict>
          <v:shape id="_x0000_s1027" type="#_x0000_t202" style="position:absolute;margin-left:0;margin-top:6.35pt;width:132pt;height:106.4pt;z-index:251794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" fillcolor="#001d77" stroked="f">
            <v:textbox style="mso-next-textbox:#_x0000_s1027">
              <w:txbxContent>
                <w:p w:rsidR="00133140" w:rsidRPr="000F45BD" w:rsidRDefault="008E7952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8E7952">
                    <w:rPr>
                      <w:noProof/>
                      <w:color w:val="001D77"/>
                      <w:lang w:eastAsia="pl-PL"/>
                    </w:rPr>
                    <w:pict>
                      <v:shape id="Obraz 33" o:spid="_x0000_i1025" type="#_x0000_t75" style="width:24pt;height:28.8pt;rotation:180;visibility:visible;mso-wrap-style:square" o:bullet="t">
                        <v:imagedata r:id="rId8" o:title=""/>
                      </v:shape>
                    </w:pict>
                  </w:r>
                  <w:r w:rsidR="00133140" w:rsidRPr="000F45BD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 xml:space="preserve"> </w:t>
                  </w:r>
                  <w:r w:rsidR="00473ACA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3</w:t>
                  </w:r>
                  <w:r w:rsidR="001B33E5" w:rsidRPr="000F45BD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.</w:t>
                  </w:r>
                  <w:r w:rsidR="00473ACA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6</w:t>
                  </w:r>
                  <w:r w:rsidR="00133140" w:rsidRPr="000F45BD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%</w:t>
                  </w:r>
                  <w:r w:rsidR="0013314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 </w:t>
                  </w:r>
                  <w:r w:rsidR="0013314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br/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a </w:t>
                  </w:r>
                  <w:r w:rsidR="00453C6A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decrease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 in procur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e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ment</w:t>
                  </w:r>
                  <w:r w:rsidR="00A7100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 prices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 of basic ag</w:t>
                  </w:r>
                  <w:r w:rsidR="00000D7A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r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i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cultural products </w:t>
                  </w:r>
                  <w:r w:rsidR="00A7100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in co</w:t>
                  </w:r>
                  <w:r w:rsidR="00A7100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m</w:t>
                  </w:r>
                  <w:r w:rsidR="00A7100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parison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 with </w:t>
                  </w:r>
                  <w:r w:rsidR="00C77353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April 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2019</w:t>
                  </w:r>
                </w:p>
              </w:txbxContent>
            </v:textbox>
            <w10:wrap type="square" anchorx="margin"/>
          </v:shape>
        </w:pic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Procurement prices of basic agricultural products</w:t>
      </w:r>
      <w:r w:rsidR="0034516E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F67D63">
        <w:rPr>
          <w:rFonts w:ascii="Fira Sans" w:hAnsi="Fira Sans"/>
          <w:b/>
          <w:sz w:val="19"/>
          <w:szCs w:val="20"/>
          <w:lang w:val="en-US" w:eastAsia="pl-PL"/>
        </w:rPr>
        <w:t>d</w:t>
      </w:r>
      <w:r w:rsidR="00F67D63">
        <w:rPr>
          <w:rFonts w:ascii="Fira Sans" w:hAnsi="Fira Sans"/>
          <w:b/>
          <w:sz w:val="19"/>
          <w:szCs w:val="20"/>
          <w:lang w:val="en-US" w:eastAsia="pl-PL"/>
        </w:rPr>
        <w:t>e</w:t>
      </w:r>
      <w:r w:rsidR="00F67D63">
        <w:rPr>
          <w:rFonts w:ascii="Fira Sans" w:hAnsi="Fira Sans"/>
          <w:b/>
          <w:sz w:val="19"/>
          <w:szCs w:val="20"/>
          <w:lang w:val="en-US" w:eastAsia="pl-PL"/>
        </w:rPr>
        <w:t>creased</w: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in </w:t>
      </w:r>
      <w:r w:rsidR="00B71855">
        <w:rPr>
          <w:rFonts w:ascii="Fira Sans" w:hAnsi="Fira Sans"/>
          <w:b/>
          <w:sz w:val="19"/>
          <w:szCs w:val="20"/>
          <w:lang w:val="en-US" w:eastAsia="pl-PL"/>
        </w:rPr>
        <w:t>April</w: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2020  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in comparison with the previous month (by </w:t>
      </w:r>
      <w:r w:rsidR="006B2B97">
        <w:rPr>
          <w:rFonts w:ascii="Fira Sans" w:hAnsi="Fira Sans"/>
          <w:b/>
          <w:sz w:val="19"/>
          <w:szCs w:val="20"/>
          <w:lang w:val="en-US" w:eastAsia="pl-PL"/>
        </w:rPr>
        <w:t>4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6B2B97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%), while compared to </w:t>
      </w:r>
      <w:r w:rsidR="00650DD7">
        <w:rPr>
          <w:rFonts w:ascii="Fira Sans" w:hAnsi="Fira Sans"/>
          <w:b/>
          <w:sz w:val="19"/>
          <w:szCs w:val="20"/>
          <w:lang w:val="en-US" w:eastAsia="pl-PL"/>
        </w:rPr>
        <w:t>April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2019 (by </w:t>
      </w:r>
      <w:r w:rsidR="006B2B97">
        <w:rPr>
          <w:rFonts w:ascii="Fira Sans" w:hAnsi="Fira Sans"/>
          <w:b/>
          <w:sz w:val="19"/>
          <w:szCs w:val="20"/>
          <w:lang w:val="en-US" w:eastAsia="pl-PL"/>
        </w:rPr>
        <w:t>3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6B2B97">
        <w:rPr>
          <w:rFonts w:ascii="Fira Sans" w:hAnsi="Fira Sans"/>
          <w:b/>
          <w:sz w:val="19"/>
          <w:szCs w:val="20"/>
          <w:lang w:val="en-US" w:eastAsia="pl-PL"/>
        </w:rPr>
        <w:t>6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%).</w:t>
      </w:r>
    </w:p>
    <w:p w:rsidR="00113D95" w:rsidRPr="000F45BD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A44CD9" w:rsidRDefault="00A44CD9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E795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8E7952" w:rsidRPr="00294769">
        <w:rPr>
          <w:rFonts w:ascii="Fira Sans" w:hAnsi="Fira Sans"/>
          <w:b/>
          <w:sz w:val="18"/>
          <w:szCs w:val="18"/>
        </w:rPr>
        <w:fldChar w:fldCharType="separate"/>
      </w:r>
      <w:r w:rsidR="007C5B82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8E795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 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:rsidR="00BC4B00" w:rsidRDefault="00437B2C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437B2C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inline distT="0" distB="0" distL="0" distR="0">
            <wp:extent cx="4828309" cy="2154382"/>
            <wp:effectExtent l="0" t="0" r="0" b="0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8E7952" w:rsidRPr="008E7952">
        <w:rPr>
          <w:rFonts w:ascii="Fira Sans" w:hAnsi="Fira Sans"/>
          <w:noProof/>
          <w:sz w:val="19"/>
          <w:szCs w:val="18"/>
          <w:lang w:eastAsia="pl-PL"/>
        </w:rPr>
        <w:pict>
          <v:shape id="_x0000_s1061" type="#_x0000_t202" style="position:absolute;left:0;text-align:left;margin-left:434.25pt;margin-top:9.5pt;width:114.05pt;height:117.2pt;z-index:-25148928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" filled="f" stroked="f">
            <v:textbox style="mso-next-textbox:#_x0000_s1061">
              <w:txbxContent>
                <w:p w:rsidR="009C699E" w:rsidRPr="00661C39" w:rsidRDefault="0011103C" w:rsidP="009C699E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</w:pPr>
                  <w:r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The </w:t>
                  </w:r>
                  <w:r w:rsidR="00356DB0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fall</w:t>
                  </w:r>
                  <w:r w:rsidR="005263EB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in procurement prices of </w:t>
                  </w:r>
                  <w:r w:rsidR="00665418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b</w:t>
                  </w:r>
                  <w:r w:rsidR="005263EB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asic agricu</w:t>
                  </w:r>
                  <w:r w:rsidR="005263EB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l</w:t>
                  </w:r>
                  <w:r w:rsidR="005263EB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tural products</w:t>
                  </w:r>
                  <w:r w:rsidR="00787946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265080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i</w:t>
                  </w:r>
                  <w:r w:rsidR="00787946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n </w:t>
                  </w:r>
                  <w:r w:rsidR="0086171E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April</w:t>
                  </w:r>
                  <w:r w:rsidR="00787946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2020</w:t>
                  </w:r>
                  <w:r w:rsidR="009C699E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787946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as related to </w:t>
                  </w:r>
                  <w:r w:rsidR="0086171E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March </w:t>
                  </w:r>
                  <w:r w:rsidR="009C699E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2020 </w:t>
                  </w:r>
                  <w:r w:rsidR="00DE4CA5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was the re</w:t>
                  </w:r>
                  <w:r w:rsidR="007A5EDD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s</w:t>
                  </w:r>
                  <w:r w:rsidR="00DE4CA5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ult</w:t>
                  </w:r>
                  <w:r w:rsidR="009C699E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DE4CA5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of price</w:t>
                  </w:r>
                  <w:r w:rsidR="00C96EAC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s drop of</w:t>
                  </w:r>
                  <w:r w:rsidR="009F3DD7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86171E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animals </w:t>
                  </w:r>
                  <w:r w:rsidR="0005381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f</w:t>
                  </w:r>
                  <w:r w:rsidR="009247A8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or slaughter and cows’</w:t>
                  </w:r>
                  <w:r w:rsidR="00E25847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9247A8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milk</w:t>
                  </w:r>
                </w:p>
                <w:p w:rsidR="009C699E" w:rsidRPr="00661C39" w:rsidRDefault="009C699E" w:rsidP="009C699E">
                  <w:pPr>
                    <w:jc w:val="both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tight"/>
          </v:shape>
        </w:pict>
      </w:r>
      <w:r w:rsidR="008E7952" w:rsidRPr="008E7952">
        <w:rPr>
          <w:noProof/>
          <w:sz w:val="20"/>
          <w:szCs w:val="20"/>
          <w:lang w:eastAsia="pl-PL"/>
        </w:rPr>
        <w:pict>
          <v:shape id="_x0000_s1028" type="#_x0000_t202" style="position:absolute;left:0;text-align:left;margin-left:427.2pt;margin-top:9.5pt;width:127.2pt;height:119.45pt;z-index:-251521024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" filled="f" stroked="f">
            <v:textbox style="mso-next-textbox:#_x0000_s1028">
              <w:txbxContent>
                <w:p w:rsidR="00133140" w:rsidRPr="003A3978" w:rsidRDefault="00133140" w:rsidP="003A3978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347B4E" w:rsidRPr="000F45BD" w:rsidRDefault="00347B4E" w:rsidP="005E76C0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 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:rsidR="009F2576" w:rsidRDefault="008E7952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8E7952">
        <w:rPr>
          <w:rFonts w:ascii="Fira Sans" w:hAnsi="Fira Sans"/>
          <w:b/>
          <w:noProof/>
          <w:sz w:val="18"/>
          <w:szCs w:val="18"/>
          <w:lang w:eastAsia="pl-PL"/>
        </w:rPr>
        <w:pict>
          <v:shape id="_x0000_s1062" type="#_x0000_t202" style="position:absolute;margin-left:434.25pt;margin-top:8.2pt;width:110.45pt;height:141.9pt;z-index:-2514882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" filled="f" stroked="f">
            <v:textbox style="mso-next-textbox:#_x0000_s1062">
              <w:txbxContent>
                <w:p w:rsidR="00695127" w:rsidRDefault="00260FF0" w:rsidP="00D55103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</w:pPr>
                  <w:r w:rsidRPr="00B44E67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Lowe</w:t>
                  </w:r>
                  <w:r w:rsidRPr="00AC0C7B">
                    <w:rPr>
                      <w:rFonts w:ascii="Fira Sans" w:hAnsi="Fira Sans"/>
                      <w:sz w:val="18"/>
                      <w:szCs w:val="18"/>
                      <w:lang w:val="en-US"/>
                    </w:rPr>
                    <w:t>r</w:t>
                  </w:r>
                  <w:r w:rsidR="00D5510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procurement prices of</w:t>
                  </w:r>
                  <w:r w:rsid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 </w:t>
                  </w:r>
                  <w:r w:rsidR="00D5510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basic agricu</w:t>
                  </w:r>
                  <w:r w:rsidR="00D5510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l</w:t>
                  </w:r>
                  <w:r w:rsidR="00D5510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tural products </w:t>
                  </w:r>
                  <w:r w:rsidR="00A8381C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i</w:t>
                  </w:r>
                  <w:r w:rsidR="00D5510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n </w:t>
                  </w:r>
                  <w:r w:rsidR="00D7255C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April</w:t>
                  </w:r>
                  <w:r w:rsidR="00D413CF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4216C8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this</w:t>
                  </w:r>
                  <w:r w:rsidR="00992338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year</w:t>
                  </w:r>
                  <w:r w:rsidR="00D5510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360006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compared </w:t>
                  </w:r>
                  <w:r w:rsidR="00D47C12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to the same</w:t>
                  </w:r>
                  <w:r w:rsidR="00360006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month</w:t>
                  </w:r>
                  <w:r w:rsidR="00CB4CD2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of the </w:t>
                  </w:r>
                  <w:r w:rsidR="00065F11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last</w:t>
                  </w:r>
                  <w:r w:rsidR="00CB4CD2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year</w:t>
                  </w:r>
                  <w:r w:rsidR="001B7CC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was caused by </w:t>
                  </w:r>
                  <w:r w:rsidR="00CC278C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a</w:t>
                  </w:r>
                  <w:r w:rsidR="001B7CC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D413CF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decrease</w:t>
                  </w:r>
                  <w:r w:rsidR="001B7CC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in</w:t>
                  </w:r>
                  <w:r w:rsidR="001F7B83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prices of</w:t>
                  </w:r>
                  <w:r w:rsidR="00D413CF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rye</w:t>
                  </w:r>
                  <w:r w:rsidR="00BF080B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,</w:t>
                  </w:r>
                  <w:r w:rsidR="00D413CF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C85734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poultry, </w:t>
                  </w:r>
                  <w:r w:rsidR="00D413CF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cattle for slaughter, and </w:t>
                  </w:r>
                  <w:r w:rsidR="00A72F83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cows’ </w:t>
                  </w:r>
                  <w:r w:rsidR="00D413CF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milk </w:t>
                  </w:r>
                  <w:r w:rsid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prices</w:t>
                  </w:r>
                  <w:r w:rsidR="00695127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BA56B8" w:rsidRPr="00661C39" w:rsidRDefault="00661C39" w:rsidP="00D55103">
                  <w:pPr>
                    <w:spacing w:after="0" w:line="240" w:lineRule="exact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 w:rsidR="00CD06A3" w:rsidRPr="00CD06A3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inline distT="0" distB="0" distL="0" distR="0">
            <wp:extent cx="5056909" cy="1828800"/>
            <wp:effectExtent l="0" t="0" r="0" b="0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1091" w:rsidRDefault="00A01091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Procurement prices </w:t>
      </w:r>
    </w:p>
    <w:p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647E3A">
        <w:rPr>
          <w:rFonts w:ascii="Fira Sans" w:hAnsi="Fira Sans"/>
          <w:sz w:val="19"/>
          <w:szCs w:val="18"/>
          <w:lang w:val="en-US"/>
        </w:rPr>
        <w:t>April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2020 compared to the </w:t>
      </w:r>
      <w:r w:rsidR="00A66778">
        <w:rPr>
          <w:rFonts w:ascii="Fira Sans" w:hAnsi="Fira Sans"/>
          <w:sz w:val="19"/>
          <w:szCs w:val="18"/>
          <w:lang w:val="en-US"/>
        </w:rPr>
        <w:t>March</w:t>
      </w:r>
      <w:r w:rsidR="000B1C57">
        <w:rPr>
          <w:rFonts w:ascii="Fira Sans" w:hAnsi="Fira Sans"/>
          <w:sz w:val="19"/>
          <w:szCs w:val="18"/>
          <w:lang w:val="en-US"/>
        </w:rPr>
        <w:t xml:space="preserve"> this year</w:t>
      </w:r>
      <w:r w:rsidR="006F225B">
        <w:rPr>
          <w:rFonts w:ascii="Fira Sans" w:hAnsi="Fira Sans"/>
          <w:sz w:val="19"/>
          <w:szCs w:val="18"/>
          <w:lang w:val="en-US"/>
        </w:rPr>
        <w:t xml:space="preserve">, </w:t>
      </w:r>
      <w:r w:rsidRPr="00661C39">
        <w:rPr>
          <w:rFonts w:ascii="Fira Sans" w:hAnsi="Fira Sans"/>
          <w:sz w:val="19"/>
          <w:szCs w:val="18"/>
          <w:lang w:val="en-US"/>
        </w:rPr>
        <w:t xml:space="preserve">procurement prices of </w:t>
      </w:r>
      <w:r w:rsidR="00E711C8">
        <w:rPr>
          <w:rFonts w:ascii="Fira Sans" w:hAnsi="Fira Sans"/>
          <w:sz w:val="19"/>
          <w:szCs w:val="18"/>
          <w:lang w:val="en-US"/>
        </w:rPr>
        <w:t>cereal grain</w:t>
      </w:r>
      <w:r w:rsidRPr="00661C39">
        <w:rPr>
          <w:rFonts w:ascii="Fira Sans" w:hAnsi="Fira Sans"/>
          <w:sz w:val="19"/>
          <w:szCs w:val="18"/>
          <w:lang w:val="en-US"/>
        </w:rPr>
        <w:t xml:space="preserve"> increased</w:t>
      </w:r>
      <w:r w:rsidR="008D3D8E">
        <w:rPr>
          <w:rFonts w:ascii="Fira Sans" w:hAnsi="Fira Sans"/>
          <w:sz w:val="19"/>
          <w:szCs w:val="18"/>
          <w:lang w:val="en-US"/>
        </w:rPr>
        <w:t>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8D3D8E">
        <w:rPr>
          <w:rFonts w:ascii="Fira Sans" w:hAnsi="Fira Sans"/>
          <w:sz w:val="19"/>
          <w:szCs w:val="18"/>
          <w:lang w:val="en-US"/>
        </w:rPr>
        <w:t>The</w:t>
      </w:r>
      <w:r w:rsidRPr="00661C39">
        <w:rPr>
          <w:rFonts w:ascii="Fira Sans" w:hAnsi="Fira Sans"/>
          <w:sz w:val="19"/>
          <w:szCs w:val="18"/>
          <w:lang w:val="en-US"/>
        </w:rPr>
        <w:t xml:space="preserve"> prices of </w:t>
      </w:r>
      <w:r w:rsidR="00753625">
        <w:rPr>
          <w:rFonts w:ascii="Fira Sans" w:hAnsi="Fira Sans"/>
          <w:sz w:val="19"/>
          <w:szCs w:val="18"/>
          <w:lang w:val="en-US"/>
        </w:rPr>
        <w:t>potatoes</w:t>
      </w:r>
      <w:r w:rsidR="00A83EDC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753625">
        <w:rPr>
          <w:rFonts w:ascii="Fira Sans" w:hAnsi="Fira Sans"/>
          <w:sz w:val="19"/>
          <w:szCs w:val="18"/>
          <w:lang w:val="en-US"/>
        </w:rPr>
        <w:t>animals for slaughter</w:t>
      </w:r>
      <w:r w:rsidR="00A83EDC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and </w:t>
      </w:r>
      <w:r w:rsidR="008F0FEC">
        <w:rPr>
          <w:rFonts w:ascii="Fira Sans" w:hAnsi="Fira Sans"/>
          <w:sz w:val="19"/>
          <w:szCs w:val="18"/>
          <w:lang w:val="en-US"/>
        </w:rPr>
        <w:t>cows</w:t>
      </w:r>
      <w:r w:rsidR="006A5E7B">
        <w:rPr>
          <w:rFonts w:ascii="Fira Sans" w:hAnsi="Fira Sans"/>
          <w:sz w:val="19"/>
          <w:szCs w:val="18"/>
          <w:lang w:val="en-US"/>
        </w:rPr>
        <w:t>’</w:t>
      </w:r>
      <w:r w:rsidR="0047267E">
        <w:rPr>
          <w:rFonts w:ascii="Fira Sans" w:hAnsi="Fira Sans"/>
          <w:sz w:val="19"/>
          <w:szCs w:val="18"/>
          <w:lang w:val="en-US"/>
        </w:rPr>
        <w:t xml:space="preserve"> </w:t>
      </w:r>
      <w:r w:rsidR="008F0FEC">
        <w:rPr>
          <w:rFonts w:ascii="Fira Sans" w:hAnsi="Fira Sans"/>
          <w:sz w:val="19"/>
          <w:szCs w:val="18"/>
          <w:lang w:val="en-US"/>
        </w:rPr>
        <w:t>milk</w:t>
      </w:r>
      <w:r w:rsidR="008D3D8E">
        <w:rPr>
          <w:rFonts w:ascii="Fira Sans" w:hAnsi="Fira Sans"/>
          <w:sz w:val="19"/>
          <w:szCs w:val="18"/>
          <w:lang w:val="en-US"/>
        </w:rPr>
        <w:t xml:space="preserve"> were lower</w:t>
      </w:r>
      <w:r w:rsidR="00753625">
        <w:rPr>
          <w:rFonts w:ascii="Fira Sans" w:hAnsi="Fira Sans"/>
          <w:sz w:val="19"/>
          <w:szCs w:val="18"/>
          <w:lang w:val="en-US"/>
        </w:rPr>
        <w:t>.</w:t>
      </w:r>
      <w:r w:rsidR="008D3D8E">
        <w:rPr>
          <w:rFonts w:ascii="Fira Sans" w:hAnsi="Fira Sans"/>
          <w:sz w:val="19"/>
          <w:szCs w:val="18"/>
          <w:lang w:val="en-US"/>
        </w:rPr>
        <w:t xml:space="preserve"> </w:t>
      </w:r>
    </w:p>
    <w:p w:rsidR="0052321F" w:rsidRPr="00661C39" w:rsidRDefault="00AF6CD4" w:rsidP="00D726E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comparison 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52321F" w:rsidRPr="00661C39">
        <w:rPr>
          <w:rFonts w:ascii="Fira Sans" w:hAnsi="Fira Sans"/>
          <w:sz w:val="19"/>
          <w:szCs w:val="18"/>
          <w:lang w:val="en-US"/>
        </w:rPr>
        <w:t>with the corresponding month of the previous year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in </w:t>
      </w:r>
      <w:r w:rsidR="00753625">
        <w:rPr>
          <w:rFonts w:ascii="Fira Sans" w:hAnsi="Fira Sans"/>
          <w:sz w:val="19"/>
          <w:szCs w:val="18"/>
          <w:lang w:val="en-US"/>
        </w:rPr>
        <w:t>April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753625">
        <w:rPr>
          <w:rFonts w:ascii="Fira Sans" w:hAnsi="Fira Sans"/>
          <w:sz w:val="19"/>
          <w:szCs w:val="18"/>
          <w:lang w:val="en-US"/>
        </w:rPr>
        <w:t>this year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the drop in prices of most agricultural products was recorded</w:t>
      </w:r>
      <w:r w:rsidR="0080666A">
        <w:rPr>
          <w:rFonts w:ascii="Fira Sans" w:hAnsi="Fira Sans"/>
          <w:sz w:val="19"/>
          <w:szCs w:val="18"/>
          <w:lang w:val="en-US"/>
        </w:rPr>
        <w:t>,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80666A">
        <w:rPr>
          <w:rFonts w:ascii="Fira Sans" w:hAnsi="Fira Sans"/>
          <w:sz w:val="19"/>
          <w:szCs w:val="18"/>
          <w:lang w:val="en-US"/>
        </w:rPr>
        <w:t>h</w:t>
      </w:r>
      <w:r w:rsidR="00E47D5C">
        <w:rPr>
          <w:rFonts w:ascii="Fira Sans" w:hAnsi="Fira Sans"/>
          <w:sz w:val="19"/>
          <w:szCs w:val="18"/>
          <w:lang w:val="en-US"/>
        </w:rPr>
        <w:t xml:space="preserve">owever, 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the prices of </w:t>
      </w:r>
      <w:r w:rsidR="0080666A">
        <w:rPr>
          <w:rFonts w:ascii="Fira Sans" w:hAnsi="Fira Sans"/>
          <w:sz w:val="19"/>
          <w:szCs w:val="18"/>
          <w:lang w:val="en-US"/>
        </w:rPr>
        <w:t>wheat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and pigs </w:t>
      </w:r>
      <w:r w:rsidR="003B6154">
        <w:rPr>
          <w:rFonts w:ascii="Fira Sans" w:hAnsi="Fira Sans"/>
          <w:sz w:val="19"/>
          <w:szCs w:val="18"/>
          <w:lang w:val="en-US"/>
        </w:rPr>
        <w:t>for slaughter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3B6154">
        <w:rPr>
          <w:rFonts w:ascii="Fira Sans" w:hAnsi="Fira Sans"/>
          <w:sz w:val="19"/>
          <w:szCs w:val="18"/>
          <w:lang w:val="en-US"/>
        </w:rPr>
        <w:t>increased.</w:t>
      </w:r>
    </w:p>
    <w:p w:rsidR="00B125DF" w:rsidRPr="000F45BD" w:rsidRDefault="00B125DF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lastRenderedPageBreak/>
        <w:t xml:space="preserve">Table 1. Prices of agricultural products (excluding VAT) in </w:t>
      </w:r>
      <w:r w:rsidR="00A156F6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April</w:t>
      </w:r>
      <w:r w:rsidR="00846DAA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2020 </w:t>
      </w:r>
    </w:p>
    <w:p w:rsidR="004656E0" w:rsidRPr="000F45BD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val="en-US" w:eastAsia="pl-PL"/>
        </w:rPr>
      </w:pP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980"/>
        <w:gridCol w:w="980"/>
        <w:gridCol w:w="980"/>
        <w:gridCol w:w="980"/>
        <w:gridCol w:w="980"/>
        <w:gridCol w:w="980"/>
      </w:tblGrid>
      <w:tr w:rsidR="004656E0" w:rsidRPr="004656E0" w:rsidTr="004D1B0A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r w:rsidR="002359B7" w:rsidRPr="002359B7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E62B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IV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E62B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IV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7A7CA3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DE62B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DE62B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7A7CA3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DE62B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DE62B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IV</w:t>
            </w:r>
          </w:p>
        </w:tc>
      </w:tr>
      <w:tr w:rsidR="004656E0" w:rsidRPr="004656E0" w:rsidTr="000103B6">
        <w:trPr>
          <w:trHeight w:val="300"/>
        </w:trPr>
        <w:tc>
          <w:tcPr>
            <w:tcW w:w="2000" w:type="dxa"/>
            <w:vMerge/>
            <w:tcBorders>
              <w:top w:val="nil"/>
              <w:left w:val="nil"/>
              <w:bottom w:val="single" w:sz="12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0103B6">
        <w:trPr>
          <w:trHeight w:val="285"/>
        </w:trPr>
        <w:tc>
          <w:tcPr>
            <w:tcW w:w="200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Cereal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930D8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4656E0" w:rsidRDefault="000930D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7C5F30" w:rsidRDefault="000930D8" w:rsidP="00F75B48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80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AC65E1" w:rsidRDefault="000930D8" w:rsidP="005C2448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AC65E1">
              <w:rPr>
                <w:rFonts w:ascii="Fira Sans" w:hAnsi="Fira Sans" w:cs="Arial"/>
                <w:sz w:val="16"/>
                <w:szCs w:val="16"/>
              </w:rPr>
              <w:t>107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AC65E1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930D8" w:rsidRPr="00E602AF" w:rsidRDefault="000930D8" w:rsidP="00F75B48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602AF">
              <w:rPr>
                <w:rFonts w:ascii="Fira Sans" w:hAnsi="Fira Sans" w:cs="Arial"/>
                <w:sz w:val="16"/>
                <w:szCs w:val="16"/>
              </w:rPr>
              <w:t>100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E602AF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0930D8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930D8" w:rsidRPr="004656E0" w:rsidRDefault="000930D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7C5F30" w:rsidRDefault="000930D8" w:rsidP="005C24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59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24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AC65E1" w:rsidRDefault="000930D8" w:rsidP="00F75B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AC65E1">
              <w:rPr>
                <w:rFonts w:ascii="Fira Sans" w:hAnsi="Fira Sans" w:cs="Arial"/>
                <w:sz w:val="16"/>
                <w:szCs w:val="16"/>
              </w:rPr>
              <w:t>105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AC65E1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930D8" w:rsidRPr="003559E2" w:rsidRDefault="000930D8" w:rsidP="00F75B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59E2">
              <w:rPr>
                <w:rFonts w:ascii="Fira Sans" w:hAnsi="Fira Sans" w:cs="Arial"/>
                <w:sz w:val="16"/>
                <w:szCs w:val="16"/>
              </w:rPr>
              <w:t>81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3559E2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0930D8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4656E0" w:rsidRDefault="000930D8" w:rsidP="00C10DF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7C5F30" w:rsidRDefault="000930D8" w:rsidP="00F75B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67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09764F" w:rsidRDefault="000930D8" w:rsidP="005C24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9764F">
              <w:rPr>
                <w:rFonts w:ascii="Fira Sans" w:hAnsi="Fira Sans" w:cs="Arial"/>
                <w:sz w:val="16"/>
                <w:szCs w:val="16"/>
              </w:rPr>
              <w:t>101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09764F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930D8" w:rsidRPr="00192A02" w:rsidRDefault="000930D8" w:rsidP="00F75B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92A02">
              <w:rPr>
                <w:rFonts w:ascii="Fira Sans" w:hAnsi="Fira Sans" w:cs="Arial"/>
                <w:sz w:val="16"/>
                <w:szCs w:val="16"/>
              </w:rPr>
              <w:t>87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192A02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0930D8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930D8" w:rsidRPr="004656E0" w:rsidRDefault="000930D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7C5F30" w:rsidRDefault="000930D8" w:rsidP="005C24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65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81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F41CC6" w:rsidRDefault="000930D8" w:rsidP="006367C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41CC6">
              <w:rPr>
                <w:rFonts w:ascii="Fira Sans" w:hAnsi="Fira Sans" w:cs="Arial"/>
                <w:sz w:val="16"/>
                <w:szCs w:val="16"/>
              </w:rPr>
              <w:t>105</w:t>
            </w:r>
            <w:r w:rsidR="002B373F">
              <w:rPr>
                <w:rFonts w:ascii="Fira Sans" w:hAnsi="Fira Sans" w:cs="Arial"/>
                <w:sz w:val="16"/>
                <w:szCs w:val="16"/>
              </w:rPr>
              <w:t>.</w:t>
            </w:r>
            <w:r w:rsidRPr="00F41CC6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930D8" w:rsidRPr="00B55D95" w:rsidRDefault="000930D8" w:rsidP="005C24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55D95">
              <w:rPr>
                <w:rFonts w:ascii="Fira Sans" w:hAnsi="Fira Sans" w:cs="Arial"/>
                <w:sz w:val="16"/>
                <w:szCs w:val="16"/>
              </w:rPr>
              <w:t>86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B55D95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0930D8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930D8" w:rsidRPr="004656E0" w:rsidRDefault="000930D8" w:rsidP="00836F81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7C5F30" w:rsidRDefault="000930D8" w:rsidP="00F75B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63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96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6D05C7" w:rsidRDefault="000930D8" w:rsidP="005C24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D05C7">
              <w:rPr>
                <w:rFonts w:ascii="Fira Sans" w:hAnsi="Fira Sans" w:cs="Arial"/>
                <w:sz w:val="16"/>
                <w:szCs w:val="16"/>
              </w:rPr>
              <w:t>102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6D05C7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930D8" w:rsidRPr="00223D14" w:rsidRDefault="000930D8" w:rsidP="005C24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23D14">
              <w:rPr>
                <w:rFonts w:ascii="Fira Sans" w:hAnsi="Fira Sans" w:cs="Arial"/>
                <w:sz w:val="16"/>
                <w:szCs w:val="16"/>
              </w:rPr>
              <w:t>88,8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0930D8" w:rsidRPr="004656E0" w:rsidTr="00272695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930D8" w:rsidRPr="004656E0" w:rsidRDefault="000930D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7C5F30" w:rsidRDefault="000930D8" w:rsidP="005C24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71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37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9D4654" w:rsidRDefault="000930D8" w:rsidP="006367C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D4654">
              <w:rPr>
                <w:rFonts w:ascii="Fira Sans" w:hAnsi="Fira Sans" w:cs="Arial"/>
                <w:sz w:val="16"/>
                <w:szCs w:val="16"/>
              </w:rPr>
              <w:t>104</w:t>
            </w:r>
            <w:r w:rsidR="002B373F">
              <w:rPr>
                <w:rFonts w:ascii="Fira Sans" w:hAnsi="Fira Sans" w:cs="Arial"/>
                <w:sz w:val="16"/>
                <w:szCs w:val="16"/>
              </w:rPr>
              <w:t>.</w:t>
            </w:r>
            <w:r w:rsidRPr="009D4654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930D8" w:rsidRPr="00B33CF9" w:rsidRDefault="000930D8" w:rsidP="005C24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33CF9">
              <w:rPr>
                <w:rFonts w:ascii="Fira Sans" w:hAnsi="Fira Sans" w:cs="Arial"/>
                <w:sz w:val="16"/>
                <w:szCs w:val="16"/>
              </w:rPr>
              <w:t>96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B33CF9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0930D8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930D8" w:rsidRPr="004656E0" w:rsidRDefault="000930D8" w:rsidP="007B5545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 w:rsidR="007B5545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7C5F30" w:rsidRDefault="000930D8" w:rsidP="00F75B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85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44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D12B1C" w:rsidRDefault="000930D8" w:rsidP="005C24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12B1C">
              <w:rPr>
                <w:rFonts w:ascii="Fira Sans" w:hAnsi="Fira Sans" w:cs="Arial"/>
                <w:sz w:val="16"/>
                <w:szCs w:val="16"/>
              </w:rPr>
              <w:t>93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D12B1C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930D8" w:rsidRPr="00AF12A2" w:rsidRDefault="000930D8" w:rsidP="002B373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AF12A2">
              <w:rPr>
                <w:rFonts w:ascii="Fira Sans" w:hAnsi="Fira Sans" w:cs="Arial"/>
                <w:sz w:val="16"/>
                <w:szCs w:val="16"/>
              </w:rPr>
              <w:t>89</w:t>
            </w:r>
            <w:r w:rsidR="002B373F">
              <w:rPr>
                <w:rFonts w:ascii="Fira Sans" w:hAnsi="Fira Sans" w:cs="Arial"/>
                <w:sz w:val="16"/>
                <w:szCs w:val="16"/>
              </w:rPr>
              <w:t>.</w:t>
            </w:r>
            <w:r w:rsidRPr="00AF12A2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0930D8" w:rsidRPr="00661C39" w:rsidTr="001C1AA9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0F45BD" w:rsidRDefault="000930D8" w:rsidP="007B5545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 w:rsidR="007B5545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– per 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7C5F30" w:rsidRDefault="000930D8" w:rsidP="005C2448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C92A85" w:rsidRDefault="000930D8" w:rsidP="005C2448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930D8" w:rsidRPr="00C92A85" w:rsidRDefault="000930D8" w:rsidP="005C2448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0930D8" w:rsidRPr="004656E0" w:rsidTr="00D20E75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4656E0" w:rsidRDefault="000930D8" w:rsidP="0055212F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7C5F30" w:rsidRDefault="000930D8" w:rsidP="005C244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89790F" w:rsidRDefault="000930D8" w:rsidP="00F75B4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9790F">
              <w:rPr>
                <w:rFonts w:ascii="Fira Sans" w:hAnsi="Fira Sans" w:cs="Arial"/>
                <w:sz w:val="16"/>
                <w:szCs w:val="16"/>
              </w:rPr>
              <w:t>97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89790F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930D8" w:rsidRPr="00FE0EFB" w:rsidRDefault="000930D8" w:rsidP="005C244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E0EFB">
              <w:rPr>
                <w:rFonts w:ascii="Fira Sans" w:hAnsi="Fira Sans" w:cs="Arial"/>
                <w:sz w:val="16"/>
                <w:szCs w:val="16"/>
              </w:rPr>
              <w:t>94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FE0EFB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0930D8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4656E0" w:rsidRDefault="000930D8" w:rsidP="006D540C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which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7C5F30" w:rsidRDefault="000930D8" w:rsidP="002B373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2B373F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B1000" w:rsidRDefault="000930D8" w:rsidP="005C244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B1000">
              <w:rPr>
                <w:rFonts w:ascii="Fira Sans" w:hAnsi="Fira Sans" w:cs="Arial"/>
                <w:sz w:val="16"/>
                <w:szCs w:val="16"/>
              </w:rPr>
              <w:t>98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BB1000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930D8" w:rsidRPr="00EE50F6" w:rsidRDefault="000930D8" w:rsidP="002B373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E50F6">
              <w:rPr>
                <w:rFonts w:ascii="Fira Sans" w:hAnsi="Fira Sans" w:cs="Arial"/>
                <w:sz w:val="16"/>
                <w:szCs w:val="16"/>
              </w:rPr>
              <w:t>94</w:t>
            </w:r>
            <w:r w:rsidR="002B373F">
              <w:rPr>
                <w:rFonts w:ascii="Fira Sans" w:hAnsi="Fira Sans" w:cs="Arial"/>
                <w:sz w:val="16"/>
                <w:szCs w:val="16"/>
              </w:rPr>
              <w:t>.</w:t>
            </w:r>
            <w:r w:rsidRPr="00EE50F6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0930D8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4656E0" w:rsidRDefault="000930D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7C5F30" w:rsidRDefault="000930D8" w:rsidP="005C244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08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0A33A8" w:rsidRDefault="000930D8" w:rsidP="002B373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A33A8">
              <w:rPr>
                <w:rFonts w:ascii="Fira Sans" w:hAnsi="Fira Sans" w:cs="Arial"/>
                <w:sz w:val="16"/>
                <w:szCs w:val="16"/>
              </w:rPr>
              <w:t>96</w:t>
            </w:r>
            <w:r w:rsidR="002B373F">
              <w:rPr>
                <w:rFonts w:ascii="Fira Sans" w:hAnsi="Fira Sans" w:cs="Arial"/>
                <w:sz w:val="16"/>
                <w:szCs w:val="16"/>
              </w:rPr>
              <w:t>.</w:t>
            </w:r>
            <w:r w:rsidRPr="000A33A8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930D8" w:rsidRPr="00537E7D" w:rsidRDefault="000930D8" w:rsidP="005C244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37E7D">
              <w:rPr>
                <w:rFonts w:ascii="Fira Sans" w:hAnsi="Fira Sans" w:cs="Arial"/>
                <w:sz w:val="16"/>
                <w:szCs w:val="16"/>
              </w:rPr>
              <w:t>106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537E7D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BA24FC" w:rsidRDefault="000930D8" w:rsidP="005C244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0930D8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930D8" w:rsidRPr="004656E0" w:rsidRDefault="000930D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7C5F30" w:rsidRDefault="000930D8" w:rsidP="00F75B4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3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34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82746B" w:rsidRDefault="000930D8" w:rsidP="005C244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2746B">
              <w:rPr>
                <w:rFonts w:ascii="Fira Sans" w:hAnsi="Fira Sans" w:cs="Arial"/>
                <w:sz w:val="16"/>
                <w:szCs w:val="16"/>
              </w:rPr>
              <w:t>88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930D8" w:rsidRPr="005408B1" w:rsidRDefault="000930D8" w:rsidP="00F75B4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408B1">
              <w:rPr>
                <w:rFonts w:ascii="Fira Sans" w:hAnsi="Fira Sans" w:cs="Arial"/>
                <w:sz w:val="16"/>
                <w:szCs w:val="16"/>
              </w:rPr>
              <w:t>86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5408B1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930D8" w:rsidRPr="00BA24FC" w:rsidRDefault="000930D8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0930D8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4656E0" w:rsidRDefault="000930D8" w:rsidP="00836F81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7C5F30" w:rsidRDefault="000930D8" w:rsidP="005C244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132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E47093" w:rsidRDefault="000930D8" w:rsidP="00F75B4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47093">
              <w:rPr>
                <w:rFonts w:ascii="Fira Sans" w:hAnsi="Fira Sans" w:cs="Arial"/>
                <w:sz w:val="16"/>
                <w:szCs w:val="16"/>
              </w:rPr>
              <w:t>97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E47093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930D8" w:rsidRPr="00371C64" w:rsidRDefault="000930D8" w:rsidP="005C244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71C64">
              <w:rPr>
                <w:rFonts w:ascii="Fira Sans" w:hAnsi="Fira Sans" w:cs="Arial"/>
                <w:sz w:val="16"/>
                <w:szCs w:val="16"/>
              </w:rPr>
              <w:t>97</w:t>
            </w:r>
            <w:r w:rsidR="00F75B48">
              <w:rPr>
                <w:rFonts w:ascii="Fira Sans" w:hAnsi="Fira Sans" w:cs="Arial"/>
                <w:sz w:val="16"/>
                <w:szCs w:val="16"/>
              </w:rPr>
              <w:t>.</w:t>
            </w:r>
            <w:r w:rsidRPr="00371C64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930D8" w:rsidRPr="00BA24FC" w:rsidRDefault="000930D8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D8" w:rsidRPr="00BA24FC" w:rsidRDefault="000930D8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2359B7" w:rsidRDefault="005F265B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 xml:space="preserve">a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–</w:t>
      </w:r>
      <w:r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No data due to the current decision to close the marketplaces </w:t>
      </w:r>
      <w:r w:rsidR="009D0155">
        <w:rPr>
          <w:rFonts w:ascii="Fira Sans" w:hAnsi="Fira Sans"/>
          <w:spacing w:val="-4"/>
          <w:sz w:val="16"/>
          <w:szCs w:val="16"/>
          <w:lang w:val="en-US"/>
        </w:rPr>
        <w:t xml:space="preserve"> because of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the state of danger of COVID-19 di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s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ease, it was not possible to obtain </w:t>
      </w:r>
      <w:r w:rsidR="00BF1E98">
        <w:rPr>
          <w:rFonts w:ascii="Fira Sans" w:hAnsi="Fira Sans"/>
          <w:spacing w:val="-4"/>
          <w:sz w:val="16"/>
          <w:szCs w:val="16"/>
          <w:lang w:val="en-US"/>
        </w:rPr>
        <w:t>data on prices of agricultural products on marketplaces.</w:t>
      </w:r>
    </w:p>
    <w:p w:rsidR="0034324D" w:rsidRPr="000F45BD" w:rsidRDefault="0034324D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</w:t>
      </w:r>
      <w:r w:rsidR="003670D2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 xml:space="preserve"> were  calculated on the basis of absolute data expressed with more precision than In the tables.</w:t>
      </w:r>
    </w:p>
    <w:p w:rsidR="004D76BC" w:rsidRPr="000F45BD" w:rsidRDefault="004D76BC" w:rsidP="004D76BC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  <w:lang w:val="en-US"/>
        </w:rPr>
      </w:pPr>
    </w:p>
    <w:p w:rsidR="006836BF" w:rsidRPr="00374C3C" w:rsidRDefault="00B76E7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rFonts w:ascii="Fira Sans SemiBold" w:hAnsi="Fira Sans SemiBold"/>
          <w:color w:val="001D77"/>
          <w:sz w:val="19"/>
          <w:szCs w:val="18"/>
          <w:lang w:val="en-US"/>
        </w:rPr>
        <w:t>Procurement p</w:t>
      </w:r>
      <w:r w:rsidR="006836BF"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rices of major agricultural products </w:t>
      </w:r>
    </w:p>
    <w:p w:rsidR="00B6525E" w:rsidRDefault="000F4482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In April 2020 80</w:t>
      </w:r>
      <w:r w:rsidR="0051442B" w:rsidRPr="00661C39">
        <w:rPr>
          <w:rFonts w:ascii="Fira Sans" w:hAnsi="Fira Sans"/>
          <w:sz w:val="19"/>
          <w:szCs w:val="18"/>
          <w:lang w:val="en-US"/>
        </w:rPr>
        <w:t>.</w:t>
      </w:r>
      <w:r>
        <w:rPr>
          <w:rFonts w:ascii="Fira Sans" w:hAnsi="Fira Sans"/>
          <w:sz w:val="19"/>
          <w:szCs w:val="18"/>
          <w:lang w:val="en-US"/>
        </w:rPr>
        <w:t>15</w:t>
      </w:r>
      <w:r w:rsidR="00541023" w:rsidRPr="00661C39">
        <w:rPr>
          <w:rFonts w:ascii="Fira Sans" w:hAnsi="Fira Sans"/>
          <w:sz w:val="19"/>
          <w:szCs w:val="18"/>
          <w:lang w:val="en-US"/>
        </w:rPr>
        <w:t xml:space="preserve"> PL</w:t>
      </w:r>
      <w:r w:rsidR="00D703C8">
        <w:rPr>
          <w:rFonts w:ascii="Fira Sans" w:hAnsi="Fira Sans"/>
          <w:sz w:val="19"/>
          <w:szCs w:val="18"/>
          <w:lang w:val="en-US"/>
        </w:rPr>
        <w:t>N</w:t>
      </w:r>
      <w:r w:rsidR="0051442B" w:rsidRPr="00661C39">
        <w:rPr>
          <w:rFonts w:ascii="Fira Sans" w:hAnsi="Fira Sans"/>
          <w:sz w:val="19"/>
          <w:szCs w:val="18"/>
          <w:lang w:val="en-US"/>
        </w:rPr>
        <w:t>/</w:t>
      </w:r>
      <w:proofErr w:type="spellStart"/>
      <w:r w:rsidR="0051442B" w:rsidRPr="00661C39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51442B" w:rsidRPr="00661C39">
        <w:rPr>
          <w:rFonts w:ascii="Fira Sans" w:hAnsi="Fira Sans"/>
          <w:sz w:val="19"/>
          <w:szCs w:val="18"/>
          <w:lang w:val="en-US"/>
        </w:rPr>
        <w:t xml:space="preserve"> were paid for </w:t>
      </w:r>
      <w:r w:rsidR="0051442B" w:rsidRPr="00661C39">
        <w:rPr>
          <w:rFonts w:ascii="Fira Sans" w:hAnsi="Fira Sans"/>
          <w:b/>
          <w:sz w:val="19"/>
          <w:szCs w:val="18"/>
          <w:lang w:val="en-US"/>
        </w:rPr>
        <w:t>wheat</w:t>
      </w:r>
      <w:r w:rsidR="00B6525E">
        <w:rPr>
          <w:rFonts w:ascii="Fira Sans" w:hAnsi="Fira Sans"/>
          <w:sz w:val="19"/>
          <w:szCs w:val="18"/>
          <w:lang w:val="en-US"/>
        </w:rPr>
        <w:t xml:space="preserve"> </w:t>
      </w:r>
      <w:r w:rsidR="00B6525E" w:rsidRPr="00661C39">
        <w:rPr>
          <w:rFonts w:ascii="Fira Sans" w:hAnsi="Fira Sans"/>
          <w:sz w:val="19"/>
          <w:szCs w:val="18"/>
          <w:lang w:val="en-US"/>
        </w:rPr>
        <w:t>i.e.</w:t>
      </w:r>
      <w:r w:rsidR="00C0592A">
        <w:rPr>
          <w:rFonts w:ascii="Fira Sans" w:hAnsi="Fira Sans"/>
          <w:sz w:val="19"/>
          <w:szCs w:val="18"/>
          <w:lang w:val="en-US"/>
        </w:rPr>
        <w:t xml:space="preserve"> more compared to the previous month </w:t>
      </w:r>
      <w:r w:rsidR="005115B4">
        <w:rPr>
          <w:rFonts w:ascii="Fira Sans" w:hAnsi="Fira Sans"/>
          <w:sz w:val="19"/>
          <w:szCs w:val="18"/>
          <w:lang w:val="en-US"/>
        </w:rPr>
        <w:t>as well as</w:t>
      </w:r>
      <w:r w:rsidR="00C0592A">
        <w:rPr>
          <w:rFonts w:ascii="Fira Sans" w:hAnsi="Fira Sans"/>
          <w:sz w:val="19"/>
          <w:szCs w:val="18"/>
          <w:lang w:val="en-US"/>
        </w:rPr>
        <w:t xml:space="preserve"> with the same period last year</w:t>
      </w:r>
      <w:r w:rsidR="00666F6F">
        <w:rPr>
          <w:rFonts w:ascii="Fira Sans" w:hAnsi="Fira Sans"/>
          <w:sz w:val="19"/>
          <w:szCs w:val="18"/>
          <w:lang w:val="en-US"/>
        </w:rPr>
        <w:t>:</w:t>
      </w:r>
      <w:r w:rsidR="00C0592A">
        <w:rPr>
          <w:rFonts w:ascii="Fira Sans" w:hAnsi="Fira Sans"/>
          <w:sz w:val="19"/>
          <w:szCs w:val="18"/>
          <w:lang w:val="en-US"/>
        </w:rPr>
        <w:t xml:space="preserve"> respectively</w:t>
      </w:r>
      <w:r w:rsidR="00AC60C7">
        <w:rPr>
          <w:rFonts w:ascii="Fira Sans" w:hAnsi="Fira Sans"/>
          <w:sz w:val="19"/>
          <w:szCs w:val="18"/>
          <w:lang w:val="en-US"/>
        </w:rPr>
        <w:t xml:space="preserve"> 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by </w:t>
      </w:r>
      <w:r w:rsidR="00C0592A">
        <w:rPr>
          <w:rFonts w:ascii="Fira Sans" w:hAnsi="Fira Sans"/>
          <w:sz w:val="19"/>
          <w:szCs w:val="18"/>
          <w:lang w:val="en-US"/>
        </w:rPr>
        <w:t>7</w:t>
      </w:r>
      <w:r w:rsidR="00B6525E" w:rsidRPr="00661C39">
        <w:rPr>
          <w:rFonts w:ascii="Fira Sans" w:hAnsi="Fira Sans"/>
          <w:sz w:val="19"/>
          <w:szCs w:val="18"/>
          <w:lang w:val="en-US"/>
        </w:rPr>
        <w:t>.</w:t>
      </w:r>
      <w:r w:rsidR="00C0592A">
        <w:rPr>
          <w:rFonts w:ascii="Fira Sans" w:hAnsi="Fira Sans"/>
          <w:sz w:val="19"/>
          <w:szCs w:val="18"/>
          <w:lang w:val="en-US"/>
        </w:rPr>
        <w:t>9</w:t>
      </w:r>
      <w:r w:rsidR="00B6525E" w:rsidRPr="00661C39">
        <w:rPr>
          <w:rFonts w:ascii="Fira Sans" w:hAnsi="Fira Sans"/>
          <w:sz w:val="19"/>
          <w:szCs w:val="18"/>
          <w:lang w:val="en-US"/>
        </w:rPr>
        <w:t>%</w:t>
      </w:r>
      <w:r w:rsidR="00A07956">
        <w:rPr>
          <w:rFonts w:ascii="Fira Sans" w:hAnsi="Fira Sans"/>
          <w:sz w:val="19"/>
          <w:szCs w:val="18"/>
          <w:lang w:val="en-US"/>
        </w:rPr>
        <w:t xml:space="preserve"> </w:t>
      </w:r>
      <w:r w:rsidR="00C0592A">
        <w:rPr>
          <w:rFonts w:ascii="Fira Sans" w:hAnsi="Fira Sans"/>
          <w:sz w:val="19"/>
          <w:szCs w:val="18"/>
          <w:lang w:val="en-US"/>
        </w:rPr>
        <w:t>and by 0</w:t>
      </w:r>
      <w:r w:rsidR="00590D04">
        <w:rPr>
          <w:rFonts w:ascii="Fira Sans" w:hAnsi="Fira Sans"/>
          <w:sz w:val="19"/>
          <w:szCs w:val="18"/>
          <w:lang w:val="en-US"/>
        </w:rPr>
        <w:t>.</w:t>
      </w:r>
      <w:r w:rsidR="00C0592A">
        <w:rPr>
          <w:rFonts w:ascii="Fira Sans" w:hAnsi="Fira Sans"/>
          <w:sz w:val="19"/>
          <w:szCs w:val="18"/>
          <w:lang w:val="en-US"/>
        </w:rPr>
        <w:t>2%.</w:t>
      </w:r>
    </w:p>
    <w:p w:rsidR="0051442B" w:rsidRPr="00661C39" w:rsidRDefault="0051442B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b/>
          <w:sz w:val="19"/>
          <w:szCs w:val="18"/>
          <w:lang w:val="en-US"/>
        </w:rPr>
        <w:t>Rye</w:t>
      </w:r>
      <w:r w:rsidRPr="00661C39">
        <w:rPr>
          <w:rFonts w:ascii="Fira Sans" w:hAnsi="Fira Sans"/>
          <w:sz w:val="19"/>
          <w:szCs w:val="18"/>
          <w:lang w:val="en-US"/>
        </w:rPr>
        <w:t xml:space="preserve"> prices</w:t>
      </w:r>
      <w:r w:rsidR="00C0592A">
        <w:rPr>
          <w:rFonts w:ascii="Fira Sans" w:hAnsi="Fira Sans"/>
          <w:sz w:val="19"/>
          <w:szCs w:val="18"/>
          <w:lang w:val="en-US"/>
        </w:rPr>
        <w:t xml:space="preserve"> amounted to 59.24</w:t>
      </w:r>
      <w:r w:rsidR="00C0592A" w:rsidRPr="00A07956">
        <w:rPr>
          <w:rFonts w:ascii="Fira Sans" w:hAnsi="Fira Sans"/>
          <w:sz w:val="19"/>
          <w:szCs w:val="18"/>
          <w:lang w:val="en-US"/>
        </w:rPr>
        <w:t xml:space="preserve"> </w:t>
      </w:r>
      <w:r w:rsidR="00C0592A" w:rsidRPr="00661C39">
        <w:rPr>
          <w:rFonts w:ascii="Fira Sans" w:hAnsi="Fira Sans"/>
          <w:sz w:val="19"/>
          <w:szCs w:val="18"/>
          <w:lang w:val="en-US"/>
        </w:rPr>
        <w:t>PLN</w:t>
      </w:r>
      <w:r w:rsidR="00C0592A">
        <w:rPr>
          <w:rFonts w:ascii="Fira Sans" w:hAnsi="Fira Sans"/>
          <w:sz w:val="19"/>
          <w:szCs w:val="18"/>
          <w:lang w:val="en-US"/>
        </w:rPr>
        <w:t>/</w:t>
      </w:r>
      <w:proofErr w:type="spellStart"/>
      <w:r w:rsidR="00C0592A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C0592A">
        <w:rPr>
          <w:rFonts w:ascii="Fira Sans" w:hAnsi="Fira Sans"/>
          <w:sz w:val="19"/>
          <w:szCs w:val="18"/>
          <w:lang w:val="en-US"/>
        </w:rPr>
        <w:t xml:space="preserve"> and </w:t>
      </w:r>
      <w:r w:rsidR="007C6EF9">
        <w:rPr>
          <w:rFonts w:ascii="Fira Sans" w:hAnsi="Fira Sans"/>
          <w:sz w:val="19"/>
          <w:szCs w:val="18"/>
          <w:lang w:val="en-US"/>
        </w:rPr>
        <w:t>were</w:t>
      </w:r>
      <w:r w:rsidR="00C0592A">
        <w:rPr>
          <w:rFonts w:ascii="Fira Sans" w:hAnsi="Fira Sans"/>
          <w:sz w:val="19"/>
          <w:szCs w:val="18"/>
          <w:lang w:val="en-US"/>
        </w:rPr>
        <w:t xml:space="preserve"> higher</w:t>
      </w:r>
      <w:r w:rsidR="006A3889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by </w:t>
      </w:r>
      <w:r w:rsidR="006A3889">
        <w:rPr>
          <w:rFonts w:ascii="Fira Sans" w:hAnsi="Fira Sans"/>
          <w:sz w:val="19"/>
          <w:szCs w:val="18"/>
          <w:lang w:val="en-US"/>
        </w:rPr>
        <w:t>5</w:t>
      </w:r>
      <w:r w:rsidR="00590D04">
        <w:rPr>
          <w:rFonts w:ascii="Fira Sans" w:hAnsi="Fira Sans"/>
          <w:sz w:val="19"/>
          <w:szCs w:val="18"/>
          <w:lang w:val="en-US"/>
        </w:rPr>
        <w:t>.</w:t>
      </w:r>
      <w:r w:rsidR="006A3889">
        <w:rPr>
          <w:rFonts w:ascii="Fira Sans" w:hAnsi="Fira Sans"/>
          <w:sz w:val="19"/>
          <w:szCs w:val="18"/>
          <w:lang w:val="en-US"/>
        </w:rPr>
        <w:t>2</w:t>
      </w:r>
      <w:r w:rsidRPr="00661C39">
        <w:rPr>
          <w:rFonts w:ascii="Fira Sans" w:hAnsi="Fira Sans"/>
          <w:sz w:val="19"/>
          <w:szCs w:val="18"/>
          <w:lang w:val="en-US"/>
        </w:rPr>
        <w:t xml:space="preserve">% </w:t>
      </w:r>
      <w:r w:rsidR="006A3889">
        <w:rPr>
          <w:rFonts w:ascii="Fira Sans" w:hAnsi="Fira Sans"/>
          <w:sz w:val="19"/>
          <w:szCs w:val="18"/>
          <w:lang w:val="en-US"/>
        </w:rPr>
        <w:t>than in March</w:t>
      </w:r>
      <w:r w:rsidR="00A01E46">
        <w:rPr>
          <w:rFonts w:ascii="Fira Sans" w:hAnsi="Fira Sans"/>
          <w:sz w:val="19"/>
          <w:szCs w:val="18"/>
          <w:lang w:val="en-US"/>
        </w:rPr>
        <w:t xml:space="preserve"> this year</w:t>
      </w:r>
      <w:r w:rsidR="006A3889">
        <w:rPr>
          <w:rFonts w:ascii="Fira Sans" w:hAnsi="Fira Sans"/>
          <w:sz w:val="19"/>
          <w:szCs w:val="18"/>
          <w:lang w:val="en-US"/>
        </w:rPr>
        <w:t xml:space="preserve"> </w:t>
      </w:r>
      <w:r w:rsidR="007C6EF9">
        <w:rPr>
          <w:rFonts w:ascii="Fira Sans" w:hAnsi="Fira Sans"/>
          <w:sz w:val="19"/>
          <w:szCs w:val="18"/>
          <w:lang w:val="en-US"/>
        </w:rPr>
        <w:t>while as related to April 2019 w</w:t>
      </w:r>
      <w:r w:rsidR="005C441B">
        <w:rPr>
          <w:rFonts w:ascii="Fira Sans" w:hAnsi="Fira Sans"/>
          <w:sz w:val="19"/>
          <w:szCs w:val="18"/>
          <w:lang w:val="en-US"/>
        </w:rPr>
        <w:t>ere</w:t>
      </w:r>
      <w:r w:rsidR="007C6EF9">
        <w:rPr>
          <w:rFonts w:ascii="Fira Sans" w:hAnsi="Fira Sans"/>
          <w:sz w:val="19"/>
          <w:szCs w:val="18"/>
          <w:lang w:val="en-US"/>
        </w:rPr>
        <w:t xml:space="preserve"> lower</w:t>
      </w:r>
      <w:r w:rsidRPr="00661C39">
        <w:rPr>
          <w:rFonts w:ascii="Fira Sans" w:hAnsi="Fira Sans"/>
          <w:sz w:val="19"/>
          <w:szCs w:val="18"/>
          <w:lang w:val="en-US"/>
        </w:rPr>
        <w:t xml:space="preserve"> by </w:t>
      </w:r>
      <w:r w:rsidR="007C6EF9">
        <w:rPr>
          <w:rFonts w:ascii="Fira Sans" w:hAnsi="Fira Sans"/>
          <w:sz w:val="19"/>
          <w:szCs w:val="18"/>
          <w:lang w:val="en-US"/>
        </w:rPr>
        <w:t>18</w:t>
      </w:r>
      <w:r w:rsidR="00590D04">
        <w:rPr>
          <w:rFonts w:ascii="Fira Sans" w:hAnsi="Fira Sans"/>
          <w:sz w:val="19"/>
          <w:szCs w:val="18"/>
          <w:lang w:val="en-US"/>
        </w:rPr>
        <w:t>.</w:t>
      </w:r>
      <w:r w:rsidR="007C6EF9">
        <w:rPr>
          <w:rFonts w:ascii="Fira Sans" w:hAnsi="Fira Sans"/>
          <w:sz w:val="19"/>
          <w:szCs w:val="18"/>
          <w:lang w:val="en-US"/>
        </w:rPr>
        <w:t>7%.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</w:p>
    <w:p w:rsidR="0051442B" w:rsidRPr="00661C39" w:rsidRDefault="008E7952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8E7952">
        <w:rPr>
          <w:noProof/>
        </w:rPr>
        <w:pict>
          <v:shape id="_x0000_s1067" type="#_x0000_t202" style="position:absolute;margin-left:428.2pt;margin-top:1pt;width:104.7pt;height:137.5pt;z-index:-25148620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" filled="f" stroked="f">
            <v:textbox style="mso-next-textbox:#_x0000_s1067">
              <w:txbxContent>
                <w:p w:rsidR="00D215E4" w:rsidRDefault="001B2CD3" w:rsidP="001A217C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Both o</w:t>
                  </w:r>
                  <w:r w:rsidR="001A217C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n a monthly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and </w:t>
                  </w:r>
                  <w:r w:rsidR="001B2FC3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on</w:t>
                  </w:r>
                  <w:r w:rsidR="00BF6FE5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an </w:t>
                  </w:r>
                  <w:r w:rsidR="00F037E7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annual </w:t>
                  </w:r>
                  <w:r w:rsidR="001A217C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basis</w:t>
                  </w:r>
                  <w:r w:rsidR="0070630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the drop </w:t>
                  </w:r>
                  <w:r w:rsidR="001B2FC3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was noted </w:t>
                  </w:r>
                  <w:r w:rsidR="0070630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in</w:t>
                  </w:r>
                  <w:r w:rsidR="001A217C" w:rsidRPr="00B3556C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prices of </w:t>
                  </w:r>
                  <w:r w:rsidR="0079302B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potatoes – </w:t>
                  </w:r>
                  <w:r w:rsidR="00921AB4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1A217C" w:rsidRDefault="00921AB4" w:rsidP="001A217C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respectively </w:t>
                  </w:r>
                  <w:r w:rsidR="0079302B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by 6.1% and 10.4% </w:t>
                  </w:r>
                  <w:r w:rsidR="001B2FC3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as well as </w:t>
                  </w:r>
                  <w:r w:rsidR="00E81D1F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in prices </w:t>
                  </w:r>
                  <w:r w:rsidR="002675E0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of</w:t>
                  </w:r>
                  <w:r w:rsidR="0079302B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poultry for slaughter by 12.0% and 13.9%</w:t>
                  </w:r>
                  <w:r w:rsidR="005A76FE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51442B" w:rsidRPr="001A217C" w:rsidRDefault="0051442B" w:rsidP="001A217C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D63BB9">
        <w:rPr>
          <w:rFonts w:ascii="Fira Sans" w:hAnsi="Fira Sans"/>
          <w:sz w:val="19"/>
          <w:lang w:val="en-US"/>
        </w:rPr>
        <w:t>For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b/>
          <w:sz w:val="19"/>
          <w:lang w:val="en-US"/>
        </w:rPr>
        <w:t>potatoes</w:t>
      </w:r>
      <w:r w:rsidR="0051442B" w:rsidRPr="00661C39">
        <w:rPr>
          <w:rFonts w:ascii="Fira Sans" w:hAnsi="Fira Sans"/>
          <w:sz w:val="19"/>
          <w:lang w:val="en-US"/>
        </w:rPr>
        <w:t xml:space="preserve"> was paid on average </w:t>
      </w:r>
      <w:r w:rsidR="00D63BB9">
        <w:rPr>
          <w:rFonts w:ascii="Fira Sans" w:hAnsi="Fira Sans"/>
          <w:sz w:val="19"/>
          <w:lang w:val="en-US"/>
        </w:rPr>
        <w:t>85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D63BB9">
        <w:rPr>
          <w:rFonts w:ascii="Fira Sans" w:hAnsi="Fira Sans"/>
          <w:sz w:val="19"/>
          <w:lang w:val="en-US"/>
        </w:rPr>
        <w:t>44</w:t>
      </w:r>
      <w:r w:rsidR="0051442B" w:rsidRPr="00661C39">
        <w:rPr>
          <w:rFonts w:ascii="Fira Sans" w:hAnsi="Fira Sans"/>
          <w:sz w:val="19"/>
          <w:lang w:val="en-US"/>
        </w:rPr>
        <w:t xml:space="preserve"> PLN/</w:t>
      </w:r>
      <w:proofErr w:type="spellStart"/>
      <w:r w:rsidR="0051442B" w:rsidRPr="00661C39">
        <w:rPr>
          <w:rFonts w:ascii="Fira Sans" w:hAnsi="Fira Sans"/>
          <w:sz w:val="19"/>
          <w:lang w:val="en-US"/>
        </w:rPr>
        <w:t>dt</w:t>
      </w:r>
      <w:proofErr w:type="spellEnd"/>
      <w:r w:rsidR="0051442B" w:rsidRPr="00661C39">
        <w:rPr>
          <w:rFonts w:ascii="Fira Sans" w:hAnsi="Fira Sans"/>
          <w:sz w:val="19"/>
          <w:lang w:val="en-US"/>
        </w:rPr>
        <w:t xml:space="preserve"> </w:t>
      </w:r>
      <w:proofErr w:type="spellStart"/>
      <w:r w:rsidR="0051442B" w:rsidRPr="00661C39">
        <w:rPr>
          <w:rFonts w:ascii="Fira Sans" w:hAnsi="Fira Sans"/>
          <w:sz w:val="19"/>
          <w:lang w:val="en-US"/>
        </w:rPr>
        <w:t>i.e</w:t>
      </w:r>
      <w:proofErr w:type="spellEnd"/>
      <w:r w:rsidR="005115B4">
        <w:rPr>
          <w:rFonts w:ascii="Fira Sans" w:hAnsi="Fira Sans"/>
          <w:sz w:val="19"/>
          <w:lang w:val="en-US"/>
        </w:rPr>
        <w:t xml:space="preserve"> less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5115B4">
        <w:rPr>
          <w:rFonts w:ascii="Fira Sans" w:hAnsi="Fira Sans"/>
          <w:sz w:val="19"/>
          <w:lang w:val="en-US"/>
        </w:rPr>
        <w:t>compared to the previous month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590D04">
        <w:rPr>
          <w:rFonts w:ascii="Fira Sans" w:hAnsi="Fira Sans"/>
          <w:sz w:val="19"/>
          <w:lang w:val="en-US"/>
        </w:rPr>
        <w:t xml:space="preserve">and the same month last </w:t>
      </w:r>
      <w:r w:rsidR="00B23EBD">
        <w:rPr>
          <w:rFonts w:ascii="Fira Sans" w:hAnsi="Fira Sans"/>
          <w:sz w:val="19"/>
          <w:lang w:val="en-US"/>
        </w:rPr>
        <w:t xml:space="preserve">year </w:t>
      </w:r>
      <w:r w:rsidR="00590D04">
        <w:rPr>
          <w:rFonts w:ascii="Fira Sans" w:hAnsi="Fira Sans"/>
          <w:sz w:val="19"/>
          <w:lang w:val="en-US"/>
        </w:rPr>
        <w:t>respectively</w:t>
      </w:r>
      <w:r w:rsidR="008C7FB0">
        <w:rPr>
          <w:rFonts w:ascii="Fira Sans" w:hAnsi="Fira Sans"/>
          <w:sz w:val="19"/>
          <w:lang w:val="en-US"/>
        </w:rPr>
        <w:t>:</w:t>
      </w:r>
      <w:r w:rsidR="00590D04">
        <w:rPr>
          <w:rFonts w:ascii="Fira Sans" w:hAnsi="Fira Sans"/>
          <w:sz w:val="19"/>
          <w:lang w:val="en-US"/>
        </w:rPr>
        <w:t xml:space="preserve"> by 6.1% and </w:t>
      </w:r>
      <w:r w:rsidR="001B2FC3">
        <w:rPr>
          <w:rFonts w:ascii="Fira Sans" w:hAnsi="Fira Sans"/>
          <w:sz w:val="19"/>
          <w:lang w:val="en-US"/>
        </w:rPr>
        <w:t xml:space="preserve"> by </w:t>
      </w:r>
      <w:r w:rsidR="00590D04">
        <w:rPr>
          <w:rFonts w:ascii="Fira Sans" w:hAnsi="Fira Sans"/>
          <w:sz w:val="19"/>
          <w:lang w:val="en-US"/>
        </w:rPr>
        <w:t>10.4%</w:t>
      </w:r>
    </w:p>
    <w:p w:rsidR="00CA6462" w:rsidRDefault="00F037E7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April 2020 </w:t>
      </w:r>
      <w:r w:rsidR="0051442B" w:rsidRPr="00661C39">
        <w:rPr>
          <w:rFonts w:ascii="Fira Sans" w:hAnsi="Fira Sans"/>
          <w:sz w:val="19"/>
          <w:lang w:val="en-US"/>
        </w:rPr>
        <w:t xml:space="preserve">prices of </w:t>
      </w:r>
      <w:r w:rsidR="0051442B" w:rsidRPr="00661C39">
        <w:rPr>
          <w:rFonts w:ascii="Fira Sans" w:hAnsi="Fira Sans"/>
          <w:b/>
          <w:sz w:val="19"/>
          <w:lang w:val="en-US"/>
        </w:rPr>
        <w:t>cattle for slaughter</w:t>
      </w:r>
      <w:r w:rsidR="0051442B" w:rsidRPr="00661C39">
        <w:rPr>
          <w:rFonts w:ascii="Fira Sans" w:hAnsi="Fira Sans"/>
          <w:sz w:val="19"/>
          <w:lang w:val="en-US"/>
        </w:rPr>
        <w:t xml:space="preserve"> (6.</w:t>
      </w:r>
      <w:r>
        <w:rPr>
          <w:rFonts w:ascii="Fira Sans" w:hAnsi="Fira Sans"/>
          <w:sz w:val="19"/>
          <w:lang w:val="en-US"/>
        </w:rPr>
        <w:t>12</w:t>
      </w:r>
      <w:r w:rsidR="00D123D0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sz w:val="19"/>
          <w:lang w:val="en-US"/>
        </w:rPr>
        <w:t xml:space="preserve">PLN/kg) </w:t>
      </w:r>
      <w:r w:rsidR="00D92979">
        <w:rPr>
          <w:rFonts w:ascii="Fira Sans" w:hAnsi="Fira Sans"/>
          <w:sz w:val="19"/>
          <w:lang w:val="en-US"/>
        </w:rPr>
        <w:t>decreased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on a monthly</w:t>
      </w:r>
      <w:r w:rsidR="00E83942">
        <w:rPr>
          <w:rFonts w:ascii="Fira Sans" w:hAnsi="Fira Sans"/>
          <w:sz w:val="19"/>
          <w:lang w:val="en-US"/>
        </w:rPr>
        <w:t xml:space="preserve"> basis</w:t>
      </w:r>
      <w:r w:rsidR="00A0272A">
        <w:rPr>
          <w:rFonts w:ascii="Fira Sans" w:hAnsi="Fira Sans"/>
          <w:sz w:val="19"/>
          <w:lang w:val="en-US"/>
        </w:rPr>
        <w:t xml:space="preserve"> (by 2.1%)</w:t>
      </w:r>
      <w:r>
        <w:rPr>
          <w:rFonts w:ascii="Fira Sans" w:hAnsi="Fira Sans"/>
          <w:sz w:val="19"/>
          <w:lang w:val="en-US"/>
        </w:rPr>
        <w:t xml:space="preserve"> </w:t>
      </w:r>
      <w:r w:rsidR="00A0272A">
        <w:rPr>
          <w:rFonts w:ascii="Fira Sans" w:hAnsi="Fira Sans"/>
          <w:sz w:val="19"/>
          <w:lang w:val="en-US"/>
        </w:rPr>
        <w:t>as well as</w:t>
      </w:r>
      <w:r w:rsidR="003558EB">
        <w:rPr>
          <w:rFonts w:ascii="Fira Sans" w:hAnsi="Fira Sans"/>
          <w:sz w:val="19"/>
          <w:lang w:val="en-US"/>
        </w:rPr>
        <w:t xml:space="preserve"> </w:t>
      </w:r>
      <w:r w:rsidR="001B2FC3">
        <w:rPr>
          <w:rFonts w:ascii="Fira Sans" w:hAnsi="Fira Sans"/>
          <w:sz w:val="19"/>
          <w:lang w:val="en-US"/>
        </w:rPr>
        <w:t>on</w:t>
      </w:r>
      <w:r w:rsidR="006A72BC">
        <w:rPr>
          <w:rFonts w:ascii="Fira Sans" w:hAnsi="Fira Sans"/>
          <w:sz w:val="19"/>
          <w:lang w:val="en-US"/>
        </w:rPr>
        <w:t xml:space="preserve"> an</w:t>
      </w:r>
      <w:r w:rsidR="001B2FC3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 xml:space="preserve">annual basis </w:t>
      </w:r>
      <w:r w:rsidR="00CA6462">
        <w:rPr>
          <w:rFonts w:ascii="Fira Sans" w:hAnsi="Fira Sans"/>
          <w:sz w:val="19"/>
          <w:lang w:val="en-US"/>
        </w:rPr>
        <w:t>(</w:t>
      </w:r>
      <w:r w:rsidR="0051442B" w:rsidRPr="00661C39">
        <w:rPr>
          <w:rFonts w:ascii="Fira Sans" w:hAnsi="Fira Sans"/>
          <w:sz w:val="19"/>
          <w:lang w:val="en-US"/>
        </w:rPr>
        <w:t xml:space="preserve">by </w:t>
      </w:r>
      <w:r w:rsidR="00CA6462">
        <w:rPr>
          <w:rFonts w:ascii="Fira Sans" w:hAnsi="Fira Sans"/>
          <w:sz w:val="19"/>
          <w:lang w:val="en-US"/>
        </w:rPr>
        <w:t>5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CA6462">
        <w:rPr>
          <w:rFonts w:ascii="Fira Sans" w:hAnsi="Fira Sans"/>
          <w:sz w:val="19"/>
          <w:lang w:val="en-US"/>
        </w:rPr>
        <w:t>6</w:t>
      </w:r>
      <w:r w:rsidR="0051442B" w:rsidRPr="00661C39">
        <w:rPr>
          <w:rFonts w:ascii="Fira Sans" w:hAnsi="Fira Sans"/>
          <w:sz w:val="19"/>
          <w:lang w:val="en-US"/>
        </w:rPr>
        <w:t>%</w:t>
      </w:r>
      <w:r w:rsidR="00CA6462">
        <w:rPr>
          <w:rFonts w:ascii="Fira Sans" w:hAnsi="Fira Sans"/>
          <w:sz w:val="19"/>
          <w:lang w:val="en-US"/>
        </w:rPr>
        <w:t>).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</w:p>
    <w:p w:rsidR="00951962" w:rsidRDefault="0051442B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The prices of </w:t>
      </w:r>
      <w:r w:rsidRPr="00661C39">
        <w:rPr>
          <w:rFonts w:ascii="Fira Sans" w:hAnsi="Fira Sans"/>
          <w:b/>
          <w:sz w:val="19"/>
          <w:lang w:val="en-US"/>
        </w:rPr>
        <w:t>pigs for slaughter</w:t>
      </w:r>
      <w:r w:rsidRPr="00661C39">
        <w:rPr>
          <w:rFonts w:ascii="Fira Sans" w:hAnsi="Fira Sans"/>
          <w:sz w:val="19"/>
          <w:lang w:val="en-US"/>
        </w:rPr>
        <w:t xml:space="preserve"> were at the level of 6.</w:t>
      </w:r>
      <w:r w:rsidR="00342DE0">
        <w:rPr>
          <w:rFonts w:ascii="Fira Sans" w:hAnsi="Fira Sans"/>
          <w:sz w:val="19"/>
          <w:lang w:val="en-US"/>
        </w:rPr>
        <w:t>0</w:t>
      </w:r>
      <w:r w:rsidR="006C55A5">
        <w:rPr>
          <w:rFonts w:ascii="Fira Sans" w:hAnsi="Fira Sans"/>
          <w:sz w:val="19"/>
          <w:lang w:val="en-US"/>
        </w:rPr>
        <w:t>8</w:t>
      </w:r>
      <w:r w:rsidR="005A2282">
        <w:rPr>
          <w:rFonts w:ascii="Fira Sans" w:hAnsi="Fira Sans"/>
          <w:sz w:val="19"/>
          <w:lang w:val="en-US"/>
        </w:rPr>
        <w:t xml:space="preserve"> PLN</w:t>
      </w:r>
      <w:r w:rsidRPr="00661C39">
        <w:rPr>
          <w:rFonts w:ascii="Fira Sans" w:hAnsi="Fira Sans"/>
          <w:sz w:val="19"/>
          <w:lang w:val="en-US"/>
        </w:rPr>
        <w:t xml:space="preserve">/kg and were </w:t>
      </w:r>
      <w:r w:rsidR="00342DE0">
        <w:rPr>
          <w:rFonts w:ascii="Fira Sans" w:hAnsi="Fira Sans"/>
          <w:sz w:val="19"/>
          <w:lang w:val="en-US"/>
        </w:rPr>
        <w:t>lower</w:t>
      </w:r>
      <w:r w:rsidRPr="00661C39">
        <w:rPr>
          <w:rFonts w:ascii="Fira Sans" w:hAnsi="Fira Sans"/>
          <w:sz w:val="19"/>
          <w:lang w:val="en-US"/>
        </w:rPr>
        <w:t xml:space="preserve"> by </w:t>
      </w:r>
      <w:r w:rsidR="00342DE0">
        <w:rPr>
          <w:rFonts w:ascii="Fira Sans" w:hAnsi="Fira Sans"/>
          <w:sz w:val="19"/>
          <w:lang w:val="en-US"/>
        </w:rPr>
        <w:t>3</w:t>
      </w:r>
      <w:r w:rsidRPr="00661C39">
        <w:rPr>
          <w:rFonts w:ascii="Fira Sans" w:hAnsi="Fira Sans"/>
          <w:sz w:val="19"/>
          <w:lang w:val="en-US"/>
        </w:rPr>
        <w:t>.</w:t>
      </w:r>
      <w:r w:rsidR="006C55A5">
        <w:rPr>
          <w:rFonts w:ascii="Fira Sans" w:hAnsi="Fira Sans"/>
          <w:sz w:val="19"/>
          <w:lang w:val="en-US"/>
        </w:rPr>
        <w:t>2</w:t>
      </w:r>
      <w:r w:rsidRPr="00661C39">
        <w:rPr>
          <w:rFonts w:ascii="Fira Sans" w:hAnsi="Fira Sans"/>
          <w:sz w:val="19"/>
          <w:lang w:val="en-US"/>
        </w:rPr>
        <w:t>% than</w:t>
      </w:r>
      <w:r w:rsidR="001B2FC3">
        <w:rPr>
          <w:rFonts w:ascii="Fira Sans" w:hAnsi="Fira Sans"/>
          <w:sz w:val="19"/>
          <w:lang w:val="en-US"/>
        </w:rPr>
        <w:t xml:space="preserve"> in 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342DE0">
        <w:rPr>
          <w:rFonts w:ascii="Fira Sans" w:hAnsi="Fira Sans"/>
          <w:sz w:val="19"/>
          <w:lang w:val="en-US"/>
        </w:rPr>
        <w:t>March</w:t>
      </w:r>
      <w:r w:rsidR="0090019A">
        <w:rPr>
          <w:rFonts w:ascii="Fira Sans" w:hAnsi="Fira Sans"/>
          <w:sz w:val="19"/>
          <w:lang w:val="en-US"/>
        </w:rPr>
        <w:t xml:space="preserve"> </w:t>
      </w:r>
      <w:r w:rsidR="001B2FC3">
        <w:rPr>
          <w:rFonts w:ascii="Fira Sans" w:hAnsi="Fira Sans"/>
          <w:sz w:val="19"/>
          <w:lang w:val="en-US"/>
        </w:rPr>
        <w:t xml:space="preserve">2020 </w:t>
      </w:r>
      <w:r w:rsidR="00E45B29">
        <w:rPr>
          <w:rFonts w:ascii="Fira Sans" w:hAnsi="Fira Sans"/>
          <w:sz w:val="19"/>
          <w:lang w:val="en-US"/>
        </w:rPr>
        <w:t xml:space="preserve"> while</w:t>
      </w:r>
      <w:r w:rsidR="00951962">
        <w:rPr>
          <w:rFonts w:ascii="Fira Sans" w:hAnsi="Fira Sans"/>
          <w:sz w:val="19"/>
          <w:lang w:val="en-US"/>
        </w:rPr>
        <w:t xml:space="preserve"> compared to April 2019 increased by 6.4%. </w:t>
      </w:r>
    </w:p>
    <w:p w:rsidR="00951962" w:rsidRDefault="00951962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P</w:t>
      </w:r>
      <w:r w:rsidR="0051442B" w:rsidRPr="00661C39">
        <w:rPr>
          <w:rFonts w:ascii="Fira Sans" w:hAnsi="Fira Sans"/>
          <w:sz w:val="19"/>
          <w:lang w:val="en-US"/>
        </w:rPr>
        <w:t xml:space="preserve">rices of </w:t>
      </w:r>
      <w:r w:rsidR="0051442B" w:rsidRPr="00661C39">
        <w:rPr>
          <w:rFonts w:ascii="Fira Sans" w:hAnsi="Fira Sans"/>
          <w:b/>
          <w:sz w:val="19"/>
          <w:lang w:val="en-US"/>
        </w:rPr>
        <w:t>poultry</w:t>
      </w:r>
      <w:r>
        <w:rPr>
          <w:rFonts w:ascii="Fira Sans" w:hAnsi="Fira Sans"/>
          <w:b/>
          <w:sz w:val="19"/>
          <w:lang w:val="en-US"/>
        </w:rPr>
        <w:t xml:space="preserve"> for slaughter</w:t>
      </w:r>
      <w:r w:rsidR="0051442B" w:rsidRPr="00661C39">
        <w:rPr>
          <w:rFonts w:ascii="Fira Sans" w:hAnsi="Fira Sans"/>
          <w:sz w:val="19"/>
          <w:lang w:val="en-US"/>
        </w:rPr>
        <w:t xml:space="preserve"> (3.</w:t>
      </w:r>
      <w:r>
        <w:rPr>
          <w:rFonts w:ascii="Fira Sans" w:hAnsi="Fira Sans"/>
          <w:sz w:val="19"/>
          <w:lang w:val="en-US"/>
        </w:rPr>
        <w:t>34</w:t>
      </w:r>
      <w:r w:rsidR="0051442B" w:rsidRPr="00661C39">
        <w:rPr>
          <w:rFonts w:ascii="Fira Sans" w:hAnsi="Fira Sans"/>
          <w:sz w:val="19"/>
          <w:lang w:val="en-US"/>
        </w:rPr>
        <w:t xml:space="preserve"> PLN/kg)</w:t>
      </w:r>
      <w:r>
        <w:rPr>
          <w:rFonts w:ascii="Fira Sans" w:hAnsi="Fira Sans"/>
          <w:sz w:val="19"/>
          <w:lang w:val="en-US"/>
        </w:rPr>
        <w:t xml:space="preserve"> on a mont</w:t>
      </w:r>
      <w:bookmarkStart w:id="0" w:name="_GoBack"/>
      <w:bookmarkEnd w:id="0"/>
      <w:r>
        <w:rPr>
          <w:rFonts w:ascii="Fira Sans" w:hAnsi="Fira Sans"/>
          <w:sz w:val="19"/>
          <w:lang w:val="en-US"/>
        </w:rPr>
        <w:t xml:space="preserve">hly basis decreased by 12.0% </w:t>
      </w:r>
      <w:r w:rsidR="007D4367">
        <w:rPr>
          <w:rFonts w:ascii="Fira Sans" w:hAnsi="Fira Sans"/>
          <w:sz w:val="19"/>
          <w:lang w:val="en-US"/>
        </w:rPr>
        <w:t>and on an annual basis – by 13.9%.</w:t>
      </w:r>
    </w:p>
    <w:p w:rsidR="0051442B" w:rsidRPr="00661C39" w:rsidRDefault="007D4367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In April this year</w:t>
      </w:r>
      <w:r w:rsidR="00D16EF1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132.89 PLN was paid for 1 hl</w:t>
      </w:r>
      <w:r w:rsidR="006828EB">
        <w:rPr>
          <w:rFonts w:ascii="Fira Sans" w:hAnsi="Fira Sans"/>
          <w:sz w:val="19"/>
          <w:lang w:val="en-US"/>
        </w:rPr>
        <w:t xml:space="preserve"> of</w:t>
      </w:r>
      <w:r w:rsidR="00D16EF1">
        <w:rPr>
          <w:rFonts w:ascii="Fira Sans" w:hAnsi="Fira Sans"/>
          <w:sz w:val="19"/>
          <w:lang w:val="en-US"/>
        </w:rPr>
        <w:t xml:space="preserve"> </w:t>
      </w:r>
      <w:r w:rsidR="00D16EF1" w:rsidRPr="00D16EF1">
        <w:rPr>
          <w:rFonts w:ascii="Fira Sans" w:hAnsi="Fira Sans"/>
          <w:b/>
          <w:sz w:val="19"/>
          <w:lang w:val="en-US"/>
        </w:rPr>
        <w:t>milk</w:t>
      </w:r>
      <w:r w:rsidR="00D16EF1">
        <w:rPr>
          <w:rFonts w:ascii="Fira Sans" w:hAnsi="Fira Sans"/>
          <w:sz w:val="19"/>
          <w:lang w:val="en-US"/>
        </w:rPr>
        <w:t xml:space="preserve"> </w:t>
      </w:r>
      <w:proofErr w:type="spellStart"/>
      <w:r>
        <w:rPr>
          <w:rFonts w:ascii="Fira Sans" w:hAnsi="Fira Sans"/>
          <w:sz w:val="19"/>
          <w:lang w:val="en-US"/>
        </w:rPr>
        <w:t>i.e</w:t>
      </w:r>
      <w:proofErr w:type="spellEnd"/>
      <w:r>
        <w:rPr>
          <w:rFonts w:ascii="Fira Sans" w:hAnsi="Fira Sans"/>
          <w:sz w:val="19"/>
          <w:lang w:val="en-US"/>
        </w:rPr>
        <w:t xml:space="preserve"> less to the previous month and as well as compared to April 2019 </w:t>
      </w:r>
      <w:r w:rsidR="00597D52">
        <w:rPr>
          <w:rFonts w:ascii="Fira Sans" w:hAnsi="Fira Sans"/>
          <w:sz w:val="19"/>
          <w:lang w:val="en-US"/>
        </w:rPr>
        <w:t>respectively by 2.9% and 2.2%.</w:t>
      </w:r>
    </w:p>
    <w:p w:rsidR="00D65656" w:rsidRPr="00332DEC" w:rsidRDefault="001B2FC3" w:rsidP="00AB7F1C">
      <w:pPr>
        <w:spacing w:before="120" w:after="120" w:line="240" w:lineRule="exact"/>
        <w:rPr>
          <w:rFonts w:ascii="Fira Sans" w:hAnsi="Fira Sans"/>
          <w:color w:val="001D77"/>
          <w:sz w:val="19"/>
          <w:lang w:val="en-US"/>
        </w:rPr>
      </w:pPr>
      <w:r>
        <w:rPr>
          <w:rFonts w:ascii="Fira Sans" w:hAnsi="Fira Sans"/>
          <w:color w:val="001D77"/>
          <w:sz w:val="19"/>
          <w:lang w:val="en-US"/>
        </w:rPr>
        <w:t xml:space="preserve"> </w:t>
      </w:r>
    </w:p>
    <w:p w:rsidR="00D84472" w:rsidRDefault="00D84472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D84472" w:rsidRDefault="00D84472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D84472" w:rsidRDefault="00D84472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lastRenderedPageBreak/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marketplaces prices of wheat and rye</w:t>
      </w:r>
    </w:p>
    <w:p w:rsidR="00197733" w:rsidRPr="008279D3" w:rsidRDefault="00A26484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 w:rsidRPr="00A26484">
        <w:rPr>
          <w:rFonts w:ascii="Fira Sans SemiBold" w:hAnsi="Fira Sans SemiBold"/>
          <w:noProof/>
          <w:color w:val="001D77"/>
          <w:sz w:val="19"/>
          <w:szCs w:val="19"/>
          <w:lang w:eastAsia="pl-PL"/>
        </w:rPr>
        <w:drawing>
          <wp:inline distT="0" distB="0" distL="0" distR="0">
            <wp:extent cx="4907076" cy="3325244"/>
            <wp:effectExtent l="0" t="0" r="0" b="0"/>
            <wp:docPr id="9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0E63C8" w:rsidP="00D87C6E">
      <w:pPr>
        <w:rPr>
          <w:lang w:eastAsia="pl-PL"/>
        </w:rPr>
      </w:pPr>
      <w:r w:rsidRPr="000E63C8">
        <w:rPr>
          <w:noProof/>
          <w:lang w:eastAsia="pl-PL"/>
        </w:rPr>
        <w:drawing>
          <wp:inline distT="0" distB="0" distL="0" distR="0">
            <wp:extent cx="5122545" cy="3498880"/>
            <wp:effectExtent l="0" t="0" r="0" b="0"/>
            <wp:docPr id="10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A0E43" w:rsidRDefault="00DA0E43" w:rsidP="00272695">
      <w:pPr>
        <w:spacing w:beforeLines="10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E3302" w:rsidRPr="000F45BD" w:rsidRDefault="007431BF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lastRenderedPageBreak/>
        <w:t xml:space="preserve">Chart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:rsidR="0094650F" w:rsidRPr="00F3419A" w:rsidRDefault="004551D8" w:rsidP="00F3419A">
      <w:pPr>
        <w:ind w:left="142"/>
        <w:rPr>
          <w:lang w:eastAsia="pl-PL"/>
        </w:rPr>
      </w:pPr>
      <w:r w:rsidRPr="004551D8">
        <w:rPr>
          <w:noProof/>
          <w:lang w:eastAsia="pl-PL"/>
        </w:rPr>
        <w:drawing>
          <wp:inline distT="0" distB="0" distL="0" distR="0">
            <wp:extent cx="5122545" cy="3427303"/>
            <wp:effectExtent l="0" t="0" r="0" b="0"/>
            <wp:docPr id="11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B22E2" w:rsidRDefault="001B22E2" w:rsidP="00BC6C2E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4156C6" w:rsidRPr="000F45BD" w:rsidRDefault="00AF1A75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P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>rocurement</w:t>
      </w:r>
      <w:r w:rsidR="005B1E9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prices of </w:t>
      </w:r>
      <w:r w:rsidR="00B22DFE">
        <w:rPr>
          <w:rFonts w:ascii="Fira Sans" w:hAnsi="Fira Sans"/>
          <w:b/>
          <w:sz w:val="18"/>
          <w:szCs w:val="18"/>
          <w:lang w:val="en-US"/>
        </w:rPr>
        <w:t>poultry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 for slaughter </w:t>
      </w:r>
      <w:r w:rsidR="00B22DFE">
        <w:rPr>
          <w:rFonts w:ascii="Fira Sans" w:hAnsi="Fira Sans"/>
          <w:b/>
          <w:sz w:val="18"/>
          <w:szCs w:val="18"/>
          <w:lang w:val="en-US"/>
        </w:rPr>
        <w:t>and cows’</w:t>
      </w:r>
      <w:r w:rsidR="00A73769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milk</w:t>
      </w:r>
    </w:p>
    <w:p w:rsidR="000054E3" w:rsidRDefault="001D5E68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 w:rsidRPr="001D5E68">
        <w:rPr>
          <w:rFonts w:ascii="Fira Sans" w:hAnsi="Fira Sans" w:cs="Arial"/>
          <w:noProof/>
          <w:sz w:val="19"/>
          <w:szCs w:val="19"/>
          <w:lang w:eastAsia="pl-PL"/>
        </w:rPr>
        <w:drawing>
          <wp:inline distT="0" distB="0" distL="0" distR="0">
            <wp:extent cx="5122545" cy="3449658"/>
            <wp:effectExtent l="0" t="0" r="0" b="0"/>
            <wp:docPr id="12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054E3" w:rsidRDefault="000054E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0054E3" w:rsidRDefault="000054E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0054E3" w:rsidRDefault="000054E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0054E3" w:rsidRDefault="000054E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CD26D8" w:rsidRPr="000F45BD" w:rsidRDefault="000054E3" w:rsidP="002E7125">
      <w:pPr>
        <w:spacing w:before="120" w:after="120" w:line="240" w:lineRule="exact"/>
        <w:rPr>
          <w:rFonts w:cs="Arial"/>
          <w:color w:val="000000"/>
          <w:sz w:val="20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>e differentiation of the level of</w:t>
      </w:r>
      <w:r w:rsidR="0072703C">
        <w:rPr>
          <w:rFonts w:ascii="Fira Sans" w:hAnsi="Fira Sans" w:cs="Arial"/>
          <w:sz w:val="19"/>
          <w:szCs w:val="19"/>
          <w:lang w:val="en-US"/>
        </w:rPr>
        <w:t xml:space="preserve"> procurement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of basic agricultural products in pa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>r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>ticular voivodships is presented in Table 2</w:t>
      </w:r>
      <w:r w:rsidR="006A1109">
        <w:rPr>
          <w:rFonts w:ascii="Fira Sans" w:hAnsi="Fira Sans" w:cs="Arial"/>
          <w:sz w:val="19"/>
          <w:szCs w:val="19"/>
          <w:lang w:val="en-US"/>
        </w:rPr>
        <w:t>.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(Excel sheet).</w:t>
      </w:r>
    </w:p>
    <w:p w:rsidR="00CA42A5" w:rsidRPr="000F45BD" w:rsidRDefault="00CA42A5" w:rsidP="00CD26D8">
      <w:pPr>
        <w:spacing w:after="0" w:line="276" w:lineRule="auto"/>
        <w:rPr>
          <w:rFonts w:cs="Arial"/>
          <w:color w:val="000000"/>
          <w:sz w:val="20"/>
          <w:lang w:val="en-US"/>
        </w:rPr>
        <w:sectPr w:rsidR="00CA42A5" w:rsidRPr="000F45BD" w:rsidSect="000F45B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358"/>
        <w:gridCol w:w="3925"/>
      </w:tblGrid>
      <w:tr w:rsidR="00875905" w:rsidRPr="00661C39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proofErr w:type="spellStart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Prepard</w:t>
            </w:r>
            <w:proofErr w:type="spellEnd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 xml:space="preserve"> by:</w:t>
            </w:r>
          </w:p>
          <w:p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Trade and Services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Departament</w:t>
            </w:r>
            <w:proofErr w:type="spellEnd"/>
          </w:p>
          <w:p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The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Spokesperon</w:t>
            </w:r>
            <w:proofErr w:type="spellEnd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Banaszek</w:t>
            </w:r>
            <w:proofErr w:type="spellEnd"/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CD26D8" w:rsidRPr="00661C39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8E7952" w:rsidP="00CD26D8">
      <w:pPr>
        <w:rPr>
          <w:sz w:val="18"/>
        </w:rPr>
      </w:pPr>
      <w:r>
        <w:rPr>
          <w:noProof/>
          <w:sz w:val="18"/>
          <w:lang w:eastAsia="pl-PL"/>
        </w:rPr>
        <w:pict>
          <v:shape id="Text Box 65" o:spid="_x0000_s1032" type="#_x0000_t202" style="position:absolute;margin-left:-5.25pt;margin-top:93.8pt;width:516.5pt;height:313.25pt;z-index:25181081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" fillcolor="#f2f2f2" strokecolor="white">
            <v:textbox style="mso-next-textbox:#Text Box 65">
              <w:txbxContent>
                <w:p w:rsidR="00133140" w:rsidRDefault="00133140" w:rsidP="00CD26D8">
                  <w:pPr>
                    <w:rPr>
                      <w:b/>
                    </w:rPr>
                  </w:pPr>
                </w:p>
                <w:p w:rsidR="00133140" w:rsidRPr="000F45BD" w:rsidRDefault="006E1DDA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sz w:val="19"/>
                      <w:szCs w:val="19"/>
                      <w:lang w:val="en-US"/>
                    </w:rPr>
                  </w:pPr>
                  <w:r w:rsidRPr="000F45BD">
                    <w:rPr>
                      <w:rFonts w:ascii="Fira Sans" w:hAnsi="Fira Sans"/>
                      <w:b/>
                      <w:sz w:val="19"/>
                      <w:szCs w:val="19"/>
                      <w:lang w:val="en-US"/>
                    </w:rPr>
                    <w:t>Related information</w:t>
                  </w:r>
                </w:p>
                <w:p w:rsidR="004B514A" w:rsidRPr="000F45BD" w:rsidRDefault="008E7952" w:rsidP="004B514A">
                  <w:pPr>
                    <w:spacing w:before="120" w:after="120" w:line="240" w:lineRule="exact"/>
                    <w:rPr>
                      <w:rStyle w:val="Hipercze"/>
                      <w:rFonts w:cstheme="minorBidi"/>
                      <w:color w:val="001D77"/>
                      <w:lang w:val="en-US"/>
                    </w:rPr>
                  </w:pPr>
                  <w:hyperlink r:id="rId23" w:history="1">
                    <w:r w:rsidR="004B514A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Information on the socio-economic situation of the country in 2019</w:t>
                    </w:r>
                  </w:hyperlink>
                  <w:r w:rsidR="004B514A" w:rsidRPr="000F45BD">
                    <w:rPr>
                      <w:rStyle w:val="Hipercze"/>
                      <w:rFonts w:cstheme="minorBidi"/>
                      <w:color w:val="001D77"/>
                      <w:lang w:val="en-US"/>
                    </w:rPr>
                    <w:t xml:space="preserve"> </w:t>
                  </w:r>
                </w:p>
                <w:p w:rsidR="004B514A" w:rsidRPr="000F45BD" w:rsidRDefault="008E7952" w:rsidP="00CB6786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</w:pPr>
                  <w:hyperlink r:id="rId24" w:history="1">
                    <w:r w:rsidR="004B514A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Procurement and prices of agricultural products in 2018</w:t>
                    </w:r>
                  </w:hyperlink>
                  <w:r w:rsidR="004B514A" w:rsidRPr="000F45BD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4B514A" w:rsidRPr="000F45BD" w:rsidRDefault="008E7952" w:rsidP="00CB6786">
                  <w:pPr>
                    <w:spacing w:before="120" w:after="120" w:line="240" w:lineRule="exact"/>
                    <w:rPr>
                      <w:rStyle w:val="Hipercze"/>
                      <w:rFonts w:cstheme="minorBidi"/>
                      <w:color w:val="001D77"/>
                      <w:lang w:val="en-US"/>
                    </w:rPr>
                  </w:pPr>
                  <w:hyperlink r:id="rId25" w:history="1">
                    <w:r w:rsidR="004B514A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Prices in the national economy in 2014-2018</w:t>
                    </w:r>
                  </w:hyperlink>
                  <w:r w:rsidR="004B514A" w:rsidRPr="000F45BD">
                    <w:rPr>
                      <w:rStyle w:val="Hipercze"/>
                      <w:rFonts w:cstheme="minorBidi"/>
                      <w:color w:val="001D77"/>
                      <w:lang w:val="en-US"/>
                    </w:rPr>
                    <w:t xml:space="preserve"> </w:t>
                  </w:r>
                </w:p>
                <w:p w:rsidR="00133140" w:rsidRPr="000F45BD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Cs w:val="24"/>
                      <w:lang w:val="en-US"/>
                    </w:rPr>
                  </w:pPr>
                </w:p>
                <w:p w:rsidR="00133140" w:rsidRPr="000F45BD" w:rsidRDefault="00CE315A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b/>
                      <w:color w:val="000000"/>
                      <w:sz w:val="19"/>
                      <w:szCs w:val="19"/>
                      <w:u w:val="none"/>
                      <w:lang w:val="en-US"/>
                    </w:rPr>
                  </w:pPr>
                  <w:r w:rsidRPr="000F45BD"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  <w:lang w:val="en-US"/>
                    </w:rPr>
                    <w:t>Data available in databases</w:t>
                  </w:r>
                </w:p>
                <w:p w:rsidR="00126062" w:rsidRPr="000F45BD" w:rsidRDefault="008E7952" w:rsidP="00666A3D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</w:pPr>
                  <w:hyperlink r:id="rId26" w:history="1">
                    <w:r w:rsidR="00126062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BDL - Prices in agriculture (monthly and annual data)</w:t>
                    </w:r>
                  </w:hyperlink>
                  <w:r w:rsidR="00126062" w:rsidRPr="000F45BD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126062" w:rsidRPr="000F45BD" w:rsidRDefault="008E7952" w:rsidP="00666A3D">
                  <w:pPr>
                    <w:spacing w:before="120" w:after="120" w:line="240" w:lineRule="exact"/>
                    <w:rPr>
                      <w:rStyle w:val="Hipercze"/>
                      <w:rFonts w:cstheme="minorBidi"/>
                      <w:color w:val="001D77"/>
                      <w:sz w:val="18"/>
                      <w:szCs w:val="18"/>
                      <w:lang w:val="en-US"/>
                    </w:rPr>
                  </w:pPr>
                  <w:hyperlink r:id="rId27" w:history="1">
                    <w:r w:rsidR="00126062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DBW - Prices in agriculture (monthly and annual data)</w:t>
                    </w:r>
                  </w:hyperlink>
                </w:p>
                <w:p w:rsidR="00133140" w:rsidRPr="000F45BD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Cs w:val="24"/>
                      <w:lang w:val="en-US"/>
                    </w:rPr>
                  </w:pPr>
                </w:p>
                <w:p w:rsidR="00133140" w:rsidRPr="000F45BD" w:rsidRDefault="00CE315A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  <w:lang w:val="en-US"/>
                    </w:rPr>
                  </w:pPr>
                  <w:r w:rsidRPr="000F45BD"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  <w:lang w:val="en-US"/>
                    </w:rPr>
                    <w:t>Terms used in official statistics</w:t>
                  </w:r>
                </w:p>
                <w:p w:rsidR="004B7E72" w:rsidRPr="000F45BD" w:rsidRDefault="008E7952" w:rsidP="001E7B1E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</w:pPr>
                  <w:hyperlink r:id="rId28" w:history="1">
                    <w:r w:rsidR="004B7E72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Procurement of agricultural products</w:t>
                    </w:r>
                  </w:hyperlink>
                </w:p>
                <w:p w:rsidR="004B7E72" w:rsidRPr="00986B31" w:rsidRDefault="008E7952" w:rsidP="001E7B1E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</w:pPr>
                  <w:hyperlink r:id="rId29" w:history="1">
                    <w:proofErr w:type="spellStart"/>
                    <w:r w:rsidR="004B7E72" w:rsidRPr="00986B31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Procurement</w:t>
                    </w:r>
                    <w:proofErr w:type="spellEnd"/>
                    <w:r w:rsidR="004B7E72" w:rsidRPr="00986B31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4B7E72" w:rsidRPr="00986B31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prices</w:t>
                    </w:r>
                    <w:proofErr w:type="spellEnd"/>
                  </w:hyperlink>
                </w:p>
                <w:p w:rsidR="00713967" w:rsidRPr="00B94304" w:rsidRDefault="008E7952" w:rsidP="001E7B1E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</w:pPr>
                  <w:hyperlink r:id="rId30" w:history="1">
                    <w:r w:rsidR="00713967" w:rsidRPr="00B94304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Marketplace</w:t>
                    </w:r>
                  </w:hyperlink>
                  <w:r w:rsidR="00713967" w:rsidRPr="00B94304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 xml:space="preserve"> </w:t>
                  </w:r>
                </w:p>
                <w:p w:rsidR="00713967" w:rsidRPr="004F677F" w:rsidRDefault="008E7952" w:rsidP="001E7B1E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</w:pPr>
                  <w:hyperlink r:id="rId31" w:history="1">
                    <w:proofErr w:type="spellStart"/>
                    <w:r w:rsidR="00713967" w:rsidRPr="004F677F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Marketplace</w:t>
                    </w:r>
                    <w:proofErr w:type="spellEnd"/>
                  </w:hyperlink>
                  <w:r w:rsidR="00713967" w:rsidRPr="004F677F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13967" w:rsidRPr="004F677F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>prices</w:t>
                  </w:r>
                  <w:proofErr w:type="spellEnd"/>
                  <w:r w:rsidR="00713967" w:rsidRPr="004F677F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 xml:space="preserve"> </w:t>
                  </w:r>
                </w:p>
                <w:p w:rsidR="00133140" w:rsidRPr="00564813" w:rsidRDefault="00133140" w:rsidP="00CD26D8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32"/>
      <w:headerReference w:type="first" r:id="rId3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46B" w:rsidRDefault="00DE146B" w:rsidP="000662E2">
      <w:pPr>
        <w:spacing w:after="0" w:line="240" w:lineRule="auto"/>
      </w:pPr>
      <w:r>
        <w:separator/>
      </w:r>
    </w:p>
  </w:endnote>
  <w:endnote w:type="continuationSeparator" w:id="0">
    <w:p w:rsidR="00DE146B" w:rsidRDefault="00DE146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Pr="006F2D45" w:rsidRDefault="008E795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D70C64">
      <w:rPr>
        <w:noProof/>
        <w:sz w:val="18"/>
        <w:szCs w:val="18"/>
      </w:rPr>
      <w:t>2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Pr="009F24C7" w:rsidRDefault="008E795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D70C64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46B" w:rsidRDefault="00DE146B" w:rsidP="000662E2">
      <w:pPr>
        <w:spacing w:after="0" w:line="240" w:lineRule="auto"/>
      </w:pPr>
      <w:r>
        <w:separator/>
      </w:r>
    </w:p>
  </w:footnote>
  <w:footnote w:type="continuationSeparator" w:id="0">
    <w:p w:rsidR="00DE146B" w:rsidRDefault="00DE146B" w:rsidP="000662E2">
      <w:pPr>
        <w:spacing w:after="0" w:line="240" w:lineRule="auto"/>
      </w:pPr>
      <w:r>
        <w:continuationSeparator/>
      </w:r>
    </w:p>
  </w:footnote>
  <w:footnote w:id="1">
    <w:p w:rsidR="0034516E" w:rsidRPr="00661C39" w:rsidRDefault="0034516E" w:rsidP="0034516E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 xml:space="preserve">Wheat, rye, cattle for slaughter, pigs for slaughter, </w:t>
      </w:r>
      <w:r w:rsidR="008F34D8" w:rsidRPr="0031038F">
        <w:rPr>
          <w:rFonts w:ascii="Fira Sans" w:hAnsi="Fira Sans"/>
          <w:sz w:val="16"/>
          <w:szCs w:val="16"/>
          <w:lang w:val="en-US"/>
        </w:rPr>
        <w:t>poultry,</w:t>
      </w:r>
      <w:r w:rsidRPr="0031038F">
        <w:rPr>
          <w:rFonts w:ascii="Fira Sans" w:hAnsi="Fira Sans"/>
          <w:sz w:val="16"/>
          <w:szCs w:val="16"/>
          <w:lang w:val="en-US"/>
        </w:rPr>
        <w:t xml:space="preserve"> cows’ milk</w:t>
      </w:r>
    </w:p>
  </w:footnote>
  <w:footnote w:id="2">
    <w:p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Default="008E7952" w:rsidP="00071652">
    <w:pPr>
      <w:pStyle w:val="Nagwek"/>
      <w:jc w:val="right"/>
    </w:pPr>
    <w:r>
      <w:rPr>
        <w:noProof/>
        <w:lang w:eastAsia="pl-PL"/>
      </w:rPr>
      <w:pict>
        <v:rect id="_x0000_s2052" style="position:absolute;left:0;text-align:left;margin-left:423.9pt;margin-top:-7.3pt;width:147.4pt;height:1803.55pt;z-index:-251652096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IPrizbgAAAADQEAAA8AAAAAAAAA&#10;AAAAAAAAAAUAAGRycy9kb3ducmV2LnhtbFBLBQYAAAAABAAEAPMAAAANBgAAAAA=&#10;" fillcolor="#f2f2f2" stroked="f" strokeweight="1pt">
          <v:path arrowok="t"/>
          <w10:wrap type="tigh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5" name="Obraz 15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3140" w:rsidRDefault="008E7952" w:rsidP="00F32458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4" style="position:absolute;margin-left:409.8pt;margin-top:2.75pt;width:159.8pt;height:24.15pt;flip:x;z-index:251667456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776220,0;1945005,180000;1776220,360000;0,360000;0,0" o:connectangles="0,0,0,0,0,0" textboxrect="0,0,3527018,612140"/>
          <v:textbox style="mso-next-textbox:#Schemat blokowy: opóźnienie 6">
            <w:txbxContent>
              <w:p w:rsidR="003E6589" w:rsidRPr="007747A2" w:rsidRDefault="003E6589" w:rsidP="003E6589">
                <w:pPr>
                  <w:spacing w:after="0" w:line="240" w:lineRule="auto"/>
                  <w:ind w:left="227"/>
                  <w:rPr>
                    <w:rFonts w:ascii="Fira Sans SemiBold" w:hAnsi="Fira Sans SemiBold"/>
                    <w:sz w:val="19"/>
                    <w:szCs w:val="19"/>
                  </w:rPr>
                </w:pPr>
                <w:r>
                  <w:rPr>
                    <w:rFonts w:ascii="Fira Sans SemiBold" w:hAnsi="Fira Sans SemiBold"/>
                    <w:sz w:val="19"/>
                    <w:szCs w:val="19"/>
                  </w:rPr>
                  <w:t xml:space="preserve">  NEWS 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Rectangle 5" o:spid="_x0000_s2050" style="position:absolute;margin-left:412.8pt;margin-top:-32.5pt;width:148pt;height:1583.9pt;z-index:-251654144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pb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CB/WpbgQIAAAAFAAAOAAAAAAAAAAAAAAAAAC4CAABkcnMvZTJvRG9jLnhtbFBLAQItABQABgAI&#10;AAAAIQDS8eik5QAAAA0BAAAPAAAAAAAAAAAAAAAAANsEAABkcnMvZG93bnJldi54bWxQSwUGAAAA&#10;AAQABADzAAAA7QUAAAAA&#10;" fillcolor="#f2f2f2" stroked="f" strokeweight="1pt">
          <w10:wrap type="square" anchorx="margin" anchory="margin"/>
        </v:rect>
      </w:pic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Default="008E7952" w:rsidP="00071652">
    <w:pPr>
      <w:pStyle w:val="Nagwek"/>
      <w:jc w:val="right"/>
    </w:pPr>
    <w:r>
      <w:rPr>
        <w:noProof/>
        <w:lang w:eastAsia="pl-PL"/>
      </w:rPr>
      <w:pict>
        <v:rect id="Prostokąt 10" o:spid="_x0000_s2049" style="position:absolute;left:0;text-align:left;margin-left:423.9pt;margin-top:3.5pt;width:147.4pt;height:1803.5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<v:path arrowok="t"/>
          <w10:wrap type="tight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23.6pt;height:124.8pt;visibility:visible" o:bullet="t">
        <v:imagedata r:id="rId1" o:title=""/>
      </v:shape>
    </w:pict>
  </w:numPicBullet>
  <w:numPicBullet w:numPicBulletId="1">
    <w:pict>
      <v:shape id="_x0000_i1063" type="#_x0000_t75" style="width:124.8pt;height:124.8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utkowska Jolanta">
    <w15:presenceInfo w15:providerId="AD" w15:userId="S-1-5-21-3419930908-1354286565-637230989-293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5122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0532"/>
    <w:rsid w:val="00000A47"/>
    <w:rsid w:val="00000B0E"/>
    <w:rsid w:val="00000BEC"/>
    <w:rsid w:val="00000D7A"/>
    <w:rsid w:val="00000DAE"/>
    <w:rsid w:val="00000FA0"/>
    <w:rsid w:val="00001C5B"/>
    <w:rsid w:val="000022C7"/>
    <w:rsid w:val="00003437"/>
    <w:rsid w:val="00003531"/>
    <w:rsid w:val="00003C9C"/>
    <w:rsid w:val="0000454C"/>
    <w:rsid w:val="000054E3"/>
    <w:rsid w:val="000055E7"/>
    <w:rsid w:val="0000560B"/>
    <w:rsid w:val="0000668B"/>
    <w:rsid w:val="00006690"/>
    <w:rsid w:val="00006A05"/>
    <w:rsid w:val="0000709F"/>
    <w:rsid w:val="00007871"/>
    <w:rsid w:val="000103B6"/>
    <w:rsid w:val="000108B8"/>
    <w:rsid w:val="00010F43"/>
    <w:rsid w:val="00011178"/>
    <w:rsid w:val="0001163A"/>
    <w:rsid w:val="0001171D"/>
    <w:rsid w:val="0001174D"/>
    <w:rsid w:val="00011CBF"/>
    <w:rsid w:val="0001349A"/>
    <w:rsid w:val="00013BCB"/>
    <w:rsid w:val="00014825"/>
    <w:rsid w:val="000152F5"/>
    <w:rsid w:val="00015F80"/>
    <w:rsid w:val="00017AE5"/>
    <w:rsid w:val="00020239"/>
    <w:rsid w:val="0002066A"/>
    <w:rsid w:val="0002303D"/>
    <w:rsid w:val="0002385D"/>
    <w:rsid w:val="00024A98"/>
    <w:rsid w:val="00024DEB"/>
    <w:rsid w:val="000254D2"/>
    <w:rsid w:val="000258E1"/>
    <w:rsid w:val="00026041"/>
    <w:rsid w:val="00026D6C"/>
    <w:rsid w:val="00027917"/>
    <w:rsid w:val="000309E6"/>
    <w:rsid w:val="00030CB0"/>
    <w:rsid w:val="00031080"/>
    <w:rsid w:val="000313A7"/>
    <w:rsid w:val="00031635"/>
    <w:rsid w:val="00032E2D"/>
    <w:rsid w:val="00032FB4"/>
    <w:rsid w:val="00033484"/>
    <w:rsid w:val="00033D83"/>
    <w:rsid w:val="000351B2"/>
    <w:rsid w:val="0003547E"/>
    <w:rsid w:val="00036F4A"/>
    <w:rsid w:val="00037892"/>
    <w:rsid w:val="00040975"/>
    <w:rsid w:val="00042DB1"/>
    <w:rsid w:val="00043884"/>
    <w:rsid w:val="000439E6"/>
    <w:rsid w:val="00043F6D"/>
    <w:rsid w:val="0004582E"/>
    <w:rsid w:val="000466B7"/>
    <w:rsid w:val="00051E56"/>
    <w:rsid w:val="00051F7F"/>
    <w:rsid w:val="00052A8A"/>
    <w:rsid w:val="0005381D"/>
    <w:rsid w:val="00054462"/>
    <w:rsid w:val="00054E65"/>
    <w:rsid w:val="000553C3"/>
    <w:rsid w:val="00055432"/>
    <w:rsid w:val="00055860"/>
    <w:rsid w:val="00055CAB"/>
    <w:rsid w:val="000560E3"/>
    <w:rsid w:val="00057CA1"/>
    <w:rsid w:val="00060730"/>
    <w:rsid w:val="00060BE6"/>
    <w:rsid w:val="000610B7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5D3E"/>
    <w:rsid w:val="00065F0B"/>
    <w:rsid w:val="00065F11"/>
    <w:rsid w:val="000662E2"/>
    <w:rsid w:val="000664CD"/>
    <w:rsid w:val="00066883"/>
    <w:rsid w:val="00066D6F"/>
    <w:rsid w:val="00066DF3"/>
    <w:rsid w:val="00071592"/>
    <w:rsid w:val="00071652"/>
    <w:rsid w:val="00071959"/>
    <w:rsid w:val="00071C6F"/>
    <w:rsid w:val="000723BA"/>
    <w:rsid w:val="000740C0"/>
    <w:rsid w:val="000744C0"/>
    <w:rsid w:val="00075BE3"/>
    <w:rsid w:val="00075F18"/>
    <w:rsid w:val="0007647F"/>
    <w:rsid w:val="00077C73"/>
    <w:rsid w:val="00077D0A"/>
    <w:rsid w:val="000806F7"/>
    <w:rsid w:val="00082265"/>
    <w:rsid w:val="00082865"/>
    <w:rsid w:val="00082E3E"/>
    <w:rsid w:val="000833A1"/>
    <w:rsid w:val="00083D81"/>
    <w:rsid w:val="0008459C"/>
    <w:rsid w:val="00084AFB"/>
    <w:rsid w:val="00084E1C"/>
    <w:rsid w:val="0008542E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0D8"/>
    <w:rsid w:val="00093582"/>
    <w:rsid w:val="00093BF6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A02E7"/>
    <w:rsid w:val="000A0EAD"/>
    <w:rsid w:val="000A13B7"/>
    <w:rsid w:val="000A13D3"/>
    <w:rsid w:val="000A15E7"/>
    <w:rsid w:val="000A177E"/>
    <w:rsid w:val="000A1BD8"/>
    <w:rsid w:val="000A1F0E"/>
    <w:rsid w:val="000A2AEC"/>
    <w:rsid w:val="000A3A62"/>
    <w:rsid w:val="000A463C"/>
    <w:rsid w:val="000A4C6C"/>
    <w:rsid w:val="000A56DC"/>
    <w:rsid w:val="000A5CA7"/>
    <w:rsid w:val="000A62D8"/>
    <w:rsid w:val="000A642B"/>
    <w:rsid w:val="000A7C99"/>
    <w:rsid w:val="000B04C5"/>
    <w:rsid w:val="000B0727"/>
    <w:rsid w:val="000B08BA"/>
    <w:rsid w:val="000B1C57"/>
    <w:rsid w:val="000B2A6F"/>
    <w:rsid w:val="000B47B4"/>
    <w:rsid w:val="000B5193"/>
    <w:rsid w:val="000B54C0"/>
    <w:rsid w:val="000B5A17"/>
    <w:rsid w:val="000B691F"/>
    <w:rsid w:val="000B6BF0"/>
    <w:rsid w:val="000B75B7"/>
    <w:rsid w:val="000B773F"/>
    <w:rsid w:val="000B7B6C"/>
    <w:rsid w:val="000C078A"/>
    <w:rsid w:val="000C08EB"/>
    <w:rsid w:val="000C135D"/>
    <w:rsid w:val="000C273D"/>
    <w:rsid w:val="000C3778"/>
    <w:rsid w:val="000C3879"/>
    <w:rsid w:val="000C3DD9"/>
    <w:rsid w:val="000C5390"/>
    <w:rsid w:val="000C7AE4"/>
    <w:rsid w:val="000D1765"/>
    <w:rsid w:val="000D1D43"/>
    <w:rsid w:val="000D225C"/>
    <w:rsid w:val="000D23C1"/>
    <w:rsid w:val="000D2520"/>
    <w:rsid w:val="000D29C3"/>
    <w:rsid w:val="000D58B7"/>
    <w:rsid w:val="000D675C"/>
    <w:rsid w:val="000D7492"/>
    <w:rsid w:val="000E05CA"/>
    <w:rsid w:val="000E0918"/>
    <w:rsid w:val="000E2460"/>
    <w:rsid w:val="000E3210"/>
    <w:rsid w:val="000E3723"/>
    <w:rsid w:val="000E3FFC"/>
    <w:rsid w:val="000E45B0"/>
    <w:rsid w:val="000E46C1"/>
    <w:rsid w:val="000E584B"/>
    <w:rsid w:val="000E63C8"/>
    <w:rsid w:val="000E63E9"/>
    <w:rsid w:val="000E6F4A"/>
    <w:rsid w:val="000E6FE6"/>
    <w:rsid w:val="000E75BB"/>
    <w:rsid w:val="000E7D3C"/>
    <w:rsid w:val="000F0944"/>
    <w:rsid w:val="000F0C6A"/>
    <w:rsid w:val="000F11C3"/>
    <w:rsid w:val="000F17D8"/>
    <w:rsid w:val="000F1DF0"/>
    <w:rsid w:val="000F1F10"/>
    <w:rsid w:val="000F2BAF"/>
    <w:rsid w:val="000F3964"/>
    <w:rsid w:val="000F4482"/>
    <w:rsid w:val="000F45BD"/>
    <w:rsid w:val="000F4A02"/>
    <w:rsid w:val="000F523E"/>
    <w:rsid w:val="000F5A18"/>
    <w:rsid w:val="000F6141"/>
    <w:rsid w:val="000F78B6"/>
    <w:rsid w:val="001005FB"/>
    <w:rsid w:val="00100B9F"/>
    <w:rsid w:val="001011C3"/>
    <w:rsid w:val="001018E2"/>
    <w:rsid w:val="00101D99"/>
    <w:rsid w:val="00102047"/>
    <w:rsid w:val="001028A7"/>
    <w:rsid w:val="00102FF5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49A5"/>
    <w:rsid w:val="00114DB9"/>
    <w:rsid w:val="001151A1"/>
    <w:rsid w:val="00116087"/>
    <w:rsid w:val="0011626D"/>
    <w:rsid w:val="0011635B"/>
    <w:rsid w:val="00120FED"/>
    <w:rsid w:val="001211B1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8ED"/>
    <w:rsid w:val="00131BDA"/>
    <w:rsid w:val="00132393"/>
    <w:rsid w:val="00132C84"/>
    <w:rsid w:val="00133140"/>
    <w:rsid w:val="001336E3"/>
    <w:rsid w:val="00133E8A"/>
    <w:rsid w:val="001345C8"/>
    <w:rsid w:val="0013511E"/>
    <w:rsid w:val="00135203"/>
    <w:rsid w:val="00136685"/>
    <w:rsid w:val="00136923"/>
    <w:rsid w:val="001423B6"/>
    <w:rsid w:val="00143888"/>
    <w:rsid w:val="001448A7"/>
    <w:rsid w:val="00144B7C"/>
    <w:rsid w:val="00145699"/>
    <w:rsid w:val="00145818"/>
    <w:rsid w:val="00146621"/>
    <w:rsid w:val="00146E04"/>
    <w:rsid w:val="0014750B"/>
    <w:rsid w:val="00147D79"/>
    <w:rsid w:val="00147E42"/>
    <w:rsid w:val="00150403"/>
    <w:rsid w:val="00150AF7"/>
    <w:rsid w:val="00150D85"/>
    <w:rsid w:val="001515D7"/>
    <w:rsid w:val="00151657"/>
    <w:rsid w:val="00151DEC"/>
    <w:rsid w:val="001537A0"/>
    <w:rsid w:val="00154817"/>
    <w:rsid w:val="001613CB"/>
    <w:rsid w:val="00162325"/>
    <w:rsid w:val="00162538"/>
    <w:rsid w:val="001629AF"/>
    <w:rsid w:val="001629BF"/>
    <w:rsid w:val="0016376F"/>
    <w:rsid w:val="00163D6B"/>
    <w:rsid w:val="00164224"/>
    <w:rsid w:val="001648A9"/>
    <w:rsid w:val="001652B9"/>
    <w:rsid w:val="00165B50"/>
    <w:rsid w:val="001668EF"/>
    <w:rsid w:val="00166D3D"/>
    <w:rsid w:val="0016705C"/>
    <w:rsid w:val="001670F6"/>
    <w:rsid w:val="00171057"/>
    <w:rsid w:val="0017128B"/>
    <w:rsid w:val="00171948"/>
    <w:rsid w:val="00172FA4"/>
    <w:rsid w:val="00173051"/>
    <w:rsid w:val="0017364B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9FD"/>
    <w:rsid w:val="00181945"/>
    <w:rsid w:val="001820A2"/>
    <w:rsid w:val="0018210A"/>
    <w:rsid w:val="00182AAF"/>
    <w:rsid w:val="00182B67"/>
    <w:rsid w:val="001831A8"/>
    <w:rsid w:val="00183869"/>
    <w:rsid w:val="001858E7"/>
    <w:rsid w:val="001864D0"/>
    <w:rsid w:val="001867D0"/>
    <w:rsid w:val="00187CA7"/>
    <w:rsid w:val="00191893"/>
    <w:rsid w:val="0019210D"/>
    <w:rsid w:val="00192299"/>
    <w:rsid w:val="001927D9"/>
    <w:rsid w:val="00194C84"/>
    <w:rsid w:val="001951DA"/>
    <w:rsid w:val="001952C1"/>
    <w:rsid w:val="00195CB8"/>
    <w:rsid w:val="00196339"/>
    <w:rsid w:val="0019722F"/>
    <w:rsid w:val="00197733"/>
    <w:rsid w:val="00197BF3"/>
    <w:rsid w:val="00197D6D"/>
    <w:rsid w:val="001A111D"/>
    <w:rsid w:val="001A177D"/>
    <w:rsid w:val="001A179F"/>
    <w:rsid w:val="001A217C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E6"/>
    <w:rsid w:val="001A66F2"/>
    <w:rsid w:val="001B0680"/>
    <w:rsid w:val="001B1508"/>
    <w:rsid w:val="001B1A09"/>
    <w:rsid w:val="001B1D50"/>
    <w:rsid w:val="001B22E2"/>
    <w:rsid w:val="001B2C05"/>
    <w:rsid w:val="001B2CD3"/>
    <w:rsid w:val="001B2FC3"/>
    <w:rsid w:val="001B3151"/>
    <w:rsid w:val="001B338B"/>
    <w:rsid w:val="001B33E5"/>
    <w:rsid w:val="001B4BB8"/>
    <w:rsid w:val="001B5146"/>
    <w:rsid w:val="001B6542"/>
    <w:rsid w:val="001B7CC3"/>
    <w:rsid w:val="001C0587"/>
    <w:rsid w:val="001C0B59"/>
    <w:rsid w:val="001C1462"/>
    <w:rsid w:val="001C3269"/>
    <w:rsid w:val="001C3883"/>
    <w:rsid w:val="001C40EC"/>
    <w:rsid w:val="001C44D2"/>
    <w:rsid w:val="001C4FAF"/>
    <w:rsid w:val="001C50BC"/>
    <w:rsid w:val="001C60C1"/>
    <w:rsid w:val="001C707C"/>
    <w:rsid w:val="001C7E09"/>
    <w:rsid w:val="001D06D4"/>
    <w:rsid w:val="001D1DB4"/>
    <w:rsid w:val="001D1E06"/>
    <w:rsid w:val="001D2BE5"/>
    <w:rsid w:val="001D2C08"/>
    <w:rsid w:val="001D2E47"/>
    <w:rsid w:val="001D3335"/>
    <w:rsid w:val="001D3394"/>
    <w:rsid w:val="001D3F59"/>
    <w:rsid w:val="001D4853"/>
    <w:rsid w:val="001D5E68"/>
    <w:rsid w:val="001D6CCC"/>
    <w:rsid w:val="001D7241"/>
    <w:rsid w:val="001D726E"/>
    <w:rsid w:val="001D73E1"/>
    <w:rsid w:val="001D7B0F"/>
    <w:rsid w:val="001E009B"/>
    <w:rsid w:val="001E07FB"/>
    <w:rsid w:val="001E17F5"/>
    <w:rsid w:val="001E2F4B"/>
    <w:rsid w:val="001E2F5F"/>
    <w:rsid w:val="001E386F"/>
    <w:rsid w:val="001E3A60"/>
    <w:rsid w:val="001E4F30"/>
    <w:rsid w:val="001E5A60"/>
    <w:rsid w:val="001E5DF2"/>
    <w:rsid w:val="001E6318"/>
    <w:rsid w:val="001E67B8"/>
    <w:rsid w:val="001E6D43"/>
    <w:rsid w:val="001E7B1E"/>
    <w:rsid w:val="001F0BE9"/>
    <w:rsid w:val="001F14E0"/>
    <w:rsid w:val="001F1F84"/>
    <w:rsid w:val="001F29C8"/>
    <w:rsid w:val="001F2F51"/>
    <w:rsid w:val="001F3009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7426"/>
    <w:rsid w:val="001F7B83"/>
    <w:rsid w:val="00200114"/>
    <w:rsid w:val="0020019B"/>
    <w:rsid w:val="00200D39"/>
    <w:rsid w:val="00201689"/>
    <w:rsid w:val="00201C46"/>
    <w:rsid w:val="002022C4"/>
    <w:rsid w:val="002029A2"/>
    <w:rsid w:val="00202C4E"/>
    <w:rsid w:val="002040D1"/>
    <w:rsid w:val="00204FA1"/>
    <w:rsid w:val="0020567E"/>
    <w:rsid w:val="00205CCB"/>
    <w:rsid w:val="0020676D"/>
    <w:rsid w:val="00207A22"/>
    <w:rsid w:val="00207C4A"/>
    <w:rsid w:val="002103B9"/>
    <w:rsid w:val="00212390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3D88"/>
    <w:rsid w:val="0022601D"/>
    <w:rsid w:val="00226FAC"/>
    <w:rsid w:val="002270CF"/>
    <w:rsid w:val="002314EB"/>
    <w:rsid w:val="0023159C"/>
    <w:rsid w:val="00231F58"/>
    <w:rsid w:val="00232B69"/>
    <w:rsid w:val="002331DA"/>
    <w:rsid w:val="002351B7"/>
    <w:rsid w:val="002359B7"/>
    <w:rsid w:val="00236FC5"/>
    <w:rsid w:val="00237277"/>
    <w:rsid w:val="00237BF1"/>
    <w:rsid w:val="00240A07"/>
    <w:rsid w:val="00240E7F"/>
    <w:rsid w:val="002410D2"/>
    <w:rsid w:val="00242755"/>
    <w:rsid w:val="00242A4E"/>
    <w:rsid w:val="00242ED6"/>
    <w:rsid w:val="002438FE"/>
    <w:rsid w:val="002444C6"/>
    <w:rsid w:val="00245870"/>
    <w:rsid w:val="00246A8B"/>
    <w:rsid w:val="00246FF2"/>
    <w:rsid w:val="00247F7D"/>
    <w:rsid w:val="002505FD"/>
    <w:rsid w:val="002512D0"/>
    <w:rsid w:val="00252553"/>
    <w:rsid w:val="00252FFD"/>
    <w:rsid w:val="002539F4"/>
    <w:rsid w:val="002544CF"/>
    <w:rsid w:val="002562B0"/>
    <w:rsid w:val="00256A5C"/>
    <w:rsid w:val="0025717E"/>
    <w:rsid w:val="002574F9"/>
    <w:rsid w:val="00257831"/>
    <w:rsid w:val="00257D7C"/>
    <w:rsid w:val="00260FF0"/>
    <w:rsid w:val="0026192A"/>
    <w:rsid w:val="002619E2"/>
    <w:rsid w:val="00262E15"/>
    <w:rsid w:val="002636F1"/>
    <w:rsid w:val="00265080"/>
    <w:rsid w:val="00265502"/>
    <w:rsid w:val="00265C36"/>
    <w:rsid w:val="00265F6F"/>
    <w:rsid w:val="00266475"/>
    <w:rsid w:val="00266804"/>
    <w:rsid w:val="002675E0"/>
    <w:rsid w:val="002700F2"/>
    <w:rsid w:val="002701DE"/>
    <w:rsid w:val="00272203"/>
    <w:rsid w:val="00272695"/>
    <w:rsid w:val="002726B0"/>
    <w:rsid w:val="00275D0C"/>
    <w:rsid w:val="0027610A"/>
    <w:rsid w:val="00276811"/>
    <w:rsid w:val="00276E4C"/>
    <w:rsid w:val="0027727C"/>
    <w:rsid w:val="002774DA"/>
    <w:rsid w:val="00281881"/>
    <w:rsid w:val="00281E52"/>
    <w:rsid w:val="00282699"/>
    <w:rsid w:val="002849F2"/>
    <w:rsid w:val="002856A6"/>
    <w:rsid w:val="00285786"/>
    <w:rsid w:val="002857DD"/>
    <w:rsid w:val="00285B9C"/>
    <w:rsid w:val="00285C29"/>
    <w:rsid w:val="00286B0C"/>
    <w:rsid w:val="002874C3"/>
    <w:rsid w:val="002878C3"/>
    <w:rsid w:val="00290103"/>
    <w:rsid w:val="00291277"/>
    <w:rsid w:val="00291E4A"/>
    <w:rsid w:val="002920CD"/>
    <w:rsid w:val="0029252D"/>
    <w:rsid w:val="0029259C"/>
    <w:rsid w:val="002926DF"/>
    <w:rsid w:val="0029307D"/>
    <w:rsid w:val="00293930"/>
    <w:rsid w:val="00294769"/>
    <w:rsid w:val="00294A7C"/>
    <w:rsid w:val="0029598B"/>
    <w:rsid w:val="00295E89"/>
    <w:rsid w:val="00296697"/>
    <w:rsid w:val="002A0C67"/>
    <w:rsid w:val="002A4581"/>
    <w:rsid w:val="002A469F"/>
    <w:rsid w:val="002A6A73"/>
    <w:rsid w:val="002B0472"/>
    <w:rsid w:val="002B0602"/>
    <w:rsid w:val="002B0A26"/>
    <w:rsid w:val="002B0F65"/>
    <w:rsid w:val="002B31BC"/>
    <w:rsid w:val="002B373F"/>
    <w:rsid w:val="002B3EFC"/>
    <w:rsid w:val="002B436C"/>
    <w:rsid w:val="002B6845"/>
    <w:rsid w:val="002B6B12"/>
    <w:rsid w:val="002C0852"/>
    <w:rsid w:val="002C24B0"/>
    <w:rsid w:val="002C4871"/>
    <w:rsid w:val="002C574B"/>
    <w:rsid w:val="002C73BD"/>
    <w:rsid w:val="002C77A2"/>
    <w:rsid w:val="002C7846"/>
    <w:rsid w:val="002D0806"/>
    <w:rsid w:val="002D0969"/>
    <w:rsid w:val="002D11EB"/>
    <w:rsid w:val="002D2736"/>
    <w:rsid w:val="002D3139"/>
    <w:rsid w:val="002D38E5"/>
    <w:rsid w:val="002D42C7"/>
    <w:rsid w:val="002D4BBD"/>
    <w:rsid w:val="002D517B"/>
    <w:rsid w:val="002D51E0"/>
    <w:rsid w:val="002D5391"/>
    <w:rsid w:val="002D568D"/>
    <w:rsid w:val="002D64D1"/>
    <w:rsid w:val="002D653E"/>
    <w:rsid w:val="002D6588"/>
    <w:rsid w:val="002D6921"/>
    <w:rsid w:val="002D733D"/>
    <w:rsid w:val="002D7356"/>
    <w:rsid w:val="002D759C"/>
    <w:rsid w:val="002D7601"/>
    <w:rsid w:val="002E0283"/>
    <w:rsid w:val="002E1444"/>
    <w:rsid w:val="002E1B93"/>
    <w:rsid w:val="002E29CD"/>
    <w:rsid w:val="002E2EA2"/>
    <w:rsid w:val="002E38F8"/>
    <w:rsid w:val="002E44EE"/>
    <w:rsid w:val="002E466E"/>
    <w:rsid w:val="002E59C9"/>
    <w:rsid w:val="002E5E9D"/>
    <w:rsid w:val="002E6140"/>
    <w:rsid w:val="002E66DC"/>
    <w:rsid w:val="002E6985"/>
    <w:rsid w:val="002E6A5F"/>
    <w:rsid w:val="002E6DF3"/>
    <w:rsid w:val="002E6E44"/>
    <w:rsid w:val="002E7125"/>
    <w:rsid w:val="002E71B6"/>
    <w:rsid w:val="002E74D4"/>
    <w:rsid w:val="002F0CE7"/>
    <w:rsid w:val="002F1483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300097"/>
    <w:rsid w:val="00301AC7"/>
    <w:rsid w:val="00301D01"/>
    <w:rsid w:val="00302372"/>
    <w:rsid w:val="00303381"/>
    <w:rsid w:val="0030446B"/>
    <w:rsid w:val="00304500"/>
    <w:rsid w:val="00304F22"/>
    <w:rsid w:val="0030531E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75A2"/>
    <w:rsid w:val="003175E9"/>
    <w:rsid w:val="0031763A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5AD5"/>
    <w:rsid w:val="00326354"/>
    <w:rsid w:val="00326BDD"/>
    <w:rsid w:val="00326D24"/>
    <w:rsid w:val="0033123E"/>
    <w:rsid w:val="00331948"/>
    <w:rsid w:val="00332320"/>
    <w:rsid w:val="00332DEC"/>
    <w:rsid w:val="0033366D"/>
    <w:rsid w:val="003336AD"/>
    <w:rsid w:val="0033484A"/>
    <w:rsid w:val="0033577F"/>
    <w:rsid w:val="003367F1"/>
    <w:rsid w:val="0033794A"/>
    <w:rsid w:val="00340033"/>
    <w:rsid w:val="00340B9B"/>
    <w:rsid w:val="003429C6"/>
    <w:rsid w:val="00342AA1"/>
    <w:rsid w:val="00342DE0"/>
    <w:rsid w:val="003431C5"/>
    <w:rsid w:val="0034324D"/>
    <w:rsid w:val="00343856"/>
    <w:rsid w:val="0034427B"/>
    <w:rsid w:val="003442B9"/>
    <w:rsid w:val="00344DF2"/>
    <w:rsid w:val="0034516E"/>
    <w:rsid w:val="00346D7E"/>
    <w:rsid w:val="00347B4E"/>
    <w:rsid w:val="00347D72"/>
    <w:rsid w:val="00347F09"/>
    <w:rsid w:val="0035081D"/>
    <w:rsid w:val="003508C8"/>
    <w:rsid w:val="00350DE0"/>
    <w:rsid w:val="0035137B"/>
    <w:rsid w:val="00353B8B"/>
    <w:rsid w:val="00354354"/>
    <w:rsid w:val="00354371"/>
    <w:rsid w:val="0035442C"/>
    <w:rsid w:val="003547D3"/>
    <w:rsid w:val="00355553"/>
    <w:rsid w:val="003558EB"/>
    <w:rsid w:val="00356D06"/>
    <w:rsid w:val="00356DB0"/>
    <w:rsid w:val="00357CE6"/>
    <w:rsid w:val="00360006"/>
    <w:rsid w:val="00360261"/>
    <w:rsid w:val="0036045A"/>
    <w:rsid w:val="0036047D"/>
    <w:rsid w:val="00361ACD"/>
    <w:rsid w:val="00361C63"/>
    <w:rsid w:val="003620B4"/>
    <w:rsid w:val="00362962"/>
    <w:rsid w:val="00362E47"/>
    <w:rsid w:val="003637D2"/>
    <w:rsid w:val="0036502E"/>
    <w:rsid w:val="00365842"/>
    <w:rsid w:val="003664C0"/>
    <w:rsid w:val="00366A21"/>
    <w:rsid w:val="003670D2"/>
    <w:rsid w:val="00367237"/>
    <w:rsid w:val="0036795A"/>
    <w:rsid w:val="00367BE4"/>
    <w:rsid w:val="00370192"/>
    <w:rsid w:val="003705BD"/>
    <w:rsid w:val="003705F2"/>
    <w:rsid w:val="0037077F"/>
    <w:rsid w:val="00370EA7"/>
    <w:rsid w:val="0037105B"/>
    <w:rsid w:val="00371244"/>
    <w:rsid w:val="00371373"/>
    <w:rsid w:val="00371400"/>
    <w:rsid w:val="00371C7F"/>
    <w:rsid w:val="003734E1"/>
    <w:rsid w:val="00373882"/>
    <w:rsid w:val="00374539"/>
    <w:rsid w:val="00374C06"/>
    <w:rsid w:val="00374C3C"/>
    <w:rsid w:val="00374D9D"/>
    <w:rsid w:val="003751F2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4409"/>
    <w:rsid w:val="00385261"/>
    <w:rsid w:val="003852F9"/>
    <w:rsid w:val="00385830"/>
    <w:rsid w:val="00385A29"/>
    <w:rsid w:val="00385E36"/>
    <w:rsid w:val="00386177"/>
    <w:rsid w:val="00387C8C"/>
    <w:rsid w:val="0039060D"/>
    <w:rsid w:val="003919D7"/>
    <w:rsid w:val="00392155"/>
    <w:rsid w:val="00393962"/>
    <w:rsid w:val="00393A33"/>
    <w:rsid w:val="0039412E"/>
    <w:rsid w:val="0039417E"/>
    <w:rsid w:val="003956B3"/>
    <w:rsid w:val="00396338"/>
    <w:rsid w:val="00396F14"/>
    <w:rsid w:val="00397138"/>
    <w:rsid w:val="00397D18"/>
    <w:rsid w:val="003A0560"/>
    <w:rsid w:val="003A1417"/>
    <w:rsid w:val="003A1B36"/>
    <w:rsid w:val="003A229B"/>
    <w:rsid w:val="003A2697"/>
    <w:rsid w:val="003A381A"/>
    <w:rsid w:val="003A3978"/>
    <w:rsid w:val="003A53AE"/>
    <w:rsid w:val="003A5450"/>
    <w:rsid w:val="003A5D7F"/>
    <w:rsid w:val="003A66FB"/>
    <w:rsid w:val="003A7101"/>
    <w:rsid w:val="003A780F"/>
    <w:rsid w:val="003B0AD3"/>
    <w:rsid w:val="003B13CC"/>
    <w:rsid w:val="003B3252"/>
    <w:rsid w:val="003B32AE"/>
    <w:rsid w:val="003B3D6C"/>
    <w:rsid w:val="003B4DBB"/>
    <w:rsid w:val="003B5BFE"/>
    <w:rsid w:val="003B6154"/>
    <w:rsid w:val="003B752D"/>
    <w:rsid w:val="003B7EC0"/>
    <w:rsid w:val="003C121E"/>
    <w:rsid w:val="003C14A2"/>
    <w:rsid w:val="003C176B"/>
    <w:rsid w:val="003C27C0"/>
    <w:rsid w:val="003C3308"/>
    <w:rsid w:val="003C3771"/>
    <w:rsid w:val="003C4585"/>
    <w:rsid w:val="003C4688"/>
    <w:rsid w:val="003C4C1A"/>
    <w:rsid w:val="003C55F7"/>
    <w:rsid w:val="003C59E0"/>
    <w:rsid w:val="003C5E5E"/>
    <w:rsid w:val="003C621C"/>
    <w:rsid w:val="003C64B1"/>
    <w:rsid w:val="003C6C8D"/>
    <w:rsid w:val="003D0F33"/>
    <w:rsid w:val="003D0F56"/>
    <w:rsid w:val="003D1C1D"/>
    <w:rsid w:val="003D2D18"/>
    <w:rsid w:val="003D4270"/>
    <w:rsid w:val="003D4522"/>
    <w:rsid w:val="003D4F95"/>
    <w:rsid w:val="003D5E1A"/>
    <w:rsid w:val="003D5F42"/>
    <w:rsid w:val="003D60A9"/>
    <w:rsid w:val="003D641F"/>
    <w:rsid w:val="003D698B"/>
    <w:rsid w:val="003D6E11"/>
    <w:rsid w:val="003D74B0"/>
    <w:rsid w:val="003D7B05"/>
    <w:rsid w:val="003E0955"/>
    <w:rsid w:val="003E09E1"/>
    <w:rsid w:val="003E1744"/>
    <w:rsid w:val="003E1B4A"/>
    <w:rsid w:val="003E3302"/>
    <w:rsid w:val="003E3878"/>
    <w:rsid w:val="003E4AF6"/>
    <w:rsid w:val="003E50D0"/>
    <w:rsid w:val="003E5AA9"/>
    <w:rsid w:val="003E6589"/>
    <w:rsid w:val="003E73C4"/>
    <w:rsid w:val="003E7BC5"/>
    <w:rsid w:val="003F011E"/>
    <w:rsid w:val="003F0D64"/>
    <w:rsid w:val="003F2F2A"/>
    <w:rsid w:val="003F4B9D"/>
    <w:rsid w:val="003F5C9F"/>
    <w:rsid w:val="003F7602"/>
    <w:rsid w:val="003F7C8C"/>
    <w:rsid w:val="003F7FE6"/>
    <w:rsid w:val="0040123B"/>
    <w:rsid w:val="004012CB"/>
    <w:rsid w:val="00402BDC"/>
    <w:rsid w:val="00406404"/>
    <w:rsid w:val="00406502"/>
    <w:rsid w:val="00406EE5"/>
    <w:rsid w:val="00407676"/>
    <w:rsid w:val="0040794E"/>
    <w:rsid w:val="00410120"/>
    <w:rsid w:val="00410948"/>
    <w:rsid w:val="00410E0B"/>
    <w:rsid w:val="00411708"/>
    <w:rsid w:val="0041222D"/>
    <w:rsid w:val="00412580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6C8"/>
    <w:rsid w:val="00421FDE"/>
    <w:rsid w:val="00422188"/>
    <w:rsid w:val="00422391"/>
    <w:rsid w:val="00422B46"/>
    <w:rsid w:val="00422BBD"/>
    <w:rsid w:val="00423132"/>
    <w:rsid w:val="00423C85"/>
    <w:rsid w:val="00423CCE"/>
    <w:rsid w:val="0042446D"/>
    <w:rsid w:val="00424619"/>
    <w:rsid w:val="00424BD6"/>
    <w:rsid w:val="00424C40"/>
    <w:rsid w:val="00424FC0"/>
    <w:rsid w:val="00425D9C"/>
    <w:rsid w:val="00426089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37B2C"/>
    <w:rsid w:val="00440F03"/>
    <w:rsid w:val="00442692"/>
    <w:rsid w:val="00443C99"/>
    <w:rsid w:val="00444690"/>
    <w:rsid w:val="00445047"/>
    <w:rsid w:val="0044541F"/>
    <w:rsid w:val="00446151"/>
    <w:rsid w:val="00447F34"/>
    <w:rsid w:val="00450CEE"/>
    <w:rsid w:val="00451EFA"/>
    <w:rsid w:val="00452C3B"/>
    <w:rsid w:val="00453C0D"/>
    <w:rsid w:val="00453C6A"/>
    <w:rsid w:val="00453D02"/>
    <w:rsid w:val="0045438F"/>
    <w:rsid w:val="00454922"/>
    <w:rsid w:val="004551D8"/>
    <w:rsid w:val="00455297"/>
    <w:rsid w:val="004553A9"/>
    <w:rsid w:val="00455622"/>
    <w:rsid w:val="00456DEF"/>
    <w:rsid w:val="00457388"/>
    <w:rsid w:val="00461508"/>
    <w:rsid w:val="004618FB"/>
    <w:rsid w:val="004620CF"/>
    <w:rsid w:val="0046443A"/>
    <w:rsid w:val="0046457D"/>
    <w:rsid w:val="004656E0"/>
    <w:rsid w:val="004657FC"/>
    <w:rsid w:val="0046631D"/>
    <w:rsid w:val="00467984"/>
    <w:rsid w:val="00467C68"/>
    <w:rsid w:val="0047059B"/>
    <w:rsid w:val="00470D45"/>
    <w:rsid w:val="00470DCE"/>
    <w:rsid w:val="00470FF5"/>
    <w:rsid w:val="0047258C"/>
    <w:rsid w:val="0047267E"/>
    <w:rsid w:val="004733F6"/>
    <w:rsid w:val="00473ACA"/>
    <w:rsid w:val="004746D5"/>
    <w:rsid w:val="00474BEA"/>
    <w:rsid w:val="00474E69"/>
    <w:rsid w:val="0047655E"/>
    <w:rsid w:val="0047715B"/>
    <w:rsid w:val="00477E10"/>
    <w:rsid w:val="004803D8"/>
    <w:rsid w:val="00480B92"/>
    <w:rsid w:val="004840C0"/>
    <w:rsid w:val="00484D5C"/>
    <w:rsid w:val="00484F26"/>
    <w:rsid w:val="0048611F"/>
    <w:rsid w:val="004866F8"/>
    <w:rsid w:val="00486E04"/>
    <w:rsid w:val="00490049"/>
    <w:rsid w:val="004903B6"/>
    <w:rsid w:val="00492C50"/>
    <w:rsid w:val="0049330E"/>
    <w:rsid w:val="004935FC"/>
    <w:rsid w:val="004945F7"/>
    <w:rsid w:val="00494A73"/>
    <w:rsid w:val="00494EC5"/>
    <w:rsid w:val="00495555"/>
    <w:rsid w:val="0049621B"/>
    <w:rsid w:val="004964B6"/>
    <w:rsid w:val="00496C38"/>
    <w:rsid w:val="00497304"/>
    <w:rsid w:val="0049775B"/>
    <w:rsid w:val="004A0539"/>
    <w:rsid w:val="004A0C43"/>
    <w:rsid w:val="004A2F49"/>
    <w:rsid w:val="004A33F3"/>
    <w:rsid w:val="004A3B58"/>
    <w:rsid w:val="004A4FF3"/>
    <w:rsid w:val="004A6298"/>
    <w:rsid w:val="004A7DE9"/>
    <w:rsid w:val="004B0516"/>
    <w:rsid w:val="004B11E6"/>
    <w:rsid w:val="004B1528"/>
    <w:rsid w:val="004B1E03"/>
    <w:rsid w:val="004B2C80"/>
    <w:rsid w:val="004B3942"/>
    <w:rsid w:val="004B4C0D"/>
    <w:rsid w:val="004B514A"/>
    <w:rsid w:val="004B5767"/>
    <w:rsid w:val="004B6650"/>
    <w:rsid w:val="004B7263"/>
    <w:rsid w:val="004B7E72"/>
    <w:rsid w:val="004C01FE"/>
    <w:rsid w:val="004C05AA"/>
    <w:rsid w:val="004C1289"/>
    <w:rsid w:val="004C1309"/>
    <w:rsid w:val="004C148E"/>
    <w:rsid w:val="004C1686"/>
    <w:rsid w:val="004C168F"/>
    <w:rsid w:val="004C1895"/>
    <w:rsid w:val="004C18FA"/>
    <w:rsid w:val="004C3066"/>
    <w:rsid w:val="004C3464"/>
    <w:rsid w:val="004C3BCB"/>
    <w:rsid w:val="004C5ECE"/>
    <w:rsid w:val="004C61C4"/>
    <w:rsid w:val="004C6D40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D45"/>
    <w:rsid w:val="004D5E7B"/>
    <w:rsid w:val="004D6F5D"/>
    <w:rsid w:val="004D76BC"/>
    <w:rsid w:val="004D77D8"/>
    <w:rsid w:val="004E0172"/>
    <w:rsid w:val="004E10FE"/>
    <w:rsid w:val="004E5C45"/>
    <w:rsid w:val="004E6B3D"/>
    <w:rsid w:val="004E7827"/>
    <w:rsid w:val="004E799F"/>
    <w:rsid w:val="004E7B11"/>
    <w:rsid w:val="004F030D"/>
    <w:rsid w:val="004F096E"/>
    <w:rsid w:val="004F0C3C"/>
    <w:rsid w:val="004F0F29"/>
    <w:rsid w:val="004F14DF"/>
    <w:rsid w:val="004F162D"/>
    <w:rsid w:val="004F2A5F"/>
    <w:rsid w:val="004F3628"/>
    <w:rsid w:val="004F4001"/>
    <w:rsid w:val="004F575F"/>
    <w:rsid w:val="004F59DD"/>
    <w:rsid w:val="004F60C6"/>
    <w:rsid w:val="004F63FC"/>
    <w:rsid w:val="004F7959"/>
    <w:rsid w:val="00500813"/>
    <w:rsid w:val="00500E4F"/>
    <w:rsid w:val="005011D1"/>
    <w:rsid w:val="005011FF"/>
    <w:rsid w:val="00502030"/>
    <w:rsid w:val="0050277F"/>
    <w:rsid w:val="0050466E"/>
    <w:rsid w:val="005048AB"/>
    <w:rsid w:val="005059A8"/>
    <w:rsid w:val="00505A92"/>
    <w:rsid w:val="0050636E"/>
    <w:rsid w:val="00507B04"/>
    <w:rsid w:val="00510774"/>
    <w:rsid w:val="005115B4"/>
    <w:rsid w:val="005130E1"/>
    <w:rsid w:val="00513C35"/>
    <w:rsid w:val="0051442B"/>
    <w:rsid w:val="0051659A"/>
    <w:rsid w:val="005203F1"/>
    <w:rsid w:val="005203FC"/>
    <w:rsid w:val="0052160C"/>
    <w:rsid w:val="00521BC3"/>
    <w:rsid w:val="00522116"/>
    <w:rsid w:val="0052283E"/>
    <w:rsid w:val="00523169"/>
    <w:rsid w:val="0052321F"/>
    <w:rsid w:val="00524DF5"/>
    <w:rsid w:val="00525564"/>
    <w:rsid w:val="005255FB"/>
    <w:rsid w:val="005263EB"/>
    <w:rsid w:val="0053099E"/>
    <w:rsid w:val="00531632"/>
    <w:rsid w:val="00532FF8"/>
    <w:rsid w:val="005357D4"/>
    <w:rsid w:val="00535A99"/>
    <w:rsid w:val="00535EEB"/>
    <w:rsid w:val="00536175"/>
    <w:rsid w:val="00537210"/>
    <w:rsid w:val="00540647"/>
    <w:rsid w:val="00541023"/>
    <w:rsid w:val="005418FB"/>
    <w:rsid w:val="00541A98"/>
    <w:rsid w:val="00541BD0"/>
    <w:rsid w:val="00541D4A"/>
    <w:rsid w:val="00542505"/>
    <w:rsid w:val="0054251F"/>
    <w:rsid w:val="00542AB6"/>
    <w:rsid w:val="00543488"/>
    <w:rsid w:val="0054405E"/>
    <w:rsid w:val="00544332"/>
    <w:rsid w:val="00544BBC"/>
    <w:rsid w:val="00544CAC"/>
    <w:rsid w:val="005459A1"/>
    <w:rsid w:val="005463B9"/>
    <w:rsid w:val="00546B1B"/>
    <w:rsid w:val="00546CE8"/>
    <w:rsid w:val="00547830"/>
    <w:rsid w:val="00551683"/>
    <w:rsid w:val="00551A44"/>
    <w:rsid w:val="005520D8"/>
    <w:rsid w:val="0055212F"/>
    <w:rsid w:val="005521CD"/>
    <w:rsid w:val="0055321F"/>
    <w:rsid w:val="00553AC9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282D"/>
    <w:rsid w:val="0056376E"/>
    <w:rsid w:val="005644E7"/>
    <w:rsid w:val="00565FD3"/>
    <w:rsid w:val="0056664B"/>
    <w:rsid w:val="00572105"/>
    <w:rsid w:val="00573568"/>
    <w:rsid w:val="00573C1F"/>
    <w:rsid w:val="005744DB"/>
    <w:rsid w:val="005745A6"/>
    <w:rsid w:val="005762A7"/>
    <w:rsid w:val="005770D0"/>
    <w:rsid w:val="00577DFE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90D04"/>
    <w:rsid w:val="00590FFD"/>
    <w:rsid w:val="00591320"/>
    <w:rsid w:val="005916D7"/>
    <w:rsid w:val="0059189F"/>
    <w:rsid w:val="00593195"/>
    <w:rsid w:val="00595CEC"/>
    <w:rsid w:val="00597D52"/>
    <w:rsid w:val="005A0542"/>
    <w:rsid w:val="005A0D09"/>
    <w:rsid w:val="005A110B"/>
    <w:rsid w:val="005A1CA4"/>
    <w:rsid w:val="005A2282"/>
    <w:rsid w:val="005A230D"/>
    <w:rsid w:val="005A315F"/>
    <w:rsid w:val="005A45B3"/>
    <w:rsid w:val="005A5677"/>
    <w:rsid w:val="005A5F08"/>
    <w:rsid w:val="005A5F33"/>
    <w:rsid w:val="005A60C5"/>
    <w:rsid w:val="005A6352"/>
    <w:rsid w:val="005A651F"/>
    <w:rsid w:val="005A698C"/>
    <w:rsid w:val="005A76FE"/>
    <w:rsid w:val="005B008D"/>
    <w:rsid w:val="005B00E1"/>
    <w:rsid w:val="005B09B1"/>
    <w:rsid w:val="005B17B9"/>
    <w:rsid w:val="005B1E98"/>
    <w:rsid w:val="005B2464"/>
    <w:rsid w:val="005B397D"/>
    <w:rsid w:val="005B46C4"/>
    <w:rsid w:val="005B4A9F"/>
    <w:rsid w:val="005B4F6A"/>
    <w:rsid w:val="005C17B6"/>
    <w:rsid w:val="005C1ACD"/>
    <w:rsid w:val="005C1CC1"/>
    <w:rsid w:val="005C1EAD"/>
    <w:rsid w:val="005C296A"/>
    <w:rsid w:val="005C2CFA"/>
    <w:rsid w:val="005C3757"/>
    <w:rsid w:val="005C401C"/>
    <w:rsid w:val="005C441B"/>
    <w:rsid w:val="005C4646"/>
    <w:rsid w:val="005C5687"/>
    <w:rsid w:val="005C572D"/>
    <w:rsid w:val="005C5733"/>
    <w:rsid w:val="005C5F3F"/>
    <w:rsid w:val="005C70EF"/>
    <w:rsid w:val="005C7AFA"/>
    <w:rsid w:val="005C7E09"/>
    <w:rsid w:val="005D031D"/>
    <w:rsid w:val="005D0646"/>
    <w:rsid w:val="005D1D90"/>
    <w:rsid w:val="005D3ACB"/>
    <w:rsid w:val="005D4D2A"/>
    <w:rsid w:val="005D501E"/>
    <w:rsid w:val="005D627C"/>
    <w:rsid w:val="005D678E"/>
    <w:rsid w:val="005D6965"/>
    <w:rsid w:val="005D6F34"/>
    <w:rsid w:val="005E0259"/>
    <w:rsid w:val="005E0ADF"/>
    <w:rsid w:val="005E1A58"/>
    <w:rsid w:val="005E2730"/>
    <w:rsid w:val="005E291A"/>
    <w:rsid w:val="005E38B5"/>
    <w:rsid w:val="005E4185"/>
    <w:rsid w:val="005E42C9"/>
    <w:rsid w:val="005E4B59"/>
    <w:rsid w:val="005E543E"/>
    <w:rsid w:val="005E671E"/>
    <w:rsid w:val="005E6D68"/>
    <w:rsid w:val="005E76C0"/>
    <w:rsid w:val="005E7890"/>
    <w:rsid w:val="005F1265"/>
    <w:rsid w:val="005F265B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742"/>
    <w:rsid w:val="005F7CDE"/>
    <w:rsid w:val="006004C8"/>
    <w:rsid w:val="006005DD"/>
    <w:rsid w:val="006009DB"/>
    <w:rsid w:val="00600D78"/>
    <w:rsid w:val="00603389"/>
    <w:rsid w:val="006035C3"/>
    <w:rsid w:val="00603DBF"/>
    <w:rsid w:val="006040CC"/>
    <w:rsid w:val="006044FF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FA0"/>
    <w:rsid w:val="006128C7"/>
    <w:rsid w:val="00614828"/>
    <w:rsid w:val="00614E5C"/>
    <w:rsid w:val="006158B4"/>
    <w:rsid w:val="00617430"/>
    <w:rsid w:val="00620308"/>
    <w:rsid w:val="0062129A"/>
    <w:rsid w:val="00621394"/>
    <w:rsid w:val="006219CC"/>
    <w:rsid w:val="00622B00"/>
    <w:rsid w:val="00622BB9"/>
    <w:rsid w:val="00624403"/>
    <w:rsid w:val="00625C9A"/>
    <w:rsid w:val="006260EE"/>
    <w:rsid w:val="0062722A"/>
    <w:rsid w:val="0062728A"/>
    <w:rsid w:val="00627795"/>
    <w:rsid w:val="0062786E"/>
    <w:rsid w:val="0063022E"/>
    <w:rsid w:val="006316CD"/>
    <w:rsid w:val="00631EDA"/>
    <w:rsid w:val="00632905"/>
    <w:rsid w:val="0063332A"/>
    <w:rsid w:val="0063437B"/>
    <w:rsid w:val="006359F5"/>
    <w:rsid w:val="00635BAB"/>
    <w:rsid w:val="00636475"/>
    <w:rsid w:val="006367CB"/>
    <w:rsid w:val="00636E88"/>
    <w:rsid w:val="00636EAD"/>
    <w:rsid w:val="00637926"/>
    <w:rsid w:val="00640054"/>
    <w:rsid w:val="00640AB1"/>
    <w:rsid w:val="006413D0"/>
    <w:rsid w:val="00641A8A"/>
    <w:rsid w:val="00641BDB"/>
    <w:rsid w:val="00642674"/>
    <w:rsid w:val="00642866"/>
    <w:rsid w:val="0064301C"/>
    <w:rsid w:val="00644582"/>
    <w:rsid w:val="00645A93"/>
    <w:rsid w:val="00645F40"/>
    <w:rsid w:val="0064618C"/>
    <w:rsid w:val="006470F5"/>
    <w:rsid w:val="0064740E"/>
    <w:rsid w:val="00647E3A"/>
    <w:rsid w:val="006502A5"/>
    <w:rsid w:val="0065069A"/>
    <w:rsid w:val="00650AF2"/>
    <w:rsid w:val="00650DD7"/>
    <w:rsid w:val="00651C52"/>
    <w:rsid w:val="006527B4"/>
    <w:rsid w:val="00652E05"/>
    <w:rsid w:val="00653646"/>
    <w:rsid w:val="006537E1"/>
    <w:rsid w:val="00653A13"/>
    <w:rsid w:val="0065412C"/>
    <w:rsid w:val="0065446D"/>
    <w:rsid w:val="00656046"/>
    <w:rsid w:val="00657760"/>
    <w:rsid w:val="00660683"/>
    <w:rsid w:val="00660F74"/>
    <w:rsid w:val="00660FA0"/>
    <w:rsid w:val="00661C39"/>
    <w:rsid w:val="00662B1E"/>
    <w:rsid w:val="00663A15"/>
    <w:rsid w:val="006644F5"/>
    <w:rsid w:val="00665418"/>
    <w:rsid w:val="00665808"/>
    <w:rsid w:val="00666682"/>
    <w:rsid w:val="00666A3D"/>
    <w:rsid w:val="00666F6F"/>
    <w:rsid w:val="006673CA"/>
    <w:rsid w:val="00667532"/>
    <w:rsid w:val="00667F18"/>
    <w:rsid w:val="00670F4C"/>
    <w:rsid w:val="006752FE"/>
    <w:rsid w:val="00680455"/>
    <w:rsid w:val="00680DD6"/>
    <w:rsid w:val="00682501"/>
    <w:rsid w:val="006828EB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E55"/>
    <w:rsid w:val="00692A72"/>
    <w:rsid w:val="00693174"/>
    <w:rsid w:val="0069412F"/>
    <w:rsid w:val="00694784"/>
    <w:rsid w:val="00695127"/>
    <w:rsid w:val="00697161"/>
    <w:rsid w:val="00697272"/>
    <w:rsid w:val="00697454"/>
    <w:rsid w:val="006A1109"/>
    <w:rsid w:val="006A11E0"/>
    <w:rsid w:val="006A15C9"/>
    <w:rsid w:val="006A3452"/>
    <w:rsid w:val="006A366F"/>
    <w:rsid w:val="006A3889"/>
    <w:rsid w:val="006A3EEF"/>
    <w:rsid w:val="006A3FC0"/>
    <w:rsid w:val="006A5769"/>
    <w:rsid w:val="006A589D"/>
    <w:rsid w:val="006A5E7B"/>
    <w:rsid w:val="006A6038"/>
    <w:rsid w:val="006A60D5"/>
    <w:rsid w:val="006A6E06"/>
    <w:rsid w:val="006A72BC"/>
    <w:rsid w:val="006A7656"/>
    <w:rsid w:val="006B0E9E"/>
    <w:rsid w:val="006B1148"/>
    <w:rsid w:val="006B126F"/>
    <w:rsid w:val="006B1271"/>
    <w:rsid w:val="006B17C8"/>
    <w:rsid w:val="006B2001"/>
    <w:rsid w:val="006B2275"/>
    <w:rsid w:val="006B2B97"/>
    <w:rsid w:val="006B3F72"/>
    <w:rsid w:val="006B46C5"/>
    <w:rsid w:val="006B487A"/>
    <w:rsid w:val="006B51A3"/>
    <w:rsid w:val="006B542A"/>
    <w:rsid w:val="006B5AE4"/>
    <w:rsid w:val="006B60CA"/>
    <w:rsid w:val="006B6DB5"/>
    <w:rsid w:val="006B7DF6"/>
    <w:rsid w:val="006C042D"/>
    <w:rsid w:val="006C1BDE"/>
    <w:rsid w:val="006C2B48"/>
    <w:rsid w:val="006C2CC3"/>
    <w:rsid w:val="006C346A"/>
    <w:rsid w:val="006C3A9E"/>
    <w:rsid w:val="006C3BEB"/>
    <w:rsid w:val="006C480C"/>
    <w:rsid w:val="006C55A5"/>
    <w:rsid w:val="006C57CB"/>
    <w:rsid w:val="006C5899"/>
    <w:rsid w:val="006C6414"/>
    <w:rsid w:val="006C66E1"/>
    <w:rsid w:val="006C6A45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39B1"/>
    <w:rsid w:val="006D3B10"/>
    <w:rsid w:val="006D4054"/>
    <w:rsid w:val="006D540C"/>
    <w:rsid w:val="006D612C"/>
    <w:rsid w:val="006D6332"/>
    <w:rsid w:val="006D6503"/>
    <w:rsid w:val="006D6CF9"/>
    <w:rsid w:val="006D7090"/>
    <w:rsid w:val="006E02EC"/>
    <w:rsid w:val="006E0A6F"/>
    <w:rsid w:val="006E1DDA"/>
    <w:rsid w:val="006E2BFD"/>
    <w:rsid w:val="006E49D2"/>
    <w:rsid w:val="006E64A8"/>
    <w:rsid w:val="006E65EF"/>
    <w:rsid w:val="006E71E2"/>
    <w:rsid w:val="006F209C"/>
    <w:rsid w:val="006F225B"/>
    <w:rsid w:val="006F2453"/>
    <w:rsid w:val="006F2F6F"/>
    <w:rsid w:val="006F2FC6"/>
    <w:rsid w:val="006F4864"/>
    <w:rsid w:val="006F5000"/>
    <w:rsid w:val="006F554C"/>
    <w:rsid w:val="006F7A4B"/>
    <w:rsid w:val="00700158"/>
    <w:rsid w:val="00700D52"/>
    <w:rsid w:val="007024CD"/>
    <w:rsid w:val="00703DC0"/>
    <w:rsid w:val="007053D5"/>
    <w:rsid w:val="00705CB0"/>
    <w:rsid w:val="00706309"/>
    <w:rsid w:val="007066A3"/>
    <w:rsid w:val="00706DD3"/>
    <w:rsid w:val="00706F4E"/>
    <w:rsid w:val="00707CF2"/>
    <w:rsid w:val="00707ECB"/>
    <w:rsid w:val="00712027"/>
    <w:rsid w:val="007131F0"/>
    <w:rsid w:val="00713967"/>
    <w:rsid w:val="007139AC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8E6"/>
    <w:rsid w:val="00724BB7"/>
    <w:rsid w:val="00726140"/>
    <w:rsid w:val="00726294"/>
    <w:rsid w:val="007264ED"/>
    <w:rsid w:val="00726587"/>
    <w:rsid w:val="00726702"/>
    <w:rsid w:val="007268C8"/>
    <w:rsid w:val="0072694E"/>
    <w:rsid w:val="007269FB"/>
    <w:rsid w:val="0072703C"/>
    <w:rsid w:val="007300BC"/>
    <w:rsid w:val="00730884"/>
    <w:rsid w:val="007309C1"/>
    <w:rsid w:val="00730E35"/>
    <w:rsid w:val="007316E0"/>
    <w:rsid w:val="007320DE"/>
    <w:rsid w:val="007322C7"/>
    <w:rsid w:val="00734951"/>
    <w:rsid w:val="00734CBE"/>
    <w:rsid w:val="00734E28"/>
    <w:rsid w:val="007357A2"/>
    <w:rsid w:val="00736417"/>
    <w:rsid w:val="00736C0B"/>
    <w:rsid w:val="0073718F"/>
    <w:rsid w:val="00740322"/>
    <w:rsid w:val="007405F4"/>
    <w:rsid w:val="00740AFA"/>
    <w:rsid w:val="00740F7E"/>
    <w:rsid w:val="00742610"/>
    <w:rsid w:val="007431BF"/>
    <w:rsid w:val="0074395E"/>
    <w:rsid w:val="00744346"/>
    <w:rsid w:val="00744556"/>
    <w:rsid w:val="00744AA8"/>
    <w:rsid w:val="007456A5"/>
    <w:rsid w:val="00746187"/>
    <w:rsid w:val="007465CF"/>
    <w:rsid w:val="0074773B"/>
    <w:rsid w:val="007508FE"/>
    <w:rsid w:val="00750915"/>
    <w:rsid w:val="00750979"/>
    <w:rsid w:val="007509C5"/>
    <w:rsid w:val="00750AA3"/>
    <w:rsid w:val="00751971"/>
    <w:rsid w:val="00751990"/>
    <w:rsid w:val="00751D12"/>
    <w:rsid w:val="00751F70"/>
    <w:rsid w:val="00752CD8"/>
    <w:rsid w:val="00752D23"/>
    <w:rsid w:val="007530C0"/>
    <w:rsid w:val="00753625"/>
    <w:rsid w:val="0075362E"/>
    <w:rsid w:val="00753691"/>
    <w:rsid w:val="00753CFF"/>
    <w:rsid w:val="007541AE"/>
    <w:rsid w:val="00755269"/>
    <w:rsid w:val="007555EB"/>
    <w:rsid w:val="007558EE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5F07"/>
    <w:rsid w:val="00766661"/>
    <w:rsid w:val="00770224"/>
    <w:rsid w:val="00772292"/>
    <w:rsid w:val="007756C1"/>
    <w:rsid w:val="00776A66"/>
    <w:rsid w:val="00777BA6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6124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302B"/>
    <w:rsid w:val="00793AE8"/>
    <w:rsid w:val="007948E2"/>
    <w:rsid w:val="0079514B"/>
    <w:rsid w:val="0079573B"/>
    <w:rsid w:val="00795D5C"/>
    <w:rsid w:val="00795FAB"/>
    <w:rsid w:val="007966C4"/>
    <w:rsid w:val="00796EA8"/>
    <w:rsid w:val="00796EC4"/>
    <w:rsid w:val="0079724F"/>
    <w:rsid w:val="007976BD"/>
    <w:rsid w:val="00797FBA"/>
    <w:rsid w:val="007A18B3"/>
    <w:rsid w:val="007A2410"/>
    <w:rsid w:val="007A2DC1"/>
    <w:rsid w:val="007A4B8A"/>
    <w:rsid w:val="007A508F"/>
    <w:rsid w:val="007A5500"/>
    <w:rsid w:val="007A5EDD"/>
    <w:rsid w:val="007A6A73"/>
    <w:rsid w:val="007A7CA3"/>
    <w:rsid w:val="007A7E0A"/>
    <w:rsid w:val="007B2346"/>
    <w:rsid w:val="007B285E"/>
    <w:rsid w:val="007B3380"/>
    <w:rsid w:val="007B33D5"/>
    <w:rsid w:val="007B4120"/>
    <w:rsid w:val="007B4827"/>
    <w:rsid w:val="007B4B3D"/>
    <w:rsid w:val="007B5197"/>
    <w:rsid w:val="007B5545"/>
    <w:rsid w:val="007B5AA4"/>
    <w:rsid w:val="007B6718"/>
    <w:rsid w:val="007C0D84"/>
    <w:rsid w:val="007C1A1F"/>
    <w:rsid w:val="007C229B"/>
    <w:rsid w:val="007C2B59"/>
    <w:rsid w:val="007C2D19"/>
    <w:rsid w:val="007C2EC3"/>
    <w:rsid w:val="007C341A"/>
    <w:rsid w:val="007C387E"/>
    <w:rsid w:val="007C4EAC"/>
    <w:rsid w:val="007C5932"/>
    <w:rsid w:val="007C5B82"/>
    <w:rsid w:val="007C5CA4"/>
    <w:rsid w:val="007C6EF9"/>
    <w:rsid w:val="007D072A"/>
    <w:rsid w:val="007D0C3C"/>
    <w:rsid w:val="007D1E9D"/>
    <w:rsid w:val="007D27C8"/>
    <w:rsid w:val="007D3319"/>
    <w:rsid w:val="007D3A8A"/>
    <w:rsid w:val="007D4367"/>
    <w:rsid w:val="007D5036"/>
    <w:rsid w:val="007D51CE"/>
    <w:rsid w:val="007D5853"/>
    <w:rsid w:val="007D597B"/>
    <w:rsid w:val="007D66EA"/>
    <w:rsid w:val="007D7C85"/>
    <w:rsid w:val="007E0439"/>
    <w:rsid w:val="007E276C"/>
    <w:rsid w:val="007E3314"/>
    <w:rsid w:val="007E3C22"/>
    <w:rsid w:val="007E46FA"/>
    <w:rsid w:val="007E4B03"/>
    <w:rsid w:val="007E5284"/>
    <w:rsid w:val="007E7373"/>
    <w:rsid w:val="007E7A46"/>
    <w:rsid w:val="007F0AFD"/>
    <w:rsid w:val="007F0D21"/>
    <w:rsid w:val="007F14F2"/>
    <w:rsid w:val="007F18D8"/>
    <w:rsid w:val="007F2AC2"/>
    <w:rsid w:val="007F2BE5"/>
    <w:rsid w:val="007F306D"/>
    <w:rsid w:val="007F324B"/>
    <w:rsid w:val="007F3410"/>
    <w:rsid w:val="007F3E45"/>
    <w:rsid w:val="007F5592"/>
    <w:rsid w:val="007F6092"/>
    <w:rsid w:val="007F6ECC"/>
    <w:rsid w:val="007F7EAF"/>
    <w:rsid w:val="00800D06"/>
    <w:rsid w:val="00801431"/>
    <w:rsid w:val="00802001"/>
    <w:rsid w:val="00803467"/>
    <w:rsid w:val="008039E1"/>
    <w:rsid w:val="00803E14"/>
    <w:rsid w:val="00804484"/>
    <w:rsid w:val="008046F6"/>
    <w:rsid w:val="00804CD0"/>
    <w:rsid w:val="00805216"/>
    <w:rsid w:val="0080553C"/>
    <w:rsid w:val="00805A3C"/>
    <w:rsid w:val="00805B46"/>
    <w:rsid w:val="0080666A"/>
    <w:rsid w:val="00806F6A"/>
    <w:rsid w:val="0080760D"/>
    <w:rsid w:val="0080761A"/>
    <w:rsid w:val="00807BA7"/>
    <w:rsid w:val="00807C47"/>
    <w:rsid w:val="0081068C"/>
    <w:rsid w:val="00810DEF"/>
    <w:rsid w:val="00811F04"/>
    <w:rsid w:val="0081216E"/>
    <w:rsid w:val="00812512"/>
    <w:rsid w:val="008147E0"/>
    <w:rsid w:val="008152E5"/>
    <w:rsid w:val="008155BE"/>
    <w:rsid w:val="008157D7"/>
    <w:rsid w:val="00815A82"/>
    <w:rsid w:val="00816213"/>
    <w:rsid w:val="00816657"/>
    <w:rsid w:val="00816807"/>
    <w:rsid w:val="008168D8"/>
    <w:rsid w:val="0081691B"/>
    <w:rsid w:val="008169D0"/>
    <w:rsid w:val="00817021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736D"/>
    <w:rsid w:val="0082763A"/>
    <w:rsid w:val="008279D3"/>
    <w:rsid w:val="00827CF4"/>
    <w:rsid w:val="0083133D"/>
    <w:rsid w:val="00831F69"/>
    <w:rsid w:val="00832C45"/>
    <w:rsid w:val="00832DF6"/>
    <w:rsid w:val="0083385A"/>
    <w:rsid w:val="00834520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87F"/>
    <w:rsid w:val="00842DA2"/>
    <w:rsid w:val="00843135"/>
    <w:rsid w:val="00843509"/>
    <w:rsid w:val="00843795"/>
    <w:rsid w:val="0084406B"/>
    <w:rsid w:val="0084428E"/>
    <w:rsid w:val="00846DAA"/>
    <w:rsid w:val="00847555"/>
    <w:rsid w:val="00847816"/>
    <w:rsid w:val="0085046E"/>
    <w:rsid w:val="00850B65"/>
    <w:rsid w:val="008518BD"/>
    <w:rsid w:val="008518D9"/>
    <w:rsid w:val="00851F23"/>
    <w:rsid w:val="00852448"/>
    <w:rsid w:val="0085281C"/>
    <w:rsid w:val="00853813"/>
    <w:rsid w:val="008547E2"/>
    <w:rsid w:val="00855A9F"/>
    <w:rsid w:val="0085624B"/>
    <w:rsid w:val="00856648"/>
    <w:rsid w:val="008602AB"/>
    <w:rsid w:val="008610A6"/>
    <w:rsid w:val="0086171E"/>
    <w:rsid w:val="00862AA3"/>
    <w:rsid w:val="008630C8"/>
    <w:rsid w:val="00864080"/>
    <w:rsid w:val="008644EF"/>
    <w:rsid w:val="00864C6A"/>
    <w:rsid w:val="00865F66"/>
    <w:rsid w:val="00866AEB"/>
    <w:rsid w:val="00866C55"/>
    <w:rsid w:val="00867A14"/>
    <w:rsid w:val="00867C94"/>
    <w:rsid w:val="008716CF"/>
    <w:rsid w:val="008718D6"/>
    <w:rsid w:val="00871D56"/>
    <w:rsid w:val="0087288C"/>
    <w:rsid w:val="00874989"/>
    <w:rsid w:val="00874E27"/>
    <w:rsid w:val="00874E38"/>
    <w:rsid w:val="00875905"/>
    <w:rsid w:val="00875A6F"/>
    <w:rsid w:val="0087758F"/>
    <w:rsid w:val="0087770B"/>
    <w:rsid w:val="00877DF9"/>
    <w:rsid w:val="0088258A"/>
    <w:rsid w:val="00882E3A"/>
    <w:rsid w:val="00882EF6"/>
    <w:rsid w:val="00883203"/>
    <w:rsid w:val="00883214"/>
    <w:rsid w:val="00883229"/>
    <w:rsid w:val="00883C9E"/>
    <w:rsid w:val="008849C5"/>
    <w:rsid w:val="008851BE"/>
    <w:rsid w:val="0088572F"/>
    <w:rsid w:val="00886332"/>
    <w:rsid w:val="00887EA6"/>
    <w:rsid w:val="008902D8"/>
    <w:rsid w:val="008914E2"/>
    <w:rsid w:val="008918A2"/>
    <w:rsid w:val="00892AB4"/>
    <w:rsid w:val="00892C15"/>
    <w:rsid w:val="008956F7"/>
    <w:rsid w:val="00897149"/>
    <w:rsid w:val="0089720B"/>
    <w:rsid w:val="008A0475"/>
    <w:rsid w:val="008A0908"/>
    <w:rsid w:val="008A0A17"/>
    <w:rsid w:val="008A22FC"/>
    <w:rsid w:val="008A2389"/>
    <w:rsid w:val="008A26D9"/>
    <w:rsid w:val="008A39CE"/>
    <w:rsid w:val="008A40E3"/>
    <w:rsid w:val="008A7184"/>
    <w:rsid w:val="008B06CF"/>
    <w:rsid w:val="008B0BD6"/>
    <w:rsid w:val="008B21A3"/>
    <w:rsid w:val="008B2AD1"/>
    <w:rsid w:val="008B2FE5"/>
    <w:rsid w:val="008B3A10"/>
    <w:rsid w:val="008B5CD0"/>
    <w:rsid w:val="008B66CC"/>
    <w:rsid w:val="008B6749"/>
    <w:rsid w:val="008B67EC"/>
    <w:rsid w:val="008B6EA3"/>
    <w:rsid w:val="008B7944"/>
    <w:rsid w:val="008C0927"/>
    <w:rsid w:val="008C0F73"/>
    <w:rsid w:val="008C1BBC"/>
    <w:rsid w:val="008C1F15"/>
    <w:rsid w:val="008C38D9"/>
    <w:rsid w:val="008C6213"/>
    <w:rsid w:val="008C6ACE"/>
    <w:rsid w:val="008C6CAE"/>
    <w:rsid w:val="008C6EEA"/>
    <w:rsid w:val="008C7B36"/>
    <w:rsid w:val="008C7FB0"/>
    <w:rsid w:val="008D094F"/>
    <w:rsid w:val="008D2138"/>
    <w:rsid w:val="008D23C7"/>
    <w:rsid w:val="008D283C"/>
    <w:rsid w:val="008D3D8E"/>
    <w:rsid w:val="008D474A"/>
    <w:rsid w:val="008D5118"/>
    <w:rsid w:val="008D5199"/>
    <w:rsid w:val="008D5697"/>
    <w:rsid w:val="008D59D4"/>
    <w:rsid w:val="008D78A8"/>
    <w:rsid w:val="008E0077"/>
    <w:rsid w:val="008E097D"/>
    <w:rsid w:val="008E0A77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952"/>
    <w:rsid w:val="008E7D1D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68AD"/>
    <w:rsid w:val="008F6F31"/>
    <w:rsid w:val="0090019A"/>
    <w:rsid w:val="009018A4"/>
    <w:rsid w:val="00901D20"/>
    <w:rsid w:val="009043FA"/>
    <w:rsid w:val="009046B7"/>
    <w:rsid w:val="00904AE7"/>
    <w:rsid w:val="009056AE"/>
    <w:rsid w:val="0090648B"/>
    <w:rsid w:val="00910C98"/>
    <w:rsid w:val="00911FCE"/>
    <w:rsid w:val="00912639"/>
    <w:rsid w:val="00917178"/>
    <w:rsid w:val="00917989"/>
    <w:rsid w:val="00917EF4"/>
    <w:rsid w:val="00920258"/>
    <w:rsid w:val="0092032A"/>
    <w:rsid w:val="00920BE3"/>
    <w:rsid w:val="00920C33"/>
    <w:rsid w:val="00920E04"/>
    <w:rsid w:val="00921AB4"/>
    <w:rsid w:val="00921F2A"/>
    <w:rsid w:val="009220A2"/>
    <w:rsid w:val="009227A6"/>
    <w:rsid w:val="00924355"/>
    <w:rsid w:val="009247A8"/>
    <w:rsid w:val="009251B4"/>
    <w:rsid w:val="00930E14"/>
    <w:rsid w:val="009325E5"/>
    <w:rsid w:val="00932E84"/>
    <w:rsid w:val="0093307A"/>
    <w:rsid w:val="00933EC1"/>
    <w:rsid w:val="0093436A"/>
    <w:rsid w:val="00934ADA"/>
    <w:rsid w:val="00935F98"/>
    <w:rsid w:val="00937411"/>
    <w:rsid w:val="0093780F"/>
    <w:rsid w:val="00937C55"/>
    <w:rsid w:val="00940965"/>
    <w:rsid w:val="00941127"/>
    <w:rsid w:val="00941736"/>
    <w:rsid w:val="009422D3"/>
    <w:rsid w:val="0094390A"/>
    <w:rsid w:val="00944653"/>
    <w:rsid w:val="00945038"/>
    <w:rsid w:val="0094650F"/>
    <w:rsid w:val="0094733E"/>
    <w:rsid w:val="009475BA"/>
    <w:rsid w:val="00950834"/>
    <w:rsid w:val="00950893"/>
    <w:rsid w:val="00950B60"/>
    <w:rsid w:val="00951962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60939"/>
    <w:rsid w:val="00960DE7"/>
    <w:rsid w:val="009614DD"/>
    <w:rsid w:val="00962BD1"/>
    <w:rsid w:val="00963416"/>
    <w:rsid w:val="0096391E"/>
    <w:rsid w:val="00964491"/>
    <w:rsid w:val="009647CB"/>
    <w:rsid w:val="009649C9"/>
    <w:rsid w:val="00965B66"/>
    <w:rsid w:val="009661B7"/>
    <w:rsid w:val="00966DD2"/>
    <w:rsid w:val="009677EE"/>
    <w:rsid w:val="00967DF3"/>
    <w:rsid w:val="009705EE"/>
    <w:rsid w:val="00970AD1"/>
    <w:rsid w:val="00971D57"/>
    <w:rsid w:val="009731DA"/>
    <w:rsid w:val="00973D31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42A2"/>
    <w:rsid w:val="00985759"/>
    <w:rsid w:val="00985FD1"/>
    <w:rsid w:val="0098681B"/>
    <w:rsid w:val="00986EFC"/>
    <w:rsid w:val="009872DC"/>
    <w:rsid w:val="00987F2A"/>
    <w:rsid w:val="00990A3E"/>
    <w:rsid w:val="0099132B"/>
    <w:rsid w:val="0099143D"/>
    <w:rsid w:val="00992338"/>
    <w:rsid w:val="00993416"/>
    <w:rsid w:val="00993726"/>
    <w:rsid w:val="00993E30"/>
    <w:rsid w:val="00994BF9"/>
    <w:rsid w:val="00995F7D"/>
    <w:rsid w:val="009964BE"/>
    <w:rsid w:val="00996A42"/>
    <w:rsid w:val="00997FD8"/>
    <w:rsid w:val="009A031E"/>
    <w:rsid w:val="009A044F"/>
    <w:rsid w:val="009A2A10"/>
    <w:rsid w:val="009A2A2C"/>
    <w:rsid w:val="009A2E8D"/>
    <w:rsid w:val="009A3953"/>
    <w:rsid w:val="009A40A5"/>
    <w:rsid w:val="009A44EF"/>
    <w:rsid w:val="009A4E4F"/>
    <w:rsid w:val="009A7031"/>
    <w:rsid w:val="009A77C1"/>
    <w:rsid w:val="009A7B0D"/>
    <w:rsid w:val="009B04EE"/>
    <w:rsid w:val="009B176B"/>
    <w:rsid w:val="009B244D"/>
    <w:rsid w:val="009B3224"/>
    <w:rsid w:val="009B3E22"/>
    <w:rsid w:val="009B4EE0"/>
    <w:rsid w:val="009B5AD2"/>
    <w:rsid w:val="009B6210"/>
    <w:rsid w:val="009B78E9"/>
    <w:rsid w:val="009C051C"/>
    <w:rsid w:val="009C1335"/>
    <w:rsid w:val="009C1AB2"/>
    <w:rsid w:val="009C1AFB"/>
    <w:rsid w:val="009C2B1A"/>
    <w:rsid w:val="009C3074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155"/>
    <w:rsid w:val="009D0B47"/>
    <w:rsid w:val="009D12CB"/>
    <w:rsid w:val="009D16B7"/>
    <w:rsid w:val="009D2421"/>
    <w:rsid w:val="009D24E3"/>
    <w:rsid w:val="009D2596"/>
    <w:rsid w:val="009D26C5"/>
    <w:rsid w:val="009D2F85"/>
    <w:rsid w:val="009D3012"/>
    <w:rsid w:val="009D455D"/>
    <w:rsid w:val="009D591C"/>
    <w:rsid w:val="009D6D1B"/>
    <w:rsid w:val="009E0168"/>
    <w:rsid w:val="009E0E4F"/>
    <w:rsid w:val="009E10DC"/>
    <w:rsid w:val="009E1453"/>
    <w:rsid w:val="009E1BBE"/>
    <w:rsid w:val="009E2E77"/>
    <w:rsid w:val="009E2E91"/>
    <w:rsid w:val="009E32E5"/>
    <w:rsid w:val="009E373E"/>
    <w:rsid w:val="009E6B87"/>
    <w:rsid w:val="009E7672"/>
    <w:rsid w:val="009E7937"/>
    <w:rsid w:val="009E7DC2"/>
    <w:rsid w:val="009F06D5"/>
    <w:rsid w:val="009F1845"/>
    <w:rsid w:val="009F2576"/>
    <w:rsid w:val="009F3DD7"/>
    <w:rsid w:val="009F49F4"/>
    <w:rsid w:val="009F6545"/>
    <w:rsid w:val="00A0030E"/>
    <w:rsid w:val="00A00C1D"/>
    <w:rsid w:val="00A01091"/>
    <w:rsid w:val="00A0180E"/>
    <w:rsid w:val="00A01E46"/>
    <w:rsid w:val="00A024B6"/>
    <w:rsid w:val="00A0256A"/>
    <w:rsid w:val="00A02615"/>
    <w:rsid w:val="00A0272A"/>
    <w:rsid w:val="00A0285A"/>
    <w:rsid w:val="00A028EA"/>
    <w:rsid w:val="00A02FDE"/>
    <w:rsid w:val="00A037E6"/>
    <w:rsid w:val="00A0390D"/>
    <w:rsid w:val="00A03C39"/>
    <w:rsid w:val="00A04D07"/>
    <w:rsid w:val="00A06260"/>
    <w:rsid w:val="00A06651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4117"/>
    <w:rsid w:val="00A14619"/>
    <w:rsid w:val="00A14C84"/>
    <w:rsid w:val="00A15446"/>
    <w:rsid w:val="00A1545A"/>
    <w:rsid w:val="00A156F6"/>
    <w:rsid w:val="00A16EC3"/>
    <w:rsid w:val="00A170A9"/>
    <w:rsid w:val="00A17D7F"/>
    <w:rsid w:val="00A20B50"/>
    <w:rsid w:val="00A220D8"/>
    <w:rsid w:val="00A22444"/>
    <w:rsid w:val="00A24C54"/>
    <w:rsid w:val="00A253C7"/>
    <w:rsid w:val="00A261D4"/>
    <w:rsid w:val="00A26484"/>
    <w:rsid w:val="00A279E6"/>
    <w:rsid w:val="00A27B55"/>
    <w:rsid w:val="00A30023"/>
    <w:rsid w:val="00A31272"/>
    <w:rsid w:val="00A32CF1"/>
    <w:rsid w:val="00A32D3E"/>
    <w:rsid w:val="00A32E29"/>
    <w:rsid w:val="00A32F14"/>
    <w:rsid w:val="00A338E9"/>
    <w:rsid w:val="00A33CED"/>
    <w:rsid w:val="00A360ED"/>
    <w:rsid w:val="00A365F4"/>
    <w:rsid w:val="00A36CF8"/>
    <w:rsid w:val="00A37D14"/>
    <w:rsid w:val="00A40A97"/>
    <w:rsid w:val="00A40D99"/>
    <w:rsid w:val="00A4161F"/>
    <w:rsid w:val="00A41653"/>
    <w:rsid w:val="00A425C2"/>
    <w:rsid w:val="00A44CD9"/>
    <w:rsid w:val="00A4576B"/>
    <w:rsid w:val="00A46313"/>
    <w:rsid w:val="00A470CE"/>
    <w:rsid w:val="00A47A73"/>
    <w:rsid w:val="00A47B8C"/>
    <w:rsid w:val="00A47D80"/>
    <w:rsid w:val="00A51763"/>
    <w:rsid w:val="00A5188B"/>
    <w:rsid w:val="00A524AC"/>
    <w:rsid w:val="00A53132"/>
    <w:rsid w:val="00A5362E"/>
    <w:rsid w:val="00A536CA"/>
    <w:rsid w:val="00A54E97"/>
    <w:rsid w:val="00A55C76"/>
    <w:rsid w:val="00A563F2"/>
    <w:rsid w:val="00A566E8"/>
    <w:rsid w:val="00A5696C"/>
    <w:rsid w:val="00A56A97"/>
    <w:rsid w:val="00A56B24"/>
    <w:rsid w:val="00A5744F"/>
    <w:rsid w:val="00A5789C"/>
    <w:rsid w:val="00A604DD"/>
    <w:rsid w:val="00A63CC4"/>
    <w:rsid w:val="00A64ECB"/>
    <w:rsid w:val="00A658B0"/>
    <w:rsid w:val="00A665B9"/>
    <w:rsid w:val="00A66778"/>
    <w:rsid w:val="00A70DA1"/>
    <w:rsid w:val="00A71000"/>
    <w:rsid w:val="00A713D0"/>
    <w:rsid w:val="00A717DE"/>
    <w:rsid w:val="00A72F83"/>
    <w:rsid w:val="00A73769"/>
    <w:rsid w:val="00A74227"/>
    <w:rsid w:val="00A748C7"/>
    <w:rsid w:val="00A75291"/>
    <w:rsid w:val="00A75BC8"/>
    <w:rsid w:val="00A77626"/>
    <w:rsid w:val="00A77C47"/>
    <w:rsid w:val="00A77F7C"/>
    <w:rsid w:val="00A77FC3"/>
    <w:rsid w:val="00A80FF5"/>
    <w:rsid w:val="00A81107"/>
    <w:rsid w:val="00A81235"/>
    <w:rsid w:val="00A82991"/>
    <w:rsid w:val="00A8381C"/>
    <w:rsid w:val="00A83EDC"/>
    <w:rsid w:val="00A844B5"/>
    <w:rsid w:val="00A84C3A"/>
    <w:rsid w:val="00A85DCA"/>
    <w:rsid w:val="00A8603E"/>
    <w:rsid w:val="00A86077"/>
    <w:rsid w:val="00A865D9"/>
    <w:rsid w:val="00A86779"/>
    <w:rsid w:val="00A869C5"/>
    <w:rsid w:val="00A86C7D"/>
    <w:rsid w:val="00A86ECC"/>
    <w:rsid w:val="00A86F32"/>
    <w:rsid w:val="00A86FCC"/>
    <w:rsid w:val="00A9005C"/>
    <w:rsid w:val="00A91287"/>
    <w:rsid w:val="00A92527"/>
    <w:rsid w:val="00A929FA"/>
    <w:rsid w:val="00A92B19"/>
    <w:rsid w:val="00A9340E"/>
    <w:rsid w:val="00A93918"/>
    <w:rsid w:val="00A97A0E"/>
    <w:rsid w:val="00AA0A84"/>
    <w:rsid w:val="00AA0B2B"/>
    <w:rsid w:val="00AA33A8"/>
    <w:rsid w:val="00AA35CC"/>
    <w:rsid w:val="00AA3A3D"/>
    <w:rsid w:val="00AA4800"/>
    <w:rsid w:val="00AA4B14"/>
    <w:rsid w:val="00AA59FE"/>
    <w:rsid w:val="00AA5FF1"/>
    <w:rsid w:val="00AA621B"/>
    <w:rsid w:val="00AA652A"/>
    <w:rsid w:val="00AA710D"/>
    <w:rsid w:val="00AA7113"/>
    <w:rsid w:val="00AA7BB0"/>
    <w:rsid w:val="00AB0AA9"/>
    <w:rsid w:val="00AB1415"/>
    <w:rsid w:val="00AB2181"/>
    <w:rsid w:val="00AB29ED"/>
    <w:rsid w:val="00AB2CEA"/>
    <w:rsid w:val="00AB334B"/>
    <w:rsid w:val="00AB3D3E"/>
    <w:rsid w:val="00AB3E11"/>
    <w:rsid w:val="00AB3F4B"/>
    <w:rsid w:val="00AB587B"/>
    <w:rsid w:val="00AB6123"/>
    <w:rsid w:val="00AB635D"/>
    <w:rsid w:val="00AB6D25"/>
    <w:rsid w:val="00AB7938"/>
    <w:rsid w:val="00AB7F1C"/>
    <w:rsid w:val="00AC02E7"/>
    <w:rsid w:val="00AC0C7B"/>
    <w:rsid w:val="00AC10DF"/>
    <w:rsid w:val="00AC1770"/>
    <w:rsid w:val="00AC1942"/>
    <w:rsid w:val="00AC1F5F"/>
    <w:rsid w:val="00AC3371"/>
    <w:rsid w:val="00AC3742"/>
    <w:rsid w:val="00AC40AE"/>
    <w:rsid w:val="00AC4C4A"/>
    <w:rsid w:val="00AC60C7"/>
    <w:rsid w:val="00AC675E"/>
    <w:rsid w:val="00AC6D6A"/>
    <w:rsid w:val="00AD0323"/>
    <w:rsid w:val="00AD06AD"/>
    <w:rsid w:val="00AD0E41"/>
    <w:rsid w:val="00AD1310"/>
    <w:rsid w:val="00AD2DC1"/>
    <w:rsid w:val="00AD444C"/>
    <w:rsid w:val="00AD456D"/>
    <w:rsid w:val="00AD48CD"/>
    <w:rsid w:val="00AD4B17"/>
    <w:rsid w:val="00AD5123"/>
    <w:rsid w:val="00AD6249"/>
    <w:rsid w:val="00AE01A0"/>
    <w:rsid w:val="00AE1EED"/>
    <w:rsid w:val="00AE2D4B"/>
    <w:rsid w:val="00AE2DDB"/>
    <w:rsid w:val="00AE4F99"/>
    <w:rsid w:val="00AE626C"/>
    <w:rsid w:val="00AE6F15"/>
    <w:rsid w:val="00AE771B"/>
    <w:rsid w:val="00AE7949"/>
    <w:rsid w:val="00AE7D3D"/>
    <w:rsid w:val="00AF01B2"/>
    <w:rsid w:val="00AF06E1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CD4"/>
    <w:rsid w:val="00AF6FF8"/>
    <w:rsid w:val="00B010FE"/>
    <w:rsid w:val="00B01136"/>
    <w:rsid w:val="00B01155"/>
    <w:rsid w:val="00B01533"/>
    <w:rsid w:val="00B03638"/>
    <w:rsid w:val="00B0366F"/>
    <w:rsid w:val="00B05438"/>
    <w:rsid w:val="00B06227"/>
    <w:rsid w:val="00B10211"/>
    <w:rsid w:val="00B125DF"/>
    <w:rsid w:val="00B12CC4"/>
    <w:rsid w:val="00B1362B"/>
    <w:rsid w:val="00B14952"/>
    <w:rsid w:val="00B152C9"/>
    <w:rsid w:val="00B168D2"/>
    <w:rsid w:val="00B17E1B"/>
    <w:rsid w:val="00B2134B"/>
    <w:rsid w:val="00B2194A"/>
    <w:rsid w:val="00B2215B"/>
    <w:rsid w:val="00B22545"/>
    <w:rsid w:val="00B228F5"/>
    <w:rsid w:val="00B22BA1"/>
    <w:rsid w:val="00B22DFE"/>
    <w:rsid w:val="00B23EBD"/>
    <w:rsid w:val="00B240EB"/>
    <w:rsid w:val="00B2462B"/>
    <w:rsid w:val="00B259D7"/>
    <w:rsid w:val="00B25FC5"/>
    <w:rsid w:val="00B267F1"/>
    <w:rsid w:val="00B268D4"/>
    <w:rsid w:val="00B26C0F"/>
    <w:rsid w:val="00B26CC9"/>
    <w:rsid w:val="00B26DBD"/>
    <w:rsid w:val="00B31E5A"/>
    <w:rsid w:val="00B32639"/>
    <w:rsid w:val="00B3264E"/>
    <w:rsid w:val="00B32B58"/>
    <w:rsid w:val="00B331B5"/>
    <w:rsid w:val="00B339BF"/>
    <w:rsid w:val="00B34AE4"/>
    <w:rsid w:val="00B34CDC"/>
    <w:rsid w:val="00B3506F"/>
    <w:rsid w:val="00B3556C"/>
    <w:rsid w:val="00B40010"/>
    <w:rsid w:val="00B41969"/>
    <w:rsid w:val="00B41AC9"/>
    <w:rsid w:val="00B4311B"/>
    <w:rsid w:val="00B4375E"/>
    <w:rsid w:val="00B438BA"/>
    <w:rsid w:val="00B440B8"/>
    <w:rsid w:val="00B4459D"/>
    <w:rsid w:val="00B44E67"/>
    <w:rsid w:val="00B4565C"/>
    <w:rsid w:val="00B45D46"/>
    <w:rsid w:val="00B462A1"/>
    <w:rsid w:val="00B47C5B"/>
    <w:rsid w:val="00B47D3F"/>
    <w:rsid w:val="00B51A57"/>
    <w:rsid w:val="00B52112"/>
    <w:rsid w:val="00B531D3"/>
    <w:rsid w:val="00B549B4"/>
    <w:rsid w:val="00B54BE8"/>
    <w:rsid w:val="00B5567E"/>
    <w:rsid w:val="00B5572E"/>
    <w:rsid w:val="00B57AAA"/>
    <w:rsid w:val="00B57AFF"/>
    <w:rsid w:val="00B61114"/>
    <w:rsid w:val="00B61380"/>
    <w:rsid w:val="00B624E9"/>
    <w:rsid w:val="00B62871"/>
    <w:rsid w:val="00B6292F"/>
    <w:rsid w:val="00B62CFE"/>
    <w:rsid w:val="00B63352"/>
    <w:rsid w:val="00B64845"/>
    <w:rsid w:val="00B64C85"/>
    <w:rsid w:val="00B6525E"/>
    <w:rsid w:val="00B653AB"/>
    <w:rsid w:val="00B65F9E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513"/>
    <w:rsid w:val="00B71475"/>
    <w:rsid w:val="00B71855"/>
    <w:rsid w:val="00B71B74"/>
    <w:rsid w:val="00B7235F"/>
    <w:rsid w:val="00B73612"/>
    <w:rsid w:val="00B74623"/>
    <w:rsid w:val="00B74EC0"/>
    <w:rsid w:val="00B759DD"/>
    <w:rsid w:val="00B761C1"/>
    <w:rsid w:val="00B761FC"/>
    <w:rsid w:val="00B76E7A"/>
    <w:rsid w:val="00B7774E"/>
    <w:rsid w:val="00B80A5A"/>
    <w:rsid w:val="00B811A9"/>
    <w:rsid w:val="00B823A7"/>
    <w:rsid w:val="00B82758"/>
    <w:rsid w:val="00B82845"/>
    <w:rsid w:val="00B82BB2"/>
    <w:rsid w:val="00B82C01"/>
    <w:rsid w:val="00B82FBE"/>
    <w:rsid w:val="00B83046"/>
    <w:rsid w:val="00B8394F"/>
    <w:rsid w:val="00B83FC5"/>
    <w:rsid w:val="00B85B0E"/>
    <w:rsid w:val="00B8679E"/>
    <w:rsid w:val="00B86A70"/>
    <w:rsid w:val="00B86DC4"/>
    <w:rsid w:val="00B87889"/>
    <w:rsid w:val="00B87B0F"/>
    <w:rsid w:val="00B914E9"/>
    <w:rsid w:val="00B92916"/>
    <w:rsid w:val="00B95145"/>
    <w:rsid w:val="00B956EE"/>
    <w:rsid w:val="00B96047"/>
    <w:rsid w:val="00B96C90"/>
    <w:rsid w:val="00B97998"/>
    <w:rsid w:val="00BA07CF"/>
    <w:rsid w:val="00BA0E78"/>
    <w:rsid w:val="00BA182D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26D"/>
    <w:rsid w:val="00BB254F"/>
    <w:rsid w:val="00BB29F8"/>
    <w:rsid w:val="00BB2DF3"/>
    <w:rsid w:val="00BB2FC1"/>
    <w:rsid w:val="00BB3B7F"/>
    <w:rsid w:val="00BB4747"/>
    <w:rsid w:val="00BB624C"/>
    <w:rsid w:val="00BB768F"/>
    <w:rsid w:val="00BB7D28"/>
    <w:rsid w:val="00BC01E2"/>
    <w:rsid w:val="00BC022B"/>
    <w:rsid w:val="00BC1F7C"/>
    <w:rsid w:val="00BC3E9C"/>
    <w:rsid w:val="00BC4B00"/>
    <w:rsid w:val="00BC54E6"/>
    <w:rsid w:val="00BC56C8"/>
    <w:rsid w:val="00BC6015"/>
    <w:rsid w:val="00BC6C2E"/>
    <w:rsid w:val="00BD214B"/>
    <w:rsid w:val="00BD23B3"/>
    <w:rsid w:val="00BD34B6"/>
    <w:rsid w:val="00BD3AA2"/>
    <w:rsid w:val="00BD3AD5"/>
    <w:rsid w:val="00BD4B70"/>
    <w:rsid w:val="00BD4E33"/>
    <w:rsid w:val="00BD5271"/>
    <w:rsid w:val="00BD5E10"/>
    <w:rsid w:val="00BD60C7"/>
    <w:rsid w:val="00BD6478"/>
    <w:rsid w:val="00BE094A"/>
    <w:rsid w:val="00BE131C"/>
    <w:rsid w:val="00BE1FB4"/>
    <w:rsid w:val="00BE2638"/>
    <w:rsid w:val="00BE2C8D"/>
    <w:rsid w:val="00BE2E0F"/>
    <w:rsid w:val="00BE34A5"/>
    <w:rsid w:val="00BE455E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614"/>
    <w:rsid w:val="00BF026F"/>
    <w:rsid w:val="00BF080B"/>
    <w:rsid w:val="00BF0FB3"/>
    <w:rsid w:val="00BF1E98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6BD9"/>
    <w:rsid w:val="00BF6FE5"/>
    <w:rsid w:val="00BF7284"/>
    <w:rsid w:val="00BF75C9"/>
    <w:rsid w:val="00C009C4"/>
    <w:rsid w:val="00C00BF5"/>
    <w:rsid w:val="00C0125E"/>
    <w:rsid w:val="00C013E6"/>
    <w:rsid w:val="00C01489"/>
    <w:rsid w:val="00C01726"/>
    <w:rsid w:val="00C030DE"/>
    <w:rsid w:val="00C041B3"/>
    <w:rsid w:val="00C05487"/>
    <w:rsid w:val="00C0592A"/>
    <w:rsid w:val="00C06780"/>
    <w:rsid w:val="00C06950"/>
    <w:rsid w:val="00C06A88"/>
    <w:rsid w:val="00C07640"/>
    <w:rsid w:val="00C10D01"/>
    <w:rsid w:val="00C10DF9"/>
    <w:rsid w:val="00C110DE"/>
    <w:rsid w:val="00C11636"/>
    <w:rsid w:val="00C1264F"/>
    <w:rsid w:val="00C126E4"/>
    <w:rsid w:val="00C13813"/>
    <w:rsid w:val="00C14256"/>
    <w:rsid w:val="00C1563E"/>
    <w:rsid w:val="00C159A9"/>
    <w:rsid w:val="00C169AE"/>
    <w:rsid w:val="00C16DB6"/>
    <w:rsid w:val="00C201ED"/>
    <w:rsid w:val="00C22105"/>
    <w:rsid w:val="00C2254F"/>
    <w:rsid w:val="00C2359C"/>
    <w:rsid w:val="00C239CB"/>
    <w:rsid w:val="00C244FC"/>
    <w:rsid w:val="00C24635"/>
    <w:rsid w:val="00C24A0A"/>
    <w:rsid w:val="00C24BE6"/>
    <w:rsid w:val="00C24EF2"/>
    <w:rsid w:val="00C27632"/>
    <w:rsid w:val="00C27FC3"/>
    <w:rsid w:val="00C306BF"/>
    <w:rsid w:val="00C30BC5"/>
    <w:rsid w:val="00C30F20"/>
    <w:rsid w:val="00C326CF"/>
    <w:rsid w:val="00C33916"/>
    <w:rsid w:val="00C35562"/>
    <w:rsid w:val="00C3566A"/>
    <w:rsid w:val="00C3620B"/>
    <w:rsid w:val="00C368E9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2E4F"/>
    <w:rsid w:val="00C43E0B"/>
    <w:rsid w:val="00C44E36"/>
    <w:rsid w:val="00C4523F"/>
    <w:rsid w:val="00C4577D"/>
    <w:rsid w:val="00C4726F"/>
    <w:rsid w:val="00C4735E"/>
    <w:rsid w:val="00C47A6B"/>
    <w:rsid w:val="00C51B9B"/>
    <w:rsid w:val="00C52068"/>
    <w:rsid w:val="00C53CB4"/>
    <w:rsid w:val="00C55277"/>
    <w:rsid w:val="00C55544"/>
    <w:rsid w:val="00C57244"/>
    <w:rsid w:val="00C6025E"/>
    <w:rsid w:val="00C61FFB"/>
    <w:rsid w:val="00C62133"/>
    <w:rsid w:val="00C6218D"/>
    <w:rsid w:val="00C62478"/>
    <w:rsid w:val="00C62D1C"/>
    <w:rsid w:val="00C62E3A"/>
    <w:rsid w:val="00C63697"/>
    <w:rsid w:val="00C64334"/>
    <w:rsid w:val="00C64A37"/>
    <w:rsid w:val="00C653D8"/>
    <w:rsid w:val="00C657B4"/>
    <w:rsid w:val="00C65F09"/>
    <w:rsid w:val="00C65F93"/>
    <w:rsid w:val="00C7064B"/>
    <w:rsid w:val="00C711F3"/>
    <w:rsid w:val="00C7158E"/>
    <w:rsid w:val="00C7163F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6782"/>
    <w:rsid w:val="00C7712E"/>
    <w:rsid w:val="00C771B7"/>
    <w:rsid w:val="00C77353"/>
    <w:rsid w:val="00C77C0E"/>
    <w:rsid w:val="00C77ED1"/>
    <w:rsid w:val="00C80A9C"/>
    <w:rsid w:val="00C81358"/>
    <w:rsid w:val="00C815A3"/>
    <w:rsid w:val="00C82E65"/>
    <w:rsid w:val="00C8306D"/>
    <w:rsid w:val="00C84114"/>
    <w:rsid w:val="00C8486C"/>
    <w:rsid w:val="00C84B09"/>
    <w:rsid w:val="00C84C34"/>
    <w:rsid w:val="00C85734"/>
    <w:rsid w:val="00C86E7B"/>
    <w:rsid w:val="00C90019"/>
    <w:rsid w:val="00C90962"/>
    <w:rsid w:val="00C91687"/>
    <w:rsid w:val="00C9221A"/>
    <w:rsid w:val="00C924A8"/>
    <w:rsid w:val="00C9276F"/>
    <w:rsid w:val="00C93F22"/>
    <w:rsid w:val="00C945FE"/>
    <w:rsid w:val="00C954FE"/>
    <w:rsid w:val="00C9674F"/>
    <w:rsid w:val="00C96EAC"/>
    <w:rsid w:val="00C96FAA"/>
    <w:rsid w:val="00C97538"/>
    <w:rsid w:val="00C97A04"/>
    <w:rsid w:val="00CA0A3A"/>
    <w:rsid w:val="00CA107B"/>
    <w:rsid w:val="00CA156E"/>
    <w:rsid w:val="00CA1A19"/>
    <w:rsid w:val="00CA1AEA"/>
    <w:rsid w:val="00CA1EDE"/>
    <w:rsid w:val="00CA42A5"/>
    <w:rsid w:val="00CA484D"/>
    <w:rsid w:val="00CA4983"/>
    <w:rsid w:val="00CA5A25"/>
    <w:rsid w:val="00CA625F"/>
    <w:rsid w:val="00CA6462"/>
    <w:rsid w:val="00CA7B7B"/>
    <w:rsid w:val="00CB1C25"/>
    <w:rsid w:val="00CB30D1"/>
    <w:rsid w:val="00CB37B0"/>
    <w:rsid w:val="00CB471B"/>
    <w:rsid w:val="00CB48DD"/>
    <w:rsid w:val="00CB4C9B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C03"/>
    <w:rsid w:val="00CC4753"/>
    <w:rsid w:val="00CC4B73"/>
    <w:rsid w:val="00CC5227"/>
    <w:rsid w:val="00CC5707"/>
    <w:rsid w:val="00CC5AB4"/>
    <w:rsid w:val="00CC5BE7"/>
    <w:rsid w:val="00CC6050"/>
    <w:rsid w:val="00CC739E"/>
    <w:rsid w:val="00CD06A3"/>
    <w:rsid w:val="00CD0936"/>
    <w:rsid w:val="00CD0A2B"/>
    <w:rsid w:val="00CD0E08"/>
    <w:rsid w:val="00CD103D"/>
    <w:rsid w:val="00CD26D8"/>
    <w:rsid w:val="00CD44AA"/>
    <w:rsid w:val="00CD58B7"/>
    <w:rsid w:val="00CD63C2"/>
    <w:rsid w:val="00CD6E3E"/>
    <w:rsid w:val="00CD7426"/>
    <w:rsid w:val="00CD760F"/>
    <w:rsid w:val="00CD7950"/>
    <w:rsid w:val="00CD7DEE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9B8"/>
    <w:rsid w:val="00CE5A42"/>
    <w:rsid w:val="00CE66FD"/>
    <w:rsid w:val="00CE7825"/>
    <w:rsid w:val="00CE7CE8"/>
    <w:rsid w:val="00CE7F75"/>
    <w:rsid w:val="00CF01FB"/>
    <w:rsid w:val="00CF0476"/>
    <w:rsid w:val="00CF11C0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D00EEF"/>
    <w:rsid w:val="00D0153F"/>
    <w:rsid w:val="00D01C08"/>
    <w:rsid w:val="00D01E21"/>
    <w:rsid w:val="00D025F3"/>
    <w:rsid w:val="00D02743"/>
    <w:rsid w:val="00D029D0"/>
    <w:rsid w:val="00D05D30"/>
    <w:rsid w:val="00D05FA7"/>
    <w:rsid w:val="00D075C5"/>
    <w:rsid w:val="00D10042"/>
    <w:rsid w:val="00D11189"/>
    <w:rsid w:val="00D122F8"/>
    <w:rsid w:val="00D123D0"/>
    <w:rsid w:val="00D1323D"/>
    <w:rsid w:val="00D144A6"/>
    <w:rsid w:val="00D16EF1"/>
    <w:rsid w:val="00D20E75"/>
    <w:rsid w:val="00D215E4"/>
    <w:rsid w:val="00D21D57"/>
    <w:rsid w:val="00D21ED7"/>
    <w:rsid w:val="00D24364"/>
    <w:rsid w:val="00D248E2"/>
    <w:rsid w:val="00D254E8"/>
    <w:rsid w:val="00D258FC"/>
    <w:rsid w:val="00D25AF1"/>
    <w:rsid w:val="00D261A2"/>
    <w:rsid w:val="00D265FD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863"/>
    <w:rsid w:val="00D338F8"/>
    <w:rsid w:val="00D34617"/>
    <w:rsid w:val="00D35ABF"/>
    <w:rsid w:val="00D36A5E"/>
    <w:rsid w:val="00D36FC0"/>
    <w:rsid w:val="00D37BB9"/>
    <w:rsid w:val="00D37E99"/>
    <w:rsid w:val="00D401E4"/>
    <w:rsid w:val="00D40CAD"/>
    <w:rsid w:val="00D40CBF"/>
    <w:rsid w:val="00D413CF"/>
    <w:rsid w:val="00D41F03"/>
    <w:rsid w:val="00D4389C"/>
    <w:rsid w:val="00D457C0"/>
    <w:rsid w:val="00D457F5"/>
    <w:rsid w:val="00D465D3"/>
    <w:rsid w:val="00D46D5C"/>
    <w:rsid w:val="00D47776"/>
    <w:rsid w:val="00D479C1"/>
    <w:rsid w:val="00D47C12"/>
    <w:rsid w:val="00D47D56"/>
    <w:rsid w:val="00D52320"/>
    <w:rsid w:val="00D529FC"/>
    <w:rsid w:val="00D5347D"/>
    <w:rsid w:val="00D53948"/>
    <w:rsid w:val="00D53FE1"/>
    <w:rsid w:val="00D540E8"/>
    <w:rsid w:val="00D54900"/>
    <w:rsid w:val="00D54F80"/>
    <w:rsid w:val="00D55103"/>
    <w:rsid w:val="00D5632E"/>
    <w:rsid w:val="00D5637B"/>
    <w:rsid w:val="00D56FC6"/>
    <w:rsid w:val="00D57132"/>
    <w:rsid w:val="00D57156"/>
    <w:rsid w:val="00D57E8A"/>
    <w:rsid w:val="00D60C1F"/>
    <w:rsid w:val="00D616D2"/>
    <w:rsid w:val="00D61EA7"/>
    <w:rsid w:val="00D61F51"/>
    <w:rsid w:val="00D61F90"/>
    <w:rsid w:val="00D62FA8"/>
    <w:rsid w:val="00D63074"/>
    <w:rsid w:val="00D63B5F"/>
    <w:rsid w:val="00D63BB9"/>
    <w:rsid w:val="00D63D5A"/>
    <w:rsid w:val="00D643D6"/>
    <w:rsid w:val="00D65656"/>
    <w:rsid w:val="00D65740"/>
    <w:rsid w:val="00D666D4"/>
    <w:rsid w:val="00D66C25"/>
    <w:rsid w:val="00D6738D"/>
    <w:rsid w:val="00D675F9"/>
    <w:rsid w:val="00D67AEF"/>
    <w:rsid w:val="00D703C8"/>
    <w:rsid w:val="00D70951"/>
    <w:rsid w:val="00D70C64"/>
    <w:rsid w:val="00D70EF7"/>
    <w:rsid w:val="00D72229"/>
    <w:rsid w:val="00D7255C"/>
    <w:rsid w:val="00D726EE"/>
    <w:rsid w:val="00D73A6D"/>
    <w:rsid w:val="00D74A4C"/>
    <w:rsid w:val="00D74CBE"/>
    <w:rsid w:val="00D755E5"/>
    <w:rsid w:val="00D7578B"/>
    <w:rsid w:val="00D758A2"/>
    <w:rsid w:val="00D75A73"/>
    <w:rsid w:val="00D75A91"/>
    <w:rsid w:val="00D760A8"/>
    <w:rsid w:val="00D76525"/>
    <w:rsid w:val="00D7722F"/>
    <w:rsid w:val="00D776B2"/>
    <w:rsid w:val="00D811D2"/>
    <w:rsid w:val="00D81632"/>
    <w:rsid w:val="00D81A44"/>
    <w:rsid w:val="00D82A72"/>
    <w:rsid w:val="00D82C75"/>
    <w:rsid w:val="00D8397C"/>
    <w:rsid w:val="00D84257"/>
    <w:rsid w:val="00D84472"/>
    <w:rsid w:val="00D84A46"/>
    <w:rsid w:val="00D85184"/>
    <w:rsid w:val="00D85353"/>
    <w:rsid w:val="00D85549"/>
    <w:rsid w:val="00D858BA"/>
    <w:rsid w:val="00D868B9"/>
    <w:rsid w:val="00D86D10"/>
    <w:rsid w:val="00D86D33"/>
    <w:rsid w:val="00D86E24"/>
    <w:rsid w:val="00D86F61"/>
    <w:rsid w:val="00D87A42"/>
    <w:rsid w:val="00D87C6E"/>
    <w:rsid w:val="00D87D42"/>
    <w:rsid w:val="00D87F1C"/>
    <w:rsid w:val="00D91213"/>
    <w:rsid w:val="00D91214"/>
    <w:rsid w:val="00D92021"/>
    <w:rsid w:val="00D92979"/>
    <w:rsid w:val="00D930AF"/>
    <w:rsid w:val="00D94EED"/>
    <w:rsid w:val="00D956AD"/>
    <w:rsid w:val="00D95C37"/>
    <w:rsid w:val="00D96026"/>
    <w:rsid w:val="00D96C20"/>
    <w:rsid w:val="00D971AF"/>
    <w:rsid w:val="00DA04E4"/>
    <w:rsid w:val="00DA0B4D"/>
    <w:rsid w:val="00DA0D81"/>
    <w:rsid w:val="00DA0E43"/>
    <w:rsid w:val="00DA1E2C"/>
    <w:rsid w:val="00DA2EBC"/>
    <w:rsid w:val="00DA4A9F"/>
    <w:rsid w:val="00DA4AAD"/>
    <w:rsid w:val="00DA4C3C"/>
    <w:rsid w:val="00DA4E15"/>
    <w:rsid w:val="00DA5307"/>
    <w:rsid w:val="00DA551C"/>
    <w:rsid w:val="00DA5A1F"/>
    <w:rsid w:val="00DA5C0C"/>
    <w:rsid w:val="00DA5E01"/>
    <w:rsid w:val="00DA6D4B"/>
    <w:rsid w:val="00DA7C1D"/>
    <w:rsid w:val="00DA7CE5"/>
    <w:rsid w:val="00DB0907"/>
    <w:rsid w:val="00DB147A"/>
    <w:rsid w:val="00DB1B7A"/>
    <w:rsid w:val="00DB30C8"/>
    <w:rsid w:val="00DB3274"/>
    <w:rsid w:val="00DB350A"/>
    <w:rsid w:val="00DB36DA"/>
    <w:rsid w:val="00DB3FDE"/>
    <w:rsid w:val="00DB4443"/>
    <w:rsid w:val="00DB51B4"/>
    <w:rsid w:val="00DB5226"/>
    <w:rsid w:val="00DB57CE"/>
    <w:rsid w:val="00DB599D"/>
    <w:rsid w:val="00DB5A91"/>
    <w:rsid w:val="00DB788C"/>
    <w:rsid w:val="00DC03F2"/>
    <w:rsid w:val="00DC108B"/>
    <w:rsid w:val="00DC1316"/>
    <w:rsid w:val="00DC1A99"/>
    <w:rsid w:val="00DC1B1B"/>
    <w:rsid w:val="00DC2BD5"/>
    <w:rsid w:val="00DC301C"/>
    <w:rsid w:val="00DC3553"/>
    <w:rsid w:val="00DC3860"/>
    <w:rsid w:val="00DC3B08"/>
    <w:rsid w:val="00DC3E22"/>
    <w:rsid w:val="00DC42F7"/>
    <w:rsid w:val="00DC4CFA"/>
    <w:rsid w:val="00DC51C8"/>
    <w:rsid w:val="00DC6708"/>
    <w:rsid w:val="00DC6D94"/>
    <w:rsid w:val="00DC7339"/>
    <w:rsid w:val="00DC75F5"/>
    <w:rsid w:val="00DC79B6"/>
    <w:rsid w:val="00DC7A1B"/>
    <w:rsid w:val="00DC7B2E"/>
    <w:rsid w:val="00DD10AE"/>
    <w:rsid w:val="00DD19F7"/>
    <w:rsid w:val="00DD2291"/>
    <w:rsid w:val="00DD35CA"/>
    <w:rsid w:val="00DD38C9"/>
    <w:rsid w:val="00DD3956"/>
    <w:rsid w:val="00DD50E3"/>
    <w:rsid w:val="00DD52CE"/>
    <w:rsid w:val="00DD6945"/>
    <w:rsid w:val="00DD6CCB"/>
    <w:rsid w:val="00DD7814"/>
    <w:rsid w:val="00DE08D5"/>
    <w:rsid w:val="00DE146B"/>
    <w:rsid w:val="00DE2700"/>
    <w:rsid w:val="00DE31F3"/>
    <w:rsid w:val="00DE3E51"/>
    <w:rsid w:val="00DE4222"/>
    <w:rsid w:val="00DE438A"/>
    <w:rsid w:val="00DE4CA5"/>
    <w:rsid w:val="00DE50A9"/>
    <w:rsid w:val="00DE564A"/>
    <w:rsid w:val="00DE62B6"/>
    <w:rsid w:val="00DE7E39"/>
    <w:rsid w:val="00DF0A00"/>
    <w:rsid w:val="00DF0DE3"/>
    <w:rsid w:val="00DF1833"/>
    <w:rsid w:val="00DF1BC8"/>
    <w:rsid w:val="00DF2827"/>
    <w:rsid w:val="00DF2D14"/>
    <w:rsid w:val="00DF382B"/>
    <w:rsid w:val="00DF3C45"/>
    <w:rsid w:val="00DF42EA"/>
    <w:rsid w:val="00DF45C5"/>
    <w:rsid w:val="00DF476C"/>
    <w:rsid w:val="00DF62E2"/>
    <w:rsid w:val="00DF6DE7"/>
    <w:rsid w:val="00DF6FA0"/>
    <w:rsid w:val="00DF75AF"/>
    <w:rsid w:val="00DF7947"/>
    <w:rsid w:val="00E00706"/>
    <w:rsid w:val="00E00E4F"/>
    <w:rsid w:val="00E01436"/>
    <w:rsid w:val="00E020E5"/>
    <w:rsid w:val="00E024E6"/>
    <w:rsid w:val="00E03530"/>
    <w:rsid w:val="00E03D47"/>
    <w:rsid w:val="00E045BD"/>
    <w:rsid w:val="00E04C02"/>
    <w:rsid w:val="00E04CC8"/>
    <w:rsid w:val="00E0528D"/>
    <w:rsid w:val="00E05459"/>
    <w:rsid w:val="00E05995"/>
    <w:rsid w:val="00E065C3"/>
    <w:rsid w:val="00E0675A"/>
    <w:rsid w:val="00E07AF0"/>
    <w:rsid w:val="00E07D8A"/>
    <w:rsid w:val="00E07F69"/>
    <w:rsid w:val="00E10CAC"/>
    <w:rsid w:val="00E12495"/>
    <w:rsid w:val="00E12594"/>
    <w:rsid w:val="00E13852"/>
    <w:rsid w:val="00E13DDA"/>
    <w:rsid w:val="00E143C8"/>
    <w:rsid w:val="00E14A8F"/>
    <w:rsid w:val="00E152BC"/>
    <w:rsid w:val="00E16BFC"/>
    <w:rsid w:val="00E1776D"/>
    <w:rsid w:val="00E178F3"/>
    <w:rsid w:val="00E17B77"/>
    <w:rsid w:val="00E218D1"/>
    <w:rsid w:val="00E22213"/>
    <w:rsid w:val="00E2333A"/>
    <w:rsid w:val="00E25847"/>
    <w:rsid w:val="00E25BB5"/>
    <w:rsid w:val="00E26184"/>
    <w:rsid w:val="00E276FE"/>
    <w:rsid w:val="00E27999"/>
    <w:rsid w:val="00E300CE"/>
    <w:rsid w:val="00E3062A"/>
    <w:rsid w:val="00E32061"/>
    <w:rsid w:val="00E32A88"/>
    <w:rsid w:val="00E33FC7"/>
    <w:rsid w:val="00E34E11"/>
    <w:rsid w:val="00E352B8"/>
    <w:rsid w:val="00E35BFF"/>
    <w:rsid w:val="00E35D65"/>
    <w:rsid w:val="00E370F3"/>
    <w:rsid w:val="00E37869"/>
    <w:rsid w:val="00E37F2F"/>
    <w:rsid w:val="00E4066E"/>
    <w:rsid w:val="00E40A17"/>
    <w:rsid w:val="00E4162A"/>
    <w:rsid w:val="00E41A33"/>
    <w:rsid w:val="00E426C0"/>
    <w:rsid w:val="00E426CD"/>
    <w:rsid w:val="00E42C3E"/>
    <w:rsid w:val="00E42FF9"/>
    <w:rsid w:val="00E43767"/>
    <w:rsid w:val="00E43880"/>
    <w:rsid w:val="00E43FD8"/>
    <w:rsid w:val="00E444EA"/>
    <w:rsid w:val="00E4471B"/>
    <w:rsid w:val="00E44C0F"/>
    <w:rsid w:val="00E45A08"/>
    <w:rsid w:val="00E45B29"/>
    <w:rsid w:val="00E46137"/>
    <w:rsid w:val="00E46776"/>
    <w:rsid w:val="00E46E72"/>
    <w:rsid w:val="00E4714C"/>
    <w:rsid w:val="00E47265"/>
    <w:rsid w:val="00E47B2B"/>
    <w:rsid w:val="00E47D5C"/>
    <w:rsid w:val="00E504A0"/>
    <w:rsid w:val="00E51AEB"/>
    <w:rsid w:val="00E522A7"/>
    <w:rsid w:val="00E533A3"/>
    <w:rsid w:val="00E53C92"/>
    <w:rsid w:val="00E53DE0"/>
    <w:rsid w:val="00E53FF1"/>
    <w:rsid w:val="00E54452"/>
    <w:rsid w:val="00E54AE9"/>
    <w:rsid w:val="00E556C9"/>
    <w:rsid w:val="00E56AD2"/>
    <w:rsid w:val="00E574EE"/>
    <w:rsid w:val="00E57675"/>
    <w:rsid w:val="00E61241"/>
    <w:rsid w:val="00E6159F"/>
    <w:rsid w:val="00E63CA1"/>
    <w:rsid w:val="00E6419C"/>
    <w:rsid w:val="00E642E7"/>
    <w:rsid w:val="00E64DA9"/>
    <w:rsid w:val="00E650BE"/>
    <w:rsid w:val="00E66357"/>
    <w:rsid w:val="00E66518"/>
    <w:rsid w:val="00E66845"/>
    <w:rsid w:val="00E671A2"/>
    <w:rsid w:val="00E672A4"/>
    <w:rsid w:val="00E67DB1"/>
    <w:rsid w:val="00E67DF0"/>
    <w:rsid w:val="00E67E20"/>
    <w:rsid w:val="00E71042"/>
    <w:rsid w:val="00E711C8"/>
    <w:rsid w:val="00E712EC"/>
    <w:rsid w:val="00E7275E"/>
    <w:rsid w:val="00E7386B"/>
    <w:rsid w:val="00E74489"/>
    <w:rsid w:val="00E74B84"/>
    <w:rsid w:val="00E753C2"/>
    <w:rsid w:val="00E753E2"/>
    <w:rsid w:val="00E76913"/>
    <w:rsid w:val="00E76D26"/>
    <w:rsid w:val="00E80633"/>
    <w:rsid w:val="00E816F6"/>
    <w:rsid w:val="00E81D1F"/>
    <w:rsid w:val="00E8342D"/>
    <w:rsid w:val="00E83942"/>
    <w:rsid w:val="00E84777"/>
    <w:rsid w:val="00E84888"/>
    <w:rsid w:val="00E84EBA"/>
    <w:rsid w:val="00E854AF"/>
    <w:rsid w:val="00E864D2"/>
    <w:rsid w:val="00E86D8E"/>
    <w:rsid w:val="00E86E65"/>
    <w:rsid w:val="00E90C23"/>
    <w:rsid w:val="00E91653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ADB"/>
    <w:rsid w:val="00E95F93"/>
    <w:rsid w:val="00E96E40"/>
    <w:rsid w:val="00E9781B"/>
    <w:rsid w:val="00EA1273"/>
    <w:rsid w:val="00EA2D61"/>
    <w:rsid w:val="00EA33DF"/>
    <w:rsid w:val="00EA3475"/>
    <w:rsid w:val="00EA3B8C"/>
    <w:rsid w:val="00EA3FD6"/>
    <w:rsid w:val="00EA436E"/>
    <w:rsid w:val="00EA462E"/>
    <w:rsid w:val="00EA4D98"/>
    <w:rsid w:val="00EA67D3"/>
    <w:rsid w:val="00EA749F"/>
    <w:rsid w:val="00EA7598"/>
    <w:rsid w:val="00EA7714"/>
    <w:rsid w:val="00EA7E40"/>
    <w:rsid w:val="00EB1390"/>
    <w:rsid w:val="00EB1552"/>
    <w:rsid w:val="00EB1A56"/>
    <w:rsid w:val="00EB26A3"/>
    <w:rsid w:val="00EB2C71"/>
    <w:rsid w:val="00EB34D8"/>
    <w:rsid w:val="00EB38A2"/>
    <w:rsid w:val="00EB39EC"/>
    <w:rsid w:val="00EB3C40"/>
    <w:rsid w:val="00EB4340"/>
    <w:rsid w:val="00EB5312"/>
    <w:rsid w:val="00EB56DC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2A3"/>
    <w:rsid w:val="00EC6420"/>
    <w:rsid w:val="00EC67B5"/>
    <w:rsid w:val="00EC7FCC"/>
    <w:rsid w:val="00ED0279"/>
    <w:rsid w:val="00ED11AB"/>
    <w:rsid w:val="00ED13F7"/>
    <w:rsid w:val="00ED3542"/>
    <w:rsid w:val="00ED4FDD"/>
    <w:rsid w:val="00ED55C0"/>
    <w:rsid w:val="00ED62C2"/>
    <w:rsid w:val="00ED670D"/>
    <w:rsid w:val="00ED682B"/>
    <w:rsid w:val="00EE027D"/>
    <w:rsid w:val="00EE1C2B"/>
    <w:rsid w:val="00EE1C4E"/>
    <w:rsid w:val="00EE2641"/>
    <w:rsid w:val="00EE2DA1"/>
    <w:rsid w:val="00EE3DB6"/>
    <w:rsid w:val="00EE40C1"/>
    <w:rsid w:val="00EE41D5"/>
    <w:rsid w:val="00EE4372"/>
    <w:rsid w:val="00EE4B5D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2275"/>
    <w:rsid w:val="00EF3C9B"/>
    <w:rsid w:val="00EF47A0"/>
    <w:rsid w:val="00EF58D7"/>
    <w:rsid w:val="00EF686D"/>
    <w:rsid w:val="00EF7B65"/>
    <w:rsid w:val="00EF7B92"/>
    <w:rsid w:val="00F00196"/>
    <w:rsid w:val="00F001A8"/>
    <w:rsid w:val="00F00806"/>
    <w:rsid w:val="00F02279"/>
    <w:rsid w:val="00F036BD"/>
    <w:rsid w:val="00F037A4"/>
    <w:rsid w:val="00F037E7"/>
    <w:rsid w:val="00F03AE0"/>
    <w:rsid w:val="00F03FEA"/>
    <w:rsid w:val="00F04FC6"/>
    <w:rsid w:val="00F05545"/>
    <w:rsid w:val="00F072F9"/>
    <w:rsid w:val="00F073D0"/>
    <w:rsid w:val="00F10C4B"/>
    <w:rsid w:val="00F11B41"/>
    <w:rsid w:val="00F121A7"/>
    <w:rsid w:val="00F1268D"/>
    <w:rsid w:val="00F13D23"/>
    <w:rsid w:val="00F15FE1"/>
    <w:rsid w:val="00F16D68"/>
    <w:rsid w:val="00F17264"/>
    <w:rsid w:val="00F20C16"/>
    <w:rsid w:val="00F21675"/>
    <w:rsid w:val="00F21B3D"/>
    <w:rsid w:val="00F22774"/>
    <w:rsid w:val="00F229C7"/>
    <w:rsid w:val="00F22C60"/>
    <w:rsid w:val="00F2486B"/>
    <w:rsid w:val="00F24F3A"/>
    <w:rsid w:val="00F25162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4114"/>
    <w:rsid w:val="00F3419A"/>
    <w:rsid w:val="00F34287"/>
    <w:rsid w:val="00F351F8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1A2A"/>
    <w:rsid w:val="00F4242D"/>
    <w:rsid w:val="00F42C84"/>
    <w:rsid w:val="00F43225"/>
    <w:rsid w:val="00F43FA4"/>
    <w:rsid w:val="00F4477E"/>
    <w:rsid w:val="00F4558B"/>
    <w:rsid w:val="00F4561B"/>
    <w:rsid w:val="00F45A61"/>
    <w:rsid w:val="00F45B00"/>
    <w:rsid w:val="00F4666A"/>
    <w:rsid w:val="00F46B4F"/>
    <w:rsid w:val="00F5043B"/>
    <w:rsid w:val="00F52B89"/>
    <w:rsid w:val="00F533FF"/>
    <w:rsid w:val="00F53E18"/>
    <w:rsid w:val="00F53EA6"/>
    <w:rsid w:val="00F54D0D"/>
    <w:rsid w:val="00F54FDE"/>
    <w:rsid w:val="00F550DC"/>
    <w:rsid w:val="00F5619A"/>
    <w:rsid w:val="00F5668E"/>
    <w:rsid w:val="00F56A3E"/>
    <w:rsid w:val="00F57AE0"/>
    <w:rsid w:val="00F60BD6"/>
    <w:rsid w:val="00F60EF6"/>
    <w:rsid w:val="00F6110C"/>
    <w:rsid w:val="00F61A90"/>
    <w:rsid w:val="00F6272F"/>
    <w:rsid w:val="00F630ED"/>
    <w:rsid w:val="00F63993"/>
    <w:rsid w:val="00F64399"/>
    <w:rsid w:val="00F64400"/>
    <w:rsid w:val="00F6463A"/>
    <w:rsid w:val="00F647DB"/>
    <w:rsid w:val="00F6605E"/>
    <w:rsid w:val="00F6741B"/>
    <w:rsid w:val="00F6767D"/>
    <w:rsid w:val="00F67D63"/>
    <w:rsid w:val="00F67D8F"/>
    <w:rsid w:val="00F71BDD"/>
    <w:rsid w:val="00F720E6"/>
    <w:rsid w:val="00F721CD"/>
    <w:rsid w:val="00F7265E"/>
    <w:rsid w:val="00F73B32"/>
    <w:rsid w:val="00F74FA7"/>
    <w:rsid w:val="00F74FC1"/>
    <w:rsid w:val="00F75B48"/>
    <w:rsid w:val="00F75CFF"/>
    <w:rsid w:val="00F76212"/>
    <w:rsid w:val="00F7680C"/>
    <w:rsid w:val="00F7753D"/>
    <w:rsid w:val="00F77788"/>
    <w:rsid w:val="00F80717"/>
    <w:rsid w:val="00F80C36"/>
    <w:rsid w:val="00F80DB0"/>
    <w:rsid w:val="00F81CDC"/>
    <w:rsid w:val="00F82177"/>
    <w:rsid w:val="00F82CC5"/>
    <w:rsid w:val="00F82E23"/>
    <w:rsid w:val="00F83D2D"/>
    <w:rsid w:val="00F83E2E"/>
    <w:rsid w:val="00F849B5"/>
    <w:rsid w:val="00F851C0"/>
    <w:rsid w:val="00F86024"/>
    <w:rsid w:val="00F8603C"/>
    <w:rsid w:val="00F8611A"/>
    <w:rsid w:val="00F867A1"/>
    <w:rsid w:val="00F872C2"/>
    <w:rsid w:val="00F90052"/>
    <w:rsid w:val="00F90614"/>
    <w:rsid w:val="00F90DD2"/>
    <w:rsid w:val="00F91FAC"/>
    <w:rsid w:val="00F932E8"/>
    <w:rsid w:val="00F94AB3"/>
    <w:rsid w:val="00F94EAF"/>
    <w:rsid w:val="00F951CD"/>
    <w:rsid w:val="00F95A48"/>
    <w:rsid w:val="00F9672B"/>
    <w:rsid w:val="00F96B18"/>
    <w:rsid w:val="00F9715D"/>
    <w:rsid w:val="00F97C0A"/>
    <w:rsid w:val="00F97C14"/>
    <w:rsid w:val="00FA0133"/>
    <w:rsid w:val="00FA124A"/>
    <w:rsid w:val="00FA17CD"/>
    <w:rsid w:val="00FA17D1"/>
    <w:rsid w:val="00FA1B12"/>
    <w:rsid w:val="00FA21B5"/>
    <w:rsid w:val="00FA4270"/>
    <w:rsid w:val="00FA4353"/>
    <w:rsid w:val="00FA43B7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42D4"/>
    <w:rsid w:val="00FB483F"/>
    <w:rsid w:val="00FB5367"/>
    <w:rsid w:val="00FB5906"/>
    <w:rsid w:val="00FB5D78"/>
    <w:rsid w:val="00FB5F0A"/>
    <w:rsid w:val="00FB6189"/>
    <w:rsid w:val="00FB6FDA"/>
    <w:rsid w:val="00FB762F"/>
    <w:rsid w:val="00FC0CCA"/>
    <w:rsid w:val="00FC1732"/>
    <w:rsid w:val="00FC25E0"/>
    <w:rsid w:val="00FC2AED"/>
    <w:rsid w:val="00FC31D0"/>
    <w:rsid w:val="00FC3AF2"/>
    <w:rsid w:val="00FC3D48"/>
    <w:rsid w:val="00FC472C"/>
    <w:rsid w:val="00FC48BE"/>
    <w:rsid w:val="00FC4A03"/>
    <w:rsid w:val="00FC58E0"/>
    <w:rsid w:val="00FC666F"/>
    <w:rsid w:val="00FC6D31"/>
    <w:rsid w:val="00FC6E6B"/>
    <w:rsid w:val="00FC76E2"/>
    <w:rsid w:val="00FD0303"/>
    <w:rsid w:val="00FD054F"/>
    <w:rsid w:val="00FD098D"/>
    <w:rsid w:val="00FD0A15"/>
    <w:rsid w:val="00FD1343"/>
    <w:rsid w:val="00FD179A"/>
    <w:rsid w:val="00FD3C4C"/>
    <w:rsid w:val="00FD471F"/>
    <w:rsid w:val="00FD5142"/>
    <w:rsid w:val="00FD51B5"/>
    <w:rsid w:val="00FD5BC1"/>
    <w:rsid w:val="00FD6D55"/>
    <w:rsid w:val="00FD6F1D"/>
    <w:rsid w:val="00FD78A9"/>
    <w:rsid w:val="00FD7B34"/>
    <w:rsid w:val="00FE039E"/>
    <w:rsid w:val="00FE1003"/>
    <w:rsid w:val="00FE20DF"/>
    <w:rsid w:val="00FE2EED"/>
    <w:rsid w:val="00FE3108"/>
    <w:rsid w:val="00FE4DAA"/>
    <w:rsid w:val="00FE5DE4"/>
    <w:rsid w:val="00FE753B"/>
    <w:rsid w:val="00FE7B6A"/>
    <w:rsid w:val="00FE7F37"/>
    <w:rsid w:val="00FF02BE"/>
    <w:rsid w:val="00FF0DDD"/>
    <w:rsid w:val="00FF1983"/>
    <w:rsid w:val="00FF356A"/>
    <w:rsid w:val="00FF41ED"/>
    <w:rsid w:val="00FF49E8"/>
    <w:rsid w:val="00FF4C75"/>
    <w:rsid w:val="00FF55D2"/>
    <w:rsid w:val="00FF60C9"/>
    <w:rsid w:val="00FF659F"/>
    <w:rsid w:val="00FF6AE6"/>
    <w:rsid w:val="00FF7987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prices-trade/prices/prices-in-the-national-economy-in-20142018,2,15.html" TargetMode="External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29" Type="http://schemas.openxmlformats.org/officeDocument/2006/relationships/hyperlink" Target="https://stat.gov.pl/metainformacje/slownik-pojec/pojecia-stosowane-w-statystyce-publicznej/3234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stat.gov.pl/obszary-tematyczne/rolnictwo-lesnictwo/rolnictwo/skup-i-ceny-produktow-rolnych-w-2018-roku,7,15.html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28" Type="http://schemas.openxmlformats.org/officeDocument/2006/relationships/hyperlink" Target="https://stat.gov.pl/metainformacje/slownik-pojec/pojecia-stosowane-w-statystyce-publicznej/2331,pojecie.html" TargetMode="External"/><Relationship Id="rId36" Type="http://schemas.microsoft.com/office/2011/relationships/people" Target="people.xm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718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s://stat.gov.pl/metainformacje/slownik-pojec/pojecia-stosowane-w-statystyce-publicznej/529,pojecie.html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8_Informacja%20sygnalna\2020\04.2020\Wykresy%202020_04_1%20wersja%20angielsk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kotowskaj\Documents\Moje%20pisma\DOKUMENTY\2020\Wykresy%202020_04_2%20wersja%20angielsk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towskaj\Documents\Moje%20pisma\DOKUMENTY\2020\Wykresy%202020_04_3%20&#322;&#261;czone%20pszenica%20i%20&#380;yto%20wersja%20angielsk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20\04.2020\Wykresy%202020_04_4%20wersja%20angielsk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20\04.2020\Wykresy%202020_04_5%20wersja%20angielska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20\04.2020\Wykresy%202020_04_7%20wersja%20angiels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7.1292774681203194E-2"/>
          <c:y val="9.3717998549891074E-2"/>
          <c:w val="0.89988012435260556"/>
          <c:h val="0.72890146730152738"/>
        </c:manualLayout>
      </c:layout>
      <c:lineChart>
        <c:grouping val="standard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409720670321744E-2"/>
                  <c:y val="5.0580978151185126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-</a:t>
                    </a:r>
                    <a:r>
                      <a:rPr lang="en-US"/>
                      <a:t>0.5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794331573680217E-2"/>
                  <c:y val="-2.8452210506608483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0</a:t>
                    </a:r>
                    <a:r>
                      <a:rPr lang="en-US"/>
                      <a:t>.1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83490748205042E-2"/>
                  <c:y val="-1.5655579350046047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2</a:t>
                    </a:r>
                    <a:r>
                      <a:rPr lang="en-US"/>
                      <a:t>.1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070919446125105E-2"/>
                  <c:y val="-4.2002253649566945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4</a:t>
                    </a:r>
                    <a:r>
                      <a:rPr lang="en-US"/>
                      <a:t>.2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6938518018931276E-2"/>
                  <c:y val="-2.8474914432396612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0</a:t>
                    </a:r>
                    <a:r>
                      <a:rPr lang="en-US"/>
                      <a:t>.0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7593681348894877E-2"/>
                  <c:y val="4.9351374987853559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-</a:t>
                    </a:r>
                    <a:r>
                      <a:rPr lang="en-US"/>
                      <a:t>1.5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257493461996799E-2"/>
                  <c:y val="4.3700899964868513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-</a:t>
                    </a:r>
                    <a:r>
                      <a:rPr lang="en-US"/>
                      <a:t>0.6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03222101153841E-2"/>
                  <c:y val="-4.0411524633174684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0</a:t>
                    </a:r>
                    <a:r>
                      <a:rPr lang="en-US"/>
                      <a:t>.7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1353382726747707E-2"/>
                  <c:y val="4.0118606250420685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-</a:t>
                    </a:r>
                    <a:r>
                      <a:rPr lang="en-US"/>
                      <a:t>0.2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279958336736283E-2"/>
                  <c:y val="6.8268920097178332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-</a:t>
                    </a:r>
                    <a:r>
                      <a:rPr lang="en-US"/>
                      <a:t>0.4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9585462017168934E-2"/>
                      <c:h val="0.10028645446441836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1141111722551277E-2"/>
                  <c:y val="-3.8376979885336754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0</a:t>
                    </a:r>
                    <a:r>
                      <a:rPr lang="en-US"/>
                      <a:t>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140987248330548E-2"/>
                  <c:y val="-3.4985760522637452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1</a:t>
                    </a:r>
                    <a:r>
                      <a:rPr lang="en-US"/>
                      <a:t>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633751692362752E-2"/>
                  <c:y val="4.1709335266812676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-</a:t>
                    </a:r>
                    <a:r>
                      <a:rPr lang="en-US"/>
                      <a:t>1.4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641576585094272E-2"/>
                  <c:y val="-3.6049781329402168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1</a:t>
                    </a:r>
                    <a:r>
                      <a:rPr lang="en-US"/>
                      <a:t>.5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3421375889571294E-2"/>
                  <c:y val="3.6422321969159052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-</a:t>
                    </a:r>
                    <a:r>
                      <a:rPr lang="en-US"/>
                      <a:t>0.3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299808276562374E-2"/>
                  <c:y val="5.0312820014501373E-2"/>
                </c:manualLayout>
              </c:layout>
              <c:tx>
                <c:rich>
                  <a:bodyPr/>
                  <a:lstStyle/>
                  <a:p>
                    <a:r>
                      <a:rPr lang="en-US" sz="840" baseline="0"/>
                      <a:t>-</a:t>
                    </a:r>
                    <a:r>
                      <a:rPr lang="en-US"/>
                      <a:t>4.1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75211937721522E-2"/>
                  <c:y val="2.848224533995370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3.733100621903674E-2"/>
                      <c:h val="5.05855708494609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3346986525965211E-2"/>
                  <c:y val="-2.428963181867764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498200219871949E-2"/>
                  <c:y val="3.342534836736087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3876295099614885E-2"/>
                  <c:y val="2.820860232366100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9277239766208722E-2"/>
                  <c:y val="-1.586253057790294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1693684358595098E-2"/>
                  <c:y val="-2.813881199328973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7920160211238271E-2"/>
                  <c:y val="3.315170535106808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236375515240458E-2"/>
                  <c:y val="-2.905030616855639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94E-2"/>
                  <c:y val="3.681813224196413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40" baseline="0"/>
                </a:pPr>
                <a:endParaRPr lang="pl-PL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wskaźnik!$B$4:$B$19</c:f>
              <c:numCache>
                <c:formatCode>0.0</c:formatCode>
                <c:ptCount val="16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-0.60000000000000064</c:v>
                </c:pt>
                <c:pt idx="7">
                  <c:v>0.70000000000000062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1.9000000000000001</c:v>
                </c:pt>
                <c:pt idx="12">
                  <c:v>-1.4</c:v>
                </c:pt>
                <c:pt idx="13">
                  <c:v>1.5</c:v>
                </c:pt>
                <c:pt idx="14">
                  <c:v>-0.30000000000000032</c:v>
                </c:pt>
                <c:pt idx="15">
                  <c:v>-4.0999999999999996</c:v>
                </c:pt>
              </c:numCache>
            </c:numRef>
          </c:val>
        </c:ser>
        <c:dLbls>
          <c:showVal val="1"/>
        </c:dLbls>
        <c:marker val="1"/>
        <c:axId val="66406656"/>
        <c:axId val="66476672"/>
        <c:extLst/>
      </c:lineChart>
      <c:catAx>
        <c:axId val="66406656"/>
        <c:scaling>
          <c:orientation val="minMax"/>
        </c:scaling>
        <c:axPos val="b"/>
        <c:numFmt formatCode="General" sourceLinked="1"/>
        <c:maj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40" baseline="0"/>
            </a:pPr>
            <a:endParaRPr lang="pl-PL"/>
          </a:p>
        </c:txPr>
        <c:crossAx val="66476672"/>
        <c:crosses val="autoZero"/>
        <c:lblAlgn val="ctr"/>
        <c:lblOffset val="200"/>
        <c:tickLblSkip val="1"/>
        <c:tickMarkSkip val="1"/>
      </c:catAx>
      <c:valAx>
        <c:axId val="66476672"/>
        <c:scaling>
          <c:orientation val="minMax"/>
          <c:max val="5"/>
          <c:min val="-6"/>
        </c:scaling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aseline="0"/>
                </a:pPr>
                <a:r>
                  <a:rPr lang="pl-PL" sz="8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8252261102371407E-2"/>
              <c:y val="2.7171359800987911E-3"/>
            </c:manualLayout>
          </c:layout>
        </c:title>
        <c:numFmt formatCode="0" sourceLinked="0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40" baseline="0"/>
            </a:pPr>
            <a:endParaRPr lang="pl-PL"/>
          </a:p>
        </c:txPr>
        <c:crossAx val="66406656"/>
        <c:crosses val="autoZero"/>
        <c:crossBetween val="between"/>
        <c:majorUnit val="1"/>
        <c:minorUnit val="1"/>
      </c:valAx>
    </c:plotArea>
    <c:plotVisOnly val="1"/>
    <c:dispBlanksAs val="gap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10136864238609018"/>
          <c:y val="0.13190054553021896"/>
          <c:w val="0.87054127333515618"/>
          <c:h val="0.68147523832532164"/>
        </c:manualLayout>
      </c:layout>
      <c:lineChart>
        <c:grouping val="standard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6558696231235324E-2"/>
                  <c:y val="-5.05127714436472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171865107613923E-2"/>
                  <c:y val="-4.11315202618656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170668665113327E-2"/>
                  <c:y val="-3.56708544847028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4.4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7000499074282824E-2"/>
                  <c:y val="-3.98841625795676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10.0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229992176486681E-2"/>
                  <c:y val="-4.61621654367712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427021037812009E-2"/>
                  <c:y val="-3.77916604803619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6393130047887639E-2"/>
                  <c:y val="-4.2119177280214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46793522582371E-2"/>
                  <c:y val="-4.34886886208901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2086485174362E-2"/>
                  <c:y val="-4.69134600917542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209885920431E-2"/>
                  <c:y val="-4.12645228089543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3711286875045732E-2"/>
                  <c:y val="-3.22756742466060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5.0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31257641859291E-2"/>
                  <c:y val="-4.61427996128821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2466543943985654E-2"/>
                  <c:y val="-5.78040049516925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7473498050109759E-2"/>
                  <c:y val="-4.3850184000154876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7</a:t>
                    </a:r>
                    <a:r>
                      <a:rPr lang="en-US">
                        <a:solidFill>
                          <a:srgbClr val="FF0000"/>
                        </a:solidFill>
                      </a:rPr>
                      <a:t>.</a:t>
                    </a:r>
                    <a:r>
                      <a:rPr lang="en-US"/>
                      <a:t>5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4184259975555265E-2"/>
                  <c:y val="-3.2968577212781243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5</a:t>
                    </a:r>
                    <a:r>
                      <a:rPr lang="en-US"/>
                      <a:t>.3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082392627058559E-2"/>
                  <c:y val="5.6071011993403724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-</a:t>
                    </a:r>
                    <a:r>
                      <a:rPr lang="en-US"/>
                      <a:t>3.6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5645508924731495E-2"/>
                  <c:y val="-2.107909071786118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3.733100621903674E-2"/>
                      <c:h val="5.05855708494609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2.9338520450875746E-2"/>
                  <c:y val="-3.15990658721052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879022965938406E-2"/>
                  <c:y val="-3.682088648796821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2891830312901641E-2"/>
                  <c:y val="-5.437029540826389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327322025435532E-2"/>
                  <c:y val="-4.717911947074690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982862525946432E-2"/>
                  <c:y val="-3.198909153208177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04446063147709E-2"/>
                  <c:y val="-4.312739371686477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62E-3"/>
                  <c:y val="-3.682088648796821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wskaźnik!$A$4:$A$19</c:f>
              <c:strCache>
                <c:ptCount val="16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wskaźnik!$B$4:$B$19</c:f>
              <c:numCache>
                <c:formatCode>0.0</c:formatCode>
                <c:ptCount val="16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</c:numCache>
            </c:numRef>
          </c:val>
        </c:ser>
        <c:dLbls>
          <c:showVal val="1"/>
        </c:dLbls>
        <c:marker val="1"/>
        <c:axId val="66622208"/>
        <c:axId val="66728704"/>
        <c:extLst/>
      </c:lineChart>
      <c:catAx>
        <c:axId val="66622208"/>
        <c:scaling>
          <c:orientation val="minMax"/>
        </c:scaling>
        <c:axPos val="b"/>
        <c:numFmt formatCode="General" sourceLinked="1"/>
        <c:maj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50" baseline="0"/>
            </a:pPr>
            <a:endParaRPr lang="pl-PL"/>
          </a:p>
        </c:txPr>
        <c:crossAx val="66728704"/>
        <c:crosses val="autoZero"/>
        <c:lblAlgn val="ctr"/>
        <c:lblOffset val="200"/>
        <c:tickLblSkip val="1"/>
        <c:tickMarkSkip val="1"/>
      </c:catAx>
      <c:valAx>
        <c:axId val="66728704"/>
        <c:scaling>
          <c:orientation val="minMax"/>
          <c:max val="12"/>
          <c:min val="-6"/>
        </c:scaling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aseline="0"/>
                </a:pPr>
                <a:r>
                  <a:rPr lang="pl-PL" sz="8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5.4992684266219026E-2"/>
              <c:y val="2.716985549922946E-3"/>
            </c:manualLayout>
          </c:layout>
        </c:title>
        <c:numFmt formatCode="0" sourceLinked="0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40" baseline="0"/>
            </a:pPr>
            <a:endParaRPr lang="pl-PL"/>
          </a:p>
        </c:txPr>
        <c:crossAx val="66622208"/>
        <c:crosses val="autoZero"/>
        <c:crossBetween val="between"/>
        <c:minorUnit val="1"/>
      </c:valAx>
    </c:plotArea>
    <c:plotVisOnly val="1"/>
    <c:dispBlanksAs val="gap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9.3118072681409828E-2"/>
          <c:y val="0.1015668009970984"/>
          <c:w val="0.88421658845308249"/>
          <c:h val="0.67649164621072988"/>
        </c:manualLayout>
      </c:layout>
      <c:lineChart>
        <c:grouping val="standard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zyto'!$A$4:$A$19</c:f>
              <c:strCache>
                <c:ptCount val="16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'pszenica i zyto'!$B$4:$B$19</c:f>
              <c:numCache>
                <c:formatCode>0.00</c:formatCode>
                <c:ptCount val="16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75.11</c:v>
                </c:pt>
              </c:numCache>
            </c:numRef>
          </c:val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zyto'!$A$4:$A$19</c:f>
              <c:strCache>
                <c:ptCount val="16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'pszenica i zyto'!$C$4:$C$19</c:f>
              <c:numCache>
                <c:formatCode>0.00</c:formatCode>
                <c:ptCount val="16"/>
                <c:pt idx="0">
                  <c:v>92.02</c:v>
                </c:pt>
                <c:pt idx="1">
                  <c:v>94.19</c:v>
                </c:pt>
                <c:pt idx="2">
                  <c:v>94.679999999999978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86.940000000000026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87.960000000000022</c:v>
                </c:pt>
              </c:numCache>
            </c:numRef>
          </c:val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zyto'!$A$4:$A$19</c:f>
              <c:strCache>
                <c:ptCount val="16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'pszenica i zyto'!$D$4:$D$19</c:f>
              <c:numCache>
                <c:formatCode>0.00</c:formatCode>
                <c:ptCount val="16"/>
                <c:pt idx="0">
                  <c:v>72.440000000000026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56.290000000000013</c:v>
                </c:pt>
                <c:pt idx="15">
                  <c:v>57.17</c:v>
                </c:pt>
              </c:numCache>
            </c:numRef>
          </c:val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zyto'!$A$4:$A$19</c:f>
              <c:strCache>
                <c:ptCount val="16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'pszenica i zyto'!$E$4:$E$19</c:f>
              <c:numCache>
                <c:formatCode>0.00</c:formatCode>
                <c:ptCount val="16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72.440000000000026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69.669999999999987</c:v>
                </c:pt>
              </c:numCache>
            </c:numRef>
          </c:val>
        </c:ser>
        <c:marker val="1"/>
        <c:axId val="66862464"/>
        <c:axId val="66902272"/>
      </c:lineChart>
      <c:catAx>
        <c:axId val="66862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6902272"/>
        <c:crosses val="autoZero"/>
        <c:auto val="1"/>
        <c:lblAlgn val="ctr"/>
        <c:lblOffset val="100"/>
      </c:catAx>
      <c:valAx>
        <c:axId val="66902272"/>
        <c:scaling>
          <c:orientation val="minMax"/>
          <c:max val="100"/>
        </c:scaling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5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5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2345282608217318E-2"/>
              <c:y val="3.5946234321451299E-3"/>
            </c:manualLayout>
          </c:layout>
        </c:title>
        <c:numFmt formatCode="0" sourceLinked="0"/>
        <c:maj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686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933"/>
          <c:h val="0.1203370339139022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10730253353204174"/>
          <c:y val="7.1242609969083909E-2"/>
          <c:w val="0.81818181818182933"/>
          <c:h val="0.73717615835999173"/>
        </c:manualLayout>
      </c:layout>
      <c:lineChart>
        <c:grouping val="standard"/>
        <c:ser>
          <c:idx val="3"/>
          <c:order val="0"/>
          <c:tx>
            <c:strRef>
              <c:f>'ziemniaki 4'!$B$3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'ziemniaki 4'!$B$4:$B$19</c:f>
              <c:numCache>
                <c:formatCode>0.00</c:formatCode>
                <c:ptCount val="16"/>
                <c:pt idx="0">
                  <c:v>72.739999999999995</c:v>
                </c:pt>
                <c:pt idx="1">
                  <c:v>78.14</c:v>
                </c:pt>
                <c:pt idx="2">
                  <c:v>86.679999999999978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90.990000000000023</c:v>
                </c:pt>
                <c:pt idx="15">
                  <c:v>85.440000000000026</c:v>
                </c:pt>
              </c:numCache>
            </c:numRef>
          </c:val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'ziemniaki 4'!$C$4:$C$19</c:f>
              <c:numCache>
                <c:formatCode>General</c:formatCode>
                <c:ptCount val="16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203.42000000000004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205.38000000000036</c:v>
                </c:pt>
                <c:pt idx="13" formatCode="0.00">
                  <c:v>203.81</c:v>
                </c:pt>
                <c:pt idx="14" formatCode="0.00">
                  <c:v>199.79</c:v>
                </c:pt>
              </c:numCache>
            </c:numRef>
          </c:val>
        </c:ser>
        <c:marker val="1"/>
        <c:axId val="67198336"/>
        <c:axId val="84998400"/>
        <c:extLst/>
      </c:lineChart>
      <c:catAx>
        <c:axId val="67198336"/>
        <c:scaling>
          <c:orientation val="minMax"/>
        </c:scaling>
        <c:axPos val="b"/>
        <c:numFmt formatCode="General" sourceLinked="1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84998400"/>
        <c:crosses val="autoZero"/>
        <c:lblAlgn val="ctr"/>
        <c:lblOffset val="100"/>
        <c:tickLblSkip val="1"/>
        <c:tickMarkSkip val="1"/>
      </c:catAx>
      <c:valAx>
        <c:axId val="84998400"/>
        <c:scaling>
          <c:orientation val="minMax"/>
          <c:max val="240"/>
          <c:min val="0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5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8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4.4440214776053699E-2"/>
              <c:y val="4.2070605450887183E-4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67198336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811"/>
          <c:y val="0.92552045225900992"/>
          <c:w val="0.66257018431355363"/>
          <c:h val="6.1395646606914211E-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8.2893812162918176E-2"/>
          <c:y val="7.1002125049082571E-2"/>
          <c:w val="0.85933577139203599"/>
          <c:h val="0.73733377104165243"/>
        </c:manualLayout>
      </c:layout>
      <c:lineChart>
        <c:grouping val="standard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'bydło_trzoda 5'!$B$4:$B$19</c:f>
              <c:numCache>
                <c:formatCode>0.00</c:formatCode>
                <c:ptCount val="16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6.1099999999999985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6.4300000000000024</c:v>
                </c:pt>
                <c:pt idx="13">
                  <c:v>6.49</c:v>
                </c:pt>
                <c:pt idx="14">
                  <c:v>6.25</c:v>
                </c:pt>
                <c:pt idx="15">
                  <c:v>6.1199999999999966</c:v>
                </c:pt>
              </c:numCache>
            </c:numRef>
          </c:val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'bydło_trzoda 5'!$C$4:$C$19</c:f>
              <c:numCache>
                <c:formatCode>0.00</c:formatCode>
                <c:ptCount val="16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6.4700000000000024</c:v>
                </c:pt>
                <c:pt idx="8">
                  <c:v>6.58</c:v>
                </c:pt>
                <c:pt idx="9">
                  <c:v>6.4300000000000024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</c:numCache>
            </c:numRef>
          </c:val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'bydło_trzoda 5'!$D$4:$D$19</c:f>
              <c:numCache>
                <c:formatCode>0.00</c:formatCode>
                <c:ptCount val="16"/>
                <c:pt idx="0">
                  <c:v>4.0599999999999996</c:v>
                </c:pt>
                <c:pt idx="1">
                  <c:v>4.1599999999999975</c:v>
                </c:pt>
                <c:pt idx="2">
                  <c:v>4.4700000000000024</c:v>
                </c:pt>
                <c:pt idx="3">
                  <c:v>5.72</c:v>
                </c:pt>
                <c:pt idx="4">
                  <c:v>5.83</c:v>
                </c:pt>
                <c:pt idx="5">
                  <c:v>5.7700000000000014</c:v>
                </c:pt>
                <c:pt idx="6">
                  <c:v>5.64</c:v>
                </c:pt>
                <c:pt idx="7">
                  <c:v>5.8199999999999985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5.9700000000000024</c:v>
                </c:pt>
                <c:pt idx="13">
                  <c:v>6.2700000000000014</c:v>
                </c:pt>
                <c:pt idx="14">
                  <c:v>6.28</c:v>
                </c:pt>
                <c:pt idx="15">
                  <c:v>6.08</c:v>
                </c:pt>
              </c:numCache>
            </c:numRef>
          </c:val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'bydło_trzoda 5'!$E$4:$E$19</c:f>
              <c:numCache>
                <c:formatCode>0.00</c:formatCode>
                <c:ptCount val="16"/>
                <c:pt idx="0">
                  <c:v>4.87</c:v>
                </c:pt>
                <c:pt idx="1">
                  <c:v>5.1199999999999966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</c:numCache>
            </c:numRef>
          </c:val>
        </c:ser>
        <c:marker val="1"/>
        <c:axId val="117787264"/>
        <c:axId val="117850496"/>
      </c:lineChart>
      <c:catAx>
        <c:axId val="1177872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7850496"/>
        <c:crosses val="autoZero"/>
        <c:auto val="1"/>
        <c:lblAlgn val="ctr"/>
        <c:lblOffset val="100"/>
      </c:catAx>
      <c:valAx>
        <c:axId val="117850496"/>
        <c:scaling>
          <c:orientation val="minMax"/>
          <c:max val="8"/>
          <c:min val="4"/>
        </c:scaling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9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9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3.6454535782506611E-2"/>
              <c:y val="9.8996207805379325E-3"/>
            </c:manualLayout>
          </c:layout>
          <c:spPr>
            <a:noFill/>
            <a:ln>
              <a:noFill/>
            </a:ln>
            <a:effectLst/>
          </c:spPr>
        </c:title>
        <c:numFmt formatCode="0" sourceLinked="0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778726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70103"/>
          <c:w val="0.82450656851233006"/>
          <c:h val="8.2274604842349719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7.5095167299891713E-2"/>
          <c:y val="7.3393368932332365E-2"/>
          <c:w val="0.84825652038250454"/>
          <c:h val="0.71506803028931765"/>
        </c:manualLayout>
      </c:layout>
      <c:lineChart>
        <c:grouping val="standard"/>
        <c:ser>
          <c:idx val="2"/>
          <c:order val="0"/>
          <c:tx>
            <c:strRef>
              <c:f>'drób_mleko 7'!$B$3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7'!$A$4:$A$19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'drób_mleko 7'!$B$4:$B$19</c:f>
              <c:numCache>
                <c:formatCode>General</c:formatCode>
                <c:ptCount val="16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</c:numCache>
            </c:numRef>
          </c:val>
        </c:ser>
        <c:marker val="1"/>
        <c:axId val="66299392"/>
        <c:axId val="66301312"/>
        <c:extLst/>
      </c:lineChart>
      <c:lineChart>
        <c:grouping val="standard"/>
        <c:ser>
          <c:idx val="3"/>
          <c:order val="1"/>
          <c:tx>
            <c:strRef>
              <c:f>'drób_mleko 7'!$C$3</c:f>
              <c:strCache>
                <c:ptCount val="1"/>
                <c:pt idx="0">
                  <c:v>Caws'milk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7'!$A$4:$A$19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'drób_mleko 7'!$C$4:$C$19</c:f>
              <c:numCache>
                <c:formatCode>General</c:formatCode>
                <c:ptCount val="16"/>
                <c:pt idx="0">
                  <c:v>140.76999999999998</c:v>
                </c:pt>
                <c:pt idx="1">
                  <c:v>138.13</c:v>
                </c:pt>
                <c:pt idx="2">
                  <c:v>137.82000000000036</c:v>
                </c:pt>
                <c:pt idx="3">
                  <c:v>135.85000000000036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137.38000000000036</c:v>
                </c:pt>
                <c:pt idx="14">
                  <c:v>136.86000000000001</c:v>
                </c:pt>
                <c:pt idx="15">
                  <c:v>132.89000000000001</c:v>
                </c:pt>
              </c:numCache>
            </c:numRef>
          </c:val>
        </c:ser>
        <c:marker val="1"/>
        <c:axId val="66397696"/>
        <c:axId val="66399232"/>
        <c:extLst/>
      </c:lineChart>
      <c:catAx>
        <c:axId val="66299392"/>
        <c:scaling>
          <c:orientation val="minMax"/>
        </c:scaling>
        <c:axPos val="b"/>
        <c:numFmt formatCode="General" sourceLinked="1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9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66301312"/>
        <c:crosses val="autoZero"/>
        <c:auto val="1"/>
        <c:lblAlgn val="ctr"/>
        <c:lblOffset val="100"/>
        <c:tickLblSkip val="1"/>
        <c:tickMarkSkip val="1"/>
      </c:catAx>
      <c:valAx>
        <c:axId val="66301312"/>
        <c:scaling>
          <c:orientation val="minMax"/>
          <c:max val="6"/>
          <c:min val="0"/>
        </c:scaling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2.8255602665051491E-2"/>
              <c:y val="4.9961433948482676E-3"/>
            </c:manualLayout>
          </c:layout>
          <c:spPr>
            <a:noFill/>
            <a:ln w="25400">
              <a:noFill/>
            </a:ln>
          </c:spPr>
        </c:title>
        <c:numFmt formatCode="0" sourceLinked="0"/>
        <c:maj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66299392"/>
        <c:crosses val="autoZero"/>
        <c:crossBetween val="between"/>
        <c:majorUnit val="1"/>
      </c:valAx>
      <c:catAx>
        <c:axId val="66397696"/>
        <c:scaling>
          <c:orientation val="minMax"/>
        </c:scaling>
        <c:delete val="1"/>
        <c:axPos val="b"/>
        <c:numFmt formatCode="General" sourceLinked="1"/>
        <c:tickLblPos val="none"/>
        <c:crossAx val="66399232"/>
        <c:crosses val="autoZero"/>
        <c:lblAlgn val="ctr"/>
        <c:lblOffset val="100"/>
      </c:catAx>
      <c:valAx>
        <c:axId val="66399232"/>
        <c:scaling>
          <c:orientation val="minMax"/>
          <c:max val="160"/>
          <c:min val="40"/>
        </c:scaling>
        <c:axPos val="r"/>
        <c:title>
          <c:tx>
            <c:rich>
              <a:bodyPr rot="0" vert="horz"/>
              <a:lstStyle/>
              <a:p>
                <a:pPr>
                  <a:defRPr sz="8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2725764244140363"/>
              <c:y val="1.1249231083197241E-2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66397696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F984-7806-48B9-9BAF-04140B1A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Prices of agricultural products in April 2020</dc:title>
  <dc:subject>Prices of agricultural products in April 2020</dc:subject>
  <dc:creator>Statistics Poland; Kotowska Joanna</dc:creator>
  <cp:keywords>procurement prices; market prices</cp:keywords>
  <cp:lastModifiedBy>KotowskaJ</cp:lastModifiedBy>
  <cp:revision>24</cp:revision>
  <cp:lastPrinted>2020-02-21T08:34:00Z</cp:lastPrinted>
  <dcterms:created xsi:type="dcterms:W3CDTF">2020-05-21T05:22:00Z</dcterms:created>
  <dcterms:modified xsi:type="dcterms:W3CDTF">2020-05-21T06:17:00Z</dcterms:modified>
  <cp:category>Prices</cp:category>
</cp:coreProperties>
</file>