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78" w:rsidRPr="000F45BD" w:rsidRDefault="001018E2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bookmarkStart w:id="0" w:name="_GoBack"/>
      <w:bookmarkEnd w:id="0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56" type="#_x0000_t202" style="position:absolute;margin-left:414.6pt;margin-top:7.2pt;width:112.8pt;height:26.5pt;z-index:251826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dHt8&#10;7d0AAAAJAQAADwAAAAAAAAAAAAAAAABpBAAAZHJzL2Rvd25yZXYueG1sUEsFBgAAAAAEAAQA8wAA&#10;AHMFAAAAAA==&#10;" filled="f" stroked="f">
            <v:textbox>
              <w:txbxContent>
                <w:p w:rsidR="00FB5D78" w:rsidRPr="00F75CFF" w:rsidRDefault="00FD098D" w:rsidP="00FB5D78">
                  <w:pPr>
                    <w:jc w:val="both"/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</w:pP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="00FB5D78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.0</w:t>
                  </w: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4</w:t>
                  </w:r>
                  <w:r w:rsidR="00FB5D78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.20</w:t>
                  </w:r>
                  <w:r w:rsidR="00FB5D78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="00FB5D78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FD098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March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670F4C" w:rsidRPr="000F45BD" w:rsidRDefault="001018E2" w:rsidP="00C3782D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1018E2">
        <w:rPr>
          <w:rFonts w:ascii="Fira Sans" w:hAnsi="Fira Sans"/>
          <w:b/>
          <w:noProof/>
          <w:sz w:val="19"/>
          <w:szCs w:val="20"/>
          <w:lang w:eastAsia="pl-PL"/>
        </w:rPr>
        <w:pict>
          <v:shape id="_x0000_s1027" type="#_x0000_t202" style="position:absolute;margin-left:0;margin-top:6.35pt;width:132pt;height:106.4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" fillcolor="#001d77" stroked="f">
            <v:textbox style="mso-next-textbox:#_x0000_s1027">
              <w:txbxContent>
                <w:p w:rsidR="00133140" w:rsidRPr="000F45BD" w:rsidRDefault="001018E2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1018E2">
                    <w:rPr>
                      <w:noProof/>
                      <w:color w:val="001D77"/>
                      <w:lang w:eastAsia="pl-PL"/>
                    </w:rPr>
                    <w:pict>
                      <v:shape id="Obraz 33" o:spid="_x0000_i1025" type="#_x0000_t75" style="width:25.65pt;height:27.8pt;visibility:visible;mso-wrap-style:square">
                        <v:imagedata r:id="rId8" o:title=""/>
                      </v:shape>
                    </w:pict>
                  </w:r>
                  <w:r w:rsidR="00133140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 xml:space="preserve"> </w:t>
                  </w:r>
                  <w:r w:rsidR="00D666D4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5</w:t>
                  </w:r>
                  <w:r w:rsidR="001B33E5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.</w:t>
                  </w:r>
                  <w:r w:rsidR="00D666D4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3</w:t>
                  </w:r>
                  <w:r w:rsidR="00133140" w:rsidRPr="000F45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%</w:t>
                  </w:r>
                  <w:r w:rsidR="0013314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</w:t>
                  </w:r>
                  <w:r w:rsidR="0013314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br/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an increase in procur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e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ment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prices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of basic ag</w:t>
                  </w:r>
                  <w:r w:rsidR="00000D7A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r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i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cultural products 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in co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m</w:t>
                  </w:r>
                  <w:r w:rsidR="00A71000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parison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with </w:t>
                  </w:r>
                  <w:r w:rsidR="00FD098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>March</w:t>
                  </w:r>
                  <w:r w:rsidR="00CB531E" w:rsidRPr="000F45BD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val="en-US" w:eastAsia="pl-PL"/>
                    </w:rPr>
                    <w:t xml:space="preserve"> 2019</w:t>
                  </w:r>
                </w:p>
              </w:txbxContent>
            </v:textbox>
            <w10:wrap type="square" anchorx="margin"/>
          </v:shape>
        </w:pic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Procurement prices of basic agricultural products</w:t>
      </w:r>
      <w:r w:rsidR="0034516E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F67D63">
        <w:rPr>
          <w:rFonts w:ascii="Fira Sans" w:hAnsi="Fira Sans"/>
          <w:b/>
          <w:sz w:val="19"/>
          <w:szCs w:val="20"/>
          <w:lang w:val="en-US" w:eastAsia="pl-PL"/>
        </w:rPr>
        <w:t>d</w:t>
      </w:r>
      <w:r w:rsidR="00F67D63">
        <w:rPr>
          <w:rFonts w:ascii="Fira Sans" w:hAnsi="Fira Sans"/>
          <w:b/>
          <w:sz w:val="19"/>
          <w:szCs w:val="20"/>
          <w:lang w:val="en-US" w:eastAsia="pl-PL"/>
        </w:rPr>
        <w:t>e</w:t>
      </w:r>
      <w:r w:rsidR="00F67D63">
        <w:rPr>
          <w:rFonts w:ascii="Fira Sans" w:hAnsi="Fira Sans"/>
          <w:b/>
          <w:sz w:val="19"/>
          <w:szCs w:val="20"/>
          <w:lang w:val="en-US" w:eastAsia="pl-PL"/>
        </w:rPr>
        <w:t>creased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FD098D">
        <w:rPr>
          <w:rFonts w:ascii="Fira Sans" w:hAnsi="Fira Sans"/>
          <w:b/>
          <w:sz w:val="19"/>
          <w:szCs w:val="20"/>
          <w:lang w:val="en-US" w:eastAsia="pl-PL"/>
        </w:rPr>
        <w:t>March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2020  </w:t>
      </w:r>
      <w:r w:rsidR="00CA7B7B">
        <w:rPr>
          <w:rFonts w:ascii="Fira Sans" w:hAnsi="Fira Sans"/>
          <w:b/>
          <w:sz w:val="19"/>
          <w:szCs w:val="20"/>
          <w:lang w:val="en-US" w:eastAsia="pl-PL"/>
        </w:rPr>
        <w:t>as related to</w:t>
      </w:r>
      <w:r w:rsidR="001F3B81">
        <w:rPr>
          <w:rFonts w:ascii="Fira Sans" w:hAnsi="Fira Sans"/>
          <w:b/>
          <w:sz w:val="19"/>
          <w:szCs w:val="20"/>
          <w:lang w:val="en-US" w:eastAsia="pl-PL"/>
        </w:rPr>
        <w:t xml:space="preserve"> the</w:t>
      </w:r>
      <w:r w:rsidR="00CA7B7B">
        <w:rPr>
          <w:rFonts w:ascii="Fira Sans" w:hAnsi="Fira Sans"/>
          <w:b/>
          <w:sz w:val="19"/>
          <w:szCs w:val="20"/>
          <w:lang w:val="en-US" w:eastAsia="pl-PL"/>
        </w:rPr>
        <w:t xml:space="preserve"> previous month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(by </w:t>
      </w:r>
      <w:r w:rsidR="00AD2DC1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AD2DC1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0B2A6F">
        <w:rPr>
          <w:rFonts w:ascii="Fira Sans" w:hAnsi="Fira Sans"/>
          <w:b/>
          <w:sz w:val="19"/>
          <w:szCs w:val="20"/>
          <w:lang w:val="en-US" w:eastAsia="pl-PL"/>
        </w:rPr>
        <w:t>,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E3210">
        <w:rPr>
          <w:rFonts w:ascii="Fira Sans" w:hAnsi="Fira Sans"/>
          <w:b/>
          <w:sz w:val="19"/>
          <w:szCs w:val="20"/>
          <w:lang w:val="en-US" w:eastAsia="pl-PL"/>
        </w:rPr>
        <w:t xml:space="preserve">but 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>compared</w:t>
      </w:r>
      <w:r w:rsidR="000E3210">
        <w:rPr>
          <w:rFonts w:ascii="Fira Sans" w:hAnsi="Fira Sans"/>
          <w:b/>
          <w:sz w:val="19"/>
          <w:szCs w:val="20"/>
          <w:lang w:val="en-US" w:eastAsia="pl-PL"/>
        </w:rPr>
        <w:t xml:space="preserve"> with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44CD9">
        <w:rPr>
          <w:rFonts w:ascii="Fira Sans" w:hAnsi="Fira Sans"/>
          <w:b/>
          <w:sz w:val="19"/>
          <w:szCs w:val="20"/>
          <w:lang w:val="en-US" w:eastAsia="pl-PL"/>
        </w:rPr>
        <w:t>the corresponding period</w:t>
      </w:r>
      <w:r w:rsidR="001F3B81">
        <w:rPr>
          <w:rFonts w:ascii="Fira Sans" w:hAnsi="Fira Sans"/>
          <w:b/>
          <w:sz w:val="19"/>
          <w:szCs w:val="20"/>
          <w:lang w:val="en-US" w:eastAsia="pl-PL"/>
        </w:rPr>
        <w:t xml:space="preserve"> of the previous year</w:t>
      </w:r>
      <w:r w:rsidR="009837D6">
        <w:rPr>
          <w:rFonts w:ascii="Fira Sans" w:hAnsi="Fira Sans"/>
          <w:b/>
          <w:sz w:val="19"/>
          <w:szCs w:val="20"/>
          <w:lang w:val="en-US" w:eastAsia="pl-PL"/>
        </w:rPr>
        <w:t xml:space="preserve"> increased (by 5.3%).</w:t>
      </w:r>
    </w:p>
    <w:p w:rsidR="00113D95" w:rsidRPr="000F45BD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A44CD9" w:rsidRDefault="00A44CD9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Default="00F34287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F34287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>
            <wp:extent cx="4772891" cy="1634837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018E2" w:rsidRPr="001018E2">
        <w:rPr>
          <w:rFonts w:ascii="Fira Sans" w:hAnsi="Fira Sans"/>
          <w:noProof/>
          <w:sz w:val="19"/>
          <w:szCs w:val="18"/>
          <w:lang w:eastAsia="pl-PL"/>
        </w:rPr>
        <w:pict>
          <v:shape id="_x0000_s1061" type="#_x0000_t202" style="position:absolute;left:0;text-align:left;margin-left:434.25pt;margin-top:9.5pt;width:114.05pt;height:117.2pt;z-index:-25148928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" filled="f" stroked="f">
            <v:textbox style="mso-next-textbox:#_x0000_s1061">
              <w:txbxContent>
                <w:p w:rsidR="009C699E" w:rsidRPr="00661C39" w:rsidRDefault="0011103C" w:rsidP="009C699E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</w:pP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The </w:t>
                  </w:r>
                  <w:r w:rsidR="00356DB0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fall</w:t>
                  </w:r>
                  <w:r w:rsidR="005263E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in procurement prices of </w:t>
                  </w:r>
                  <w:r w:rsidR="00665418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b</w:t>
                  </w:r>
                  <w:r w:rsidR="005263E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asic agricu</w:t>
                  </w:r>
                  <w:r w:rsidR="005263E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l</w:t>
                  </w:r>
                  <w:r w:rsidR="005263E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tural products</w:t>
                  </w:r>
                  <w:r w:rsidR="0078794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265080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i</w:t>
                  </w:r>
                  <w:r w:rsidR="0078794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n </w:t>
                  </w:r>
                  <w:r w:rsidR="004C3464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March</w:t>
                  </w:r>
                  <w:r w:rsidR="0078794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 w:rsidR="009C699E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78794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as related to </w:t>
                  </w:r>
                  <w:r w:rsidR="004C3464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Fe</w:t>
                  </w:r>
                  <w:r w:rsidR="004C3464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b</w:t>
                  </w:r>
                  <w:r w:rsidR="004C3464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ruary</w:t>
                  </w:r>
                  <w:r w:rsidR="009C699E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2020 </w:t>
                  </w:r>
                  <w:r w:rsidR="00DE4CA5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was the re</w:t>
                  </w:r>
                  <w:r w:rsidR="007A5EDD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s</w:t>
                  </w:r>
                  <w:r w:rsidR="00DE4CA5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ult</w:t>
                  </w:r>
                  <w:r w:rsidR="009C699E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DE4CA5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of price</w:t>
                  </w:r>
                  <w:r w:rsidR="00C96EA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s drop of</w:t>
                  </w:r>
                  <w:r w:rsidR="009F3DD7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9247A8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cattle for slaughter, poultry </w:t>
                  </w:r>
                  <w:r w:rsidR="0005381D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f</w:t>
                  </w:r>
                  <w:r w:rsidR="009247A8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or slaughter and cows’</w:t>
                  </w:r>
                  <w:r w:rsidR="00E25847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9247A8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milk</w:t>
                  </w:r>
                </w:p>
                <w:p w:rsidR="009C699E" w:rsidRPr="00661C39" w:rsidRDefault="009C699E" w:rsidP="009C699E">
                  <w:pPr>
                    <w:jc w:val="both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tight"/>
          </v:shape>
        </w:pict>
      </w:r>
      <w:r w:rsidR="001018E2" w:rsidRPr="001018E2">
        <w:rPr>
          <w:noProof/>
          <w:sz w:val="20"/>
          <w:szCs w:val="20"/>
          <w:lang w:eastAsia="pl-PL"/>
        </w:rPr>
        <w:pict>
          <v:shape id="_x0000_s1028" type="#_x0000_t202" style="position:absolute;left:0;text-align:left;margin-left:427.2pt;margin-top:9.5pt;width:127.2pt;height:119.45pt;z-index:-251521024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" filled="f" stroked="f">
            <v:textbox style="mso-next-textbox:#_x0000_s1028">
              <w:txbxContent>
                <w:p w:rsidR="00133140" w:rsidRPr="003A3978" w:rsidRDefault="00133140" w:rsidP="003A3978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5E76C0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1018E2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1018E2">
        <w:rPr>
          <w:rFonts w:ascii="Fira Sans" w:hAnsi="Fira Sans"/>
          <w:b/>
          <w:noProof/>
          <w:sz w:val="18"/>
          <w:szCs w:val="18"/>
          <w:lang w:eastAsia="pl-PL"/>
        </w:rPr>
        <w:pict>
          <v:shape id="_x0000_s1062" type="#_x0000_t202" style="position:absolute;margin-left:434.25pt;margin-top:8.2pt;width:110.45pt;height:122.35pt;z-index:-2514882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" filled="f" stroked="f">
            <v:textbox style="mso-next-textbox:#_x0000_s1062">
              <w:txbxContent>
                <w:p w:rsidR="00695127" w:rsidRDefault="001A177D" w:rsidP="00D55103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</w:pP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The growth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in pr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curement prices of</w:t>
                  </w:r>
                  <w:r w:rsid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 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basic agricultural products </w:t>
                  </w:r>
                  <w:r w:rsidR="00A8381C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i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n </w:t>
                  </w:r>
                  <w:r w:rsidR="00447F34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March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4216C8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this</w:t>
                  </w:r>
                  <w:r w:rsidR="00992338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year</w:t>
                  </w:r>
                  <w:r w:rsidR="00D5510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36000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D47C12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to the same</w:t>
                  </w:r>
                  <w:r w:rsidR="0036000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month</w:t>
                  </w:r>
                  <w:r w:rsidR="00CB4CD2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of the </w:t>
                  </w:r>
                  <w:r w:rsidR="00065F11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last</w:t>
                  </w:r>
                  <w:r w:rsidR="00CB4CD2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8610A6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CB4CD2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year</w:t>
                  </w:r>
                  <w:r w:rsidR="001B7CC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was caused by </w:t>
                  </w:r>
                  <w:r w:rsidR="00CC278C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an</w:t>
                  </w:r>
                  <w:r w:rsidR="001B7CC3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increase in pigs </w:t>
                  </w:r>
                  <w:r w:rsidR="005D031D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for slaughter </w:t>
                  </w:r>
                  <w:r w:rsid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prices</w:t>
                  </w:r>
                  <w:r w:rsidR="00695127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BA56B8" w:rsidRPr="00661C39" w:rsidRDefault="00661C39" w:rsidP="00D55103">
                  <w:pPr>
                    <w:spacing w:after="0" w:line="240" w:lineRule="exact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455297" w:rsidRPr="001A66E6"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4"/>
          <w:szCs w:val="19"/>
          <w:lang w:eastAsia="pl-PL"/>
        </w:rPr>
        <w:drawing>
          <wp:inline distT="0" distB="0" distL="0" distR="0">
            <wp:extent cx="4987636" cy="1676400"/>
            <wp:effectExtent l="0" t="0" r="0" b="0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8D3D8E">
        <w:rPr>
          <w:rFonts w:ascii="Fira Sans" w:hAnsi="Fira Sans"/>
          <w:sz w:val="19"/>
          <w:szCs w:val="18"/>
          <w:lang w:val="en-US"/>
        </w:rPr>
        <w:t>March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2020 compared to the </w:t>
      </w:r>
      <w:r w:rsidR="00DC7B2E">
        <w:rPr>
          <w:rFonts w:ascii="Fira Sans" w:hAnsi="Fira Sans"/>
          <w:sz w:val="19"/>
          <w:szCs w:val="18"/>
          <w:lang w:val="en-US"/>
        </w:rPr>
        <w:t>February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 xml:space="preserve"> procurement prices </w:t>
      </w:r>
      <w:r w:rsidR="008D3D8E">
        <w:rPr>
          <w:rFonts w:ascii="Fira Sans" w:hAnsi="Fira Sans"/>
          <w:sz w:val="19"/>
          <w:szCs w:val="18"/>
          <w:lang w:val="en-US"/>
        </w:rPr>
        <w:t xml:space="preserve">and marketplaces prices </w:t>
      </w:r>
      <w:r w:rsidRPr="00661C39">
        <w:rPr>
          <w:rFonts w:ascii="Fira Sans" w:hAnsi="Fira Sans"/>
          <w:sz w:val="19"/>
          <w:szCs w:val="18"/>
          <w:lang w:val="en-US"/>
        </w:rPr>
        <w:t>of most agricultural products increased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47267E">
        <w:rPr>
          <w:rFonts w:ascii="Fira Sans" w:hAnsi="Fira Sans"/>
          <w:sz w:val="19"/>
          <w:szCs w:val="18"/>
          <w:lang w:val="en-US"/>
        </w:rPr>
        <w:t>barley</w:t>
      </w:r>
      <w:r w:rsidR="00A83EDC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A83EDC">
        <w:rPr>
          <w:rFonts w:ascii="Fira Sans" w:hAnsi="Fira Sans"/>
          <w:sz w:val="19"/>
          <w:szCs w:val="18"/>
          <w:lang w:val="en-US"/>
        </w:rPr>
        <w:t xml:space="preserve">poultry </w:t>
      </w:r>
      <w:r w:rsidRPr="00661C39">
        <w:rPr>
          <w:rFonts w:ascii="Fira Sans" w:hAnsi="Fira Sans"/>
          <w:sz w:val="19"/>
          <w:szCs w:val="18"/>
          <w:lang w:val="en-US"/>
        </w:rPr>
        <w:t xml:space="preserve">and </w:t>
      </w:r>
      <w:r w:rsidR="008F0FEC">
        <w:rPr>
          <w:rFonts w:ascii="Fira Sans" w:hAnsi="Fira Sans"/>
          <w:sz w:val="19"/>
          <w:szCs w:val="18"/>
          <w:lang w:val="en-US"/>
        </w:rPr>
        <w:t>cows</w:t>
      </w:r>
      <w:r w:rsidR="006A5E7B">
        <w:rPr>
          <w:rFonts w:ascii="Fira Sans" w:hAnsi="Fira Sans"/>
          <w:sz w:val="19"/>
          <w:szCs w:val="18"/>
          <w:lang w:val="en-US"/>
        </w:rPr>
        <w:t>’</w:t>
      </w:r>
      <w:r w:rsidR="0047267E">
        <w:rPr>
          <w:rFonts w:ascii="Fira Sans" w:hAnsi="Fira Sans"/>
          <w:sz w:val="19"/>
          <w:szCs w:val="18"/>
          <w:lang w:val="en-US"/>
        </w:rPr>
        <w:t xml:space="preserve"> </w:t>
      </w:r>
      <w:r w:rsidR="008F0FEC">
        <w:rPr>
          <w:rFonts w:ascii="Fira Sans" w:hAnsi="Fira Sans"/>
          <w:sz w:val="19"/>
          <w:szCs w:val="18"/>
          <w:lang w:val="en-US"/>
        </w:rPr>
        <w:t>milk</w:t>
      </w:r>
      <w:r w:rsidR="008D3D8E">
        <w:rPr>
          <w:rFonts w:ascii="Fira Sans" w:hAnsi="Fira Sans"/>
          <w:sz w:val="19"/>
          <w:szCs w:val="18"/>
          <w:lang w:val="en-US"/>
        </w:rPr>
        <w:t xml:space="preserve"> were lower in procurement</w:t>
      </w:r>
      <w:r w:rsidR="006C3BEB">
        <w:rPr>
          <w:rFonts w:ascii="Fira Sans" w:hAnsi="Fira Sans"/>
          <w:sz w:val="19"/>
          <w:szCs w:val="18"/>
          <w:lang w:val="en-US"/>
        </w:rPr>
        <w:t xml:space="preserve"> </w:t>
      </w:r>
      <w:r w:rsidR="00EE5E25">
        <w:rPr>
          <w:rFonts w:ascii="Fira Sans" w:hAnsi="Fira Sans"/>
          <w:sz w:val="19"/>
          <w:szCs w:val="18"/>
          <w:lang w:val="en-US"/>
        </w:rPr>
        <w:t>while</w:t>
      </w:r>
      <w:r w:rsidR="008D3D8E">
        <w:rPr>
          <w:rFonts w:ascii="Fira Sans" w:hAnsi="Fira Sans"/>
          <w:sz w:val="19"/>
          <w:szCs w:val="18"/>
          <w:lang w:val="en-US"/>
        </w:rPr>
        <w:t xml:space="preserve"> p</w:t>
      </w:r>
      <w:r w:rsidR="00A32D3E">
        <w:rPr>
          <w:rFonts w:ascii="Fira Sans" w:hAnsi="Fira Sans"/>
          <w:sz w:val="19"/>
          <w:szCs w:val="18"/>
          <w:lang w:val="en-US"/>
        </w:rPr>
        <w:t>r</w:t>
      </w:r>
      <w:r w:rsidR="008D3D8E">
        <w:rPr>
          <w:rFonts w:ascii="Fira Sans" w:hAnsi="Fira Sans"/>
          <w:sz w:val="19"/>
          <w:szCs w:val="18"/>
          <w:lang w:val="en-US"/>
        </w:rPr>
        <w:t xml:space="preserve">ices of </w:t>
      </w:r>
      <w:r w:rsidR="0047267E" w:rsidRPr="00661C39">
        <w:rPr>
          <w:rFonts w:ascii="Fira Sans" w:hAnsi="Fira Sans"/>
          <w:sz w:val="19"/>
          <w:szCs w:val="18"/>
          <w:lang w:val="en-US"/>
        </w:rPr>
        <w:t>triticale</w:t>
      </w:r>
      <w:r w:rsidR="007B3380">
        <w:rPr>
          <w:rFonts w:ascii="Fira Sans" w:hAnsi="Fira Sans"/>
          <w:sz w:val="19"/>
          <w:szCs w:val="18"/>
          <w:lang w:val="en-US"/>
        </w:rPr>
        <w:t>, maize and potatoes</w:t>
      </w:r>
      <w:r w:rsidR="008D3D8E">
        <w:rPr>
          <w:rFonts w:ascii="Fira Sans" w:hAnsi="Fira Sans"/>
          <w:sz w:val="19"/>
          <w:szCs w:val="18"/>
          <w:lang w:val="en-US"/>
        </w:rPr>
        <w:t xml:space="preserve"> were lower on ma</w:t>
      </w:r>
      <w:r w:rsidR="008D3D8E">
        <w:rPr>
          <w:rFonts w:ascii="Fira Sans" w:hAnsi="Fira Sans"/>
          <w:sz w:val="19"/>
          <w:szCs w:val="18"/>
          <w:lang w:val="en-US"/>
        </w:rPr>
        <w:t>r</w:t>
      </w:r>
      <w:r w:rsidR="008D3D8E">
        <w:rPr>
          <w:rFonts w:ascii="Fira Sans" w:hAnsi="Fira Sans"/>
          <w:sz w:val="19"/>
          <w:szCs w:val="18"/>
          <w:lang w:val="en-US"/>
        </w:rPr>
        <w:t xml:space="preserve">ketplaces. Both in procurement and on marketplaces </w:t>
      </w:r>
      <w:r w:rsidR="006F225B">
        <w:rPr>
          <w:rFonts w:ascii="Fira Sans" w:hAnsi="Fira Sans"/>
          <w:sz w:val="19"/>
          <w:szCs w:val="18"/>
          <w:lang w:val="en-US"/>
        </w:rPr>
        <w:t xml:space="preserve">the drop </w:t>
      </w:r>
      <w:r w:rsidR="008D3D8E">
        <w:rPr>
          <w:rFonts w:ascii="Fira Sans" w:hAnsi="Fira Sans"/>
          <w:sz w:val="19"/>
          <w:szCs w:val="18"/>
          <w:lang w:val="en-US"/>
        </w:rPr>
        <w:t xml:space="preserve">in prices of </w:t>
      </w:r>
      <w:r w:rsidR="002C24B0">
        <w:rPr>
          <w:rFonts w:ascii="Fira Sans" w:hAnsi="Fira Sans"/>
          <w:sz w:val="19"/>
          <w:szCs w:val="18"/>
          <w:lang w:val="en-US"/>
        </w:rPr>
        <w:t>cattle</w:t>
      </w:r>
      <w:r w:rsidR="008D3D8E">
        <w:rPr>
          <w:rFonts w:ascii="Fira Sans" w:hAnsi="Fira Sans"/>
          <w:sz w:val="19"/>
          <w:szCs w:val="18"/>
          <w:lang w:val="en-US"/>
        </w:rPr>
        <w:t xml:space="preserve"> for slaug</w:t>
      </w:r>
      <w:r w:rsidR="008D3D8E">
        <w:rPr>
          <w:rFonts w:ascii="Fira Sans" w:hAnsi="Fira Sans"/>
          <w:sz w:val="19"/>
          <w:szCs w:val="18"/>
          <w:lang w:val="en-US"/>
        </w:rPr>
        <w:t>h</w:t>
      </w:r>
      <w:r w:rsidR="008D3D8E">
        <w:rPr>
          <w:rFonts w:ascii="Fira Sans" w:hAnsi="Fira Sans"/>
          <w:sz w:val="19"/>
          <w:szCs w:val="18"/>
          <w:lang w:val="en-US"/>
        </w:rPr>
        <w:t>ter was noted.</w:t>
      </w:r>
      <w:r w:rsidR="00F6463A"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:rsidR="0052321F" w:rsidRPr="00661C39" w:rsidRDefault="0052321F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>Compared with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8D3D8E">
        <w:rPr>
          <w:rFonts w:ascii="Fira Sans" w:hAnsi="Fira Sans"/>
          <w:sz w:val="19"/>
          <w:szCs w:val="18"/>
          <w:lang w:val="en-US"/>
        </w:rPr>
        <w:t>March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2020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both in pr</w:t>
      </w:r>
      <w:r w:rsidRPr="00661C39">
        <w:rPr>
          <w:rFonts w:ascii="Fira Sans" w:hAnsi="Fira Sans"/>
          <w:sz w:val="19"/>
          <w:szCs w:val="18"/>
          <w:lang w:val="en-US"/>
        </w:rPr>
        <w:t>o</w:t>
      </w:r>
      <w:r w:rsidRPr="00661C39">
        <w:rPr>
          <w:rFonts w:ascii="Fira Sans" w:hAnsi="Fira Sans"/>
          <w:sz w:val="19"/>
          <w:szCs w:val="18"/>
          <w:lang w:val="en-US"/>
        </w:rPr>
        <w:t>curement and on marketplaces the drop in prices of most agricultural products was recor</w:t>
      </w:r>
      <w:r w:rsidRPr="00661C39">
        <w:rPr>
          <w:rFonts w:ascii="Fira Sans" w:hAnsi="Fira Sans"/>
          <w:sz w:val="19"/>
          <w:szCs w:val="18"/>
          <w:lang w:val="en-US"/>
        </w:rPr>
        <w:t>d</w:t>
      </w:r>
      <w:r w:rsidRPr="00661C39">
        <w:rPr>
          <w:rFonts w:ascii="Fira Sans" w:hAnsi="Fira Sans"/>
          <w:sz w:val="19"/>
          <w:szCs w:val="18"/>
          <w:lang w:val="en-US"/>
        </w:rPr>
        <w:t xml:space="preserve">ed. </w:t>
      </w:r>
      <w:r w:rsidR="00E47D5C">
        <w:rPr>
          <w:rFonts w:ascii="Fira Sans" w:hAnsi="Fira Sans"/>
          <w:sz w:val="19"/>
          <w:szCs w:val="18"/>
          <w:lang w:val="en-US"/>
        </w:rPr>
        <w:t xml:space="preserve">However, </w:t>
      </w:r>
      <w:r w:rsidRPr="00661C39">
        <w:rPr>
          <w:rFonts w:ascii="Fira Sans" w:hAnsi="Fira Sans"/>
          <w:sz w:val="19"/>
          <w:szCs w:val="18"/>
          <w:lang w:val="en-US"/>
        </w:rPr>
        <w:t xml:space="preserve">the prices of potatoes and pigs </w:t>
      </w:r>
      <w:r w:rsidR="003B6154">
        <w:rPr>
          <w:rFonts w:ascii="Fira Sans" w:hAnsi="Fira Sans"/>
          <w:sz w:val="19"/>
          <w:szCs w:val="18"/>
          <w:lang w:val="en-US"/>
        </w:rPr>
        <w:t>for slaughter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3B6154">
        <w:rPr>
          <w:rFonts w:ascii="Fira Sans" w:hAnsi="Fira Sans"/>
          <w:sz w:val="19"/>
          <w:szCs w:val="18"/>
          <w:lang w:val="en-US"/>
        </w:rPr>
        <w:t>increased.</w:t>
      </w:r>
    </w:p>
    <w:p w:rsidR="00B125DF" w:rsidRPr="000F45BD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lastRenderedPageBreak/>
        <w:t xml:space="preserve">Table 1. Prices of agricultural products (excluding VAT) in </w:t>
      </w:r>
      <w:r w:rsidR="007A7CA3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March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p w:rsidR="004656E0" w:rsidRPr="000F45BD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A7CA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A7CA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7A7CA3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A7CA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7A7CA3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A7CA3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Cereal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15E7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87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100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92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0A15E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69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67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101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93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0A15E7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C10DF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Pr="00516639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16639">
              <w:rPr>
                <w:rFonts w:ascii="Fira Sans" w:hAnsi="Fira Sans" w:cs="Arial"/>
                <w:sz w:val="16"/>
                <w:szCs w:val="16"/>
              </w:rPr>
              <w:t>86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 w:rsidRPr="00516639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83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101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93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0A15E7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5E025D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025D">
              <w:rPr>
                <w:rFonts w:ascii="Fira Sans" w:hAnsi="Fira Sans" w:cs="Arial"/>
                <w:sz w:val="16"/>
                <w:szCs w:val="16"/>
              </w:rPr>
              <w:t>101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 w:rsidRPr="005E025D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Pr="005E025D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025D">
              <w:rPr>
                <w:rFonts w:ascii="Fira Sans" w:hAnsi="Fira Sans" w:cs="Arial"/>
                <w:sz w:val="16"/>
                <w:szCs w:val="16"/>
              </w:rPr>
              <w:t>87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 w:rsidRPr="005E025D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76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99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92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0A15E7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836F8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D807B2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807B2">
              <w:rPr>
                <w:rFonts w:ascii="Fira Sans" w:hAnsi="Fira Sans" w:cs="Arial"/>
                <w:sz w:val="16"/>
                <w:szCs w:val="16"/>
              </w:rPr>
              <w:t>102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 w:rsidRPr="00D807B2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Pr="00D807B2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807B2">
              <w:rPr>
                <w:rFonts w:ascii="Fira Sans" w:hAnsi="Fira Sans" w:cs="Arial"/>
                <w:sz w:val="16"/>
                <w:szCs w:val="16"/>
              </w:rPr>
              <w:t>85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 w:rsidRPr="00D807B2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74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75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103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93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0A15E7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94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83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98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96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0A15E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64740E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8B1F1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199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98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135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0A15E7" w:rsidRPr="00661C3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0F45BD" w:rsidRDefault="000A15E7" w:rsidP="00406404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8B1F1F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8B1F1F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8B1F1F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0A15E7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55212F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FF798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6.70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FF798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FF798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93.4</w:t>
            </w:r>
          </w:p>
        </w:tc>
      </w:tr>
      <w:tr w:rsidR="000A15E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6D540C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6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95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95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6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98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92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0A15E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6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74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109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140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  <w:r w:rsidRPr="00BA24FC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0A15E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0A15E7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4656E0" w:rsidRDefault="000A15E7" w:rsidP="00836F81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A15E7" w:rsidRDefault="000A15E7" w:rsidP="00A300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A30023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5E7" w:rsidRPr="00BA24FC" w:rsidRDefault="000A15E7" w:rsidP="00515BB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:rsidR="004D76BC" w:rsidRPr="000F45BD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  <w:lang w:val="en-US"/>
        </w:rPr>
      </w:pPr>
    </w:p>
    <w:p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0A02E7">
        <w:rPr>
          <w:rFonts w:ascii="Fira Sans SemiBold" w:hAnsi="Fira Sans SemiBold"/>
          <w:color w:val="001D77"/>
          <w:sz w:val="19"/>
          <w:szCs w:val="18"/>
          <w:lang w:val="en-US"/>
        </w:rPr>
        <w:t>March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2020</w:t>
      </w:r>
    </w:p>
    <w:p w:rsidR="00B6525E" w:rsidRDefault="0051442B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>7</w:t>
      </w:r>
      <w:r w:rsidR="00E276FE">
        <w:rPr>
          <w:rFonts w:ascii="Fira Sans" w:hAnsi="Fira Sans"/>
          <w:sz w:val="19"/>
          <w:szCs w:val="18"/>
          <w:lang w:val="en-US"/>
        </w:rPr>
        <w:t>4</w:t>
      </w:r>
      <w:r w:rsidRPr="00661C39">
        <w:rPr>
          <w:rFonts w:ascii="Fira Sans" w:hAnsi="Fira Sans"/>
          <w:sz w:val="19"/>
          <w:szCs w:val="18"/>
          <w:lang w:val="en-US"/>
        </w:rPr>
        <w:t>.</w:t>
      </w:r>
      <w:r w:rsidR="00E276FE">
        <w:rPr>
          <w:rFonts w:ascii="Fira Sans" w:hAnsi="Fira Sans"/>
          <w:sz w:val="19"/>
          <w:szCs w:val="18"/>
          <w:lang w:val="en-US"/>
        </w:rPr>
        <w:t>25</w:t>
      </w:r>
      <w:r w:rsidR="00541023" w:rsidRPr="00661C39">
        <w:rPr>
          <w:rFonts w:ascii="Fira Sans" w:hAnsi="Fira Sans"/>
          <w:sz w:val="19"/>
          <w:szCs w:val="18"/>
          <w:lang w:val="en-US"/>
        </w:rPr>
        <w:t xml:space="preserve"> PL</w:t>
      </w:r>
      <w:r w:rsidR="00D703C8">
        <w:rPr>
          <w:rFonts w:ascii="Fira Sans" w:hAnsi="Fira Sans"/>
          <w:sz w:val="19"/>
          <w:szCs w:val="18"/>
          <w:lang w:val="en-US"/>
        </w:rPr>
        <w:t>N</w:t>
      </w:r>
      <w:r w:rsidRPr="00661C39">
        <w:rPr>
          <w:rFonts w:ascii="Fira Sans" w:hAnsi="Fira Sans"/>
          <w:sz w:val="19"/>
          <w:szCs w:val="18"/>
          <w:lang w:val="en-US"/>
        </w:rPr>
        <w:t>/</w:t>
      </w:r>
      <w:proofErr w:type="spellStart"/>
      <w:r w:rsidRPr="00661C39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Pr="00661C39">
        <w:rPr>
          <w:rFonts w:ascii="Fira Sans" w:hAnsi="Fira Sans"/>
          <w:sz w:val="19"/>
          <w:szCs w:val="18"/>
          <w:lang w:val="en-US"/>
        </w:rPr>
        <w:t xml:space="preserve"> were paid for </w:t>
      </w:r>
      <w:r w:rsidRPr="00661C39">
        <w:rPr>
          <w:rFonts w:ascii="Fira Sans" w:hAnsi="Fira Sans"/>
          <w:b/>
          <w:sz w:val="19"/>
          <w:szCs w:val="18"/>
          <w:lang w:val="en-US"/>
        </w:rPr>
        <w:t>wheat</w:t>
      </w:r>
      <w:r w:rsidRPr="00661C39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BF629D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and in marketplaces transa</w:t>
      </w:r>
      <w:r w:rsidR="00661C39">
        <w:rPr>
          <w:rFonts w:ascii="Fira Sans" w:hAnsi="Fira Sans"/>
          <w:sz w:val="19"/>
          <w:szCs w:val="18"/>
          <w:lang w:val="en-US"/>
        </w:rPr>
        <w:t>c</w:t>
      </w:r>
      <w:r w:rsidRPr="00661C39">
        <w:rPr>
          <w:rFonts w:ascii="Fira Sans" w:hAnsi="Fira Sans"/>
          <w:sz w:val="19"/>
          <w:szCs w:val="18"/>
          <w:lang w:val="en-US"/>
        </w:rPr>
        <w:t xml:space="preserve">tions </w:t>
      </w:r>
      <w:r w:rsidR="00E45A08">
        <w:rPr>
          <w:rFonts w:ascii="Fira Sans" w:hAnsi="Fira Sans"/>
          <w:sz w:val="19"/>
          <w:szCs w:val="18"/>
          <w:lang w:val="en-US"/>
        </w:rPr>
        <w:t>–</w:t>
      </w:r>
      <w:r w:rsidRPr="00661C39">
        <w:rPr>
          <w:rFonts w:ascii="Fira Sans" w:hAnsi="Fira Sans"/>
          <w:sz w:val="19"/>
          <w:szCs w:val="18"/>
          <w:lang w:val="en-US"/>
        </w:rPr>
        <w:t xml:space="preserve"> 87</w:t>
      </w:r>
      <w:r w:rsidR="00E45A08">
        <w:rPr>
          <w:rFonts w:ascii="Fira Sans" w:hAnsi="Fira Sans"/>
          <w:sz w:val="19"/>
          <w:szCs w:val="18"/>
          <w:lang w:val="en-US"/>
        </w:rPr>
        <w:t>.96</w:t>
      </w:r>
      <w:r w:rsidR="000B7B6C">
        <w:rPr>
          <w:rFonts w:ascii="Fira Sans" w:hAnsi="Fira Sans"/>
          <w:sz w:val="19"/>
          <w:szCs w:val="18"/>
          <w:lang w:val="en-US"/>
        </w:rPr>
        <w:t> PLN/</w:t>
      </w:r>
      <w:proofErr w:type="spellStart"/>
      <w:r w:rsidR="000B7B6C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B6525E">
        <w:rPr>
          <w:rFonts w:ascii="Fira Sans" w:hAnsi="Fira Sans"/>
          <w:sz w:val="19"/>
          <w:szCs w:val="18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i.e. </w:t>
      </w:r>
      <w:r w:rsidR="00AC60C7">
        <w:rPr>
          <w:rFonts w:ascii="Fira Sans" w:hAnsi="Fira Sans"/>
          <w:sz w:val="19"/>
          <w:szCs w:val="18"/>
          <w:lang w:val="en-US"/>
        </w:rPr>
        <w:t xml:space="preserve">both 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by </w:t>
      </w:r>
      <w:r w:rsidR="00B6525E">
        <w:rPr>
          <w:rFonts w:ascii="Fira Sans" w:hAnsi="Fira Sans"/>
          <w:sz w:val="19"/>
          <w:szCs w:val="18"/>
          <w:lang w:val="en-US"/>
        </w:rPr>
        <w:t>0</w:t>
      </w:r>
      <w:r w:rsidR="00B6525E" w:rsidRPr="00661C39">
        <w:rPr>
          <w:rFonts w:ascii="Fira Sans" w:hAnsi="Fira Sans"/>
          <w:sz w:val="19"/>
          <w:szCs w:val="18"/>
          <w:lang w:val="en-US"/>
        </w:rPr>
        <w:t>.</w:t>
      </w:r>
      <w:r w:rsidR="00B6525E">
        <w:rPr>
          <w:rFonts w:ascii="Fira Sans" w:hAnsi="Fira Sans"/>
          <w:sz w:val="19"/>
          <w:szCs w:val="18"/>
          <w:lang w:val="en-US"/>
        </w:rPr>
        <w:t>7</w:t>
      </w:r>
      <w:r w:rsidR="00B6525E" w:rsidRPr="00661C39">
        <w:rPr>
          <w:rFonts w:ascii="Fira Sans" w:hAnsi="Fira Sans"/>
          <w:sz w:val="19"/>
          <w:szCs w:val="18"/>
          <w:lang w:val="en-US"/>
        </w:rPr>
        <w:t>%</w:t>
      </w:r>
      <w:r w:rsidR="00A07956">
        <w:rPr>
          <w:rFonts w:ascii="Fira Sans" w:hAnsi="Fira Sans"/>
          <w:sz w:val="19"/>
          <w:szCs w:val="18"/>
          <w:lang w:val="en-US"/>
        </w:rPr>
        <w:t xml:space="preserve"> more 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than a </w:t>
      </w:r>
      <w:r w:rsidR="006F5000" w:rsidRPr="00661C39">
        <w:rPr>
          <w:rFonts w:ascii="Fira Sans" w:hAnsi="Fira Sans"/>
          <w:sz w:val="19"/>
          <w:szCs w:val="18"/>
          <w:lang w:val="en-US"/>
        </w:rPr>
        <w:t>month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ago</w:t>
      </w:r>
      <w:r w:rsidR="00B6525E">
        <w:rPr>
          <w:rFonts w:ascii="Fira Sans" w:hAnsi="Fira Sans"/>
          <w:sz w:val="19"/>
          <w:szCs w:val="18"/>
          <w:lang w:val="en-US"/>
        </w:rPr>
        <w:t>.</w:t>
      </w:r>
      <w:r w:rsidR="000B7B6C">
        <w:rPr>
          <w:rFonts w:ascii="Fira Sans" w:hAnsi="Fira Sans"/>
          <w:sz w:val="19"/>
          <w:szCs w:val="18"/>
          <w:lang w:val="en-US"/>
        </w:rPr>
        <w:t xml:space="preserve"> </w:t>
      </w:r>
    </w:p>
    <w:p w:rsidR="0051442B" w:rsidRPr="00661C39" w:rsidRDefault="0051442B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both in procurement and on marketplaces </w:t>
      </w:r>
      <w:r w:rsidR="00A07956">
        <w:rPr>
          <w:rFonts w:ascii="Fira Sans" w:hAnsi="Fira Sans"/>
          <w:sz w:val="19"/>
          <w:szCs w:val="18"/>
          <w:lang w:val="en-US"/>
        </w:rPr>
        <w:t xml:space="preserve">increased </w:t>
      </w:r>
      <w:r w:rsidR="0047715B">
        <w:rPr>
          <w:rFonts w:ascii="Fira Sans" w:hAnsi="Fira Sans"/>
          <w:sz w:val="19"/>
          <w:szCs w:val="18"/>
          <w:lang w:val="en-US"/>
        </w:rPr>
        <w:t>r</w:t>
      </w:r>
      <w:r w:rsidRPr="00661C39">
        <w:rPr>
          <w:rFonts w:ascii="Fira Sans" w:hAnsi="Fira Sans"/>
          <w:sz w:val="19"/>
          <w:szCs w:val="18"/>
          <w:lang w:val="en-US"/>
        </w:rPr>
        <w:t xml:space="preserve">espectively by </w:t>
      </w:r>
      <w:r w:rsidR="00667F18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>.</w:t>
      </w:r>
      <w:r w:rsidR="00667F18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>% (</w:t>
      </w:r>
      <w:r w:rsidR="00291E4A">
        <w:rPr>
          <w:rFonts w:ascii="Fira Sans" w:hAnsi="Fira Sans"/>
          <w:sz w:val="19"/>
          <w:szCs w:val="18"/>
          <w:lang w:val="en-US"/>
        </w:rPr>
        <w:t>56.29</w:t>
      </w:r>
      <w:r w:rsidR="00A07956" w:rsidRPr="00A07956">
        <w:rPr>
          <w:rFonts w:ascii="Fira Sans" w:hAnsi="Fira Sans"/>
          <w:sz w:val="19"/>
          <w:szCs w:val="18"/>
          <w:lang w:val="en-US"/>
        </w:rPr>
        <w:t xml:space="preserve"> </w:t>
      </w:r>
      <w:r w:rsidR="00A07956" w:rsidRPr="00661C39">
        <w:rPr>
          <w:rFonts w:ascii="Fira Sans" w:hAnsi="Fira Sans"/>
          <w:sz w:val="19"/>
          <w:szCs w:val="18"/>
          <w:lang w:val="en-US"/>
        </w:rPr>
        <w:t>PLN</w:t>
      </w:r>
      <w:r w:rsidR="00A07956">
        <w:rPr>
          <w:rFonts w:ascii="Fira Sans" w:hAnsi="Fira Sans"/>
          <w:sz w:val="19"/>
          <w:szCs w:val="18"/>
          <w:lang w:val="en-US"/>
        </w:rPr>
        <w:t>/</w:t>
      </w:r>
      <w:proofErr w:type="spellStart"/>
      <w:r w:rsidR="00A07956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A07956">
        <w:rPr>
          <w:rFonts w:ascii="Fira Sans" w:hAnsi="Fira Sans"/>
          <w:sz w:val="19"/>
          <w:szCs w:val="18"/>
          <w:lang w:val="en-US"/>
        </w:rPr>
        <w:t> </w:t>
      </w:r>
      <w:r w:rsidR="00291E4A">
        <w:rPr>
          <w:rFonts w:ascii="Fira Sans" w:hAnsi="Fira Sans"/>
          <w:sz w:val="19"/>
          <w:szCs w:val="18"/>
          <w:lang w:val="en-US"/>
        </w:rPr>
        <w:t>)</w:t>
      </w:r>
      <w:r w:rsidRPr="00661C39">
        <w:rPr>
          <w:rFonts w:ascii="Fira Sans" w:hAnsi="Fira Sans"/>
          <w:sz w:val="19"/>
          <w:szCs w:val="18"/>
          <w:lang w:val="en-US"/>
        </w:rPr>
        <w:t xml:space="preserve"> and by 1.</w:t>
      </w:r>
      <w:r w:rsidR="00667F18">
        <w:rPr>
          <w:rFonts w:ascii="Fira Sans" w:hAnsi="Fira Sans"/>
          <w:sz w:val="19"/>
          <w:szCs w:val="18"/>
          <w:lang w:val="en-US"/>
        </w:rPr>
        <w:t>4</w:t>
      </w:r>
      <w:r w:rsidRPr="00661C39">
        <w:rPr>
          <w:rFonts w:ascii="Fira Sans" w:hAnsi="Fira Sans"/>
          <w:sz w:val="19"/>
          <w:szCs w:val="18"/>
          <w:lang w:val="en-US"/>
        </w:rPr>
        <w:t>% (6</w:t>
      </w:r>
      <w:r w:rsidR="00291E4A">
        <w:rPr>
          <w:rFonts w:ascii="Fira Sans" w:hAnsi="Fira Sans"/>
          <w:sz w:val="19"/>
          <w:szCs w:val="18"/>
          <w:lang w:val="en-US"/>
        </w:rPr>
        <w:t>9</w:t>
      </w:r>
      <w:r w:rsidRPr="00661C39">
        <w:rPr>
          <w:rFonts w:ascii="Fira Sans" w:hAnsi="Fira Sans"/>
          <w:sz w:val="19"/>
          <w:szCs w:val="18"/>
          <w:lang w:val="en-US"/>
        </w:rPr>
        <w:t>.</w:t>
      </w:r>
      <w:r w:rsidR="00291E4A">
        <w:rPr>
          <w:rFonts w:ascii="Fira Sans" w:hAnsi="Fira Sans"/>
          <w:sz w:val="19"/>
          <w:szCs w:val="18"/>
          <w:lang w:val="en-US"/>
        </w:rPr>
        <w:t>67</w:t>
      </w:r>
      <w:r w:rsidR="00A425C2">
        <w:rPr>
          <w:rFonts w:ascii="Fira Sans" w:hAnsi="Fira Sans"/>
          <w:sz w:val="19"/>
          <w:szCs w:val="18"/>
          <w:lang w:val="en-US"/>
        </w:rPr>
        <w:t xml:space="preserve"> </w:t>
      </w:r>
      <w:r w:rsidR="00A07956">
        <w:rPr>
          <w:rFonts w:ascii="Fira Sans" w:hAnsi="Fira Sans"/>
          <w:sz w:val="19"/>
          <w:szCs w:val="18"/>
          <w:lang w:val="en-US"/>
        </w:rPr>
        <w:t>PLN/</w:t>
      </w:r>
      <w:proofErr w:type="spellStart"/>
      <w:r w:rsidRPr="00661C39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Pr="00661C39">
        <w:rPr>
          <w:rFonts w:ascii="Fira Sans" w:hAnsi="Fira Sans"/>
          <w:sz w:val="19"/>
          <w:szCs w:val="18"/>
          <w:lang w:val="en-US"/>
        </w:rPr>
        <w:t xml:space="preserve">). </w:t>
      </w:r>
    </w:p>
    <w:p w:rsidR="0051442B" w:rsidRPr="00661C39" w:rsidRDefault="001018E2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1018E2">
        <w:rPr>
          <w:noProof/>
        </w:rPr>
        <w:pict>
          <v:shape id="_x0000_s1067" type="#_x0000_t202" style="position:absolute;margin-left:419.35pt;margin-top:11.55pt;width:126.55pt;height:68.2pt;z-index:-2514862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" filled="f" stroked="f">
            <v:textbox>
              <w:txbxContent>
                <w:p w:rsidR="0051442B" w:rsidRPr="00661C39" w:rsidRDefault="00AD444C" w:rsidP="003956B3">
                  <w:pPr>
                    <w:spacing w:after="0" w:line="240" w:lineRule="exact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In</w:t>
                  </w:r>
                  <w:r w:rsidR="0051442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March 2020</w:t>
                  </w:r>
                  <w:r w:rsidR="00DD52CE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as related to February this year</w:t>
                  </w:r>
                  <w:r w:rsidR="0051442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, prices of </w:t>
                  </w:r>
                  <w:r w:rsidR="00C244F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cattle</w:t>
                  </w:r>
                  <w:r w:rsidR="0051442B"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for slaughter </w:t>
                  </w:r>
                  <w:r w:rsidR="00C244F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decreased in procurement and on marketplaces </w:t>
                  </w:r>
                </w:p>
              </w:txbxContent>
            </v:textbox>
            <w10:wrap type="tight"/>
          </v:shape>
        </w:pict>
      </w:r>
      <w:r w:rsidR="0051442B" w:rsidRPr="00661C39">
        <w:rPr>
          <w:rFonts w:ascii="Fira Sans" w:hAnsi="Fira Sans"/>
          <w:sz w:val="19"/>
          <w:lang w:val="en-US"/>
        </w:rPr>
        <w:t xml:space="preserve">In </w:t>
      </w:r>
      <w:r w:rsidR="006A3FC0">
        <w:rPr>
          <w:rFonts w:ascii="Fira Sans" w:hAnsi="Fira Sans"/>
          <w:sz w:val="19"/>
          <w:lang w:val="en-US"/>
        </w:rPr>
        <w:t>March</w:t>
      </w:r>
      <w:r w:rsidR="0051442B" w:rsidRPr="00661C39">
        <w:rPr>
          <w:rFonts w:ascii="Fira Sans" w:hAnsi="Fira Sans"/>
          <w:sz w:val="19"/>
          <w:lang w:val="en-US"/>
        </w:rPr>
        <w:t xml:space="preserve"> this year for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was paid on average </w:t>
      </w:r>
      <w:r w:rsidR="00D81A44">
        <w:rPr>
          <w:rFonts w:ascii="Fira Sans" w:hAnsi="Fira Sans"/>
          <w:sz w:val="19"/>
          <w:lang w:val="en-US"/>
        </w:rPr>
        <w:t>90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81A44">
        <w:rPr>
          <w:rFonts w:ascii="Fira Sans" w:hAnsi="Fira Sans"/>
          <w:sz w:val="19"/>
          <w:lang w:val="en-US"/>
        </w:rPr>
        <w:t>99</w:t>
      </w:r>
      <w:r w:rsidR="0051442B" w:rsidRPr="00661C39">
        <w:rPr>
          <w:rFonts w:ascii="Fira Sans" w:hAnsi="Fira Sans"/>
          <w:sz w:val="19"/>
          <w:lang w:val="en-US"/>
        </w:rPr>
        <w:t xml:space="preserve"> PLN/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proofErr w:type="spellEnd"/>
      <w:r w:rsidR="000A02E7">
        <w:rPr>
          <w:rFonts w:ascii="Fira Sans" w:hAnsi="Fira Sans"/>
          <w:sz w:val="19"/>
          <w:lang w:val="en-US"/>
        </w:rPr>
        <w:t>.</w:t>
      </w:r>
      <w:r w:rsidR="0051442B" w:rsidRPr="00661C39">
        <w:rPr>
          <w:rFonts w:ascii="Fira Sans" w:hAnsi="Fira Sans"/>
          <w:sz w:val="19"/>
          <w:lang w:val="en-US"/>
        </w:rPr>
        <w:t xml:space="preserve"> i.e. by </w:t>
      </w:r>
      <w:r w:rsidR="00DB57CE">
        <w:rPr>
          <w:rFonts w:ascii="Fira Sans" w:hAnsi="Fira Sans"/>
          <w:sz w:val="19"/>
          <w:lang w:val="en-US"/>
        </w:rPr>
        <w:t>10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B57CE">
        <w:rPr>
          <w:rFonts w:ascii="Fira Sans" w:hAnsi="Fira Sans"/>
          <w:sz w:val="19"/>
          <w:lang w:val="en-US"/>
        </w:rPr>
        <w:t>1</w:t>
      </w:r>
      <w:r w:rsidR="0051442B" w:rsidRPr="00661C39">
        <w:rPr>
          <w:rFonts w:ascii="Fira Sans" w:hAnsi="Fira Sans"/>
          <w:sz w:val="19"/>
          <w:lang w:val="en-US"/>
        </w:rPr>
        <w:t xml:space="preserve">% more than in the previous month. </w:t>
      </w:r>
      <w:r w:rsidR="00A07956">
        <w:rPr>
          <w:rFonts w:ascii="Fira Sans" w:hAnsi="Fira Sans"/>
          <w:sz w:val="19"/>
          <w:lang w:val="en-US"/>
        </w:rPr>
        <w:t xml:space="preserve">However, </w:t>
      </w:r>
      <w:r w:rsidR="00BE2C8D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the price dropped by </w:t>
      </w:r>
      <w:r w:rsidR="00BE2C8D">
        <w:rPr>
          <w:rFonts w:ascii="Fira Sans" w:hAnsi="Fira Sans"/>
          <w:sz w:val="19"/>
          <w:lang w:val="en-US"/>
        </w:rPr>
        <w:t>2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BE2C8D">
        <w:rPr>
          <w:rFonts w:ascii="Fira Sans" w:hAnsi="Fira Sans"/>
          <w:sz w:val="19"/>
          <w:lang w:val="en-US"/>
        </w:rPr>
        <w:t>0</w:t>
      </w:r>
      <w:r w:rsidR="0051442B" w:rsidRPr="00661C39">
        <w:rPr>
          <w:rFonts w:ascii="Fira Sans" w:hAnsi="Fira Sans"/>
          <w:sz w:val="19"/>
          <w:lang w:val="en-US"/>
        </w:rPr>
        <w:t>% on marketpla</w:t>
      </w:r>
      <w:r w:rsidR="0051442B" w:rsidRPr="00661C39">
        <w:rPr>
          <w:rFonts w:ascii="Fira Sans" w:hAnsi="Fira Sans"/>
          <w:sz w:val="19"/>
          <w:lang w:val="en-US"/>
        </w:rPr>
        <w:t>c</w:t>
      </w:r>
      <w:r w:rsidR="0051442B" w:rsidRPr="00661C39">
        <w:rPr>
          <w:rFonts w:ascii="Fira Sans" w:hAnsi="Fira Sans"/>
          <w:sz w:val="19"/>
          <w:lang w:val="en-US"/>
        </w:rPr>
        <w:t xml:space="preserve">es and amounted to </w:t>
      </w:r>
      <w:r w:rsidR="00BE2C8D">
        <w:rPr>
          <w:rFonts w:ascii="Fira Sans" w:hAnsi="Fira Sans"/>
          <w:sz w:val="19"/>
          <w:lang w:val="en-US"/>
        </w:rPr>
        <w:t>199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BE2C8D">
        <w:rPr>
          <w:rFonts w:ascii="Fira Sans" w:hAnsi="Fira Sans"/>
          <w:sz w:val="19"/>
          <w:lang w:val="en-US"/>
        </w:rPr>
        <w:t>79</w:t>
      </w:r>
      <w:r w:rsidR="007C5B82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>/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proofErr w:type="spellEnd"/>
      <w:r w:rsidR="0051442B" w:rsidRPr="00661C39">
        <w:rPr>
          <w:rFonts w:ascii="Fira Sans" w:hAnsi="Fira Sans"/>
          <w:sz w:val="19"/>
          <w:lang w:val="en-US"/>
        </w:rPr>
        <w:t>.</w:t>
      </w:r>
    </w:p>
    <w:p w:rsidR="0051442B" w:rsidRPr="00661C39" w:rsidRDefault="0051442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>On a monthly basis</w:t>
      </w:r>
      <w:r w:rsidR="00D92979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procurement prices of </w:t>
      </w:r>
      <w:r w:rsidRPr="00661C39">
        <w:rPr>
          <w:rFonts w:ascii="Fira Sans" w:hAnsi="Fira Sans"/>
          <w:b/>
          <w:sz w:val="19"/>
          <w:lang w:val="en-US"/>
        </w:rPr>
        <w:t>cattle for slaughter</w:t>
      </w:r>
      <w:r w:rsidRPr="00661C39">
        <w:rPr>
          <w:rFonts w:ascii="Fira Sans" w:hAnsi="Fira Sans"/>
          <w:sz w:val="19"/>
          <w:lang w:val="en-US"/>
        </w:rPr>
        <w:t xml:space="preserve"> (6.</w:t>
      </w:r>
      <w:r w:rsidR="00D92979">
        <w:rPr>
          <w:rFonts w:ascii="Fira Sans" w:hAnsi="Fira Sans"/>
          <w:sz w:val="19"/>
          <w:lang w:val="en-US"/>
        </w:rPr>
        <w:t>25</w:t>
      </w:r>
      <w:r w:rsidR="00D123D0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PLN/kg) </w:t>
      </w:r>
      <w:r w:rsidR="00D92979">
        <w:rPr>
          <w:rFonts w:ascii="Fira Sans" w:hAnsi="Fira Sans"/>
          <w:sz w:val="19"/>
          <w:lang w:val="en-US"/>
        </w:rPr>
        <w:t>decreased</w:t>
      </w:r>
      <w:r w:rsidRPr="00661C39">
        <w:rPr>
          <w:rFonts w:ascii="Fira Sans" w:hAnsi="Fira Sans"/>
          <w:sz w:val="19"/>
          <w:lang w:val="en-US"/>
        </w:rPr>
        <w:t xml:space="preserve"> by </w:t>
      </w:r>
      <w:r w:rsidR="00827CF4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>.</w:t>
      </w:r>
      <w:r w:rsidR="00827CF4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F072F9">
        <w:rPr>
          <w:rFonts w:ascii="Fira Sans" w:hAnsi="Fira Sans"/>
          <w:sz w:val="19"/>
          <w:lang w:val="en-US"/>
        </w:rPr>
        <w:t>and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7C5B82">
        <w:rPr>
          <w:rFonts w:ascii="Fira Sans" w:hAnsi="Fira Sans"/>
          <w:sz w:val="19"/>
          <w:lang w:val="en-US"/>
        </w:rPr>
        <w:t xml:space="preserve"> in </w:t>
      </w:r>
      <w:r w:rsidRPr="00661C39">
        <w:rPr>
          <w:rFonts w:ascii="Fira Sans" w:hAnsi="Fira Sans"/>
          <w:sz w:val="19"/>
          <w:lang w:val="en-US"/>
        </w:rPr>
        <w:t xml:space="preserve"> marketplaces </w:t>
      </w:r>
      <w:r w:rsidR="007C5B82">
        <w:rPr>
          <w:rFonts w:ascii="Fira Sans" w:hAnsi="Fira Sans"/>
          <w:sz w:val="19"/>
          <w:lang w:val="en-US"/>
        </w:rPr>
        <w:t xml:space="preserve"> transa</w:t>
      </w:r>
      <w:r w:rsidR="00625C9A">
        <w:rPr>
          <w:rFonts w:ascii="Fira Sans" w:hAnsi="Fira Sans"/>
          <w:sz w:val="19"/>
          <w:lang w:val="en-US"/>
        </w:rPr>
        <w:t>c</w:t>
      </w:r>
      <w:r w:rsidR="007C5B82">
        <w:rPr>
          <w:rFonts w:ascii="Fira Sans" w:hAnsi="Fira Sans"/>
          <w:sz w:val="19"/>
          <w:lang w:val="en-US"/>
        </w:rPr>
        <w:t>tions</w:t>
      </w:r>
      <w:r w:rsidR="00F072F9">
        <w:rPr>
          <w:rFonts w:ascii="Fira Sans" w:hAnsi="Fira Sans"/>
          <w:sz w:val="19"/>
          <w:lang w:val="en-US"/>
        </w:rPr>
        <w:t xml:space="preserve">- </w:t>
      </w:r>
      <w:r w:rsidRPr="00661C39">
        <w:rPr>
          <w:rFonts w:ascii="Fira Sans" w:hAnsi="Fira Sans"/>
          <w:sz w:val="19"/>
          <w:lang w:val="en-US"/>
        </w:rPr>
        <w:t xml:space="preserve">by </w:t>
      </w:r>
      <w:r w:rsidR="00F072F9">
        <w:rPr>
          <w:rFonts w:ascii="Fira Sans" w:hAnsi="Fira Sans"/>
          <w:sz w:val="19"/>
          <w:lang w:val="en-US"/>
        </w:rPr>
        <w:t>1</w:t>
      </w:r>
      <w:r w:rsidRPr="00661C39">
        <w:rPr>
          <w:rFonts w:ascii="Fira Sans" w:hAnsi="Fira Sans"/>
          <w:sz w:val="19"/>
          <w:lang w:val="en-US"/>
        </w:rPr>
        <w:t>.</w:t>
      </w:r>
      <w:r w:rsidR="00F072F9">
        <w:rPr>
          <w:rFonts w:ascii="Fira Sans" w:hAnsi="Fira Sans"/>
          <w:sz w:val="19"/>
          <w:lang w:val="en-US"/>
        </w:rPr>
        <w:t>2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F072F9">
        <w:rPr>
          <w:rFonts w:ascii="Fira Sans" w:hAnsi="Fira Sans"/>
          <w:sz w:val="19"/>
          <w:lang w:val="en-US"/>
        </w:rPr>
        <w:t>(6.70</w:t>
      </w:r>
      <w:r w:rsidR="007C5B82">
        <w:rPr>
          <w:rFonts w:ascii="Fira Sans" w:hAnsi="Fira Sans"/>
          <w:sz w:val="19"/>
          <w:lang w:val="en-US"/>
        </w:rPr>
        <w:t xml:space="preserve"> PLN</w:t>
      </w:r>
      <w:r w:rsidR="00F072F9">
        <w:rPr>
          <w:rFonts w:ascii="Fira Sans" w:hAnsi="Fira Sans"/>
          <w:sz w:val="19"/>
          <w:lang w:val="en-US"/>
        </w:rPr>
        <w:t>/kg).</w:t>
      </w:r>
    </w:p>
    <w:p w:rsidR="0051442B" w:rsidRPr="00661C39" w:rsidRDefault="001018E2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73" type="#_x0000_t202" style="position:absolute;margin-left:419.4pt;margin-top:11pt;width:126.5pt;height:61.6pt;z-index:251833344;mso-width-relative:margin;mso-height-relative:margin" filled="f" stroked="f">
            <v:textbox>
              <w:txbxContent>
                <w:p w:rsidR="00C90019" w:rsidRDefault="00FA124A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On a monthly basis</w:t>
                  </w:r>
                  <w:r w:rsidR="00B3556C" w:rsidRPr="00B3556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there was an increase in prices of  pigs</w:t>
                  </w:r>
                  <w:r w:rsidR="00275D0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for slaughter</w:t>
                  </w:r>
                  <w:r w:rsidR="00B3556C" w:rsidRPr="00B3556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F6110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on </w:t>
                  </w:r>
                  <w:r w:rsidR="00B3556C" w:rsidRPr="00B3556C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marketplaces</w:t>
                  </w:r>
                </w:p>
              </w:txbxContent>
            </v:textbox>
          </v:shape>
        </w:pict>
      </w:r>
      <w:r w:rsidR="0051442B" w:rsidRPr="00661C39">
        <w:rPr>
          <w:rFonts w:ascii="Fira Sans" w:hAnsi="Fira Sans"/>
          <w:sz w:val="19"/>
          <w:lang w:val="en-US"/>
        </w:rPr>
        <w:t xml:space="preserve">The prices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in </w:t>
      </w:r>
      <w:r w:rsidR="006A3FC0">
        <w:rPr>
          <w:rFonts w:ascii="Fira Sans" w:hAnsi="Fira Sans"/>
          <w:sz w:val="19"/>
          <w:lang w:val="en-US"/>
        </w:rPr>
        <w:t>March</w:t>
      </w:r>
      <w:r w:rsidR="0051442B" w:rsidRPr="00661C39">
        <w:rPr>
          <w:rFonts w:ascii="Fira Sans" w:hAnsi="Fira Sans"/>
          <w:sz w:val="19"/>
          <w:lang w:val="en-US"/>
        </w:rPr>
        <w:t xml:space="preserve"> 2020 were at the level of 6.2</w:t>
      </w:r>
      <w:r w:rsidR="006C55A5">
        <w:rPr>
          <w:rFonts w:ascii="Fira Sans" w:hAnsi="Fira Sans"/>
          <w:sz w:val="19"/>
          <w:lang w:val="en-US"/>
        </w:rPr>
        <w:t>8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/kg and were higher by </w:t>
      </w:r>
      <w:r w:rsidR="006C55A5">
        <w:rPr>
          <w:rFonts w:ascii="Fira Sans" w:hAnsi="Fira Sans"/>
          <w:sz w:val="19"/>
          <w:lang w:val="en-US"/>
        </w:rPr>
        <w:t>0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6C55A5">
        <w:rPr>
          <w:rFonts w:ascii="Fira Sans" w:hAnsi="Fira Sans"/>
          <w:sz w:val="19"/>
          <w:lang w:val="en-US"/>
        </w:rPr>
        <w:t>2</w:t>
      </w:r>
      <w:r w:rsidR="0051442B" w:rsidRPr="00661C39">
        <w:rPr>
          <w:rFonts w:ascii="Fira Sans" w:hAnsi="Fira Sans"/>
          <w:sz w:val="19"/>
          <w:lang w:val="en-US"/>
        </w:rPr>
        <w:t xml:space="preserve">% than </w:t>
      </w:r>
      <w:r w:rsidR="0090019A">
        <w:rPr>
          <w:rFonts w:ascii="Fira Sans" w:hAnsi="Fira Sans"/>
          <w:sz w:val="19"/>
          <w:lang w:val="en-US"/>
        </w:rPr>
        <w:t>February this year</w:t>
      </w:r>
      <w:r w:rsidR="0051442B" w:rsidRPr="00661C39">
        <w:rPr>
          <w:rFonts w:ascii="Fira Sans" w:hAnsi="Fira Sans"/>
          <w:sz w:val="19"/>
          <w:lang w:val="en-US"/>
        </w:rPr>
        <w:t>. On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6.</w:t>
      </w:r>
      <w:r w:rsidR="004F030D">
        <w:rPr>
          <w:rFonts w:ascii="Fira Sans" w:hAnsi="Fira Sans"/>
          <w:sz w:val="19"/>
          <w:lang w:val="en-US"/>
        </w:rPr>
        <w:t>74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 livestock. i.e. </w:t>
      </w:r>
      <w:r w:rsidR="004F030D">
        <w:rPr>
          <w:rFonts w:ascii="Fira Sans" w:hAnsi="Fira Sans"/>
          <w:sz w:val="19"/>
          <w:lang w:val="en-US"/>
        </w:rPr>
        <w:t>9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4F030D">
        <w:rPr>
          <w:rFonts w:ascii="Fira Sans" w:hAnsi="Fira Sans"/>
          <w:sz w:val="19"/>
          <w:lang w:val="en-US"/>
        </w:rPr>
        <w:t>8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C7493B">
        <w:rPr>
          <w:rFonts w:ascii="Fira Sans" w:hAnsi="Fira Sans"/>
          <w:sz w:val="19"/>
          <w:lang w:val="en-US"/>
        </w:rPr>
        <w:t>more</w:t>
      </w:r>
      <w:r w:rsidR="0051442B" w:rsidRPr="00661C39">
        <w:rPr>
          <w:rFonts w:ascii="Fira Sans" w:hAnsi="Fira Sans"/>
          <w:sz w:val="19"/>
          <w:lang w:val="en-US"/>
        </w:rPr>
        <w:t xml:space="preserve"> compared to the previous month.</w:t>
      </w:r>
    </w:p>
    <w:p w:rsidR="0051442B" w:rsidRPr="00661C39" w:rsidRDefault="00D16EF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On a monthly basis </w:t>
      </w:r>
      <w:r w:rsidR="0051442B" w:rsidRPr="00661C39">
        <w:rPr>
          <w:rFonts w:ascii="Fira Sans" w:hAnsi="Fira Sans"/>
          <w:sz w:val="19"/>
          <w:lang w:val="en-US"/>
        </w:rPr>
        <w:t xml:space="preserve">procurement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 w:rsidR="0051442B" w:rsidRPr="00661C39">
        <w:rPr>
          <w:rFonts w:ascii="Fira Sans" w:hAnsi="Fira Sans"/>
          <w:sz w:val="19"/>
          <w:lang w:val="en-US"/>
        </w:rPr>
        <w:t xml:space="preserve"> (3.</w:t>
      </w:r>
      <w:r>
        <w:rPr>
          <w:rFonts w:ascii="Fira Sans" w:hAnsi="Fira Sans"/>
          <w:sz w:val="19"/>
          <w:lang w:val="en-US"/>
        </w:rPr>
        <w:t>79</w:t>
      </w:r>
      <w:r w:rsidR="0051442B" w:rsidRPr="00661C39">
        <w:rPr>
          <w:rFonts w:ascii="Fira Sans" w:hAnsi="Fira Sans"/>
          <w:sz w:val="19"/>
          <w:lang w:val="en-US"/>
        </w:rPr>
        <w:t xml:space="preserve"> PLN/kg)</w:t>
      </w:r>
      <w:r>
        <w:rPr>
          <w:rFonts w:ascii="Fira Sans" w:hAnsi="Fira Sans"/>
          <w:sz w:val="19"/>
          <w:lang w:val="en-US"/>
        </w:rPr>
        <w:t xml:space="preserve"> and </w:t>
      </w:r>
      <w:r w:rsidRPr="00D16EF1">
        <w:rPr>
          <w:rFonts w:ascii="Fira Sans" w:hAnsi="Fira Sans"/>
          <w:b/>
          <w:sz w:val="19"/>
          <w:lang w:val="en-US"/>
        </w:rPr>
        <w:t>milk</w:t>
      </w:r>
      <w:r>
        <w:rPr>
          <w:rFonts w:ascii="Fira Sans" w:hAnsi="Fira Sans"/>
          <w:sz w:val="19"/>
          <w:lang w:val="en-US"/>
        </w:rPr>
        <w:t xml:space="preserve"> (136.86 PLN/1hl) 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BE094A">
        <w:rPr>
          <w:rFonts w:ascii="Fira Sans" w:hAnsi="Fira Sans"/>
          <w:sz w:val="19"/>
          <w:lang w:val="en-US"/>
        </w:rPr>
        <w:t>decreased – respectively by</w:t>
      </w:r>
      <w:r w:rsidR="0051442B" w:rsidRPr="00661C39">
        <w:rPr>
          <w:rFonts w:ascii="Fira Sans" w:hAnsi="Fira Sans"/>
          <w:sz w:val="19"/>
          <w:lang w:val="en-US"/>
        </w:rPr>
        <w:t xml:space="preserve"> 0.</w:t>
      </w:r>
      <w:r w:rsidR="00BE094A">
        <w:rPr>
          <w:rFonts w:ascii="Fira Sans" w:hAnsi="Fira Sans"/>
          <w:sz w:val="19"/>
          <w:lang w:val="en-US"/>
        </w:rPr>
        <w:t>2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BE094A">
        <w:rPr>
          <w:rFonts w:ascii="Fira Sans" w:hAnsi="Fira Sans"/>
          <w:sz w:val="19"/>
          <w:lang w:val="en-US"/>
        </w:rPr>
        <w:t>and by 0</w:t>
      </w:r>
      <w:r w:rsidR="00F4561B">
        <w:rPr>
          <w:rFonts w:ascii="Fira Sans" w:hAnsi="Fira Sans"/>
          <w:sz w:val="19"/>
          <w:lang w:val="en-US"/>
        </w:rPr>
        <w:t>.</w:t>
      </w:r>
      <w:r w:rsidR="00BE094A">
        <w:rPr>
          <w:rFonts w:ascii="Fira Sans" w:hAnsi="Fira Sans"/>
          <w:sz w:val="19"/>
          <w:lang w:val="en-US"/>
        </w:rPr>
        <w:t>4%.</w:t>
      </w:r>
    </w:p>
    <w:p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47655E" w:rsidRDefault="0047655E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AB7F1C" w:rsidRPr="00661C39" w:rsidRDefault="009C700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lastRenderedPageBreak/>
        <w:t>In a</w:t>
      </w:r>
      <w:r w:rsidR="00AB7F1C" w:rsidRPr="00661C39">
        <w:rPr>
          <w:rFonts w:ascii="Fira Sans" w:hAnsi="Fira Sans"/>
          <w:sz w:val="19"/>
          <w:lang w:val="en-US"/>
        </w:rPr>
        <w:t>nnual</w:t>
      </w:r>
      <w:r>
        <w:rPr>
          <w:rFonts w:ascii="Fira Sans" w:hAnsi="Fira Sans"/>
          <w:sz w:val="19"/>
          <w:lang w:val="en-US"/>
        </w:rPr>
        <w:t xml:space="preserve"> terms</w:t>
      </w:r>
      <w:r w:rsidR="00AB7F1C" w:rsidRPr="00661C39">
        <w:rPr>
          <w:rFonts w:ascii="Fira Sans" w:hAnsi="Fira Sans"/>
          <w:sz w:val="19"/>
          <w:lang w:val="en-US"/>
        </w:rPr>
        <w:t xml:space="preserve"> procurement prices of </w:t>
      </w:r>
      <w:r w:rsidR="00AB7F1C" w:rsidRPr="00661C39">
        <w:rPr>
          <w:rFonts w:ascii="Fira Sans" w:hAnsi="Fira Sans"/>
          <w:b/>
          <w:sz w:val="19"/>
          <w:lang w:val="en-US"/>
        </w:rPr>
        <w:t>wheat</w:t>
      </w:r>
      <w:r w:rsidR="00AB7F1C" w:rsidRPr="00661C39">
        <w:rPr>
          <w:rFonts w:ascii="Fira Sans" w:hAnsi="Fira Sans"/>
          <w:sz w:val="19"/>
          <w:lang w:val="en-US"/>
        </w:rPr>
        <w:t xml:space="preserve"> were lower by 1</w:t>
      </w:r>
      <w:r w:rsidR="00883214">
        <w:rPr>
          <w:rFonts w:ascii="Fira Sans" w:hAnsi="Fira Sans"/>
          <w:sz w:val="19"/>
          <w:lang w:val="en-US"/>
        </w:rPr>
        <w:t>0</w:t>
      </w:r>
      <w:r w:rsidR="00AB7F1C" w:rsidRPr="00661C39">
        <w:rPr>
          <w:rFonts w:ascii="Fira Sans" w:hAnsi="Fira Sans"/>
          <w:sz w:val="19"/>
          <w:lang w:val="en-US"/>
        </w:rPr>
        <w:t>.</w:t>
      </w:r>
      <w:r w:rsidR="00883214">
        <w:rPr>
          <w:rFonts w:ascii="Fira Sans" w:hAnsi="Fira Sans"/>
          <w:sz w:val="19"/>
          <w:lang w:val="en-US"/>
        </w:rPr>
        <w:t>4</w:t>
      </w:r>
      <w:r w:rsidR="00AB7F1C" w:rsidRPr="00661C39">
        <w:rPr>
          <w:rFonts w:ascii="Fira Sans" w:hAnsi="Fira Sans"/>
          <w:sz w:val="19"/>
          <w:lang w:val="en-US"/>
        </w:rPr>
        <w:t>% and by 7.</w:t>
      </w:r>
      <w:r w:rsidR="00C30F20">
        <w:rPr>
          <w:rFonts w:ascii="Fira Sans" w:hAnsi="Fira Sans"/>
          <w:sz w:val="19"/>
          <w:lang w:val="en-US"/>
        </w:rPr>
        <w:t>1</w:t>
      </w:r>
      <w:r w:rsidR="00AB7F1C" w:rsidRPr="00661C39">
        <w:rPr>
          <w:rFonts w:ascii="Fira Sans" w:hAnsi="Fira Sans"/>
          <w:sz w:val="19"/>
          <w:lang w:val="en-US"/>
        </w:rPr>
        <w:t>% in marke</w:t>
      </w:r>
      <w:r w:rsidR="00AB7F1C" w:rsidRPr="00661C39">
        <w:rPr>
          <w:rFonts w:ascii="Fira Sans" w:hAnsi="Fira Sans"/>
          <w:sz w:val="19"/>
          <w:lang w:val="en-US"/>
        </w:rPr>
        <w:t>t</w:t>
      </w:r>
      <w:r w:rsidR="00AB7F1C" w:rsidRPr="00661C39">
        <w:rPr>
          <w:rFonts w:ascii="Fira Sans" w:hAnsi="Fira Sans"/>
          <w:sz w:val="19"/>
          <w:lang w:val="en-US"/>
        </w:rPr>
        <w:t>place transactions.</w:t>
      </w:r>
    </w:p>
    <w:p w:rsidR="00AB7F1C" w:rsidRPr="00661C39" w:rsidRDefault="006040CC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F</w:t>
      </w:r>
      <w:r w:rsidR="00AB7F1C" w:rsidRPr="00661C39">
        <w:rPr>
          <w:rFonts w:ascii="Fira Sans" w:hAnsi="Fira Sans"/>
          <w:sz w:val="19"/>
          <w:lang w:val="en-US"/>
        </w:rPr>
        <w:t xml:space="preserve">or </w:t>
      </w:r>
      <w:r w:rsidR="00AB7F1C" w:rsidRPr="00661C39">
        <w:rPr>
          <w:rFonts w:ascii="Fira Sans" w:hAnsi="Fira Sans"/>
          <w:b/>
          <w:sz w:val="19"/>
          <w:lang w:val="en-US"/>
        </w:rPr>
        <w:t xml:space="preserve">rye  </w:t>
      </w:r>
      <w:r w:rsidR="00AB7F1C" w:rsidRPr="00661C39">
        <w:rPr>
          <w:rFonts w:ascii="Fira Sans" w:hAnsi="Fira Sans"/>
          <w:sz w:val="19"/>
          <w:lang w:val="en-US"/>
        </w:rPr>
        <w:t xml:space="preserve">was paid less than a year ago (respectively by </w:t>
      </w:r>
      <w:r w:rsidR="007F14F2">
        <w:rPr>
          <w:rFonts w:ascii="Fira Sans" w:hAnsi="Fira Sans"/>
          <w:sz w:val="19"/>
          <w:lang w:val="en-US"/>
        </w:rPr>
        <w:t>19</w:t>
      </w:r>
      <w:r w:rsidR="00AB7F1C" w:rsidRPr="00661C39">
        <w:rPr>
          <w:rFonts w:ascii="Fira Sans" w:hAnsi="Fira Sans"/>
          <w:sz w:val="19"/>
          <w:lang w:val="en-US"/>
        </w:rPr>
        <w:t>.</w:t>
      </w:r>
      <w:r w:rsidR="007F14F2">
        <w:rPr>
          <w:rFonts w:ascii="Fira Sans" w:hAnsi="Fira Sans"/>
          <w:sz w:val="19"/>
          <w:lang w:val="en-US"/>
        </w:rPr>
        <w:t>3</w:t>
      </w:r>
      <w:r w:rsidR="00AB7F1C" w:rsidRPr="00661C39">
        <w:rPr>
          <w:rFonts w:ascii="Fira Sans" w:hAnsi="Fira Sans"/>
          <w:sz w:val="19"/>
          <w:lang w:val="en-US"/>
        </w:rPr>
        <w:t xml:space="preserve">% and by </w:t>
      </w:r>
      <w:r w:rsidR="007F14F2">
        <w:rPr>
          <w:rFonts w:ascii="Fira Sans" w:hAnsi="Fira Sans"/>
          <w:sz w:val="19"/>
          <w:lang w:val="en-US"/>
        </w:rPr>
        <w:t>6</w:t>
      </w:r>
      <w:r w:rsidR="00AB7F1C" w:rsidRPr="00661C39">
        <w:rPr>
          <w:rFonts w:ascii="Fira Sans" w:hAnsi="Fira Sans"/>
          <w:sz w:val="19"/>
          <w:lang w:val="en-US"/>
        </w:rPr>
        <w:t>.</w:t>
      </w:r>
      <w:r w:rsidR="007F14F2">
        <w:rPr>
          <w:rFonts w:ascii="Fira Sans" w:hAnsi="Fira Sans"/>
          <w:sz w:val="19"/>
          <w:lang w:val="en-US"/>
        </w:rPr>
        <w:t>9</w:t>
      </w:r>
      <w:r w:rsidR="00AB7F1C" w:rsidRPr="00661C39">
        <w:rPr>
          <w:rFonts w:ascii="Fira Sans" w:hAnsi="Fira Sans"/>
          <w:sz w:val="19"/>
          <w:lang w:val="en-US"/>
        </w:rPr>
        <w:t>%)</w:t>
      </w:r>
      <w:r>
        <w:rPr>
          <w:rFonts w:ascii="Fira Sans" w:hAnsi="Fira Sans"/>
          <w:sz w:val="19"/>
          <w:lang w:val="en-US"/>
        </w:rPr>
        <w:t xml:space="preserve"> i</w:t>
      </w:r>
      <w:r w:rsidRPr="00661C39">
        <w:rPr>
          <w:rFonts w:ascii="Fira Sans" w:hAnsi="Fira Sans"/>
          <w:sz w:val="19"/>
          <w:lang w:val="en-US"/>
        </w:rPr>
        <w:t xml:space="preserve">n procurement </w:t>
      </w:r>
      <w:r w:rsidR="00B678AB">
        <w:rPr>
          <w:rFonts w:ascii="Fira Sans" w:hAnsi="Fira Sans"/>
          <w:sz w:val="19"/>
          <w:lang w:val="en-US"/>
        </w:rPr>
        <w:t xml:space="preserve">as well as </w:t>
      </w:r>
      <w:r w:rsidRPr="00661C39">
        <w:rPr>
          <w:rFonts w:ascii="Fira Sans" w:hAnsi="Fira Sans"/>
          <w:sz w:val="19"/>
          <w:lang w:val="en-US"/>
        </w:rPr>
        <w:t>on marketplaces</w:t>
      </w:r>
      <w:r>
        <w:rPr>
          <w:rFonts w:ascii="Fira Sans" w:hAnsi="Fira Sans"/>
          <w:sz w:val="19"/>
          <w:lang w:val="en-US"/>
        </w:rPr>
        <w:t>.</w:t>
      </w:r>
    </w:p>
    <w:p w:rsidR="00AB7F1C" w:rsidRPr="00661C39" w:rsidRDefault="00AB7F1C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In </w:t>
      </w:r>
      <w:r w:rsidR="00D758A2">
        <w:rPr>
          <w:rFonts w:ascii="Fira Sans" w:hAnsi="Fira Sans"/>
          <w:sz w:val="19"/>
          <w:lang w:val="en-US"/>
        </w:rPr>
        <w:t>March</w:t>
      </w:r>
      <w:r w:rsidRPr="00661C39">
        <w:rPr>
          <w:rFonts w:ascii="Fira Sans" w:hAnsi="Fira Sans"/>
          <w:sz w:val="19"/>
          <w:lang w:val="en-US"/>
        </w:rPr>
        <w:t xml:space="preserve"> this year compared to the same month of the last year</w:t>
      </w:r>
      <w:r w:rsidR="00AB29ED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the price of </w:t>
      </w:r>
      <w:r w:rsidRPr="00661C39">
        <w:rPr>
          <w:rFonts w:ascii="Fira Sans" w:hAnsi="Fira Sans"/>
          <w:b/>
          <w:sz w:val="19"/>
          <w:lang w:val="en-US"/>
        </w:rPr>
        <w:t>potatoes</w:t>
      </w:r>
      <w:r w:rsidRPr="00661C39">
        <w:rPr>
          <w:rFonts w:ascii="Fira Sans" w:hAnsi="Fira Sans"/>
          <w:sz w:val="19"/>
          <w:lang w:val="en-US"/>
        </w:rPr>
        <w:t xml:space="preserve"> in procurement increased by 5.</w:t>
      </w:r>
      <w:r w:rsidR="00011178">
        <w:rPr>
          <w:rFonts w:ascii="Fira Sans" w:hAnsi="Fira Sans"/>
          <w:sz w:val="19"/>
          <w:lang w:val="en-US"/>
        </w:rPr>
        <w:t>0</w:t>
      </w:r>
      <w:r w:rsidRPr="00661C39">
        <w:rPr>
          <w:rFonts w:ascii="Fira Sans" w:hAnsi="Fira Sans"/>
          <w:sz w:val="19"/>
          <w:lang w:val="en-US"/>
        </w:rPr>
        <w:t xml:space="preserve">% and in marketplace trade - by </w:t>
      </w:r>
      <w:r w:rsidR="00B06227">
        <w:rPr>
          <w:rFonts w:ascii="Fira Sans" w:hAnsi="Fira Sans"/>
          <w:sz w:val="19"/>
          <w:lang w:val="en-US"/>
        </w:rPr>
        <w:t>35</w:t>
      </w:r>
      <w:r w:rsidRPr="00661C39">
        <w:rPr>
          <w:rFonts w:ascii="Fira Sans" w:hAnsi="Fira Sans"/>
          <w:sz w:val="19"/>
          <w:lang w:val="en-US"/>
        </w:rPr>
        <w:t>.</w:t>
      </w:r>
      <w:r w:rsidR="00B06227">
        <w:rPr>
          <w:rFonts w:ascii="Fira Sans" w:hAnsi="Fira Sans"/>
          <w:sz w:val="19"/>
          <w:lang w:val="en-US"/>
        </w:rPr>
        <w:t>4</w:t>
      </w:r>
      <w:r w:rsidRPr="00661C39">
        <w:rPr>
          <w:rFonts w:ascii="Fira Sans" w:hAnsi="Fira Sans"/>
          <w:sz w:val="19"/>
          <w:lang w:val="en-US"/>
        </w:rPr>
        <w:t xml:space="preserve">%. </w:t>
      </w:r>
    </w:p>
    <w:p w:rsidR="00AB7F1C" w:rsidRPr="00661C39" w:rsidRDefault="001018E2" w:rsidP="00F10C4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68" type="#_x0000_t202" style="position:absolute;margin-left:427.2pt;margin-top:7.35pt;width:122.25pt;height:85.1pt;z-index:-25148416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KQN5&#10;xxECAAAABAAADgAAAAAAAAAAAAAAAAAuAgAAZHJzL2Uyb0RvYy54bWxQSwECLQAUAAYACAAAACEA&#10;1GIkad4AAAAKAQAADwAAAAAAAAAAAAAAAABrBAAAZHJzL2Rvd25yZXYueG1sUEsFBgAAAAAEAAQA&#10;8wAAAHYFAAAAAA==&#10;" filled="f" stroked="f">
            <v:textbox>
              <w:txbxContent>
                <w:p w:rsidR="00AB7F1C" w:rsidRPr="00661C39" w:rsidRDefault="00AB7F1C" w:rsidP="002B436C">
                  <w:pPr>
                    <w:spacing w:after="0" w:line="240" w:lineRule="exact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In annual terms, there was the price increase of pigs for slaughter in pr</w:t>
                  </w: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o</w:t>
                  </w: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curement (by </w:t>
                  </w:r>
                  <w:r w:rsidR="007E7A46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40</w:t>
                  </w: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.</w:t>
                  </w:r>
                  <w:r w:rsidR="009E7DC2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4</w:t>
                  </w: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 xml:space="preserve">%) as well as on marketplaces (by </w:t>
                  </w:r>
                  <w:r w:rsidR="007E7A46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40</w:t>
                  </w: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.</w:t>
                  </w:r>
                  <w:r w:rsidR="007E7A46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7</w:t>
                  </w:r>
                  <w:r w:rsidRPr="00661C39">
                    <w:rPr>
                      <w:rFonts w:ascii="Fira Sans" w:hAnsi="Fira Sans"/>
                      <w:color w:val="001D77"/>
                      <w:sz w:val="18"/>
                      <w:szCs w:val="18"/>
                      <w:lang w:val="en-US"/>
                    </w:rPr>
                    <w:t>%)</w:t>
                  </w:r>
                </w:p>
                <w:p w:rsidR="00AB7F1C" w:rsidRPr="00661C39" w:rsidRDefault="00AB7F1C" w:rsidP="00AB7F1C">
                  <w:pPr>
                    <w:jc w:val="both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tight"/>
          </v:shape>
        </w:pict>
      </w:r>
      <w:r w:rsidR="00AB7F1C" w:rsidRPr="00661C39">
        <w:rPr>
          <w:rFonts w:ascii="Fira Sans" w:hAnsi="Fira Sans"/>
          <w:sz w:val="19"/>
          <w:lang w:val="en-US"/>
        </w:rPr>
        <w:t xml:space="preserve">The procurement prices of </w:t>
      </w:r>
      <w:r w:rsidR="00AB7F1C" w:rsidRPr="00661C39">
        <w:rPr>
          <w:rFonts w:ascii="Fira Sans" w:hAnsi="Fira Sans"/>
          <w:b/>
          <w:sz w:val="19"/>
          <w:lang w:val="en-US"/>
        </w:rPr>
        <w:t>cattle for slaughter</w:t>
      </w:r>
      <w:r w:rsidR="00AB7F1C" w:rsidRPr="00661C39">
        <w:rPr>
          <w:rFonts w:ascii="Fira Sans" w:hAnsi="Fira Sans"/>
          <w:sz w:val="19"/>
          <w:lang w:val="en-US"/>
        </w:rPr>
        <w:t xml:space="preserve"> in </w:t>
      </w:r>
      <w:r w:rsidR="00D758A2">
        <w:rPr>
          <w:rFonts w:ascii="Fira Sans" w:hAnsi="Fira Sans"/>
          <w:sz w:val="19"/>
          <w:lang w:val="en-US"/>
        </w:rPr>
        <w:t>March</w:t>
      </w:r>
      <w:r w:rsidR="00AB7F1C" w:rsidRPr="00661C39">
        <w:rPr>
          <w:rFonts w:ascii="Fira Sans" w:hAnsi="Fira Sans"/>
          <w:sz w:val="19"/>
          <w:lang w:val="en-US"/>
        </w:rPr>
        <w:t xml:space="preserve"> 2020 were </w:t>
      </w:r>
      <w:r w:rsidR="00295E89">
        <w:rPr>
          <w:rFonts w:ascii="Fira Sans" w:hAnsi="Fira Sans"/>
          <w:sz w:val="19"/>
          <w:lang w:val="en-US"/>
        </w:rPr>
        <w:t>lower</w:t>
      </w:r>
      <w:r w:rsidR="00AB7F1C" w:rsidRPr="00661C39">
        <w:rPr>
          <w:rFonts w:ascii="Fira Sans" w:hAnsi="Fira Sans"/>
          <w:sz w:val="19"/>
          <w:lang w:val="en-US"/>
        </w:rPr>
        <w:t xml:space="preserve"> than last year by </w:t>
      </w:r>
      <w:r w:rsidR="00295E89">
        <w:rPr>
          <w:rFonts w:ascii="Fira Sans" w:hAnsi="Fira Sans"/>
          <w:sz w:val="19"/>
          <w:lang w:val="en-US"/>
        </w:rPr>
        <w:t>4</w:t>
      </w:r>
      <w:r w:rsidR="00AB7F1C" w:rsidRPr="00661C39">
        <w:rPr>
          <w:rFonts w:ascii="Fira Sans" w:hAnsi="Fira Sans"/>
          <w:sz w:val="19"/>
          <w:lang w:val="en-US"/>
        </w:rPr>
        <w:t>.</w:t>
      </w:r>
      <w:r w:rsidR="00295E89">
        <w:rPr>
          <w:rFonts w:ascii="Fira Sans" w:hAnsi="Fira Sans"/>
          <w:sz w:val="19"/>
          <w:lang w:val="en-US"/>
        </w:rPr>
        <w:t>3</w:t>
      </w:r>
      <w:r w:rsidR="00AB7F1C" w:rsidRPr="00661C39">
        <w:rPr>
          <w:rFonts w:ascii="Fira Sans" w:hAnsi="Fira Sans"/>
          <w:sz w:val="19"/>
          <w:lang w:val="en-US"/>
        </w:rPr>
        <w:t>%</w:t>
      </w:r>
      <w:r w:rsidR="00AB29ED">
        <w:rPr>
          <w:rFonts w:ascii="Fira Sans" w:hAnsi="Fira Sans"/>
          <w:sz w:val="19"/>
          <w:lang w:val="en-US"/>
        </w:rPr>
        <w:t>,</w:t>
      </w:r>
      <w:r w:rsidR="00AB7F1C" w:rsidRPr="00661C39">
        <w:rPr>
          <w:rFonts w:ascii="Fira Sans" w:hAnsi="Fira Sans"/>
          <w:sz w:val="19"/>
          <w:lang w:val="en-US"/>
        </w:rPr>
        <w:t xml:space="preserve"> </w:t>
      </w:r>
      <w:r w:rsidR="00295E89">
        <w:rPr>
          <w:rFonts w:ascii="Fira Sans" w:hAnsi="Fira Sans"/>
          <w:sz w:val="19"/>
          <w:lang w:val="en-US"/>
        </w:rPr>
        <w:t>while on marketplaces</w:t>
      </w:r>
      <w:r w:rsidR="00082865">
        <w:rPr>
          <w:rFonts w:ascii="Fira Sans" w:hAnsi="Fira Sans"/>
          <w:sz w:val="19"/>
          <w:lang w:val="en-US"/>
        </w:rPr>
        <w:t xml:space="preserve"> by 6.6%.</w:t>
      </w:r>
    </w:p>
    <w:p w:rsidR="00AB7F1C" w:rsidRPr="00661C39" w:rsidRDefault="00AB7F1C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D758A2">
        <w:rPr>
          <w:rFonts w:ascii="Fira Sans" w:hAnsi="Fira Sans"/>
          <w:sz w:val="19"/>
          <w:szCs w:val="18"/>
          <w:lang w:val="en-US"/>
        </w:rPr>
        <w:t>March</w:t>
      </w:r>
      <w:r w:rsidRPr="00661C39">
        <w:rPr>
          <w:rFonts w:ascii="Fira Sans" w:hAnsi="Fira Sans"/>
          <w:sz w:val="19"/>
          <w:szCs w:val="18"/>
          <w:lang w:val="en-US"/>
        </w:rPr>
        <w:t xml:space="preserve"> this year</w:t>
      </w:r>
      <w:r w:rsidR="00AB29ED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652E05">
        <w:rPr>
          <w:rFonts w:ascii="Fira Sans" w:hAnsi="Fira Sans"/>
          <w:sz w:val="19"/>
          <w:szCs w:val="18"/>
          <w:lang w:val="en-US"/>
        </w:rPr>
        <w:t xml:space="preserve">as related to March 2019 </w:t>
      </w:r>
      <w:r w:rsidR="00384409">
        <w:rPr>
          <w:rFonts w:ascii="Fira Sans" w:hAnsi="Fira Sans"/>
          <w:sz w:val="19"/>
          <w:szCs w:val="18"/>
          <w:lang w:val="en-US"/>
        </w:rPr>
        <w:t>for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b/>
          <w:sz w:val="19"/>
          <w:szCs w:val="18"/>
          <w:lang w:val="en-US"/>
        </w:rPr>
        <w:t>pigs for slaughter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384409">
        <w:rPr>
          <w:rFonts w:ascii="Fira Sans" w:hAnsi="Fira Sans"/>
          <w:sz w:val="19"/>
          <w:szCs w:val="18"/>
          <w:lang w:val="en-US"/>
        </w:rPr>
        <w:t>was paid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384409">
        <w:rPr>
          <w:rFonts w:ascii="Fira Sans" w:hAnsi="Fira Sans"/>
          <w:sz w:val="19"/>
          <w:szCs w:val="18"/>
          <w:lang w:val="en-US"/>
        </w:rPr>
        <w:t>more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B64C85">
        <w:rPr>
          <w:rFonts w:ascii="Fira Sans" w:hAnsi="Fira Sans"/>
          <w:sz w:val="19"/>
          <w:szCs w:val="18"/>
          <w:lang w:val="en-US"/>
        </w:rPr>
        <w:t>th</w:t>
      </w:r>
      <w:r w:rsidR="00D11189">
        <w:rPr>
          <w:rFonts w:ascii="Fira Sans" w:hAnsi="Fira Sans"/>
          <w:sz w:val="19"/>
          <w:szCs w:val="18"/>
          <w:lang w:val="en-US"/>
        </w:rPr>
        <w:t>a</w:t>
      </w:r>
      <w:r w:rsidR="00B64C85">
        <w:rPr>
          <w:rFonts w:ascii="Fira Sans" w:hAnsi="Fira Sans"/>
          <w:sz w:val="19"/>
          <w:szCs w:val="18"/>
          <w:lang w:val="en-US"/>
        </w:rPr>
        <w:t>n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FF659F">
        <w:rPr>
          <w:rFonts w:ascii="Fira Sans" w:hAnsi="Fira Sans"/>
          <w:sz w:val="19"/>
          <w:szCs w:val="18"/>
          <w:lang w:val="en-US"/>
        </w:rPr>
        <w:t>40</w:t>
      </w:r>
      <w:r w:rsidRPr="00661C39">
        <w:rPr>
          <w:rFonts w:ascii="Fira Sans" w:hAnsi="Fira Sans"/>
          <w:sz w:val="19"/>
          <w:szCs w:val="18"/>
          <w:lang w:val="en-US"/>
        </w:rPr>
        <w:t xml:space="preserve">% in procurement </w:t>
      </w:r>
      <w:r w:rsidR="00FF659F">
        <w:rPr>
          <w:rFonts w:ascii="Fira Sans" w:hAnsi="Fira Sans"/>
          <w:sz w:val="19"/>
          <w:szCs w:val="18"/>
          <w:lang w:val="en-US"/>
        </w:rPr>
        <w:t xml:space="preserve">as well as </w:t>
      </w:r>
      <w:r w:rsidR="00D703C8">
        <w:rPr>
          <w:rFonts w:ascii="Fira Sans" w:hAnsi="Fira Sans"/>
          <w:sz w:val="19"/>
          <w:szCs w:val="18"/>
          <w:lang w:val="en-US"/>
        </w:rPr>
        <w:t xml:space="preserve">in </w:t>
      </w:r>
      <w:r w:rsidR="00FF659F">
        <w:rPr>
          <w:rFonts w:ascii="Fira Sans" w:hAnsi="Fira Sans"/>
          <w:sz w:val="19"/>
          <w:szCs w:val="18"/>
          <w:lang w:val="en-US"/>
        </w:rPr>
        <w:t>marketplaces</w:t>
      </w:r>
      <w:r w:rsidR="00D703C8">
        <w:rPr>
          <w:rFonts w:ascii="Fira Sans" w:hAnsi="Fira Sans"/>
          <w:sz w:val="19"/>
          <w:szCs w:val="18"/>
          <w:lang w:val="en-US"/>
        </w:rPr>
        <w:t xml:space="preserve"> transa</w:t>
      </w:r>
      <w:r w:rsidR="00C326CF">
        <w:rPr>
          <w:rFonts w:ascii="Fira Sans" w:hAnsi="Fira Sans"/>
          <w:sz w:val="19"/>
          <w:szCs w:val="18"/>
          <w:lang w:val="en-US"/>
        </w:rPr>
        <w:t>c</w:t>
      </w:r>
      <w:r w:rsidR="00D703C8">
        <w:rPr>
          <w:rFonts w:ascii="Fira Sans" w:hAnsi="Fira Sans"/>
          <w:sz w:val="19"/>
          <w:szCs w:val="18"/>
          <w:lang w:val="en-US"/>
        </w:rPr>
        <w:t>tions</w:t>
      </w:r>
      <w:r w:rsidR="00FF659F">
        <w:rPr>
          <w:rFonts w:ascii="Fira Sans" w:hAnsi="Fira Sans"/>
          <w:sz w:val="19"/>
          <w:szCs w:val="18"/>
          <w:lang w:val="en-US"/>
        </w:rPr>
        <w:t>.</w:t>
      </w:r>
    </w:p>
    <w:p w:rsidR="00A80FF5" w:rsidRPr="000F45BD" w:rsidRDefault="00A80FF5" w:rsidP="00983B65">
      <w:pPr>
        <w:rPr>
          <w:rFonts w:ascii="Fira Sans" w:hAnsi="Fira Sans"/>
          <w:sz w:val="19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:rsidR="00197733" w:rsidRPr="008279D3" w:rsidRDefault="001F63B2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 w:rsidRPr="001F63B2">
        <w:rPr>
          <w:rFonts w:ascii="Fira Sans SemiBold" w:hAnsi="Fira Sans SemiBold"/>
          <w:noProof/>
          <w:color w:val="001D77"/>
          <w:sz w:val="19"/>
          <w:szCs w:val="19"/>
          <w:lang w:eastAsia="pl-PL"/>
        </w:rPr>
        <w:drawing>
          <wp:inline distT="0" distB="0" distL="0" distR="0">
            <wp:extent cx="4907076" cy="3325244"/>
            <wp:effectExtent l="0" t="0" r="0" b="0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DB36DA" w:rsidP="00D87C6E">
      <w:pPr>
        <w:rPr>
          <w:lang w:eastAsia="pl-PL"/>
        </w:rPr>
      </w:pPr>
      <w:r w:rsidRPr="00396338">
        <w:rPr>
          <w:rFonts w:ascii="Fira Sans" w:hAnsi="Fira Sans"/>
          <w:noProof/>
          <w:sz w:val="15"/>
          <w:lang w:eastAsia="pl-PL"/>
        </w:rPr>
        <w:drawing>
          <wp:inline distT="0" distB="0" distL="0" distR="0">
            <wp:extent cx="4908884" cy="3128210"/>
            <wp:effectExtent l="0" t="0" r="0" b="0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0E43" w:rsidRDefault="00DA0E43" w:rsidP="0065446D">
      <w:pPr>
        <w:spacing w:beforeLines="10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7431BF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201C46" w:rsidP="00F3419A">
      <w:pPr>
        <w:ind w:left="142"/>
        <w:rPr>
          <w:lang w:eastAsia="pl-PL"/>
        </w:rPr>
      </w:pPr>
      <w:r w:rsidRPr="00201C46">
        <w:rPr>
          <w:noProof/>
          <w:lang w:eastAsia="pl-PL"/>
        </w:rPr>
        <w:drawing>
          <wp:inline distT="0" distB="0" distL="0" distR="0">
            <wp:extent cx="4769518" cy="3721768"/>
            <wp:effectExtent l="19050" t="0" r="0" b="0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Relation of procurement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>prices of pigs for slaughter to marketplaces prices of rye and barley as well as marketplaces prices of piglets</w:t>
      </w:r>
    </w:p>
    <w:p w:rsidR="000054E3" w:rsidRDefault="002726B0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 w:rsidRPr="0062728A">
        <w:rPr>
          <w:rFonts w:ascii="Fira Sans" w:hAnsi="Fira Sans" w:cs="Arial"/>
          <w:noProof/>
          <w:sz w:val="14"/>
          <w:szCs w:val="19"/>
          <w:lang w:eastAsia="pl-PL"/>
        </w:rPr>
        <w:drawing>
          <wp:inline distT="0" distB="0" distL="0" distR="0">
            <wp:extent cx="4939145" cy="3318163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0F45BD" w:rsidRDefault="000054E3" w:rsidP="002E7125">
      <w:pPr>
        <w:spacing w:before="120" w:after="120" w:line="240" w:lineRule="exact"/>
        <w:rPr>
          <w:rFonts w:cs="Arial"/>
          <w:color w:val="000000"/>
          <w:sz w:val="20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e differentiation of the level of prices of basic agricultural products in particular </w:t>
      </w:r>
      <w:proofErr w:type="spellStart"/>
      <w:r w:rsidR="00CA42A5" w:rsidRPr="000F45BD">
        <w:rPr>
          <w:rFonts w:ascii="Fira Sans" w:hAnsi="Fira Sans" w:cs="Arial"/>
          <w:sz w:val="19"/>
          <w:szCs w:val="19"/>
          <w:lang w:val="en-US"/>
        </w:rPr>
        <w:t>voivodships</w:t>
      </w:r>
      <w:proofErr w:type="spellEnd"/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</w:p>
    <w:p w:rsidR="00CA42A5" w:rsidRPr="000F45BD" w:rsidRDefault="00CA42A5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CA42A5" w:rsidRPr="000F45BD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8"/>
        <w:gridCol w:w="3925"/>
      </w:tblGrid>
      <w:tr w:rsidR="00875905" w:rsidRPr="00661C3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proofErr w:type="spellStart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</w:t>
            </w:r>
            <w:proofErr w:type="spellEnd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Trade and Services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Departament</w:t>
            </w:r>
            <w:proofErr w:type="spellEnd"/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Spokesperon</w:t>
            </w:r>
            <w:proofErr w:type="spellEnd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  <w:proofErr w:type="spellEnd"/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CD26D8" w:rsidRPr="00661C3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1018E2" w:rsidP="00CD26D8">
      <w:pPr>
        <w:rPr>
          <w:sz w:val="18"/>
        </w:rPr>
      </w:pPr>
      <w:r>
        <w:rPr>
          <w:noProof/>
          <w:sz w:val="18"/>
          <w:lang w:eastAsia="pl-PL"/>
        </w:rPr>
        <w:pict>
          <v:shape id="Text Box 65" o:spid="_x0000_s1032" type="#_x0000_t202" style="position:absolute;margin-left:-5.25pt;margin-top:93.8pt;width:516.5pt;height:313.25pt;z-index:25181081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+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HbjJvjECAABaBAAADgAAAAAAAAAAAAAA&#10;AAAuAgAAZHJzL2Uyb0RvYy54bWxQSwECLQAUAAYACAAAACEA5xXAg+IAAAAMAQAADwAAAAAAAAAA&#10;AAAAAACLBAAAZHJzL2Rvd25yZXYueG1sUEsFBgAAAAAEAAQA8wAAAJoFAAAAAA==&#10;" fillcolor="#f2f2f2" strokecolor="white">
            <v:textbox style="mso-next-textbox:#Text Box 65">
              <w:txbxContent>
                <w:p w:rsidR="00133140" w:rsidRDefault="00133140" w:rsidP="00CD26D8">
                  <w:pPr>
                    <w:rPr>
                      <w:b/>
                    </w:rPr>
                  </w:pPr>
                </w:p>
                <w:p w:rsidR="00133140" w:rsidRPr="000F45BD" w:rsidRDefault="006E1DDA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sz w:val="19"/>
                      <w:szCs w:val="19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sz w:val="19"/>
                      <w:szCs w:val="19"/>
                      <w:lang w:val="en-US"/>
                    </w:rPr>
                    <w:t>Related information</w:t>
                  </w:r>
                </w:p>
                <w:p w:rsidR="004B514A" w:rsidRPr="000F45BD" w:rsidRDefault="001018E2" w:rsidP="004B514A">
                  <w:pPr>
                    <w:spacing w:before="120" w:after="120" w:line="240" w:lineRule="exact"/>
                    <w:rPr>
                      <w:rStyle w:val="Hipercze"/>
                      <w:rFonts w:cstheme="minorBidi"/>
                      <w:color w:val="001D77"/>
                      <w:lang w:val="en-US"/>
                    </w:rPr>
                  </w:pPr>
                  <w:hyperlink r:id="rId23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Information on the socio-economic situation of the country in 2019</w:t>
                    </w:r>
                  </w:hyperlink>
                  <w:r w:rsidR="004B514A" w:rsidRPr="000F45BD">
                    <w:rPr>
                      <w:rStyle w:val="Hipercze"/>
                      <w:rFonts w:cstheme="minorBidi"/>
                      <w:color w:val="001D77"/>
                      <w:lang w:val="en-US"/>
                    </w:rPr>
                    <w:t xml:space="preserve"> </w:t>
                  </w:r>
                </w:p>
                <w:p w:rsidR="004B514A" w:rsidRPr="000F45BD" w:rsidRDefault="001018E2" w:rsidP="00CB6786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4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Procurement and prices of agricultural products in 2018</w:t>
                    </w:r>
                  </w:hyperlink>
                  <w:r w:rsidR="004B514A" w:rsidRPr="000F45BD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4B514A" w:rsidRPr="000F45BD" w:rsidRDefault="001018E2" w:rsidP="00CB6786">
                  <w:pPr>
                    <w:spacing w:before="120" w:after="120" w:line="240" w:lineRule="exact"/>
                    <w:rPr>
                      <w:rStyle w:val="Hipercze"/>
                      <w:rFonts w:cstheme="minorBidi"/>
                      <w:color w:val="001D77"/>
                      <w:lang w:val="en-US"/>
                    </w:rPr>
                  </w:pPr>
                  <w:hyperlink r:id="rId25" w:history="1">
                    <w:r w:rsidR="004B514A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Prices in the national economy in 2014-2018</w:t>
                    </w:r>
                  </w:hyperlink>
                  <w:r w:rsidR="004B514A" w:rsidRPr="000F45BD">
                    <w:rPr>
                      <w:rStyle w:val="Hipercze"/>
                      <w:rFonts w:cstheme="minorBidi"/>
                      <w:color w:val="001D77"/>
                      <w:lang w:val="en-US"/>
                    </w:rPr>
                    <w:t xml:space="preserve"> </w:t>
                  </w:r>
                </w:p>
                <w:p w:rsidR="00133140" w:rsidRPr="000F45BD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  <w:lang w:val="en-US"/>
                    </w:rPr>
                  </w:pPr>
                </w:p>
                <w:p w:rsidR="00133140" w:rsidRPr="000F45BD" w:rsidRDefault="00CE315A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b/>
                      <w:color w:val="000000"/>
                      <w:sz w:val="19"/>
                      <w:szCs w:val="19"/>
                      <w:u w:val="none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  <w:t>Data available in databases</w:t>
                  </w:r>
                </w:p>
                <w:p w:rsidR="00126062" w:rsidRPr="000F45BD" w:rsidRDefault="001018E2" w:rsidP="00666A3D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6" w:history="1">
                    <w:r w:rsidR="0012606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BDL - Prices in agriculture (monthly and annual data)</w:t>
                    </w:r>
                  </w:hyperlink>
                  <w:r w:rsidR="00126062" w:rsidRPr="000F45BD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126062" w:rsidRPr="000F45BD" w:rsidRDefault="001018E2" w:rsidP="00666A3D">
                  <w:pPr>
                    <w:spacing w:before="120" w:after="120" w:line="240" w:lineRule="exact"/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7" w:history="1">
                    <w:r w:rsidR="0012606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DBW - Prices in agriculture (monthly and annual data)</w:t>
                    </w:r>
                  </w:hyperlink>
                </w:p>
                <w:p w:rsidR="00133140" w:rsidRPr="000F45BD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  <w:lang w:val="en-US"/>
                    </w:rPr>
                  </w:pPr>
                </w:p>
                <w:p w:rsidR="00133140" w:rsidRPr="000F45BD" w:rsidRDefault="00CE315A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</w:pPr>
                  <w:r w:rsidRPr="000F45BD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  <w:lang w:val="en-US"/>
                    </w:rPr>
                    <w:t>Terms used in official statistics</w:t>
                  </w:r>
                </w:p>
                <w:p w:rsidR="004B7E72" w:rsidRPr="000F45BD" w:rsidRDefault="001018E2" w:rsidP="001E7B1E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  <w:lang w:val="en-US"/>
                    </w:rPr>
                  </w:pPr>
                  <w:hyperlink r:id="rId28" w:history="1">
                    <w:r w:rsidR="004B7E72" w:rsidRPr="000F45BD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  <w:lang w:val="en-US"/>
                      </w:rPr>
                      <w:t>Procurement of agricultural products</w:t>
                    </w:r>
                  </w:hyperlink>
                </w:p>
                <w:p w:rsidR="004B7E72" w:rsidRPr="00986B31" w:rsidRDefault="001018E2" w:rsidP="001E7B1E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29" w:history="1">
                    <w:proofErr w:type="spellStart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Procurement</w:t>
                    </w:r>
                    <w:proofErr w:type="spellEnd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B7E72" w:rsidRPr="00986B31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prices</w:t>
                    </w:r>
                    <w:proofErr w:type="spellEnd"/>
                  </w:hyperlink>
                </w:p>
                <w:p w:rsidR="00713967" w:rsidRPr="00B94304" w:rsidRDefault="001018E2" w:rsidP="001E7B1E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30" w:history="1">
                    <w:proofErr w:type="spellStart"/>
                    <w:r w:rsidR="00713967" w:rsidRPr="00B94304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Marketplace</w:t>
                    </w:r>
                    <w:proofErr w:type="spellEnd"/>
                  </w:hyperlink>
                  <w:r w:rsidR="00713967" w:rsidRPr="00B94304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713967" w:rsidRPr="004F677F" w:rsidRDefault="001018E2" w:rsidP="001E7B1E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hyperlink r:id="rId31" w:history="1">
                    <w:proofErr w:type="spellStart"/>
                    <w:r w:rsidR="00713967" w:rsidRPr="004F677F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Marketplace</w:t>
                    </w:r>
                    <w:proofErr w:type="spellEnd"/>
                  </w:hyperlink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>prices</w:t>
                  </w:r>
                  <w:proofErr w:type="spellEnd"/>
                  <w:r w:rsidR="00713967" w:rsidRPr="004F677F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133140" w:rsidRPr="00564813" w:rsidRDefault="00133140" w:rsidP="00CD26D8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32"/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69D4E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8B" w:rsidRDefault="0017128B" w:rsidP="000662E2">
      <w:pPr>
        <w:spacing w:after="0" w:line="240" w:lineRule="auto"/>
      </w:pPr>
      <w:r>
        <w:separator/>
      </w:r>
    </w:p>
  </w:endnote>
  <w:endnote w:type="continuationSeparator" w:id="0">
    <w:p w:rsidR="0017128B" w:rsidRDefault="001712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5446D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5446D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8B" w:rsidRDefault="0017128B" w:rsidP="000662E2">
      <w:pPr>
        <w:spacing w:after="0" w:line="240" w:lineRule="auto"/>
      </w:pPr>
      <w:r>
        <w:separator/>
      </w:r>
    </w:p>
  </w:footnote>
  <w:footnote w:type="continuationSeparator" w:id="0">
    <w:p w:rsidR="0017128B" w:rsidRDefault="0017128B" w:rsidP="000662E2">
      <w:pPr>
        <w:spacing w:after="0" w:line="240" w:lineRule="auto"/>
      </w:pPr>
      <w:r>
        <w:continuationSeparator/>
      </w:r>
    </w:p>
  </w:footnote>
  <w:footnote w:id="1">
    <w:p w:rsidR="0034516E" w:rsidRPr="00661C39" w:rsidRDefault="0034516E" w:rsidP="0034516E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 xml:space="preserve">Wheat, rye, cattle for slaughter, pigs for slaughter, </w:t>
      </w:r>
      <w:r w:rsidR="008F34D8" w:rsidRPr="0031038F">
        <w:rPr>
          <w:rFonts w:ascii="Fira Sans" w:hAnsi="Fira Sans"/>
          <w:sz w:val="16"/>
          <w:szCs w:val="16"/>
          <w:lang w:val="en-US"/>
        </w:rPr>
        <w:t>poultry,</w:t>
      </w:r>
      <w:r w:rsidRPr="0031038F">
        <w:rPr>
          <w:rFonts w:ascii="Fira Sans" w:hAnsi="Fira Sans"/>
          <w:sz w:val="16"/>
          <w:szCs w:val="16"/>
          <w:lang w:val="en-US"/>
        </w:rPr>
        <w:t xml:space="preserve">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:rsidR="000A15E7" w:rsidRPr="000F45BD" w:rsidRDefault="000A15E7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:rsidR="000A15E7" w:rsidRPr="000F45BD" w:rsidRDefault="000A15E7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1018E2" w:rsidP="00071652">
    <w:pPr>
      <w:pStyle w:val="Nagwek"/>
      <w:jc w:val="right"/>
    </w:pPr>
    <w:r>
      <w:rPr>
        <w:noProof/>
        <w:lang w:eastAsia="pl-PL"/>
      </w:rPr>
      <w:pict>
        <v:rect id="_x0000_s2052" style="position:absolute;left:0;text-align:left;margin-left:423.9pt;margin-top:-7.3pt;width:147.4pt;height:1803.55pt;z-index:-251652096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<v:path arrowok="t"/>
          <w10:wrap type="tigh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1018E2" w:rsidP="00F32458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4" style="position:absolute;margin-left:409.8pt;margin-top:2.75pt;width:159.8pt;height:24.15pt;flip:x;z-index:251667456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776220,0;1945005,180000;1776220,360000;0,360000;0,0" o:connectangles="0,0,0,0,0,0" textboxrect="0,0,3527018,612140"/>
          <v:textbox style="mso-next-textbox:#Schemat blokowy: opóźnienie 6">
            <w:txbxContent>
              <w:p w:rsidR="003E6589" w:rsidRPr="007747A2" w:rsidRDefault="003E6589" w:rsidP="003E6589">
                <w:pPr>
                  <w:spacing w:after="0" w:line="240" w:lineRule="auto"/>
                  <w:ind w:left="227"/>
                  <w:rPr>
                    <w:rFonts w:ascii="Fira Sans SemiBold" w:hAnsi="Fira Sans SemiBold"/>
                    <w:sz w:val="19"/>
                    <w:szCs w:val="19"/>
                  </w:rPr>
                </w:pPr>
                <w:r>
                  <w:rPr>
                    <w:rFonts w:ascii="Fira Sans SemiBold" w:hAnsi="Fira Sans SemiBold"/>
                    <w:sz w:val="19"/>
                    <w:szCs w:val="19"/>
                  </w:rPr>
                  <w:t xml:space="preserve">  NEWS 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Rectangle 5" o:spid="_x0000_s2050" style="position:absolute;margin-left:412.8pt;margin-top:-32.5pt;width:148pt;height:1583.9pt;z-index:-25165414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pb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CB/WpbgQIAAAAFAAAOAAAAAAAAAAAAAAAAAC4CAABkcnMvZTJvRG9jLnhtbFBLAQItABQABgAI&#10;AAAAIQDS8eik5QAAAA0BAAAPAAAAAAAAAAAAAAAAANsEAABkcnMvZG93bnJldi54bWxQSwUGAAAA&#10;AAQABADzAAAA7QUAAAAA&#10;" fillcolor="#f2f2f2" stroked="f" strokeweight="1pt">
          <w10:wrap type="square" anchorx="margin" anchory="margin"/>
        </v:rect>
      </w:pic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1018E2" w:rsidP="00071652">
    <w:pPr>
      <w:pStyle w:val="Nagwek"/>
      <w:jc w:val="right"/>
    </w:pPr>
    <w:r>
      <w:rPr>
        <w:noProof/>
        <w:lang w:eastAsia="pl-PL"/>
      </w:rPr>
      <w:pict>
        <v:rect id="Prostokąt 10" o:spid="_x0000_s2049" style="position:absolute;left:0;text-align:left;margin-left:423.9pt;margin-top:3.5pt;width:147.4pt;height:1803.5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<v:path arrowok="t"/>
          <w10:wrap type="tight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5pt;height:124.9pt;visibility:visible" o:bullet="t">
        <v:imagedata r:id="rId1" o:title=""/>
      </v:shape>
    </w:pict>
  </w:numPicBullet>
  <w:numPicBullet w:numPicBulletId="1">
    <w:pict>
      <v:shape id="_x0000_i1029" type="#_x0000_t75" style="width:124.35pt;height:124.9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utkowska Jolanta">
    <w15:presenceInfo w15:providerId="AD" w15:userId="S-1-5-21-3419930908-1354286565-637230989-293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7170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0532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349A"/>
    <w:rsid w:val="00013BCB"/>
    <w:rsid w:val="00014825"/>
    <w:rsid w:val="000152F5"/>
    <w:rsid w:val="00015F80"/>
    <w:rsid w:val="00017AE5"/>
    <w:rsid w:val="00020239"/>
    <w:rsid w:val="0002066A"/>
    <w:rsid w:val="0002303D"/>
    <w:rsid w:val="0002385D"/>
    <w:rsid w:val="00024A98"/>
    <w:rsid w:val="00024DEB"/>
    <w:rsid w:val="000254D2"/>
    <w:rsid w:val="000258E1"/>
    <w:rsid w:val="00026041"/>
    <w:rsid w:val="00026D6C"/>
    <w:rsid w:val="00027917"/>
    <w:rsid w:val="000309E6"/>
    <w:rsid w:val="00030CB0"/>
    <w:rsid w:val="00031080"/>
    <w:rsid w:val="000313A7"/>
    <w:rsid w:val="00031635"/>
    <w:rsid w:val="00032E2D"/>
    <w:rsid w:val="00032FB4"/>
    <w:rsid w:val="00033484"/>
    <w:rsid w:val="00033D83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71592"/>
    <w:rsid w:val="00071652"/>
    <w:rsid w:val="00071959"/>
    <w:rsid w:val="00071C6F"/>
    <w:rsid w:val="000723BA"/>
    <w:rsid w:val="000740C0"/>
    <w:rsid w:val="000744C0"/>
    <w:rsid w:val="00075BE3"/>
    <w:rsid w:val="00075F18"/>
    <w:rsid w:val="0007647F"/>
    <w:rsid w:val="00077C73"/>
    <w:rsid w:val="00077D0A"/>
    <w:rsid w:val="000806F7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08BA"/>
    <w:rsid w:val="000B1C57"/>
    <w:rsid w:val="000B2A6F"/>
    <w:rsid w:val="000B47B4"/>
    <w:rsid w:val="000B5193"/>
    <w:rsid w:val="000B54C0"/>
    <w:rsid w:val="000B5A17"/>
    <w:rsid w:val="000B691F"/>
    <w:rsid w:val="000B6BF0"/>
    <w:rsid w:val="000B75B7"/>
    <w:rsid w:val="000B773F"/>
    <w:rsid w:val="000B7B6C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964"/>
    <w:rsid w:val="000F45BD"/>
    <w:rsid w:val="000F4A02"/>
    <w:rsid w:val="000F523E"/>
    <w:rsid w:val="000F5A18"/>
    <w:rsid w:val="000F6141"/>
    <w:rsid w:val="000F78B6"/>
    <w:rsid w:val="001005FB"/>
    <w:rsid w:val="00100B9F"/>
    <w:rsid w:val="001011C3"/>
    <w:rsid w:val="001018E2"/>
    <w:rsid w:val="00101D99"/>
    <w:rsid w:val="001028A7"/>
    <w:rsid w:val="00102FF5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2393"/>
    <w:rsid w:val="00132C84"/>
    <w:rsid w:val="00133140"/>
    <w:rsid w:val="001336E3"/>
    <w:rsid w:val="00133E8A"/>
    <w:rsid w:val="001345C8"/>
    <w:rsid w:val="0013511E"/>
    <w:rsid w:val="00135203"/>
    <w:rsid w:val="00136685"/>
    <w:rsid w:val="00136923"/>
    <w:rsid w:val="001423B6"/>
    <w:rsid w:val="00143888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B50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1945"/>
    <w:rsid w:val="001820A2"/>
    <w:rsid w:val="0018210A"/>
    <w:rsid w:val="00182AAF"/>
    <w:rsid w:val="00182B67"/>
    <w:rsid w:val="001831A8"/>
    <w:rsid w:val="00183869"/>
    <w:rsid w:val="001858E7"/>
    <w:rsid w:val="001864D0"/>
    <w:rsid w:val="001867D0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B0680"/>
    <w:rsid w:val="001B1508"/>
    <w:rsid w:val="001B1A09"/>
    <w:rsid w:val="001B1D50"/>
    <w:rsid w:val="001B22E2"/>
    <w:rsid w:val="001B2C05"/>
    <w:rsid w:val="001B3151"/>
    <w:rsid w:val="001B338B"/>
    <w:rsid w:val="001B33E5"/>
    <w:rsid w:val="001B4BB8"/>
    <w:rsid w:val="001B5146"/>
    <w:rsid w:val="001B6542"/>
    <w:rsid w:val="001B7CC3"/>
    <w:rsid w:val="001C0587"/>
    <w:rsid w:val="001C0B59"/>
    <w:rsid w:val="001C1462"/>
    <w:rsid w:val="001C3269"/>
    <w:rsid w:val="001C3883"/>
    <w:rsid w:val="001C40EC"/>
    <w:rsid w:val="001C44D2"/>
    <w:rsid w:val="001C4FAF"/>
    <w:rsid w:val="001C50BC"/>
    <w:rsid w:val="001C60C1"/>
    <w:rsid w:val="001C707C"/>
    <w:rsid w:val="001C7E09"/>
    <w:rsid w:val="001D06D4"/>
    <w:rsid w:val="001D1DB4"/>
    <w:rsid w:val="001D1E06"/>
    <w:rsid w:val="001D2C08"/>
    <w:rsid w:val="001D2E47"/>
    <w:rsid w:val="001D3335"/>
    <w:rsid w:val="001D3394"/>
    <w:rsid w:val="001D3F59"/>
    <w:rsid w:val="001D4853"/>
    <w:rsid w:val="001D6CCC"/>
    <w:rsid w:val="001D7241"/>
    <w:rsid w:val="001D726E"/>
    <w:rsid w:val="001D73E1"/>
    <w:rsid w:val="001D7B0F"/>
    <w:rsid w:val="001E009B"/>
    <w:rsid w:val="001E07FB"/>
    <w:rsid w:val="001E17F5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9C8"/>
    <w:rsid w:val="001F2F51"/>
    <w:rsid w:val="001F300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200114"/>
    <w:rsid w:val="0020019B"/>
    <w:rsid w:val="00200D39"/>
    <w:rsid w:val="00201689"/>
    <w:rsid w:val="00201C46"/>
    <w:rsid w:val="002022C4"/>
    <w:rsid w:val="002029A2"/>
    <w:rsid w:val="00202C4E"/>
    <w:rsid w:val="002040D1"/>
    <w:rsid w:val="00204FA1"/>
    <w:rsid w:val="00205CCB"/>
    <w:rsid w:val="0020676D"/>
    <w:rsid w:val="00207A22"/>
    <w:rsid w:val="00207C4A"/>
    <w:rsid w:val="002103B9"/>
    <w:rsid w:val="00212390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601D"/>
    <w:rsid w:val="00226FAC"/>
    <w:rsid w:val="002270CF"/>
    <w:rsid w:val="002314EB"/>
    <w:rsid w:val="0023159C"/>
    <w:rsid w:val="00231F58"/>
    <w:rsid w:val="00232B69"/>
    <w:rsid w:val="002331DA"/>
    <w:rsid w:val="002351B7"/>
    <w:rsid w:val="00236FC5"/>
    <w:rsid w:val="00237277"/>
    <w:rsid w:val="00237BF1"/>
    <w:rsid w:val="00240A07"/>
    <w:rsid w:val="00240E7F"/>
    <w:rsid w:val="002410D2"/>
    <w:rsid w:val="00242755"/>
    <w:rsid w:val="00242A4E"/>
    <w:rsid w:val="00242ED6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700F2"/>
    <w:rsid w:val="002701DE"/>
    <w:rsid w:val="00272203"/>
    <w:rsid w:val="002726B0"/>
    <w:rsid w:val="00275D0C"/>
    <w:rsid w:val="0027610A"/>
    <w:rsid w:val="00276811"/>
    <w:rsid w:val="00276E4C"/>
    <w:rsid w:val="002774DA"/>
    <w:rsid w:val="00281881"/>
    <w:rsid w:val="00281E52"/>
    <w:rsid w:val="00282699"/>
    <w:rsid w:val="002849F2"/>
    <w:rsid w:val="002856A6"/>
    <w:rsid w:val="00285786"/>
    <w:rsid w:val="002857DD"/>
    <w:rsid w:val="00285B9C"/>
    <w:rsid w:val="00285C29"/>
    <w:rsid w:val="00286B0C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697"/>
    <w:rsid w:val="002A0C67"/>
    <w:rsid w:val="002A4581"/>
    <w:rsid w:val="002A469F"/>
    <w:rsid w:val="002A6A73"/>
    <w:rsid w:val="002B0472"/>
    <w:rsid w:val="002B0602"/>
    <w:rsid w:val="002B0A26"/>
    <w:rsid w:val="002B0F65"/>
    <w:rsid w:val="002B31BC"/>
    <w:rsid w:val="002B3EFC"/>
    <w:rsid w:val="002B436C"/>
    <w:rsid w:val="002B6845"/>
    <w:rsid w:val="002B6B12"/>
    <w:rsid w:val="002C0852"/>
    <w:rsid w:val="002C24B0"/>
    <w:rsid w:val="002C4871"/>
    <w:rsid w:val="002C574B"/>
    <w:rsid w:val="002C73BD"/>
    <w:rsid w:val="002C77A2"/>
    <w:rsid w:val="002C7846"/>
    <w:rsid w:val="002D0806"/>
    <w:rsid w:val="002D0969"/>
    <w:rsid w:val="002D11EB"/>
    <w:rsid w:val="002D2736"/>
    <w:rsid w:val="002D38E5"/>
    <w:rsid w:val="002D42C7"/>
    <w:rsid w:val="002D4BBD"/>
    <w:rsid w:val="002D517B"/>
    <w:rsid w:val="002D51E0"/>
    <w:rsid w:val="002D5391"/>
    <w:rsid w:val="002D568D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1444"/>
    <w:rsid w:val="002E1B93"/>
    <w:rsid w:val="002E29CD"/>
    <w:rsid w:val="002E2EA2"/>
    <w:rsid w:val="002E38F8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75A2"/>
    <w:rsid w:val="003175E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67F1"/>
    <w:rsid w:val="0033794A"/>
    <w:rsid w:val="00340033"/>
    <w:rsid w:val="00340B9B"/>
    <w:rsid w:val="003429C6"/>
    <w:rsid w:val="00342AA1"/>
    <w:rsid w:val="003431C5"/>
    <w:rsid w:val="0034324D"/>
    <w:rsid w:val="00343856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DE0"/>
    <w:rsid w:val="0035137B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45A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237"/>
    <w:rsid w:val="0036795A"/>
    <w:rsid w:val="00367BE4"/>
    <w:rsid w:val="00370192"/>
    <w:rsid w:val="003705BD"/>
    <w:rsid w:val="003705F2"/>
    <w:rsid w:val="0037077F"/>
    <w:rsid w:val="0037105B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E36"/>
    <w:rsid w:val="00386177"/>
    <w:rsid w:val="00387C8C"/>
    <w:rsid w:val="0039060D"/>
    <w:rsid w:val="003919D7"/>
    <w:rsid w:val="00392155"/>
    <w:rsid w:val="00393962"/>
    <w:rsid w:val="00393A33"/>
    <w:rsid w:val="0039412E"/>
    <w:rsid w:val="003956B3"/>
    <w:rsid w:val="00396338"/>
    <w:rsid w:val="00396F14"/>
    <w:rsid w:val="00397138"/>
    <w:rsid w:val="00397D18"/>
    <w:rsid w:val="003A0560"/>
    <w:rsid w:val="003A1417"/>
    <w:rsid w:val="003A1B36"/>
    <w:rsid w:val="003A229B"/>
    <w:rsid w:val="003A2697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752D"/>
    <w:rsid w:val="003B7EC0"/>
    <w:rsid w:val="003C121E"/>
    <w:rsid w:val="003C14A2"/>
    <w:rsid w:val="003C176B"/>
    <w:rsid w:val="003C27C0"/>
    <w:rsid w:val="003C3308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73C4"/>
    <w:rsid w:val="003F011E"/>
    <w:rsid w:val="003F0D64"/>
    <w:rsid w:val="003F2F2A"/>
    <w:rsid w:val="003F4B9D"/>
    <w:rsid w:val="003F5C9F"/>
    <w:rsid w:val="003F7602"/>
    <w:rsid w:val="003F7C8C"/>
    <w:rsid w:val="003F7FE6"/>
    <w:rsid w:val="0040123B"/>
    <w:rsid w:val="004012CB"/>
    <w:rsid w:val="00402BDC"/>
    <w:rsid w:val="00406404"/>
    <w:rsid w:val="00406502"/>
    <w:rsid w:val="00406EE5"/>
    <w:rsid w:val="00407676"/>
    <w:rsid w:val="0040794E"/>
    <w:rsid w:val="00410120"/>
    <w:rsid w:val="00410948"/>
    <w:rsid w:val="00410E0B"/>
    <w:rsid w:val="00411708"/>
    <w:rsid w:val="0041222D"/>
    <w:rsid w:val="00412580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3C85"/>
    <w:rsid w:val="00423CCE"/>
    <w:rsid w:val="0042446D"/>
    <w:rsid w:val="00424619"/>
    <w:rsid w:val="00424BD6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46151"/>
    <w:rsid w:val="00447F34"/>
    <w:rsid w:val="00450CEE"/>
    <w:rsid w:val="00451EFA"/>
    <w:rsid w:val="00452C3B"/>
    <w:rsid w:val="00453C0D"/>
    <w:rsid w:val="00453D02"/>
    <w:rsid w:val="0045438F"/>
    <w:rsid w:val="00454922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6E0"/>
    <w:rsid w:val="004657FC"/>
    <w:rsid w:val="0046631D"/>
    <w:rsid w:val="00467984"/>
    <w:rsid w:val="00467C68"/>
    <w:rsid w:val="0047059B"/>
    <w:rsid w:val="00470D45"/>
    <w:rsid w:val="00470DCE"/>
    <w:rsid w:val="00470FF5"/>
    <w:rsid w:val="0047267E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40C0"/>
    <w:rsid w:val="00484D5C"/>
    <w:rsid w:val="00484F26"/>
    <w:rsid w:val="0048611F"/>
    <w:rsid w:val="004866F8"/>
    <w:rsid w:val="00486E04"/>
    <w:rsid w:val="00490049"/>
    <w:rsid w:val="004903B6"/>
    <w:rsid w:val="00492C50"/>
    <w:rsid w:val="0049330E"/>
    <w:rsid w:val="004935FC"/>
    <w:rsid w:val="004945F7"/>
    <w:rsid w:val="00494A73"/>
    <w:rsid w:val="00494EC5"/>
    <w:rsid w:val="00495555"/>
    <w:rsid w:val="0049621B"/>
    <w:rsid w:val="004964B6"/>
    <w:rsid w:val="00496C38"/>
    <w:rsid w:val="00497304"/>
    <w:rsid w:val="0049775B"/>
    <w:rsid w:val="004A0539"/>
    <w:rsid w:val="004A0C43"/>
    <w:rsid w:val="004A2F49"/>
    <w:rsid w:val="004A33F3"/>
    <w:rsid w:val="004A3B58"/>
    <w:rsid w:val="004A4FF3"/>
    <w:rsid w:val="004A6298"/>
    <w:rsid w:val="004A7DE9"/>
    <w:rsid w:val="004B0516"/>
    <w:rsid w:val="004B11E6"/>
    <w:rsid w:val="004B1528"/>
    <w:rsid w:val="004B1E0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3066"/>
    <w:rsid w:val="004C3464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10FE"/>
    <w:rsid w:val="004E5C45"/>
    <w:rsid w:val="004E6B3D"/>
    <w:rsid w:val="004E7827"/>
    <w:rsid w:val="004E799F"/>
    <w:rsid w:val="004E7B11"/>
    <w:rsid w:val="004F030D"/>
    <w:rsid w:val="004F0C3C"/>
    <w:rsid w:val="004F0F29"/>
    <w:rsid w:val="004F14DF"/>
    <w:rsid w:val="004F162D"/>
    <w:rsid w:val="004F2A5F"/>
    <w:rsid w:val="004F3628"/>
    <w:rsid w:val="004F4001"/>
    <w:rsid w:val="004F575F"/>
    <w:rsid w:val="004F59DD"/>
    <w:rsid w:val="004F60C6"/>
    <w:rsid w:val="004F63FC"/>
    <w:rsid w:val="004F7959"/>
    <w:rsid w:val="00500813"/>
    <w:rsid w:val="00500E4F"/>
    <w:rsid w:val="005011D1"/>
    <w:rsid w:val="005011FF"/>
    <w:rsid w:val="00502030"/>
    <w:rsid w:val="0050277F"/>
    <w:rsid w:val="0050466E"/>
    <w:rsid w:val="005048AB"/>
    <w:rsid w:val="005059A8"/>
    <w:rsid w:val="00505A92"/>
    <w:rsid w:val="0050636E"/>
    <w:rsid w:val="00507B04"/>
    <w:rsid w:val="005130E1"/>
    <w:rsid w:val="00513C35"/>
    <w:rsid w:val="0051442B"/>
    <w:rsid w:val="0051659A"/>
    <w:rsid w:val="005203F1"/>
    <w:rsid w:val="005203FC"/>
    <w:rsid w:val="0052160C"/>
    <w:rsid w:val="00521BC3"/>
    <w:rsid w:val="00522116"/>
    <w:rsid w:val="0052283E"/>
    <w:rsid w:val="00523169"/>
    <w:rsid w:val="0052321F"/>
    <w:rsid w:val="00524DF5"/>
    <w:rsid w:val="00525564"/>
    <w:rsid w:val="005255FB"/>
    <w:rsid w:val="005263EB"/>
    <w:rsid w:val="0053099E"/>
    <w:rsid w:val="00531632"/>
    <w:rsid w:val="00532FF8"/>
    <w:rsid w:val="005357D4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44E7"/>
    <w:rsid w:val="00565FD3"/>
    <w:rsid w:val="0056664B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1CA4"/>
    <w:rsid w:val="005A2282"/>
    <w:rsid w:val="005A230D"/>
    <w:rsid w:val="005A315F"/>
    <w:rsid w:val="005A45B3"/>
    <w:rsid w:val="005A5677"/>
    <w:rsid w:val="005A5F33"/>
    <w:rsid w:val="005A60C5"/>
    <w:rsid w:val="005A6352"/>
    <w:rsid w:val="005A651F"/>
    <w:rsid w:val="005A698C"/>
    <w:rsid w:val="005B008D"/>
    <w:rsid w:val="005B00E1"/>
    <w:rsid w:val="005B09B1"/>
    <w:rsid w:val="005B17B9"/>
    <w:rsid w:val="005B1E98"/>
    <w:rsid w:val="005B2464"/>
    <w:rsid w:val="005B397D"/>
    <w:rsid w:val="005B46C4"/>
    <w:rsid w:val="005B4A9F"/>
    <w:rsid w:val="005B4F6A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F3F"/>
    <w:rsid w:val="005C70EF"/>
    <w:rsid w:val="005C7AFA"/>
    <w:rsid w:val="005C7E09"/>
    <w:rsid w:val="005D031D"/>
    <w:rsid w:val="005D0646"/>
    <w:rsid w:val="005D1D90"/>
    <w:rsid w:val="005D3ACB"/>
    <w:rsid w:val="005D4D2A"/>
    <w:rsid w:val="005D501E"/>
    <w:rsid w:val="005D627C"/>
    <w:rsid w:val="005D678E"/>
    <w:rsid w:val="005D6965"/>
    <w:rsid w:val="005D6F34"/>
    <w:rsid w:val="005E0259"/>
    <w:rsid w:val="005E0ADF"/>
    <w:rsid w:val="005E1A58"/>
    <w:rsid w:val="005E2730"/>
    <w:rsid w:val="005E291A"/>
    <w:rsid w:val="005E38B5"/>
    <w:rsid w:val="005E4185"/>
    <w:rsid w:val="005E4B59"/>
    <w:rsid w:val="005E543E"/>
    <w:rsid w:val="005E671E"/>
    <w:rsid w:val="005E6D68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EDA"/>
    <w:rsid w:val="00632905"/>
    <w:rsid w:val="0063332A"/>
    <w:rsid w:val="0063437B"/>
    <w:rsid w:val="006359F5"/>
    <w:rsid w:val="00635BAB"/>
    <w:rsid w:val="00636475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4582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E05"/>
    <w:rsid w:val="00653646"/>
    <w:rsid w:val="006537E1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A15"/>
    <w:rsid w:val="006644F5"/>
    <w:rsid w:val="00665418"/>
    <w:rsid w:val="00665808"/>
    <w:rsid w:val="00666682"/>
    <w:rsid w:val="00666A3D"/>
    <w:rsid w:val="006673CA"/>
    <w:rsid w:val="00667532"/>
    <w:rsid w:val="00667F18"/>
    <w:rsid w:val="00670F4C"/>
    <w:rsid w:val="006752FE"/>
    <w:rsid w:val="00680455"/>
    <w:rsid w:val="00680DD6"/>
    <w:rsid w:val="00682501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74"/>
    <w:rsid w:val="0069412F"/>
    <w:rsid w:val="00694784"/>
    <w:rsid w:val="00695127"/>
    <w:rsid w:val="00697272"/>
    <w:rsid w:val="00697454"/>
    <w:rsid w:val="006A11E0"/>
    <w:rsid w:val="006A15C9"/>
    <w:rsid w:val="006A3452"/>
    <w:rsid w:val="006A366F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2275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4054"/>
    <w:rsid w:val="006D540C"/>
    <w:rsid w:val="006D612C"/>
    <w:rsid w:val="006D6332"/>
    <w:rsid w:val="006D6503"/>
    <w:rsid w:val="006D6CF9"/>
    <w:rsid w:val="006D7090"/>
    <w:rsid w:val="006E02EC"/>
    <w:rsid w:val="006E0A6F"/>
    <w:rsid w:val="006E1DDA"/>
    <w:rsid w:val="006E2BFD"/>
    <w:rsid w:val="006E49D2"/>
    <w:rsid w:val="006E64A8"/>
    <w:rsid w:val="006E65EF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24CD"/>
    <w:rsid w:val="00703DC0"/>
    <w:rsid w:val="007053D5"/>
    <w:rsid w:val="00705CB0"/>
    <w:rsid w:val="007066A3"/>
    <w:rsid w:val="00706DD3"/>
    <w:rsid w:val="00706F4E"/>
    <w:rsid w:val="00707CF2"/>
    <w:rsid w:val="00707ECB"/>
    <w:rsid w:val="00712027"/>
    <w:rsid w:val="007131F0"/>
    <w:rsid w:val="00713967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C1"/>
    <w:rsid w:val="00730E35"/>
    <w:rsid w:val="007316E0"/>
    <w:rsid w:val="007320DE"/>
    <w:rsid w:val="007322C7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95E"/>
    <w:rsid w:val="00744556"/>
    <w:rsid w:val="00744AA8"/>
    <w:rsid w:val="007456A5"/>
    <w:rsid w:val="00746187"/>
    <w:rsid w:val="007465CF"/>
    <w:rsid w:val="0074773B"/>
    <w:rsid w:val="00750915"/>
    <w:rsid w:val="00750979"/>
    <w:rsid w:val="007509C5"/>
    <w:rsid w:val="00750AA3"/>
    <w:rsid w:val="00751971"/>
    <w:rsid w:val="00751990"/>
    <w:rsid w:val="00751D12"/>
    <w:rsid w:val="00751F70"/>
    <w:rsid w:val="00752CD8"/>
    <w:rsid w:val="00752D23"/>
    <w:rsid w:val="007530C0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5F07"/>
    <w:rsid w:val="00766661"/>
    <w:rsid w:val="00770224"/>
    <w:rsid w:val="00772292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724F"/>
    <w:rsid w:val="007976BD"/>
    <w:rsid w:val="00797FBA"/>
    <w:rsid w:val="007A18B3"/>
    <w:rsid w:val="007A2410"/>
    <w:rsid w:val="007A2DC1"/>
    <w:rsid w:val="007A4B8A"/>
    <w:rsid w:val="007A508F"/>
    <w:rsid w:val="007A5500"/>
    <w:rsid w:val="007A5EDD"/>
    <w:rsid w:val="007A6A73"/>
    <w:rsid w:val="007A7CA3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D072A"/>
    <w:rsid w:val="007D0C3C"/>
    <w:rsid w:val="007D1E9D"/>
    <w:rsid w:val="007D27C8"/>
    <w:rsid w:val="007D3319"/>
    <w:rsid w:val="007D3A8A"/>
    <w:rsid w:val="007D5036"/>
    <w:rsid w:val="007D51CE"/>
    <w:rsid w:val="007D5853"/>
    <w:rsid w:val="007D597B"/>
    <w:rsid w:val="007D66EA"/>
    <w:rsid w:val="007D7C85"/>
    <w:rsid w:val="007E0439"/>
    <w:rsid w:val="007E3314"/>
    <w:rsid w:val="007E3C22"/>
    <w:rsid w:val="007E46FA"/>
    <w:rsid w:val="007E4B03"/>
    <w:rsid w:val="007E5284"/>
    <w:rsid w:val="007E7373"/>
    <w:rsid w:val="007E7A46"/>
    <w:rsid w:val="007F0D21"/>
    <w:rsid w:val="007F14F2"/>
    <w:rsid w:val="007F18D8"/>
    <w:rsid w:val="007F2AC2"/>
    <w:rsid w:val="007F2BE5"/>
    <w:rsid w:val="007F306D"/>
    <w:rsid w:val="007F324B"/>
    <w:rsid w:val="007F3410"/>
    <w:rsid w:val="007F5592"/>
    <w:rsid w:val="007F6092"/>
    <w:rsid w:val="007F6ECC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47E0"/>
    <w:rsid w:val="008152E5"/>
    <w:rsid w:val="008155BE"/>
    <w:rsid w:val="008157D7"/>
    <w:rsid w:val="00815A82"/>
    <w:rsid w:val="00816213"/>
    <w:rsid w:val="00816657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63A"/>
    <w:rsid w:val="008279D3"/>
    <w:rsid w:val="00827CF4"/>
    <w:rsid w:val="0083133D"/>
    <w:rsid w:val="00831F69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87F"/>
    <w:rsid w:val="00842DA2"/>
    <w:rsid w:val="00843135"/>
    <w:rsid w:val="00843509"/>
    <w:rsid w:val="00843795"/>
    <w:rsid w:val="0084406B"/>
    <w:rsid w:val="0084428E"/>
    <w:rsid w:val="00846DAA"/>
    <w:rsid w:val="00847555"/>
    <w:rsid w:val="00847816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624B"/>
    <w:rsid w:val="00856648"/>
    <w:rsid w:val="008602AB"/>
    <w:rsid w:val="008610A6"/>
    <w:rsid w:val="008630C8"/>
    <w:rsid w:val="00864080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7EA6"/>
    <w:rsid w:val="008902D8"/>
    <w:rsid w:val="008914E2"/>
    <w:rsid w:val="008918A2"/>
    <w:rsid w:val="00892AB4"/>
    <w:rsid w:val="00892C15"/>
    <w:rsid w:val="008956F7"/>
    <w:rsid w:val="00897149"/>
    <w:rsid w:val="0089720B"/>
    <w:rsid w:val="008A0475"/>
    <w:rsid w:val="008A0908"/>
    <w:rsid w:val="008A0A17"/>
    <w:rsid w:val="008A22FC"/>
    <w:rsid w:val="008A2389"/>
    <w:rsid w:val="008A26D9"/>
    <w:rsid w:val="008A39CE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944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B36"/>
    <w:rsid w:val="008D094F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D20"/>
    <w:rsid w:val="009043FA"/>
    <w:rsid w:val="009046B7"/>
    <w:rsid w:val="00904AE7"/>
    <w:rsid w:val="009056AE"/>
    <w:rsid w:val="0090648B"/>
    <w:rsid w:val="00910C98"/>
    <w:rsid w:val="00911FCE"/>
    <w:rsid w:val="00912639"/>
    <w:rsid w:val="00917178"/>
    <w:rsid w:val="00917989"/>
    <w:rsid w:val="00917EF4"/>
    <w:rsid w:val="00920258"/>
    <w:rsid w:val="0092032A"/>
    <w:rsid w:val="00920BE3"/>
    <w:rsid w:val="00920C33"/>
    <w:rsid w:val="00920E04"/>
    <w:rsid w:val="00921F2A"/>
    <w:rsid w:val="009220A2"/>
    <w:rsid w:val="009227A6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4733E"/>
    <w:rsid w:val="009475BA"/>
    <w:rsid w:val="00950834"/>
    <w:rsid w:val="00950893"/>
    <w:rsid w:val="00950B60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2BD1"/>
    <w:rsid w:val="00963416"/>
    <w:rsid w:val="0096391E"/>
    <w:rsid w:val="00964491"/>
    <w:rsid w:val="009647CB"/>
    <w:rsid w:val="009649C9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81B"/>
    <w:rsid w:val="00986EFC"/>
    <w:rsid w:val="009872DC"/>
    <w:rsid w:val="00987F2A"/>
    <w:rsid w:val="00990A3E"/>
    <w:rsid w:val="0099132B"/>
    <w:rsid w:val="0099143D"/>
    <w:rsid w:val="00992338"/>
    <w:rsid w:val="00993416"/>
    <w:rsid w:val="00993726"/>
    <w:rsid w:val="00993E30"/>
    <w:rsid w:val="00994BF9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76B"/>
    <w:rsid w:val="009B244D"/>
    <w:rsid w:val="009B3224"/>
    <w:rsid w:val="009B3E22"/>
    <w:rsid w:val="009B4EE0"/>
    <w:rsid w:val="009B6210"/>
    <w:rsid w:val="009B78E9"/>
    <w:rsid w:val="009C051C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455D"/>
    <w:rsid w:val="009D591C"/>
    <w:rsid w:val="009D6D1B"/>
    <w:rsid w:val="009E0168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1845"/>
    <w:rsid w:val="009F2576"/>
    <w:rsid w:val="009F3DD7"/>
    <w:rsid w:val="009F49F4"/>
    <w:rsid w:val="009F6545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619"/>
    <w:rsid w:val="00A14C84"/>
    <w:rsid w:val="00A15446"/>
    <w:rsid w:val="00A1545A"/>
    <w:rsid w:val="00A16EC3"/>
    <w:rsid w:val="00A170A9"/>
    <w:rsid w:val="00A17D7F"/>
    <w:rsid w:val="00A20B50"/>
    <w:rsid w:val="00A220D8"/>
    <w:rsid w:val="00A22444"/>
    <w:rsid w:val="00A24C54"/>
    <w:rsid w:val="00A253C7"/>
    <w:rsid w:val="00A261D4"/>
    <w:rsid w:val="00A279E6"/>
    <w:rsid w:val="00A27B55"/>
    <w:rsid w:val="00A30023"/>
    <w:rsid w:val="00A31272"/>
    <w:rsid w:val="00A32CF1"/>
    <w:rsid w:val="00A32D3E"/>
    <w:rsid w:val="00A32E29"/>
    <w:rsid w:val="00A32F14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CD9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6E8"/>
    <w:rsid w:val="00A5696C"/>
    <w:rsid w:val="00A56A97"/>
    <w:rsid w:val="00A56B24"/>
    <w:rsid w:val="00A5744F"/>
    <w:rsid w:val="00A5789C"/>
    <w:rsid w:val="00A604DD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5291"/>
    <w:rsid w:val="00A75BC8"/>
    <w:rsid w:val="00A77626"/>
    <w:rsid w:val="00A77C47"/>
    <w:rsid w:val="00A77F7C"/>
    <w:rsid w:val="00A77FC3"/>
    <w:rsid w:val="00A80FF5"/>
    <w:rsid w:val="00A81107"/>
    <w:rsid w:val="00A81235"/>
    <w:rsid w:val="00A82991"/>
    <w:rsid w:val="00A8381C"/>
    <w:rsid w:val="00A83EDC"/>
    <w:rsid w:val="00A844B5"/>
    <w:rsid w:val="00A84C3A"/>
    <w:rsid w:val="00A85DCA"/>
    <w:rsid w:val="00A8603E"/>
    <w:rsid w:val="00A86077"/>
    <w:rsid w:val="00A865D9"/>
    <w:rsid w:val="00A86779"/>
    <w:rsid w:val="00A869C5"/>
    <w:rsid w:val="00A86C7D"/>
    <w:rsid w:val="00A86ECC"/>
    <w:rsid w:val="00A86FCC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D3E"/>
    <w:rsid w:val="00AB3E11"/>
    <w:rsid w:val="00AB3F4B"/>
    <w:rsid w:val="00AB587B"/>
    <w:rsid w:val="00AB6123"/>
    <w:rsid w:val="00AB635D"/>
    <w:rsid w:val="00AB6D25"/>
    <w:rsid w:val="00AB7938"/>
    <w:rsid w:val="00AB7F1C"/>
    <w:rsid w:val="00AC02E7"/>
    <w:rsid w:val="00AC10DF"/>
    <w:rsid w:val="00AC1770"/>
    <w:rsid w:val="00AC1942"/>
    <w:rsid w:val="00AC1F5F"/>
    <w:rsid w:val="00AC3371"/>
    <w:rsid w:val="00AC3742"/>
    <w:rsid w:val="00AC40AE"/>
    <w:rsid w:val="00AC4C4A"/>
    <w:rsid w:val="00AC60C7"/>
    <w:rsid w:val="00AC675E"/>
    <w:rsid w:val="00AC6D6A"/>
    <w:rsid w:val="00AD0323"/>
    <w:rsid w:val="00AD06AD"/>
    <w:rsid w:val="00AD0E41"/>
    <w:rsid w:val="00AD1310"/>
    <w:rsid w:val="00AD2DC1"/>
    <w:rsid w:val="00AD444C"/>
    <w:rsid w:val="00AD456D"/>
    <w:rsid w:val="00AD48CD"/>
    <w:rsid w:val="00AD4B17"/>
    <w:rsid w:val="00AD5123"/>
    <w:rsid w:val="00AD6249"/>
    <w:rsid w:val="00AE01A0"/>
    <w:rsid w:val="00AE1EED"/>
    <w:rsid w:val="00AE2D4B"/>
    <w:rsid w:val="00AE2DDB"/>
    <w:rsid w:val="00AE4F99"/>
    <w:rsid w:val="00AE626C"/>
    <w:rsid w:val="00AE771B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05438"/>
    <w:rsid w:val="00B06227"/>
    <w:rsid w:val="00B10211"/>
    <w:rsid w:val="00B125DF"/>
    <w:rsid w:val="00B12CC4"/>
    <w:rsid w:val="00B1362B"/>
    <w:rsid w:val="00B14952"/>
    <w:rsid w:val="00B152C9"/>
    <w:rsid w:val="00B168D2"/>
    <w:rsid w:val="00B17E1B"/>
    <w:rsid w:val="00B2134B"/>
    <w:rsid w:val="00B2194A"/>
    <w:rsid w:val="00B2215B"/>
    <w:rsid w:val="00B22545"/>
    <w:rsid w:val="00B228F5"/>
    <w:rsid w:val="00B240EB"/>
    <w:rsid w:val="00B2462B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56C"/>
    <w:rsid w:val="00B40010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49B4"/>
    <w:rsid w:val="00B54BE8"/>
    <w:rsid w:val="00B5572E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4845"/>
    <w:rsid w:val="00B64C85"/>
    <w:rsid w:val="00B6525E"/>
    <w:rsid w:val="00B653AB"/>
    <w:rsid w:val="00B65F9E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B74"/>
    <w:rsid w:val="00B7235F"/>
    <w:rsid w:val="00B73612"/>
    <w:rsid w:val="00B74623"/>
    <w:rsid w:val="00B74EC0"/>
    <w:rsid w:val="00B759DD"/>
    <w:rsid w:val="00B761C1"/>
    <w:rsid w:val="00B761FC"/>
    <w:rsid w:val="00B7774E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94F"/>
    <w:rsid w:val="00B83FC5"/>
    <w:rsid w:val="00B85B0E"/>
    <w:rsid w:val="00B8679E"/>
    <w:rsid w:val="00B86A70"/>
    <w:rsid w:val="00B86DC4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E78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FC1"/>
    <w:rsid w:val="00BB3B7F"/>
    <w:rsid w:val="00BB4747"/>
    <w:rsid w:val="00BB768F"/>
    <w:rsid w:val="00BB7D28"/>
    <w:rsid w:val="00BC01E2"/>
    <w:rsid w:val="00BC022B"/>
    <w:rsid w:val="00BC1F7C"/>
    <w:rsid w:val="00BC3E9C"/>
    <w:rsid w:val="00BC4B00"/>
    <w:rsid w:val="00BC54E6"/>
    <w:rsid w:val="00BC56C8"/>
    <w:rsid w:val="00BC6015"/>
    <w:rsid w:val="00BC6C2E"/>
    <w:rsid w:val="00BD214B"/>
    <w:rsid w:val="00BD23B3"/>
    <w:rsid w:val="00BD34B6"/>
    <w:rsid w:val="00BD3AA2"/>
    <w:rsid w:val="00BD3AD5"/>
    <w:rsid w:val="00BD4B70"/>
    <w:rsid w:val="00BD4E33"/>
    <w:rsid w:val="00BD5271"/>
    <w:rsid w:val="00BD5E10"/>
    <w:rsid w:val="00BD60C7"/>
    <w:rsid w:val="00BD6478"/>
    <w:rsid w:val="00BE094A"/>
    <w:rsid w:val="00BE131C"/>
    <w:rsid w:val="00BE1FB4"/>
    <w:rsid w:val="00BE2638"/>
    <w:rsid w:val="00BE2C8D"/>
    <w:rsid w:val="00BE2E0F"/>
    <w:rsid w:val="00BE34A5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9C4"/>
    <w:rsid w:val="00C00BF5"/>
    <w:rsid w:val="00C0125E"/>
    <w:rsid w:val="00C013E6"/>
    <w:rsid w:val="00C01489"/>
    <w:rsid w:val="00C01726"/>
    <w:rsid w:val="00C030DE"/>
    <w:rsid w:val="00C041B3"/>
    <w:rsid w:val="00C05487"/>
    <w:rsid w:val="00C06780"/>
    <w:rsid w:val="00C06950"/>
    <w:rsid w:val="00C06A88"/>
    <w:rsid w:val="00C07640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26CF"/>
    <w:rsid w:val="00C33916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3E0B"/>
    <w:rsid w:val="00C44E36"/>
    <w:rsid w:val="00C4523F"/>
    <w:rsid w:val="00C4577D"/>
    <w:rsid w:val="00C4726F"/>
    <w:rsid w:val="00C4735E"/>
    <w:rsid w:val="00C47A6B"/>
    <w:rsid w:val="00C51B9B"/>
    <w:rsid w:val="00C52068"/>
    <w:rsid w:val="00C53CB4"/>
    <w:rsid w:val="00C55277"/>
    <w:rsid w:val="00C5554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C0E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6E7B"/>
    <w:rsid w:val="00C90019"/>
    <w:rsid w:val="00C90962"/>
    <w:rsid w:val="00C91687"/>
    <w:rsid w:val="00C9221A"/>
    <w:rsid w:val="00C924A8"/>
    <w:rsid w:val="00C9276F"/>
    <w:rsid w:val="00C93F22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7B7B"/>
    <w:rsid w:val="00CB1C25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44AA"/>
    <w:rsid w:val="00CD58B7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F75"/>
    <w:rsid w:val="00CF01FB"/>
    <w:rsid w:val="00CF0476"/>
    <w:rsid w:val="00CF11C0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C08"/>
    <w:rsid w:val="00D01E21"/>
    <w:rsid w:val="00D025F3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A6"/>
    <w:rsid w:val="00D16EF1"/>
    <w:rsid w:val="00D20E75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863"/>
    <w:rsid w:val="00D338F8"/>
    <w:rsid w:val="00D34617"/>
    <w:rsid w:val="00D36A5E"/>
    <w:rsid w:val="00D36FC0"/>
    <w:rsid w:val="00D37BB9"/>
    <w:rsid w:val="00D37E99"/>
    <w:rsid w:val="00D401E4"/>
    <w:rsid w:val="00D40CAD"/>
    <w:rsid w:val="00D40CBF"/>
    <w:rsid w:val="00D41F03"/>
    <w:rsid w:val="00D4389C"/>
    <w:rsid w:val="00D457C0"/>
    <w:rsid w:val="00D457F5"/>
    <w:rsid w:val="00D465D3"/>
    <w:rsid w:val="00D46D5C"/>
    <w:rsid w:val="00D47776"/>
    <w:rsid w:val="00D47C12"/>
    <w:rsid w:val="00D47D56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3D6"/>
    <w:rsid w:val="00D65656"/>
    <w:rsid w:val="00D65740"/>
    <w:rsid w:val="00D666D4"/>
    <w:rsid w:val="00D66C25"/>
    <w:rsid w:val="00D6738D"/>
    <w:rsid w:val="00D675F9"/>
    <w:rsid w:val="00D67AEF"/>
    <w:rsid w:val="00D703C8"/>
    <w:rsid w:val="00D70951"/>
    <w:rsid w:val="00D70EF7"/>
    <w:rsid w:val="00D72229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A46"/>
    <w:rsid w:val="00D85184"/>
    <w:rsid w:val="00D85353"/>
    <w:rsid w:val="00D85549"/>
    <w:rsid w:val="00D858BA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EBC"/>
    <w:rsid w:val="00DA4A9F"/>
    <w:rsid w:val="00DA4AAD"/>
    <w:rsid w:val="00DA4E15"/>
    <w:rsid w:val="00DA5307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316"/>
    <w:rsid w:val="00DC1A99"/>
    <w:rsid w:val="00DC2BD5"/>
    <w:rsid w:val="00DC301C"/>
    <w:rsid w:val="00DC3553"/>
    <w:rsid w:val="00DC3860"/>
    <w:rsid w:val="00DC3B08"/>
    <w:rsid w:val="00DC3E22"/>
    <w:rsid w:val="00DC42F7"/>
    <w:rsid w:val="00DC4CFA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50E3"/>
    <w:rsid w:val="00DD52CE"/>
    <w:rsid w:val="00DD6945"/>
    <w:rsid w:val="00DD6CCB"/>
    <w:rsid w:val="00DD7814"/>
    <w:rsid w:val="00DE08D5"/>
    <w:rsid w:val="00DE2700"/>
    <w:rsid w:val="00DE31F3"/>
    <w:rsid w:val="00DE3E51"/>
    <w:rsid w:val="00DE4222"/>
    <w:rsid w:val="00DE438A"/>
    <w:rsid w:val="00DE4CA5"/>
    <w:rsid w:val="00DE50A9"/>
    <w:rsid w:val="00DE564A"/>
    <w:rsid w:val="00DE7E39"/>
    <w:rsid w:val="00DF0A00"/>
    <w:rsid w:val="00DF0DE3"/>
    <w:rsid w:val="00DF1833"/>
    <w:rsid w:val="00DF1BC8"/>
    <w:rsid w:val="00DF2827"/>
    <w:rsid w:val="00DF2D14"/>
    <w:rsid w:val="00DF382B"/>
    <w:rsid w:val="00DF3C45"/>
    <w:rsid w:val="00DF42EA"/>
    <w:rsid w:val="00DF45C5"/>
    <w:rsid w:val="00DF476C"/>
    <w:rsid w:val="00DF62E2"/>
    <w:rsid w:val="00DF6DE7"/>
    <w:rsid w:val="00DF6FA0"/>
    <w:rsid w:val="00DF75AF"/>
    <w:rsid w:val="00DF7947"/>
    <w:rsid w:val="00E00706"/>
    <w:rsid w:val="00E00E4F"/>
    <w:rsid w:val="00E01436"/>
    <w:rsid w:val="00E020E5"/>
    <w:rsid w:val="00E024E6"/>
    <w:rsid w:val="00E03530"/>
    <w:rsid w:val="00E03D47"/>
    <w:rsid w:val="00E045BD"/>
    <w:rsid w:val="00E04C02"/>
    <w:rsid w:val="00E0528D"/>
    <w:rsid w:val="00E05459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6D"/>
    <w:rsid w:val="00E178F3"/>
    <w:rsid w:val="00E17B77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880"/>
    <w:rsid w:val="00E43FD8"/>
    <w:rsid w:val="00E4471B"/>
    <w:rsid w:val="00E44C0F"/>
    <w:rsid w:val="00E45A08"/>
    <w:rsid w:val="00E46137"/>
    <w:rsid w:val="00E46E72"/>
    <w:rsid w:val="00E4714C"/>
    <w:rsid w:val="00E47265"/>
    <w:rsid w:val="00E47B2B"/>
    <w:rsid w:val="00E47D5C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EBA"/>
    <w:rsid w:val="00E854AF"/>
    <w:rsid w:val="00E864D2"/>
    <w:rsid w:val="00E86D8E"/>
    <w:rsid w:val="00E86E65"/>
    <w:rsid w:val="00E90C23"/>
    <w:rsid w:val="00E91653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AD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542"/>
    <w:rsid w:val="00ED4FDD"/>
    <w:rsid w:val="00ED55C0"/>
    <w:rsid w:val="00ED62C2"/>
    <w:rsid w:val="00ED670D"/>
    <w:rsid w:val="00ED682B"/>
    <w:rsid w:val="00EE027D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2275"/>
    <w:rsid w:val="00EF3C9B"/>
    <w:rsid w:val="00EF47A0"/>
    <w:rsid w:val="00EF58D7"/>
    <w:rsid w:val="00EF686D"/>
    <w:rsid w:val="00EF7B65"/>
    <w:rsid w:val="00EF7B92"/>
    <w:rsid w:val="00F00196"/>
    <w:rsid w:val="00F001A8"/>
    <w:rsid w:val="00F00806"/>
    <w:rsid w:val="00F02279"/>
    <w:rsid w:val="00F036BD"/>
    <w:rsid w:val="00F037A4"/>
    <w:rsid w:val="00F03AE0"/>
    <w:rsid w:val="00F03FEA"/>
    <w:rsid w:val="00F04FC6"/>
    <w:rsid w:val="00F05545"/>
    <w:rsid w:val="00F072F9"/>
    <w:rsid w:val="00F073D0"/>
    <w:rsid w:val="00F10C4B"/>
    <w:rsid w:val="00F11B41"/>
    <w:rsid w:val="00F1268D"/>
    <w:rsid w:val="00F13D23"/>
    <w:rsid w:val="00F15FE1"/>
    <w:rsid w:val="00F16D68"/>
    <w:rsid w:val="00F17264"/>
    <w:rsid w:val="00F20C16"/>
    <w:rsid w:val="00F21675"/>
    <w:rsid w:val="00F21B3D"/>
    <w:rsid w:val="00F22774"/>
    <w:rsid w:val="00F229C7"/>
    <w:rsid w:val="00F22C60"/>
    <w:rsid w:val="00F2486B"/>
    <w:rsid w:val="00F25162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2B89"/>
    <w:rsid w:val="00F533FF"/>
    <w:rsid w:val="00F53E18"/>
    <w:rsid w:val="00F53EA6"/>
    <w:rsid w:val="00F54D0D"/>
    <w:rsid w:val="00F54FDE"/>
    <w:rsid w:val="00F550DC"/>
    <w:rsid w:val="00F5619A"/>
    <w:rsid w:val="00F5668E"/>
    <w:rsid w:val="00F56A3E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71BDD"/>
    <w:rsid w:val="00F720E6"/>
    <w:rsid w:val="00F721CD"/>
    <w:rsid w:val="00F7265E"/>
    <w:rsid w:val="00F73B32"/>
    <w:rsid w:val="00F74FA7"/>
    <w:rsid w:val="00F74FC1"/>
    <w:rsid w:val="00F75CFF"/>
    <w:rsid w:val="00F76212"/>
    <w:rsid w:val="00F7680C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4AB3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D78"/>
    <w:rsid w:val="00FB5F0A"/>
    <w:rsid w:val="00FB6189"/>
    <w:rsid w:val="00FB6FDA"/>
    <w:rsid w:val="00FB762F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58E0"/>
    <w:rsid w:val="00FC666F"/>
    <w:rsid w:val="00FC6D31"/>
    <w:rsid w:val="00FC6E6B"/>
    <w:rsid w:val="00FC76E2"/>
    <w:rsid w:val="00FD0303"/>
    <w:rsid w:val="00FD054F"/>
    <w:rsid w:val="00FD098D"/>
    <w:rsid w:val="00FD0A15"/>
    <w:rsid w:val="00FD1343"/>
    <w:rsid w:val="00FD179A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prices/prices-in-the-national-economy-in-20142018,2,15.html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yperlink" Target="https://stat.gov.pl/metainformacje/slownik-pojec/pojecia-stosowane-w-statystyce-publicznej/3234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eader" Target="header3.xm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microsoft.com/office/2011/relationships/commentsExtended" Target="commentsExtended.xm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20\03.2020\Wykresy%202020_03_1%20wersja%20angiels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otowskaj\Documents\Moje%20pisma\DOKUMENTY\2020\Wykresy%202020_03_2%20wersja%20angielsk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towskaj\Documents\Moje%20pisma\DOKUMENTY\2020\Wykresy%202019_03_3%20&#322;&#261;czone%20pszenica%20i%20&#380;yto%20marzec%202020%20wersja%20angiels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20\03.2020\Wykresy%202020_03_3%20wersja%20angielsk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03.2020\Wykresy%202020_03_4%20wersja%20angiels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20\03.2020\Wykresy%202020_03_5%20wersja%20angiels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8631580006059678E-2"/>
          <c:y val="9.4954420532444558E-2"/>
          <c:w val="0.90849164572387875"/>
          <c:h val="0.72681374351082095"/>
        </c:manualLayout>
      </c:layout>
      <c:lineChart>
        <c:grouping val="standard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212632894283E-2"/>
                  <c:y val="-4.6525641414430725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0</a:t>
                    </a:r>
                    <a:r>
                      <a:rPr lang="en-US"/>
                      <a:t>.4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55710732869171E-2"/>
                  <c:y val="4.3840703014701402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1.3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3005764022575419E-2"/>
                  <c:y val="3.8532600577084956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0.9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014712949929069E-2"/>
                  <c:y val="-4.707262530929327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700" baseline="0">
                        <a:latin typeface="Fira Sans" panose="020B0503050000020004" pitchFamily="34" charset="0"/>
                        <a:ea typeface="Fira Sans" panose="020B0503050000020004" pitchFamily="34" charset="0"/>
                      </a:defRPr>
                    </a:pPr>
                    <a:r>
                      <a:rPr lang="en-US" sz="700" baseline="0"/>
                      <a:t>2</a:t>
                    </a:r>
                    <a:r>
                      <a:rPr lang="en-US"/>
                      <a:t>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3.0256907333724294E-2"/>
                  <c:y val="-4.8914624462422895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1</a:t>
                    </a:r>
                    <a:r>
                      <a:rPr lang="en-US"/>
                      <a:t>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1791442910555995E-2"/>
                  <c:y val="-3.9556931813459442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2</a:t>
                    </a:r>
                    <a:r>
                      <a:rPr lang="en-US"/>
                      <a:t>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4588894878037741E-2"/>
                  <c:y val="-1.7321635391942588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1</a:t>
                    </a:r>
                    <a:r>
                      <a:rPr lang="en-US"/>
                      <a:t>.4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978720718476284E-2"/>
                  <c:y val="3.8441623789643865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0.6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54540210176704E-2"/>
                  <c:y val="4.3676720163263995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0.8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714089217625078E-2"/>
                  <c:y val="5.042337554141482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700" baseline="0">
                        <a:latin typeface="Fira Sans" panose="020B0503050000020004" pitchFamily="34" charset="0"/>
                        <a:ea typeface="Fira Sans" panose="020B0503050000020004" pitchFamily="34" charset="0"/>
                      </a:defRPr>
                    </a:pPr>
                    <a:r>
                      <a:rPr lang="en-US" sz="700" baseline="0"/>
                      <a:t>-</a:t>
                    </a:r>
                    <a:r>
                      <a:rPr lang="en-US"/>
                      <a:t>0.7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4.8541209197761045E-2"/>
                      <c:h val="5.901296026319997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2.2740096096893894E-2"/>
                  <c:y val="3.3039991142847877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0.5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919817760642807E-2"/>
                  <c:y val="-2.7116698508542269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0</a:t>
                    </a:r>
                    <a:r>
                      <a:rPr lang="en-US"/>
                      <a:t>.1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783023126855268E-2"/>
                  <c:y val="7.1900270591718479E-4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2</a:t>
                    </a:r>
                    <a:r>
                      <a:rPr lang="en-US"/>
                      <a:t>.1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963318667868178E-2"/>
                  <c:y val="-4.3228774489444503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4</a:t>
                    </a:r>
                    <a:r>
                      <a:rPr lang="en-US"/>
                      <a:t>.2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2901445133646606E-2"/>
                  <c:y val="-2.3997093235482627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0</a:t>
                    </a:r>
                    <a:r>
                      <a:rPr lang="en-US"/>
                      <a:t>.0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79118735374431E-2"/>
                  <c:y val="4.4404426863350908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1.5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634117972699719E-2"/>
                  <c:y val="3.5614604357675814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0.6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346982430097941E-2"/>
                  <c:y val="-4.2774252895252017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0</a:t>
                    </a:r>
                    <a:r>
                      <a:rPr lang="en-US"/>
                      <a:t>.7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42146719402524E-2"/>
                  <c:y val="3.3425545608011469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0.2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258233909472202E-2"/>
                  <c:y val="4.6644135872147351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0.4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1918419022834124E-2"/>
                  <c:y val="-2.2994663818307001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0</a:t>
                    </a:r>
                    <a:r>
                      <a:rPr lang="en-US"/>
                      <a:t>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4354763075151395E-2"/>
                  <c:y val="-4.2403045139087783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1</a:t>
                    </a:r>
                    <a:r>
                      <a:rPr lang="en-US"/>
                      <a:t>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4.056152481137551E-2"/>
                  <c:y val="4.0283622942773677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1.4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877380646135484E-2"/>
                  <c:y val="-5.04471902212309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700" baseline="0">
                        <a:latin typeface="Fira Sans" panose="020B0503050000020004" pitchFamily="34" charset="0"/>
                        <a:ea typeface="Fira Sans" panose="020B0503050000020004" pitchFamily="34" charset="0"/>
                      </a:defRPr>
                    </a:pPr>
                    <a:r>
                      <a:rPr lang="en-US" sz="700" baseline="0"/>
                      <a:t>1</a:t>
                    </a:r>
                    <a:r>
                      <a:rPr lang="en-US"/>
                      <a:t>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4"/>
              <c:layout>
                <c:manualLayout>
                  <c:x val="-2.4272052158542449E-2"/>
                  <c:y val="4.2690681167742821E-2"/>
                </c:manualLayout>
              </c:layout>
              <c:tx>
                <c:rich>
                  <a:bodyPr/>
                  <a:lstStyle/>
                  <a:p>
                    <a:r>
                      <a:rPr lang="en-US" sz="700" baseline="0"/>
                      <a:t>-</a:t>
                    </a:r>
                    <a:r>
                      <a:rPr lang="en-US"/>
                      <a:t>0.3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III 2018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0.4</c:v>
                </c:pt>
                <c:pt idx="1">
                  <c:v>-1.2529999999999939</c:v>
                </c:pt>
                <c:pt idx="2">
                  <c:v>-0.9</c:v>
                </c:pt>
                <c:pt idx="3">
                  <c:v>2</c:v>
                </c:pt>
                <c:pt idx="4">
                  <c:v>1.5</c:v>
                </c:pt>
                <c:pt idx="5">
                  <c:v>2.9</c:v>
                </c:pt>
                <c:pt idx="6">
                  <c:v>1.4</c:v>
                </c:pt>
                <c:pt idx="7">
                  <c:v>-0.60000000000000064</c:v>
                </c:pt>
                <c:pt idx="8">
                  <c:v>-0.8</c:v>
                </c:pt>
                <c:pt idx="9">
                  <c:v>-0.70000000000000062</c:v>
                </c:pt>
                <c:pt idx="10">
                  <c:v>-0.5</c:v>
                </c:pt>
                <c:pt idx="11">
                  <c:v>0.1</c:v>
                </c:pt>
                <c:pt idx="12">
                  <c:v>2.1</c:v>
                </c:pt>
                <c:pt idx="13">
                  <c:v>4.2</c:v>
                </c:pt>
                <c:pt idx="14">
                  <c:v>0</c:v>
                </c:pt>
                <c:pt idx="15">
                  <c:v>-1.5</c:v>
                </c:pt>
                <c:pt idx="16">
                  <c:v>-0.60000000000000064</c:v>
                </c:pt>
                <c:pt idx="17">
                  <c:v>0.70000000000000062</c:v>
                </c:pt>
                <c:pt idx="18">
                  <c:v>-0.2</c:v>
                </c:pt>
                <c:pt idx="19">
                  <c:v>-0.4</c:v>
                </c:pt>
                <c:pt idx="20">
                  <c:v>0.9</c:v>
                </c:pt>
                <c:pt idx="21">
                  <c:v>1.9000000000000001</c:v>
                </c:pt>
                <c:pt idx="22">
                  <c:v>-1.4</c:v>
                </c:pt>
                <c:pt idx="23">
                  <c:v>1.5</c:v>
                </c:pt>
                <c:pt idx="24">
                  <c:v>-0.30000000000000032</c:v>
                </c:pt>
              </c:numCache>
            </c:numRef>
          </c:val>
        </c:ser>
        <c:dLbls>
          <c:showVal val="1"/>
        </c:dLbls>
        <c:marker val="1"/>
        <c:axId val="138839936"/>
        <c:axId val="143384960"/>
        <c:extLst/>
      </c:lineChart>
      <c:catAx>
        <c:axId val="138839936"/>
        <c:scaling>
          <c:orientation val="minMax"/>
        </c:scaling>
        <c:axPos val="b"/>
        <c:numFmt formatCode="General" sourceLinked="1"/>
        <c:maj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1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143384960"/>
        <c:crosses val="autoZero"/>
        <c:lblAlgn val="ctr"/>
        <c:lblOffset val="200"/>
        <c:tickLblSkip val="1"/>
        <c:tickMarkSkip val="1"/>
      </c:catAx>
      <c:valAx>
        <c:axId val="143384960"/>
        <c:scaling>
          <c:orientation val="minMax"/>
          <c:max val="5"/>
          <c:min val="-6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580" baseline="0"/>
                </a:pPr>
                <a:r>
                  <a:rPr lang="pl-PL" sz="58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 sz="580" baseline="0"/>
              </a:p>
            </c:rich>
          </c:tx>
          <c:layout>
            <c:manualLayout>
              <c:xMode val="edge"/>
              <c:yMode val="edge"/>
              <c:x val="3.6141723730295276E-2"/>
              <c:y val="2.7170691722919419E-3"/>
            </c:manualLayout>
          </c:layout>
        </c:title>
        <c:numFmt formatCode="0" sourceLinked="0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5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8839936"/>
        <c:crosses val="autoZero"/>
        <c:crossBetween val="between"/>
        <c:majorUnit val="1"/>
        <c:minorUnit val="1"/>
      </c:valAx>
    </c:plotArea>
    <c:plotVisOnly val="1"/>
    <c:dispBlanksAs val="gap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0056573386556079"/>
          <c:y val="8.1922107247877463E-2"/>
          <c:w val="0.87227823883890765"/>
          <c:h val="0.76339521851107406"/>
        </c:manualLayout>
      </c:layout>
      <c:lineChart>
        <c:grouping val="standard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852447893720433E-2"/>
                  <c:y val="5.11059126839687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-1.2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46544469084666E-2"/>
                  <c:y val="4.08509640952659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-2.9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5079718866848598E-2"/>
                  <c:y val="4.82580611138847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075605953792833E-2"/>
                  <c:y val="4.84041319716345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229889038245935E-2"/>
                  <c:y val="4.21263298851818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794181108998723E-2"/>
                  <c:y val="-4.5071618998050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393130047887639E-2"/>
                  <c:y val="-4.2119177280214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821045366013445E-2"/>
                  <c:y val="5.11059126839687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-0.7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479132989049115E-2"/>
                  <c:y val="4.76814176944695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-0.6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963904848452162E-2"/>
                  <c:y val="4.55881650799832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-2.9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4997202927012441E-2"/>
                  <c:y val="-2.1098816847472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5480705655029293E-2"/>
                  <c:y val="-1.461109327151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940882028993816E-2"/>
                  <c:y val="-2.62722567103650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0872643014030994E-2"/>
                  <c:y val="-3.75438772464976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7583174632932004E-2"/>
                  <c:y val="-3.29685772127812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0382820145097728E-2"/>
                  <c:y val="-3.22172825577984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645508924731495E-2"/>
                  <c:y val="-2.10790907178612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6793035610666996E-2"/>
                  <c:y val="-3.8878720883376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803888280339452E-2"/>
                  <c:y val="-3.77942185478561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71E-2"/>
                  <c:y val="-4.17576819009497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0236155054173064E-2"/>
                  <c:y val="-3.98995975533352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4255110395773343E-2"/>
                  <c:y val="-5.38278862694093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9498937181994082E-2"/>
                  <c:y val="-4.31273103711553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08538923391918E-2"/>
                  <c:y val="-4.10339686537554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819759896333927E-2"/>
                  <c:y val="-3.68209178260202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III 2018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-1.2</c:v>
                </c:pt>
                <c:pt idx="1">
                  <c:v>-2.9</c:v>
                </c:pt>
                <c:pt idx="2">
                  <c:v>-4.9000000000000004</c:v>
                </c:pt>
                <c:pt idx="3">
                  <c:v>-3.9</c:v>
                </c:pt>
                <c:pt idx="4">
                  <c:v>-3.3</c:v>
                </c:pt>
                <c:pt idx="5">
                  <c:v>2</c:v>
                </c:pt>
                <c:pt idx="6">
                  <c:v>0.2</c:v>
                </c:pt>
                <c:pt idx="7">
                  <c:v>-0.70000000000000062</c:v>
                </c:pt>
                <c:pt idx="8">
                  <c:v>-0.60000000000000064</c:v>
                </c:pt>
                <c:pt idx="9">
                  <c:v>-2.9</c:v>
                </c:pt>
                <c:pt idx="10">
                  <c:v>1.5</c:v>
                </c:pt>
                <c:pt idx="11">
                  <c:v>2.8</c:v>
                </c:pt>
                <c:pt idx="12">
                  <c:v>4.4000000000000004</c:v>
                </c:pt>
                <c:pt idx="13">
                  <c:v>10</c:v>
                </c:pt>
                <c:pt idx="14">
                  <c:v>10.9</c:v>
                </c:pt>
                <c:pt idx="15">
                  <c:v>6.9</c:v>
                </c:pt>
                <c:pt idx="16">
                  <c:v>3.9</c:v>
                </c:pt>
                <c:pt idx="17">
                  <c:v>1.3</c:v>
                </c:pt>
                <c:pt idx="18">
                  <c:v>1.3</c:v>
                </c:pt>
                <c:pt idx="19">
                  <c:v>2.6</c:v>
                </c:pt>
                <c:pt idx="20">
                  <c:v>5</c:v>
                </c:pt>
                <c:pt idx="21">
                  <c:v>9.1</c:v>
                </c:pt>
                <c:pt idx="22">
                  <c:v>6.9</c:v>
                </c:pt>
                <c:pt idx="23">
                  <c:v>7.5</c:v>
                </c:pt>
                <c:pt idx="24">
                  <c:v>5.3</c:v>
                </c:pt>
              </c:numCache>
            </c:numRef>
          </c:val>
        </c:ser>
        <c:dLbls>
          <c:showVal val="1"/>
        </c:dLbls>
        <c:marker val="1"/>
        <c:axId val="67642880"/>
        <c:axId val="67644416"/>
        <c:extLst/>
      </c:lineChart>
      <c:catAx>
        <c:axId val="67642880"/>
        <c:scaling>
          <c:orientation val="minMax"/>
        </c:scaling>
        <c:axPos val="b"/>
        <c:numFmt formatCode="General" sourceLinked="1"/>
        <c:maj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 baseline="0"/>
            </a:pPr>
            <a:endParaRPr lang="pl-PL"/>
          </a:p>
        </c:txPr>
        <c:crossAx val="67644416"/>
        <c:crosses val="autoZero"/>
        <c:lblAlgn val="ctr"/>
        <c:lblOffset val="200"/>
        <c:tickLblSkip val="1"/>
        <c:tickMarkSkip val="1"/>
      </c:catAx>
      <c:valAx>
        <c:axId val="67644416"/>
        <c:scaling>
          <c:orientation val="minMax"/>
          <c:max val="11.5"/>
          <c:min val="-6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610" baseline="0"/>
                </a:pPr>
                <a:r>
                  <a:rPr lang="pl-PL" sz="610" baseline="0"/>
                  <a:t>%</a:t>
                </a:r>
              </a:p>
            </c:rich>
          </c:tx>
          <c:layout>
            <c:manualLayout>
              <c:xMode val="edge"/>
              <c:yMode val="edge"/>
              <c:x val="6.4371995321796924E-2"/>
              <c:y val="2.7169878807437211E-3"/>
            </c:manualLayout>
          </c:layout>
        </c:title>
        <c:numFmt formatCode="0" sourceLinked="0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610"/>
            </a:pPr>
            <a:endParaRPr lang="pl-PL"/>
          </a:p>
        </c:txPr>
        <c:crossAx val="67642880"/>
        <c:crosses val="autoZero"/>
        <c:crossBetween val="between"/>
        <c:majorUnit val="1"/>
        <c:minorUnit val="1"/>
      </c:valAx>
    </c:plotArea>
    <c:plotVisOnly val="1"/>
    <c:dispBlanksAs val="gap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9.3118072681409911E-2"/>
          <c:y val="0.1015668009970984"/>
          <c:w val="0.88421658845308249"/>
          <c:h val="0.67649164621073077"/>
        </c:manualLayout>
      </c:layout>
      <c:lineChart>
        <c:grouping val="standard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III 2018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'pszenica i zyto'!$B$4:$B$28</c:f>
              <c:numCache>
                <c:formatCode>0.00</c:formatCode>
                <c:ptCount val="25"/>
                <c:pt idx="0">
                  <c:v>66.849999999999994</c:v>
                </c:pt>
                <c:pt idx="1">
                  <c:v>66.239999999999995</c:v>
                </c:pt>
                <c:pt idx="2">
                  <c:v>67.23</c:v>
                </c:pt>
                <c:pt idx="3">
                  <c:v>68.599999999999994</c:v>
                </c:pt>
                <c:pt idx="4">
                  <c:v>69.319999999999993</c:v>
                </c:pt>
                <c:pt idx="5">
                  <c:v>75.179999999999978</c:v>
                </c:pt>
                <c:pt idx="6">
                  <c:v>80.040000000000006</c:v>
                </c:pt>
                <c:pt idx="7">
                  <c:v>81.040000000000006</c:v>
                </c:pt>
                <c:pt idx="8">
                  <c:v>82.25</c:v>
                </c:pt>
                <c:pt idx="9">
                  <c:v>83.11</c:v>
                </c:pt>
                <c:pt idx="10">
                  <c:v>83.26</c:v>
                </c:pt>
                <c:pt idx="11">
                  <c:v>83.8</c:v>
                </c:pt>
                <c:pt idx="12">
                  <c:v>82.89</c:v>
                </c:pt>
                <c:pt idx="13">
                  <c:v>79.97</c:v>
                </c:pt>
                <c:pt idx="14">
                  <c:v>79.02</c:v>
                </c:pt>
                <c:pt idx="15">
                  <c:v>76.28</c:v>
                </c:pt>
                <c:pt idx="16">
                  <c:v>67.58</c:v>
                </c:pt>
                <c:pt idx="17">
                  <c:v>66.39</c:v>
                </c:pt>
                <c:pt idx="18">
                  <c:v>66.02</c:v>
                </c:pt>
                <c:pt idx="19">
                  <c:v>66.430000000000007</c:v>
                </c:pt>
                <c:pt idx="20">
                  <c:v>68.290000000000006</c:v>
                </c:pt>
                <c:pt idx="21">
                  <c:v>69.34</c:v>
                </c:pt>
                <c:pt idx="22">
                  <c:v>72.209999999999994</c:v>
                </c:pt>
                <c:pt idx="23">
                  <c:v>73.709999999999994</c:v>
                </c:pt>
                <c:pt idx="24">
                  <c:v>74.25</c:v>
                </c:pt>
              </c:numCache>
            </c:numRef>
          </c:val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III 2018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'pszenica i zyto'!$C$4:$C$28</c:f>
              <c:numCache>
                <c:formatCode>0.00</c:formatCode>
                <c:ptCount val="25"/>
                <c:pt idx="0">
                  <c:v>81.02</c:v>
                </c:pt>
                <c:pt idx="1">
                  <c:v>81.36</c:v>
                </c:pt>
                <c:pt idx="2">
                  <c:v>81.11</c:v>
                </c:pt>
                <c:pt idx="3">
                  <c:v>80.149999999999991</c:v>
                </c:pt>
                <c:pt idx="4">
                  <c:v>80.97</c:v>
                </c:pt>
                <c:pt idx="5">
                  <c:v>82.9</c:v>
                </c:pt>
                <c:pt idx="6">
                  <c:v>86.86999999999999</c:v>
                </c:pt>
                <c:pt idx="7">
                  <c:v>87.31</c:v>
                </c:pt>
                <c:pt idx="8">
                  <c:v>89.81</c:v>
                </c:pt>
                <c:pt idx="9">
                  <c:v>90.6</c:v>
                </c:pt>
                <c:pt idx="10">
                  <c:v>92.02</c:v>
                </c:pt>
                <c:pt idx="11">
                  <c:v>94.19</c:v>
                </c:pt>
                <c:pt idx="12">
                  <c:v>94.679999999999978</c:v>
                </c:pt>
                <c:pt idx="13">
                  <c:v>94.9</c:v>
                </c:pt>
                <c:pt idx="14">
                  <c:v>95.82</c:v>
                </c:pt>
                <c:pt idx="15">
                  <c:v>94.34</c:v>
                </c:pt>
                <c:pt idx="16">
                  <c:v>93.11</c:v>
                </c:pt>
                <c:pt idx="17">
                  <c:v>90.04</c:v>
                </c:pt>
                <c:pt idx="18">
                  <c:v>88.89</c:v>
                </c:pt>
                <c:pt idx="19">
                  <c:v>87.88</c:v>
                </c:pt>
                <c:pt idx="20">
                  <c:v>86.940000000000026</c:v>
                </c:pt>
                <c:pt idx="21">
                  <c:v>86.72</c:v>
                </c:pt>
                <c:pt idx="22">
                  <c:v>87.35</c:v>
                </c:pt>
                <c:pt idx="23">
                  <c:v>87.32</c:v>
                </c:pt>
                <c:pt idx="24">
                  <c:v>87.960000000000022</c:v>
                </c:pt>
              </c:numCache>
            </c:numRef>
          </c:val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III 2018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'pszenica i zyto'!$D$4:$D$28</c:f>
              <c:numCache>
                <c:formatCode>0.00</c:formatCode>
                <c:ptCount val="25"/>
                <c:pt idx="0">
                  <c:v>57.25</c:v>
                </c:pt>
                <c:pt idx="1">
                  <c:v>57.379999999999995</c:v>
                </c:pt>
                <c:pt idx="2">
                  <c:v>57.92</c:v>
                </c:pt>
                <c:pt idx="3">
                  <c:v>58.05</c:v>
                </c:pt>
                <c:pt idx="4">
                  <c:v>56.06</c:v>
                </c:pt>
                <c:pt idx="5">
                  <c:v>62.65</c:v>
                </c:pt>
                <c:pt idx="6">
                  <c:v>69.2</c:v>
                </c:pt>
                <c:pt idx="7">
                  <c:v>70.179999999999978</c:v>
                </c:pt>
                <c:pt idx="8">
                  <c:v>70.86999999999999</c:v>
                </c:pt>
                <c:pt idx="9">
                  <c:v>70.88</c:v>
                </c:pt>
                <c:pt idx="10">
                  <c:v>72.440000000000026</c:v>
                </c:pt>
                <c:pt idx="11">
                  <c:v>72.86</c:v>
                </c:pt>
                <c:pt idx="12">
                  <c:v>69.75</c:v>
                </c:pt>
                <c:pt idx="13">
                  <c:v>72.83</c:v>
                </c:pt>
                <c:pt idx="14">
                  <c:v>75.33</c:v>
                </c:pt>
                <c:pt idx="15">
                  <c:v>70.760000000000005</c:v>
                </c:pt>
                <c:pt idx="16">
                  <c:v>57.83</c:v>
                </c:pt>
                <c:pt idx="17">
                  <c:v>56.94</c:v>
                </c:pt>
                <c:pt idx="18">
                  <c:v>56.7</c:v>
                </c:pt>
                <c:pt idx="19">
                  <c:v>54.5</c:v>
                </c:pt>
                <c:pt idx="20">
                  <c:v>54.32</c:v>
                </c:pt>
                <c:pt idx="21">
                  <c:v>58</c:v>
                </c:pt>
                <c:pt idx="22">
                  <c:v>59.09</c:v>
                </c:pt>
                <c:pt idx="23">
                  <c:v>55.68</c:v>
                </c:pt>
                <c:pt idx="24">
                  <c:v>56.290000000000013</c:v>
                </c:pt>
              </c:numCache>
            </c:numRef>
          </c:val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III 2018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'pszenica i zyto'!$E$4:$E$28</c:f>
              <c:numCache>
                <c:formatCode>0.00</c:formatCode>
                <c:ptCount val="25"/>
                <c:pt idx="0">
                  <c:v>65.510000000000005</c:v>
                </c:pt>
                <c:pt idx="1">
                  <c:v>65.34</c:v>
                </c:pt>
                <c:pt idx="2">
                  <c:v>65.209999999999994</c:v>
                </c:pt>
                <c:pt idx="3">
                  <c:v>63.67</c:v>
                </c:pt>
                <c:pt idx="4">
                  <c:v>64.89</c:v>
                </c:pt>
                <c:pt idx="5">
                  <c:v>66.010000000000005</c:v>
                </c:pt>
                <c:pt idx="6">
                  <c:v>69.819999999999993</c:v>
                </c:pt>
                <c:pt idx="7">
                  <c:v>70.790000000000006</c:v>
                </c:pt>
                <c:pt idx="8">
                  <c:v>71.63</c:v>
                </c:pt>
                <c:pt idx="9">
                  <c:v>71.61999999999999</c:v>
                </c:pt>
                <c:pt idx="10">
                  <c:v>73.510000000000005</c:v>
                </c:pt>
                <c:pt idx="11">
                  <c:v>74.3</c:v>
                </c:pt>
                <c:pt idx="12">
                  <c:v>74.86</c:v>
                </c:pt>
                <c:pt idx="13">
                  <c:v>76.23</c:v>
                </c:pt>
                <c:pt idx="14">
                  <c:v>76.11</c:v>
                </c:pt>
                <c:pt idx="15">
                  <c:v>76.48</c:v>
                </c:pt>
                <c:pt idx="16">
                  <c:v>75</c:v>
                </c:pt>
                <c:pt idx="17">
                  <c:v>72.440000000000026</c:v>
                </c:pt>
                <c:pt idx="18">
                  <c:v>72.34</c:v>
                </c:pt>
                <c:pt idx="19">
                  <c:v>71.55</c:v>
                </c:pt>
                <c:pt idx="20">
                  <c:v>68.73</c:v>
                </c:pt>
                <c:pt idx="21">
                  <c:v>70.319999999999993</c:v>
                </c:pt>
                <c:pt idx="22">
                  <c:v>69.61</c:v>
                </c:pt>
                <c:pt idx="23">
                  <c:v>68.72</c:v>
                </c:pt>
                <c:pt idx="24">
                  <c:v>69.669999999999987</c:v>
                </c:pt>
              </c:numCache>
            </c:numRef>
          </c:val>
        </c:ser>
        <c:marker val="1"/>
        <c:axId val="132346240"/>
        <c:axId val="132348160"/>
      </c:lineChart>
      <c:catAx>
        <c:axId val="1323462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348160"/>
        <c:crosses val="autoZero"/>
        <c:auto val="1"/>
        <c:lblAlgn val="ctr"/>
        <c:lblOffset val="100"/>
      </c:catAx>
      <c:valAx>
        <c:axId val="132348160"/>
        <c:scaling>
          <c:orientation val="minMax"/>
          <c:max val="100"/>
        </c:scaling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61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61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3.0109580532276248E-2"/>
              <c:y val="3.4148772240473205E-2"/>
            </c:manualLayout>
          </c:layout>
        </c:title>
        <c:numFmt formatCode="0" sourceLinked="0"/>
        <c:maj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234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8.9192574116642748E-2"/>
          <c:y val="7.1242609969083909E-2"/>
          <c:w val="0.89062198251170765"/>
          <c:h val="0.73717615835999173"/>
        </c:manualLayout>
      </c:layout>
      <c:lineChart>
        <c:grouping val="standard"/>
        <c:ser>
          <c:idx val="3"/>
          <c:order val="0"/>
          <c:tx>
            <c:strRef>
              <c:f>'ziemniaki 3'!$B$3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3'!$A$4:$A$28</c:f>
              <c:strCache>
                <c:ptCount val="25"/>
                <c:pt idx="0">
                  <c:v>III 2018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'ziemniaki 3'!$B$4:$B$28</c:f>
              <c:numCache>
                <c:formatCode>0.00</c:formatCode>
                <c:ptCount val="25"/>
                <c:pt idx="0">
                  <c:v>60.9</c:v>
                </c:pt>
                <c:pt idx="1">
                  <c:v>67.06</c:v>
                </c:pt>
                <c:pt idx="2">
                  <c:v>64.09</c:v>
                </c:pt>
                <c:pt idx="3">
                  <c:v>56.08</c:v>
                </c:pt>
                <c:pt idx="4">
                  <c:v>54.93</c:v>
                </c:pt>
                <c:pt idx="5">
                  <c:v>38.99</c:v>
                </c:pt>
                <c:pt idx="6">
                  <c:v>33.120000000000012</c:v>
                </c:pt>
                <c:pt idx="7">
                  <c:v>31.82</c:v>
                </c:pt>
                <c:pt idx="8">
                  <c:v>35.94</c:v>
                </c:pt>
                <c:pt idx="9">
                  <c:v>52.74</c:v>
                </c:pt>
                <c:pt idx="10">
                  <c:v>72.739999999999995</c:v>
                </c:pt>
                <c:pt idx="11">
                  <c:v>78.14</c:v>
                </c:pt>
                <c:pt idx="12">
                  <c:v>86.679999999999978</c:v>
                </c:pt>
                <c:pt idx="13">
                  <c:v>95.36</c:v>
                </c:pt>
                <c:pt idx="14">
                  <c:v>89.05</c:v>
                </c:pt>
                <c:pt idx="15">
                  <c:v>97.28</c:v>
                </c:pt>
                <c:pt idx="16">
                  <c:v>108.82</c:v>
                </c:pt>
                <c:pt idx="17">
                  <c:v>67.790000000000006</c:v>
                </c:pt>
                <c:pt idx="18">
                  <c:v>42.18</c:v>
                </c:pt>
                <c:pt idx="19">
                  <c:v>37.03</c:v>
                </c:pt>
                <c:pt idx="20">
                  <c:v>39.75</c:v>
                </c:pt>
                <c:pt idx="21">
                  <c:v>53.63</c:v>
                </c:pt>
                <c:pt idx="22">
                  <c:v>80.38</c:v>
                </c:pt>
                <c:pt idx="23">
                  <c:v>82.61</c:v>
                </c:pt>
                <c:pt idx="24">
                  <c:v>90.990000000000023</c:v>
                </c:pt>
              </c:numCache>
            </c:numRef>
          </c:val>
        </c:ser>
        <c:ser>
          <c:idx val="0"/>
          <c:order val="1"/>
          <c:tx>
            <c:strRef>
              <c:f>'ziemniaki 3'!$C$3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3'!$A$4:$A$28</c:f>
              <c:strCache>
                <c:ptCount val="25"/>
                <c:pt idx="0">
                  <c:v>III 2018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'ziemniaki 3'!$C$4:$C$28</c:f>
              <c:numCache>
                <c:formatCode>General</c:formatCode>
                <c:ptCount val="25"/>
                <c:pt idx="0">
                  <c:v>87.82</c:v>
                </c:pt>
                <c:pt idx="1">
                  <c:v>87.42</c:v>
                </c:pt>
                <c:pt idx="2">
                  <c:v>85.14</c:v>
                </c:pt>
                <c:pt idx="3">
                  <c:v>84.95</c:v>
                </c:pt>
                <c:pt idx="4">
                  <c:v>100.44000000000027</c:v>
                </c:pt>
                <c:pt idx="5">
                  <c:v>106.23</c:v>
                </c:pt>
                <c:pt idx="6">
                  <c:v>107.13</c:v>
                </c:pt>
                <c:pt idx="7">
                  <c:v>105.11999999999999</c:v>
                </c:pt>
                <c:pt idx="8">
                  <c:v>108.86</c:v>
                </c:pt>
                <c:pt idx="9">
                  <c:v>116.99000000000002</c:v>
                </c:pt>
                <c:pt idx="10">
                  <c:v>123.11</c:v>
                </c:pt>
                <c:pt idx="11">
                  <c:v>138.99</c:v>
                </c:pt>
                <c:pt idx="12">
                  <c:v>147.54</c:v>
                </c:pt>
                <c:pt idx="13" formatCode="0.00">
                  <c:v>164</c:v>
                </c:pt>
                <c:pt idx="14" formatCode="0.00">
                  <c:v>203.42000000000004</c:v>
                </c:pt>
                <c:pt idx="15" formatCode="0.00">
                  <c:v>199.81</c:v>
                </c:pt>
                <c:pt idx="16" formatCode="0.00">
                  <c:v>203.51</c:v>
                </c:pt>
                <c:pt idx="17" formatCode="0.00">
                  <c:v>233.34</c:v>
                </c:pt>
                <c:pt idx="18" formatCode="0.00">
                  <c:v>226.05</c:v>
                </c:pt>
                <c:pt idx="19" formatCode="0.00">
                  <c:v>215.23</c:v>
                </c:pt>
                <c:pt idx="20" formatCode="0.00">
                  <c:v>210.04</c:v>
                </c:pt>
                <c:pt idx="21" formatCode="0.00">
                  <c:v>205</c:v>
                </c:pt>
                <c:pt idx="22" formatCode="0.00">
                  <c:v>205.38000000000054</c:v>
                </c:pt>
                <c:pt idx="23" formatCode="0.00">
                  <c:v>203.81</c:v>
                </c:pt>
                <c:pt idx="24" formatCode="0.00">
                  <c:v>199.79</c:v>
                </c:pt>
              </c:numCache>
            </c:numRef>
          </c:val>
        </c:ser>
        <c:marker val="1"/>
        <c:axId val="132367872"/>
        <c:axId val="132369792"/>
        <c:extLst/>
      </c:lineChart>
      <c:catAx>
        <c:axId val="132367872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1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2369792"/>
        <c:crosses val="autoZero"/>
        <c:lblAlgn val="ctr"/>
        <c:lblOffset val="100"/>
        <c:tickLblSkip val="1"/>
        <c:tickMarkSkip val="1"/>
      </c:catAx>
      <c:valAx>
        <c:axId val="132369792"/>
        <c:scaling>
          <c:orientation val="minMax"/>
          <c:max val="240"/>
          <c:min val="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61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61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61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3.1072846699983281E-2"/>
              <c:y val="4.2067210246410152E-4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1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236787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814"/>
          <c:y val="0.88922313609046677"/>
          <c:w val="0.66257018431355363"/>
          <c:h val="7.591449194456569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2.4874143050050812E-2"/>
          <c:y val="7.1002125049082571E-2"/>
          <c:w val="0.91172009778886964"/>
          <c:h val="0.67591128732366146"/>
        </c:manualLayout>
      </c:layout>
      <c:lineChart>
        <c:grouping val="standard"/>
        <c:ser>
          <c:idx val="0"/>
          <c:order val="0"/>
          <c:tx>
            <c:strRef>
              <c:f>'bydło_trzoda 4'!$B$3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III 2018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'bydło_trzoda 4'!$B$4:$B$28</c:f>
              <c:numCache>
                <c:formatCode>0.00</c:formatCode>
                <c:ptCount val="25"/>
                <c:pt idx="0">
                  <c:v>6.34</c:v>
                </c:pt>
                <c:pt idx="1">
                  <c:v>6.58</c:v>
                </c:pt>
                <c:pt idx="2">
                  <c:v>6.63</c:v>
                </c:pt>
                <c:pt idx="3">
                  <c:v>6.49</c:v>
                </c:pt>
                <c:pt idx="4">
                  <c:v>6.42</c:v>
                </c:pt>
                <c:pt idx="5">
                  <c:v>6.52</c:v>
                </c:pt>
                <c:pt idx="6">
                  <c:v>6.48</c:v>
                </c:pt>
                <c:pt idx="7">
                  <c:v>6.51</c:v>
                </c:pt>
                <c:pt idx="8">
                  <c:v>6.5</c:v>
                </c:pt>
                <c:pt idx="9">
                  <c:v>6.54</c:v>
                </c:pt>
                <c:pt idx="10">
                  <c:v>6.6</c:v>
                </c:pt>
                <c:pt idx="11">
                  <c:v>6.39</c:v>
                </c:pt>
                <c:pt idx="12">
                  <c:v>6.53</c:v>
                </c:pt>
                <c:pt idx="13">
                  <c:v>6.49</c:v>
                </c:pt>
                <c:pt idx="14">
                  <c:v>6.52</c:v>
                </c:pt>
                <c:pt idx="15">
                  <c:v>6.06</c:v>
                </c:pt>
                <c:pt idx="16">
                  <c:v>6.22</c:v>
                </c:pt>
                <c:pt idx="17">
                  <c:v>6.1099999999999985</c:v>
                </c:pt>
                <c:pt idx="18">
                  <c:v>6.01</c:v>
                </c:pt>
                <c:pt idx="19">
                  <c:v>6.05</c:v>
                </c:pt>
                <c:pt idx="20">
                  <c:v>6.34</c:v>
                </c:pt>
                <c:pt idx="21">
                  <c:v>6.35</c:v>
                </c:pt>
                <c:pt idx="22">
                  <c:v>6.4300000000000024</c:v>
                </c:pt>
                <c:pt idx="23">
                  <c:v>6.49</c:v>
                </c:pt>
                <c:pt idx="24">
                  <c:v>6.25</c:v>
                </c:pt>
              </c:numCache>
            </c:numRef>
          </c:val>
        </c:ser>
        <c:ser>
          <c:idx val="1"/>
          <c:order val="1"/>
          <c:tx>
            <c:strRef>
              <c:f>'bydło_trzoda 4'!$C$3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III 2018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'bydło_trzoda 4'!$C$4:$C$28</c:f>
              <c:numCache>
                <c:formatCode>0.00</c:formatCode>
                <c:ptCount val="25"/>
                <c:pt idx="0">
                  <c:v>7.22</c:v>
                </c:pt>
                <c:pt idx="1">
                  <c:v>7.2</c:v>
                </c:pt>
                <c:pt idx="2">
                  <c:v>7.22</c:v>
                </c:pt>
                <c:pt idx="3">
                  <c:v>7.1099999999999985</c:v>
                </c:pt>
                <c:pt idx="4">
                  <c:v>6.88</c:v>
                </c:pt>
                <c:pt idx="5">
                  <c:v>7.02</c:v>
                </c:pt>
                <c:pt idx="6">
                  <c:v>7.07</c:v>
                </c:pt>
                <c:pt idx="7">
                  <c:v>6.94</c:v>
                </c:pt>
                <c:pt idx="8">
                  <c:v>7.06</c:v>
                </c:pt>
                <c:pt idx="9">
                  <c:v>6.9700000000000024</c:v>
                </c:pt>
                <c:pt idx="10">
                  <c:v>7.14</c:v>
                </c:pt>
                <c:pt idx="11">
                  <c:v>6.79</c:v>
                </c:pt>
                <c:pt idx="12">
                  <c:v>7.17</c:v>
                </c:pt>
                <c:pt idx="13">
                  <c:v>7.22</c:v>
                </c:pt>
                <c:pt idx="14">
                  <c:v>7.14</c:v>
                </c:pt>
                <c:pt idx="15">
                  <c:v>7.18</c:v>
                </c:pt>
                <c:pt idx="16">
                  <c:v>6.38</c:v>
                </c:pt>
                <c:pt idx="17">
                  <c:v>6.4700000000000024</c:v>
                </c:pt>
                <c:pt idx="18">
                  <c:v>6.58</c:v>
                </c:pt>
                <c:pt idx="19">
                  <c:v>6.4300000000000024</c:v>
                </c:pt>
                <c:pt idx="20">
                  <c:v>6.57</c:v>
                </c:pt>
                <c:pt idx="21">
                  <c:v>6.75</c:v>
                </c:pt>
                <c:pt idx="22">
                  <c:v>6.83</c:v>
                </c:pt>
                <c:pt idx="23">
                  <c:v>6.78</c:v>
                </c:pt>
                <c:pt idx="24">
                  <c:v>6.7</c:v>
                </c:pt>
              </c:numCache>
            </c:numRef>
          </c:val>
        </c:ser>
        <c:ser>
          <c:idx val="2"/>
          <c:order val="2"/>
          <c:tx>
            <c:strRef>
              <c:f>'bydło_trzoda 4'!$D$3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III 2018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'bydło_trzoda 4'!$D$4:$D$28</c:f>
              <c:numCache>
                <c:formatCode>0.00</c:formatCode>
                <c:ptCount val="25"/>
                <c:pt idx="0">
                  <c:v>4.63</c:v>
                </c:pt>
                <c:pt idx="1">
                  <c:v>4.51</c:v>
                </c:pt>
                <c:pt idx="2">
                  <c:v>4.4400000000000004</c:v>
                </c:pt>
                <c:pt idx="3">
                  <c:v>4.6399999999999997</c:v>
                </c:pt>
                <c:pt idx="4">
                  <c:v>4.68</c:v>
                </c:pt>
                <c:pt idx="5">
                  <c:v>4.8099999999999996</c:v>
                </c:pt>
                <c:pt idx="6">
                  <c:v>4.6899999999999995</c:v>
                </c:pt>
                <c:pt idx="7">
                  <c:v>4.4000000000000004</c:v>
                </c:pt>
                <c:pt idx="8">
                  <c:v>4.22</c:v>
                </c:pt>
                <c:pt idx="9">
                  <c:v>4.1899999999999995</c:v>
                </c:pt>
                <c:pt idx="10">
                  <c:v>4.0599999999999996</c:v>
                </c:pt>
                <c:pt idx="11">
                  <c:v>4.1599999999999975</c:v>
                </c:pt>
                <c:pt idx="12">
                  <c:v>4.4700000000000024</c:v>
                </c:pt>
                <c:pt idx="13">
                  <c:v>5.72</c:v>
                </c:pt>
                <c:pt idx="14">
                  <c:v>5.83</c:v>
                </c:pt>
                <c:pt idx="15">
                  <c:v>5.7700000000000014</c:v>
                </c:pt>
                <c:pt idx="16">
                  <c:v>5.64</c:v>
                </c:pt>
                <c:pt idx="17">
                  <c:v>5.8199999999999985</c:v>
                </c:pt>
                <c:pt idx="18">
                  <c:v>5.94</c:v>
                </c:pt>
                <c:pt idx="19">
                  <c:v>5.89</c:v>
                </c:pt>
                <c:pt idx="20">
                  <c:v>5.88</c:v>
                </c:pt>
                <c:pt idx="21">
                  <c:v>6.26</c:v>
                </c:pt>
                <c:pt idx="22">
                  <c:v>5.9700000000000024</c:v>
                </c:pt>
                <c:pt idx="23">
                  <c:v>6.2700000000000014</c:v>
                </c:pt>
                <c:pt idx="24">
                  <c:v>6.28</c:v>
                </c:pt>
              </c:numCache>
            </c:numRef>
          </c:val>
        </c:ser>
        <c:ser>
          <c:idx val="3"/>
          <c:order val="3"/>
          <c:tx>
            <c:strRef>
              <c:f>'bydło_trzoda 4'!$E$3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III 2018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 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'bydło_trzoda 4'!$E$4:$E$28</c:f>
              <c:numCache>
                <c:formatCode>0.00</c:formatCode>
                <c:ptCount val="25"/>
                <c:pt idx="0">
                  <c:v>4.9400000000000004</c:v>
                </c:pt>
                <c:pt idx="1">
                  <c:v>5.08</c:v>
                </c:pt>
                <c:pt idx="2">
                  <c:v>4.8899999999999997</c:v>
                </c:pt>
                <c:pt idx="3">
                  <c:v>5.09</c:v>
                </c:pt>
                <c:pt idx="4">
                  <c:v>5.1099999999999985</c:v>
                </c:pt>
                <c:pt idx="5">
                  <c:v>5.08</c:v>
                </c:pt>
                <c:pt idx="6">
                  <c:v>5.21</c:v>
                </c:pt>
                <c:pt idx="7">
                  <c:v>4.9700000000000024</c:v>
                </c:pt>
                <c:pt idx="8">
                  <c:v>4.84</c:v>
                </c:pt>
                <c:pt idx="9">
                  <c:v>4.68</c:v>
                </c:pt>
                <c:pt idx="10">
                  <c:v>4.87</c:v>
                </c:pt>
                <c:pt idx="11">
                  <c:v>5.1199999999999966</c:v>
                </c:pt>
                <c:pt idx="12">
                  <c:v>4.79</c:v>
                </c:pt>
                <c:pt idx="13">
                  <c:v>5.5</c:v>
                </c:pt>
                <c:pt idx="14">
                  <c:v>5.78</c:v>
                </c:pt>
                <c:pt idx="15">
                  <c:v>5.85</c:v>
                </c:pt>
                <c:pt idx="16">
                  <c:v>5.85</c:v>
                </c:pt>
                <c:pt idx="17">
                  <c:v>5.99</c:v>
                </c:pt>
                <c:pt idx="18">
                  <c:v>6.03</c:v>
                </c:pt>
                <c:pt idx="19">
                  <c:v>5.96</c:v>
                </c:pt>
                <c:pt idx="20">
                  <c:v>6.01</c:v>
                </c:pt>
                <c:pt idx="21">
                  <c:v>6.56</c:v>
                </c:pt>
                <c:pt idx="22">
                  <c:v>6.26</c:v>
                </c:pt>
                <c:pt idx="23">
                  <c:v>6.14</c:v>
                </c:pt>
                <c:pt idx="24">
                  <c:v>6.74</c:v>
                </c:pt>
              </c:numCache>
            </c:numRef>
          </c:val>
        </c:ser>
        <c:marker val="1"/>
        <c:axId val="143377536"/>
        <c:axId val="143379456"/>
      </c:lineChart>
      <c:catAx>
        <c:axId val="1433775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3379456"/>
        <c:crosses val="autoZero"/>
        <c:auto val="1"/>
        <c:lblAlgn val="ctr"/>
        <c:lblOffset val="100"/>
      </c:catAx>
      <c:valAx>
        <c:axId val="143379456"/>
        <c:scaling>
          <c:orientation val="minMax"/>
          <c:max val="8"/>
          <c:min val="0"/>
        </c:scaling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61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61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1.454444662961755E-3"/>
              <c:y val="2.7817424406894812E-3"/>
            </c:manualLayout>
          </c:layout>
          <c:spPr>
            <a:noFill/>
            <a:ln>
              <a:noFill/>
            </a:ln>
            <a:effectLst/>
          </c:spPr>
        </c:title>
        <c:numFmt formatCode="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337753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3253771135783524E-2"/>
          <c:y val="0.83582883188850443"/>
          <c:w val="0.88620653072280853"/>
          <c:h val="0.1521319974807674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4.8049814289720175E-2"/>
          <c:y val="5.0469491703692734E-2"/>
          <c:w val="0.90055849747274053"/>
          <c:h val="0.66624394280811539"/>
        </c:manualLayout>
      </c:layout>
      <c:lineChart>
        <c:grouping val="standard"/>
        <c:ser>
          <c:idx val="1"/>
          <c:order val="1"/>
          <c:tx>
            <c:strRef>
              <c:f>'relacje 5'!$B$3</c:f>
              <c:strCache>
                <c:ptCount val="1"/>
                <c:pt idx="0">
                  <c:v>Relations of procurement prices of pigs for slaughter to marketplaces prices of rye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5'!$A$4:$A$28</c:f>
              <c:strCache>
                <c:ptCount val="25"/>
                <c:pt idx="0">
                  <c:v>III 2018 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'relacje 5'!$B$4:$B$28</c:f>
              <c:numCache>
                <c:formatCode>0.0</c:formatCode>
                <c:ptCount val="25"/>
                <c:pt idx="0">
                  <c:v>7.1</c:v>
                </c:pt>
                <c:pt idx="1">
                  <c:v>6.9</c:v>
                </c:pt>
                <c:pt idx="2">
                  <c:v>6.8</c:v>
                </c:pt>
                <c:pt idx="3">
                  <c:v>7.3</c:v>
                </c:pt>
                <c:pt idx="4">
                  <c:v>7.2</c:v>
                </c:pt>
                <c:pt idx="5">
                  <c:v>7.3</c:v>
                </c:pt>
                <c:pt idx="6">
                  <c:v>6.7</c:v>
                </c:pt>
                <c:pt idx="7">
                  <c:v>6.2</c:v>
                </c:pt>
                <c:pt idx="8">
                  <c:v>5.9</c:v>
                </c:pt>
                <c:pt idx="9" formatCode="General">
                  <c:v>5.9</c:v>
                </c:pt>
                <c:pt idx="10" formatCode="General">
                  <c:v>5.5</c:v>
                </c:pt>
                <c:pt idx="11" formatCode="General">
                  <c:v>5.6</c:v>
                </c:pt>
                <c:pt idx="12">
                  <c:v>6</c:v>
                </c:pt>
                <c:pt idx="13">
                  <c:v>7.5</c:v>
                </c:pt>
                <c:pt idx="14">
                  <c:v>7.7</c:v>
                </c:pt>
                <c:pt idx="15">
                  <c:v>7.5</c:v>
                </c:pt>
                <c:pt idx="16">
                  <c:v>7.5</c:v>
                </c:pt>
                <c:pt idx="17">
                  <c:v>8</c:v>
                </c:pt>
                <c:pt idx="18">
                  <c:v>8.2000000000000011</c:v>
                </c:pt>
                <c:pt idx="19">
                  <c:v>8.2000000000000011</c:v>
                </c:pt>
                <c:pt idx="20">
                  <c:v>8.6</c:v>
                </c:pt>
                <c:pt idx="21">
                  <c:v>8.9</c:v>
                </c:pt>
                <c:pt idx="22">
                  <c:v>8.6</c:v>
                </c:pt>
                <c:pt idx="23">
                  <c:v>9.1</c:v>
                </c:pt>
                <c:pt idx="24">
                  <c:v>9</c:v>
                </c:pt>
              </c:numCache>
            </c:numRef>
          </c:val>
        </c:ser>
        <c:ser>
          <c:idx val="4"/>
          <c:order val="2"/>
          <c:tx>
            <c:strRef>
              <c:f>'relacje 5'!$D$3</c:f>
              <c:strCache>
                <c:ptCount val="1"/>
                <c:pt idx="0">
                  <c:v>Relations of procurement prices of pigs for slaughter to marketplaces prices of barley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</c:spPr>
          </c:marker>
          <c:cat>
            <c:strRef>
              <c:f>'relacje 5'!$A$4:$A$28</c:f>
              <c:strCache>
                <c:ptCount val="25"/>
                <c:pt idx="0">
                  <c:v>III 2018 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'relacje 5'!$D$4:$D$28</c:f>
              <c:numCache>
                <c:formatCode>General</c:formatCode>
                <c:ptCount val="25"/>
                <c:pt idx="0">
                  <c:v>6.1</c:v>
                </c:pt>
                <c:pt idx="1">
                  <c:v>5.8</c:v>
                </c:pt>
                <c:pt idx="2">
                  <c:v>5.9</c:v>
                </c:pt>
                <c:pt idx="3">
                  <c:v>6.2</c:v>
                </c:pt>
                <c:pt idx="4">
                  <c:v>6.2</c:v>
                </c:pt>
                <c:pt idx="5">
                  <c:v>6.3</c:v>
                </c:pt>
                <c:pt idx="6">
                  <c:v>5.9</c:v>
                </c:pt>
                <c:pt idx="7">
                  <c:v>5.5</c:v>
                </c:pt>
                <c:pt idx="8">
                  <c:v>5.0999999999999996</c:v>
                </c:pt>
                <c:pt idx="9" formatCode="0.0">
                  <c:v>5</c:v>
                </c:pt>
                <c:pt idx="10" formatCode="0.0">
                  <c:v>4.7</c:v>
                </c:pt>
                <c:pt idx="11" formatCode="0.0">
                  <c:v>4.7</c:v>
                </c:pt>
                <c:pt idx="12" formatCode="0.0">
                  <c:v>5</c:v>
                </c:pt>
                <c:pt idx="13" formatCode="0.0">
                  <c:v>6.3</c:v>
                </c:pt>
                <c:pt idx="14" formatCode="0.0">
                  <c:v>6.5</c:v>
                </c:pt>
                <c:pt idx="15" formatCode="0.0">
                  <c:v>6.5</c:v>
                </c:pt>
                <c:pt idx="16" formatCode="0.0">
                  <c:v>6.5</c:v>
                </c:pt>
                <c:pt idx="17" formatCode="0.0">
                  <c:v>6.9</c:v>
                </c:pt>
                <c:pt idx="18" formatCode="0.0">
                  <c:v>7.2</c:v>
                </c:pt>
                <c:pt idx="19" formatCode="0.0">
                  <c:v>7.1</c:v>
                </c:pt>
                <c:pt idx="20" formatCode="0.0">
                  <c:v>7.1</c:v>
                </c:pt>
                <c:pt idx="21" formatCode="0.0">
                  <c:v>7.6</c:v>
                </c:pt>
                <c:pt idx="22" formatCode="0.0">
                  <c:v>7.3</c:v>
                </c:pt>
                <c:pt idx="23" formatCode="0.0">
                  <c:v>7.6</c:v>
                </c:pt>
                <c:pt idx="24" formatCode="0.0">
                  <c:v>7.5</c:v>
                </c:pt>
              </c:numCache>
            </c:numRef>
          </c:val>
        </c:ser>
        <c:marker val="1"/>
        <c:axId val="67536000"/>
        <c:axId val="67537920"/>
      </c:lineChart>
      <c:lineChart>
        <c:grouping val="standard"/>
        <c:ser>
          <c:idx val="0"/>
          <c:order val="0"/>
          <c:tx>
            <c:strRef>
              <c:f>'relacje 5'!$C$3</c:f>
              <c:strCache>
                <c:ptCount val="1"/>
                <c:pt idx="0">
                  <c:v>Piglet marketplaces prices per pc (the right axis)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5'!$A$4:$A$28</c:f>
              <c:strCache>
                <c:ptCount val="25"/>
                <c:pt idx="0">
                  <c:v>III 2018    </c:v>
                </c:pt>
                <c:pt idx="1">
                  <c:v>IV </c:v>
                </c:pt>
                <c:pt idx="2">
                  <c:v>V </c:v>
                </c:pt>
                <c:pt idx="3">
                  <c:v>VI</c:v>
                </c:pt>
                <c:pt idx="4">
                  <c:v>VII </c:v>
                </c:pt>
                <c:pt idx="5">
                  <c:v>VIII</c:v>
                </c:pt>
                <c:pt idx="6">
                  <c:v>IX </c:v>
                </c:pt>
                <c:pt idx="7">
                  <c:v>X </c:v>
                </c:pt>
                <c:pt idx="8">
                  <c:v>XI </c:v>
                </c:pt>
                <c:pt idx="9">
                  <c:v>XII  </c:v>
                </c:pt>
                <c:pt idx="10">
                  <c:v>I </c:v>
                </c:pt>
                <c:pt idx="11">
                  <c:v>II </c:v>
                </c:pt>
                <c:pt idx="12">
                  <c:v>III 2019 </c:v>
                </c:pt>
                <c:pt idx="13">
                  <c:v>IV </c:v>
                </c:pt>
                <c:pt idx="14">
                  <c:v>V </c:v>
                </c:pt>
                <c:pt idx="15">
                  <c:v>VI</c:v>
                </c:pt>
                <c:pt idx="16">
                  <c:v>VII </c:v>
                </c:pt>
                <c:pt idx="17">
                  <c:v>VIII </c:v>
                </c:pt>
                <c:pt idx="18">
                  <c:v>IX </c:v>
                </c:pt>
                <c:pt idx="19">
                  <c:v>X </c:v>
                </c:pt>
                <c:pt idx="20">
                  <c:v>XI </c:v>
                </c:pt>
                <c:pt idx="21">
                  <c:v>XII </c:v>
                </c:pt>
                <c:pt idx="22">
                  <c:v>I </c:v>
                </c:pt>
                <c:pt idx="23">
                  <c:v>II </c:v>
                </c:pt>
                <c:pt idx="24">
                  <c:v>III 2020</c:v>
                </c:pt>
              </c:strCache>
            </c:strRef>
          </c:cat>
          <c:val>
            <c:numRef>
              <c:f>'relacje 5'!$C$4:$C$28</c:f>
              <c:numCache>
                <c:formatCode>0.00</c:formatCode>
                <c:ptCount val="25"/>
                <c:pt idx="0">
                  <c:v>185.43</c:v>
                </c:pt>
                <c:pt idx="1">
                  <c:v>188.2</c:v>
                </c:pt>
                <c:pt idx="2">
                  <c:v>181.2</c:v>
                </c:pt>
                <c:pt idx="3">
                  <c:v>181.37</c:v>
                </c:pt>
                <c:pt idx="4">
                  <c:v>182.9</c:v>
                </c:pt>
                <c:pt idx="5">
                  <c:v>187.10999999999999</c:v>
                </c:pt>
                <c:pt idx="6">
                  <c:v>175.7</c:v>
                </c:pt>
                <c:pt idx="7">
                  <c:v>172</c:v>
                </c:pt>
                <c:pt idx="8">
                  <c:v>181.2</c:v>
                </c:pt>
                <c:pt idx="9">
                  <c:v>169.13</c:v>
                </c:pt>
                <c:pt idx="10">
                  <c:v>171.20999999999998</c:v>
                </c:pt>
                <c:pt idx="11">
                  <c:v>168.94</c:v>
                </c:pt>
                <c:pt idx="12">
                  <c:v>179.87</c:v>
                </c:pt>
                <c:pt idx="13">
                  <c:v>195.13</c:v>
                </c:pt>
                <c:pt idx="14">
                  <c:v>216.5</c:v>
                </c:pt>
                <c:pt idx="15">
                  <c:v>197.69</c:v>
                </c:pt>
                <c:pt idx="16">
                  <c:v>203.41</c:v>
                </c:pt>
                <c:pt idx="17">
                  <c:v>215</c:v>
                </c:pt>
                <c:pt idx="18">
                  <c:v>197.60999999999999</c:v>
                </c:pt>
                <c:pt idx="19">
                  <c:v>212.5</c:v>
                </c:pt>
                <c:pt idx="20">
                  <c:v>215.25</c:v>
                </c:pt>
                <c:pt idx="21">
                  <c:v>230.79</c:v>
                </c:pt>
                <c:pt idx="22">
                  <c:v>248.82000000000025</c:v>
                </c:pt>
                <c:pt idx="23">
                  <c:v>253.33</c:v>
                </c:pt>
                <c:pt idx="24">
                  <c:v>222.86</c:v>
                </c:pt>
              </c:numCache>
            </c:numRef>
          </c:val>
        </c:ser>
        <c:marker val="1"/>
        <c:axId val="67556096"/>
        <c:axId val="67557632"/>
      </c:lineChart>
      <c:catAx>
        <c:axId val="67536000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6350">
            <a:solidFill>
              <a:schemeClr val="bg1">
                <a:lumMod val="7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2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67537920"/>
        <c:crosses val="autoZero"/>
        <c:lblAlgn val="ctr"/>
        <c:lblOffset val="100"/>
        <c:tickLblSkip val="1"/>
        <c:tickMarkSkip val="1"/>
      </c:catAx>
      <c:valAx>
        <c:axId val="67537920"/>
        <c:scaling>
          <c:orientation val="minMax"/>
          <c:max val="18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67536000"/>
        <c:crosses val="autoZero"/>
        <c:crossBetween val="between"/>
      </c:valAx>
      <c:catAx>
        <c:axId val="67556096"/>
        <c:scaling>
          <c:orientation val="minMax"/>
        </c:scaling>
        <c:delete val="1"/>
        <c:axPos val="b"/>
        <c:numFmt formatCode="General" sourceLinked="1"/>
        <c:tickLblPos val="none"/>
        <c:crossAx val="67557632"/>
        <c:crosses val="autoZero"/>
        <c:lblAlgn val="ctr"/>
        <c:lblOffset val="100"/>
      </c:catAx>
      <c:valAx>
        <c:axId val="67557632"/>
        <c:scaling>
          <c:orientation val="minMax"/>
          <c:max val="260"/>
          <c:min val="130"/>
        </c:scaling>
        <c:axPos val="r"/>
        <c:title>
          <c:tx>
            <c:rich>
              <a:bodyPr rot="0" vert="horz"/>
              <a:lstStyle/>
              <a:p>
                <a:pPr>
                  <a:defRPr sz="620" baseline="0">
                    <a:solidFill>
                      <a:sysClr val="windowText" lastClr="000000"/>
                    </a:solidFill>
                  </a:defRPr>
                </a:pPr>
                <a:r>
                  <a:rPr lang="en-US" sz="62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</a:t>
                </a:r>
                <a:endParaRPr lang="en-US" sz="620" baseline="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95440425417759678"/>
              <c:y val="3.2162374181135826E-3"/>
            </c:manualLayout>
          </c:layout>
        </c:title>
        <c:numFmt formatCode="General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67556096"/>
        <c:crosses val="max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7.8439891924614494E-2"/>
          <c:y val="0.81238474420937123"/>
          <c:w val="0.8456609392921246"/>
          <c:h val="0.15945178100051144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B3441-5FE3-44A6-A0CD-34E7654F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32</cp:revision>
  <cp:lastPrinted>2020-02-21T08:34:00Z</cp:lastPrinted>
  <dcterms:created xsi:type="dcterms:W3CDTF">2020-04-20T12:45:00Z</dcterms:created>
  <dcterms:modified xsi:type="dcterms:W3CDTF">2020-04-21T06:48:00Z</dcterms:modified>
</cp:coreProperties>
</file>