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78" w:rsidRPr="000F45BD" w:rsidRDefault="00C47A6B" w:rsidP="00097B75">
      <w:pPr>
        <w:spacing w:before="120" w:after="0" w:line="240" w:lineRule="auto"/>
        <w:rPr>
          <w:rFonts w:ascii="Fira Sans Extra Condensed SemiB" w:hAnsi="Fira Sans Extra Condensed SemiB"/>
          <w:bCs/>
          <w:color w:val="000000" w:themeColor="text1"/>
          <w:sz w:val="40"/>
          <w:szCs w:val="40"/>
          <w:lang w:val="en-US"/>
        </w:rPr>
      </w:pPr>
      <w:r>
        <w:rPr>
          <w:rFonts w:ascii="Fira Sans Extra Condensed SemiB" w:hAnsi="Fira Sans Extra Condensed SemiB"/>
          <w:bCs/>
          <w:noProof/>
          <w:color w:val="000000" w:themeColor="text1"/>
          <w:sz w:val="40"/>
          <w:szCs w:val="40"/>
          <w:lang w:eastAsia="pl-PL"/>
        </w:rPr>
        <w:pict>
          <v:shapetype id="_x0000_t202" coordsize="21600,21600" o:spt="202" path="m,l,21600r21600,l21600,xe">
            <v:stroke joinstyle="miter"/>
            <v:path gradientshapeok="t" o:connecttype="rect"/>
          </v:shapetype>
          <v:shape id="Pole tekstowe 2" o:spid="_x0000_s1056" type="#_x0000_t202" style="position:absolute;margin-left:414.6pt;margin-top:7.2pt;width:112.8pt;height:26.5pt;z-index:2518261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" filled="f" stroked="f">
            <v:textbox>
              <w:txbxContent>
                <w:p w:rsidR="00FB5D78" w:rsidRPr="00F75CFF" w:rsidRDefault="00FC3AF2" w:rsidP="00FB5D78">
                  <w:pPr>
                    <w:jc w:val="both"/>
                    <w:rPr>
                      <w:rFonts w:ascii="Fira Sans SemiBold" w:hAnsi="Fira Sans SemiBold"/>
                      <w:color w:val="001D77"/>
                      <w:sz w:val="19"/>
                      <w:szCs w:val="19"/>
                    </w:rPr>
                  </w:pPr>
                  <w:r>
                    <w:rPr>
                      <w:rFonts w:ascii="Fira Sans SemiBold" w:hAnsi="Fira Sans SemiBold"/>
                      <w:color w:val="001D77"/>
                      <w:sz w:val="19"/>
                      <w:szCs w:val="19"/>
                    </w:rPr>
                    <w:t>19</w:t>
                  </w:r>
                  <w:r w:rsidR="00FB5D78">
                    <w:rPr>
                      <w:rFonts w:ascii="Fira Sans SemiBold" w:hAnsi="Fira Sans SemiBold"/>
                      <w:color w:val="001D77"/>
                      <w:sz w:val="19"/>
                      <w:szCs w:val="19"/>
                    </w:rPr>
                    <w:t>.0</w:t>
                  </w:r>
                  <w:r>
                    <w:rPr>
                      <w:rFonts w:ascii="Fira Sans SemiBold" w:hAnsi="Fira Sans SemiBold"/>
                      <w:color w:val="001D77"/>
                      <w:sz w:val="19"/>
                      <w:szCs w:val="19"/>
                    </w:rPr>
                    <w:t>3</w:t>
                  </w:r>
                  <w:r w:rsidR="00FB5D78" w:rsidRPr="00F75CFF">
                    <w:rPr>
                      <w:rFonts w:ascii="Fira Sans SemiBold" w:hAnsi="Fira Sans SemiBold"/>
                      <w:color w:val="001D77"/>
                      <w:sz w:val="19"/>
                      <w:szCs w:val="19"/>
                    </w:rPr>
                    <w:t>.20</w:t>
                  </w:r>
                  <w:r w:rsidR="00FB5D78">
                    <w:rPr>
                      <w:rFonts w:ascii="Fira Sans SemiBold" w:hAnsi="Fira Sans SemiBold"/>
                      <w:color w:val="001D77"/>
                      <w:sz w:val="19"/>
                      <w:szCs w:val="19"/>
                    </w:rPr>
                    <w:t>20</w:t>
                  </w:r>
                  <w:r w:rsidR="00FB5D78" w:rsidRPr="00F75CFF">
                    <w:rPr>
                      <w:rFonts w:ascii="Fira Sans SemiBold" w:hAnsi="Fira Sans SemiBold"/>
                      <w:color w:val="001D77"/>
                      <w:sz w:val="19"/>
                      <w:szCs w:val="19"/>
                    </w:rPr>
                    <w:t xml:space="preserve"> </w:t>
                  </w:r>
                </w:p>
              </w:txbxContent>
            </v:textbox>
          </v:shape>
        </w:pict>
      </w:r>
      <w:r w:rsidR="00FB5D78" w:rsidRPr="000F45BD">
        <w:rPr>
          <w:rFonts w:ascii="Fira Sans Extra Condensed SemiB" w:hAnsi="Fira Sans Extra Condensed SemiB"/>
          <w:bCs/>
          <w:noProof/>
          <w:color w:val="000000" w:themeColor="text1"/>
          <w:sz w:val="40"/>
          <w:szCs w:val="40"/>
          <w:lang w:val="en-US" w:eastAsia="pl-PL"/>
        </w:rPr>
        <w:t>Prices of agricultural products</w:t>
      </w:r>
      <w:r w:rsidR="00FB5D78" w:rsidRPr="000F45BD">
        <w:rPr>
          <w:rFonts w:ascii="Fira Sans Extra Condensed SemiB" w:hAnsi="Fira Sans Extra Condensed SemiB"/>
          <w:bCs/>
          <w:color w:val="000000" w:themeColor="text1"/>
          <w:sz w:val="40"/>
          <w:szCs w:val="40"/>
          <w:lang w:val="en-US"/>
        </w:rPr>
        <w:t xml:space="preserve"> in </w:t>
      </w:r>
      <w:r w:rsidR="00FC3AF2">
        <w:rPr>
          <w:rFonts w:ascii="Fira Sans Extra Condensed SemiB" w:hAnsi="Fira Sans Extra Condensed SemiB"/>
          <w:bCs/>
          <w:color w:val="000000" w:themeColor="text1"/>
          <w:sz w:val="40"/>
          <w:szCs w:val="40"/>
          <w:lang w:val="en-US"/>
        </w:rPr>
        <w:t>February</w:t>
      </w:r>
      <w:r w:rsidR="00FB5D78" w:rsidRPr="000F45BD">
        <w:rPr>
          <w:rFonts w:ascii="Fira Sans Extra Condensed SemiB" w:hAnsi="Fira Sans Extra Condensed SemiB"/>
          <w:bCs/>
          <w:color w:val="000000" w:themeColor="text1"/>
          <w:sz w:val="40"/>
          <w:szCs w:val="40"/>
          <w:lang w:val="en-US"/>
        </w:rPr>
        <w:t xml:space="preserve"> 2020 </w:t>
      </w:r>
    </w:p>
    <w:p w:rsidR="00F32458" w:rsidRPr="000F45BD" w:rsidRDefault="00F32458" w:rsidP="00F32458">
      <w:pPr>
        <w:spacing w:after="0" w:line="360" w:lineRule="exact"/>
        <w:rPr>
          <w:rFonts w:ascii="Fira Sans Extra Condensed SemiB" w:hAnsi="Fira Sans Extra Condensed SemiB"/>
          <w:color w:val="000000" w:themeColor="text1"/>
          <w:sz w:val="40"/>
          <w:szCs w:val="40"/>
          <w:lang w:val="en-US"/>
        </w:rPr>
      </w:pPr>
    </w:p>
    <w:p w:rsidR="00670F4C" w:rsidRPr="000F45BD" w:rsidRDefault="00C47A6B" w:rsidP="00C3782D">
      <w:pPr>
        <w:spacing w:before="120" w:after="120" w:line="240" w:lineRule="exact"/>
        <w:rPr>
          <w:rFonts w:ascii="Fira Sans" w:hAnsi="Fira Sans"/>
          <w:sz w:val="19"/>
          <w:lang w:val="en-US"/>
        </w:rPr>
      </w:pPr>
      <w:r w:rsidRPr="00C47A6B">
        <w:rPr>
          <w:rFonts w:ascii="Fira Sans" w:hAnsi="Fira Sans"/>
          <w:b/>
          <w:noProof/>
          <w:sz w:val="19"/>
          <w:szCs w:val="20"/>
          <w:lang w:eastAsia="pl-PL"/>
        </w:rPr>
        <w:pict>
          <v:shape id="_x0000_s1027" type="#_x0000_t202" style="position:absolute;margin-left:0;margin-top:6.35pt;width:172.1pt;height:96pt;z-index:25179443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" fillcolor="#001d77" stroked="f">
            <v:textbox style="mso-next-textbox:#_x0000_s1027">
              <w:txbxContent>
                <w:p w:rsidR="00133140" w:rsidRPr="000F45BD" w:rsidRDefault="00C47A6B" w:rsidP="00811F04">
                  <w:pPr>
                    <w:spacing w:after="0"/>
                    <w:rPr>
                      <w:rFonts w:ascii="Fira Sans" w:hAnsi="Fira Sans"/>
                      <w:color w:val="FFFFFF" w:themeColor="background1"/>
                      <w:sz w:val="20"/>
                      <w:szCs w:val="20"/>
                      <w:lang w:val="en-US"/>
                    </w:rPr>
                  </w:pPr>
                  <w:r w:rsidRPr="00C47A6B">
                    <w:rPr>
                      <w:noProof/>
                      <w:color w:val="001D77"/>
                      <w:lang w:eastAsia="pl-PL"/>
                    </w:rPr>
                    <w:pict>
                      <v:shape id="Obraz 33" o:spid="_x0000_i1025" type="#_x0000_t75" style="width:25.6pt;height:28.1pt;visibility:visible;mso-wrap-style:square">
                        <v:imagedata r:id="rId8" o:title=""/>
                      </v:shape>
                    </w:pict>
                  </w:r>
                  <w:r w:rsidR="00133140" w:rsidRPr="000F45BD">
                    <w:rPr>
                      <w:rFonts w:ascii="Fira Sans SemiBold" w:hAnsi="Fira Sans SemiBold"/>
                      <w:color w:val="FFFFFF" w:themeColor="background1"/>
                      <w:sz w:val="72"/>
                      <w:lang w:val="en-US"/>
                    </w:rPr>
                    <w:t xml:space="preserve"> </w:t>
                  </w:r>
                  <w:r w:rsidR="00E43FD8">
                    <w:rPr>
                      <w:rFonts w:ascii="Fira Sans SemiBold" w:hAnsi="Fira Sans SemiBold"/>
                      <w:color w:val="FFFFFF" w:themeColor="background1"/>
                      <w:sz w:val="72"/>
                      <w:lang w:val="en-US"/>
                    </w:rPr>
                    <w:t>7</w:t>
                  </w:r>
                  <w:r w:rsidR="001B33E5" w:rsidRPr="000F45BD">
                    <w:rPr>
                      <w:rFonts w:ascii="Fira Sans SemiBold" w:hAnsi="Fira Sans SemiBold"/>
                      <w:color w:val="FFFFFF" w:themeColor="background1"/>
                      <w:sz w:val="72"/>
                      <w:lang w:val="en-US"/>
                    </w:rPr>
                    <w:t>.</w:t>
                  </w:r>
                  <w:r w:rsidR="00E43FD8">
                    <w:rPr>
                      <w:rFonts w:ascii="Fira Sans SemiBold" w:hAnsi="Fira Sans SemiBold"/>
                      <w:color w:val="FFFFFF" w:themeColor="background1"/>
                      <w:sz w:val="72"/>
                      <w:lang w:val="en-US"/>
                    </w:rPr>
                    <w:t>5</w:t>
                  </w:r>
                  <w:r w:rsidR="00133140" w:rsidRPr="000F45BD">
                    <w:rPr>
                      <w:rFonts w:ascii="Fira Sans SemiBold" w:hAnsi="Fira Sans SemiBold"/>
                      <w:color w:val="FFFFFF" w:themeColor="background1"/>
                      <w:sz w:val="72"/>
                      <w:lang w:val="en-US"/>
                    </w:rPr>
                    <w:t>%</w:t>
                  </w:r>
                  <w:r w:rsidR="00133140" w:rsidRPr="000F45BD">
                    <w:rPr>
                      <w:rFonts w:ascii="Fira Sans" w:eastAsia="Times New Roman" w:hAnsi="Fira Sans" w:cs="Arial"/>
                      <w:bCs/>
                      <w:sz w:val="20"/>
                      <w:szCs w:val="20"/>
                      <w:lang w:val="en-US" w:eastAsia="pl-PL"/>
                    </w:rPr>
                    <w:t xml:space="preserve"> </w:t>
                  </w:r>
                  <w:r w:rsidR="00133140" w:rsidRPr="000F45BD">
                    <w:rPr>
                      <w:rFonts w:ascii="Fira Sans" w:eastAsia="Times New Roman" w:hAnsi="Fira Sans" w:cs="Arial"/>
                      <w:bCs/>
                      <w:sz w:val="20"/>
                      <w:szCs w:val="20"/>
                      <w:lang w:val="en-US" w:eastAsia="pl-PL"/>
                    </w:rPr>
                    <w:br/>
                  </w:r>
                  <w:r w:rsidR="00CB531E" w:rsidRPr="000F45BD">
                    <w:rPr>
                      <w:rFonts w:ascii="Fira Sans" w:eastAsia="Times New Roman" w:hAnsi="Fira Sans" w:cs="Arial"/>
                      <w:bCs/>
                      <w:sz w:val="20"/>
                      <w:szCs w:val="20"/>
                      <w:lang w:val="en-US" w:eastAsia="pl-PL"/>
                    </w:rPr>
                    <w:t>an increase in procurement</w:t>
                  </w:r>
                  <w:r w:rsidR="00A71000" w:rsidRPr="000F45BD">
                    <w:rPr>
                      <w:rFonts w:ascii="Fira Sans" w:eastAsia="Times New Roman" w:hAnsi="Fira Sans" w:cs="Arial"/>
                      <w:bCs/>
                      <w:sz w:val="20"/>
                      <w:szCs w:val="20"/>
                      <w:lang w:val="en-US" w:eastAsia="pl-PL"/>
                    </w:rPr>
                    <w:t xml:space="preserve"> prices</w:t>
                  </w:r>
                  <w:r w:rsidR="00CB531E" w:rsidRPr="000F45BD">
                    <w:rPr>
                      <w:rFonts w:ascii="Fira Sans" w:eastAsia="Times New Roman" w:hAnsi="Fira Sans" w:cs="Arial"/>
                      <w:bCs/>
                      <w:sz w:val="20"/>
                      <w:szCs w:val="20"/>
                      <w:lang w:val="en-US" w:eastAsia="pl-PL"/>
                    </w:rPr>
                    <w:t xml:space="preserve"> of basic ag</w:t>
                  </w:r>
                  <w:r w:rsidR="00000D7A" w:rsidRPr="000F45BD">
                    <w:rPr>
                      <w:rFonts w:ascii="Fira Sans" w:eastAsia="Times New Roman" w:hAnsi="Fira Sans" w:cs="Arial"/>
                      <w:bCs/>
                      <w:sz w:val="20"/>
                      <w:szCs w:val="20"/>
                      <w:lang w:val="en-US" w:eastAsia="pl-PL"/>
                    </w:rPr>
                    <w:t>r</w:t>
                  </w:r>
                  <w:r w:rsidR="00CB531E" w:rsidRPr="000F45BD">
                    <w:rPr>
                      <w:rFonts w:ascii="Fira Sans" w:eastAsia="Times New Roman" w:hAnsi="Fira Sans" w:cs="Arial"/>
                      <w:bCs/>
                      <w:sz w:val="20"/>
                      <w:szCs w:val="20"/>
                      <w:lang w:val="en-US" w:eastAsia="pl-PL"/>
                    </w:rPr>
                    <w:t xml:space="preserve">icultural products </w:t>
                  </w:r>
                  <w:r w:rsidR="00A71000" w:rsidRPr="000F45BD">
                    <w:rPr>
                      <w:rFonts w:ascii="Fira Sans" w:eastAsia="Times New Roman" w:hAnsi="Fira Sans" w:cs="Arial"/>
                      <w:bCs/>
                      <w:sz w:val="20"/>
                      <w:szCs w:val="20"/>
                      <w:lang w:val="en-US" w:eastAsia="pl-PL"/>
                    </w:rPr>
                    <w:t>in comparison</w:t>
                  </w:r>
                  <w:r w:rsidR="00CB531E" w:rsidRPr="000F45BD">
                    <w:rPr>
                      <w:rFonts w:ascii="Fira Sans" w:eastAsia="Times New Roman" w:hAnsi="Fira Sans" w:cs="Arial"/>
                      <w:bCs/>
                      <w:sz w:val="20"/>
                      <w:szCs w:val="20"/>
                      <w:lang w:val="en-US" w:eastAsia="pl-PL"/>
                    </w:rPr>
                    <w:t xml:space="preserve"> with </w:t>
                  </w:r>
                  <w:r w:rsidR="00E43FD8">
                    <w:rPr>
                      <w:rFonts w:ascii="Fira Sans" w:eastAsia="Times New Roman" w:hAnsi="Fira Sans" w:cs="Arial"/>
                      <w:bCs/>
                      <w:sz w:val="20"/>
                      <w:szCs w:val="20"/>
                      <w:lang w:val="en-US" w:eastAsia="pl-PL"/>
                    </w:rPr>
                    <w:t>February</w:t>
                  </w:r>
                  <w:r w:rsidR="00CB531E" w:rsidRPr="000F45BD">
                    <w:rPr>
                      <w:rFonts w:ascii="Fira Sans" w:eastAsia="Times New Roman" w:hAnsi="Fira Sans" w:cs="Arial"/>
                      <w:bCs/>
                      <w:sz w:val="20"/>
                      <w:szCs w:val="20"/>
                      <w:lang w:val="en-US" w:eastAsia="pl-PL"/>
                    </w:rPr>
                    <w:t xml:space="preserve"> 2019</w:t>
                  </w:r>
                </w:p>
              </w:txbxContent>
            </v:textbox>
            <w10:wrap type="square" anchorx="margin"/>
          </v:shape>
        </w:pict>
      </w:r>
      <w:r w:rsidR="0034516E" w:rsidRPr="00661C39">
        <w:rPr>
          <w:rFonts w:ascii="Fira Sans" w:hAnsi="Fira Sans"/>
          <w:b/>
          <w:sz w:val="19"/>
          <w:szCs w:val="20"/>
          <w:lang w:val="en-US" w:eastAsia="pl-PL"/>
        </w:rPr>
        <w:t xml:space="preserve"> Procurement prices of basic agricultural products</w:t>
      </w:r>
      <w:r w:rsidR="0034516E" w:rsidRPr="003B4DBB">
        <w:rPr>
          <w:rStyle w:val="Odwoanieprzypisudolnego"/>
          <w:rFonts w:ascii="Fira Sans" w:hAnsi="Fira Sans"/>
          <w:b/>
          <w:sz w:val="19"/>
          <w:szCs w:val="20"/>
          <w:lang w:eastAsia="pl-PL"/>
        </w:rPr>
        <w:footnoteReference w:id="1"/>
      </w:r>
      <w:r w:rsidR="0034516E" w:rsidRPr="00661C39">
        <w:rPr>
          <w:rFonts w:ascii="Fira Sans" w:hAnsi="Fira Sans"/>
          <w:b/>
          <w:sz w:val="19"/>
          <w:szCs w:val="20"/>
          <w:lang w:val="en-US" w:eastAsia="pl-PL"/>
        </w:rPr>
        <w:t xml:space="preserve"> increased in February 2020  in compar</w:t>
      </w:r>
      <w:r w:rsidR="0034516E" w:rsidRPr="00661C39">
        <w:rPr>
          <w:rFonts w:ascii="Fira Sans" w:hAnsi="Fira Sans"/>
          <w:b/>
          <w:sz w:val="19"/>
          <w:szCs w:val="20"/>
          <w:lang w:val="en-US" w:eastAsia="pl-PL"/>
        </w:rPr>
        <w:t>i</w:t>
      </w:r>
      <w:r w:rsidR="0034516E" w:rsidRPr="00661C39">
        <w:rPr>
          <w:rFonts w:ascii="Fira Sans" w:hAnsi="Fira Sans"/>
          <w:b/>
          <w:sz w:val="19"/>
          <w:szCs w:val="20"/>
          <w:lang w:val="en-US" w:eastAsia="pl-PL"/>
        </w:rPr>
        <w:t>son  with the previous month (by 1.5%)</w:t>
      </w:r>
      <w:r w:rsidR="00281881" w:rsidRPr="00661C39">
        <w:rPr>
          <w:rFonts w:ascii="Fira Sans" w:hAnsi="Fira Sans"/>
          <w:b/>
          <w:sz w:val="19"/>
          <w:szCs w:val="20"/>
          <w:lang w:val="en-US" w:eastAsia="pl-PL"/>
        </w:rPr>
        <w:t>,</w:t>
      </w:r>
      <w:r w:rsidR="0034516E" w:rsidRPr="00661C39">
        <w:rPr>
          <w:rFonts w:ascii="Fira Sans" w:hAnsi="Fira Sans"/>
          <w:b/>
          <w:sz w:val="19"/>
          <w:szCs w:val="20"/>
          <w:lang w:val="en-US" w:eastAsia="pl-PL"/>
        </w:rPr>
        <w:t xml:space="preserve"> while compared to February 2019 (by 7.5%).</w:t>
      </w:r>
    </w:p>
    <w:p w:rsidR="00113D95" w:rsidRPr="000F45BD" w:rsidRDefault="00113D95" w:rsidP="00D57132">
      <w:pPr>
        <w:spacing w:before="120" w:after="120" w:line="240" w:lineRule="exact"/>
        <w:jc w:val="both"/>
        <w:rPr>
          <w:rFonts w:ascii="Fira Sans" w:hAnsi="Fira Sans"/>
          <w:b/>
          <w:sz w:val="18"/>
          <w:szCs w:val="18"/>
          <w:lang w:val="en-US"/>
        </w:rPr>
      </w:pPr>
    </w:p>
    <w:p w:rsidR="009F2576" w:rsidRPr="000F45BD" w:rsidRDefault="009F2576" w:rsidP="00D57132">
      <w:pPr>
        <w:spacing w:before="120" w:after="120" w:line="240" w:lineRule="exact"/>
        <w:jc w:val="both"/>
        <w:rPr>
          <w:rFonts w:ascii="Fira Sans" w:hAnsi="Fira Sans"/>
          <w:b/>
          <w:sz w:val="18"/>
          <w:szCs w:val="18"/>
          <w:lang w:val="en-US"/>
        </w:rPr>
      </w:pPr>
    </w:p>
    <w:p w:rsidR="00C24635" w:rsidRPr="000F45BD" w:rsidRDefault="00C24635" w:rsidP="00F721CD">
      <w:pPr>
        <w:spacing w:before="120" w:after="120" w:line="240" w:lineRule="exact"/>
        <w:rPr>
          <w:rFonts w:ascii="Fira Sans" w:hAnsi="Fira Sans"/>
          <w:sz w:val="19"/>
          <w:szCs w:val="18"/>
          <w:lang w:val="en-US"/>
        </w:rPr>
      </w:pPr>
    </w:p>
    <w:p w:rsidR="000970A0" w:rsidRDefault="000970A0" w:rsidP="00D858BA">
      <w:pPr>
        <w:spacing w:before="120" w:after="120" w:line="240" w:lineRule="exact"/>
        <w:jc w:val="both"/>
        <w:rPr>
          <w:rFonts w:ascii="Fira Sans" w:hAnsi="Fira Sans"/>
          <w:b/>
          <w:sz w:val="18"/>
          <w:szCs w:val="18"/>
          <w:lang w:val="en-US"/>
        </w:rPr>
      </w:pPr>
    </w:p>
    <w:p w:rsidR="00D858BA" w:rsidRPr="000F45BD" w:rsidRDefault="00D858BA" w:rsidP="005418FB">
      <w:pPr>
        <w:spacing w:before="120" w:after="120" w:line="240" w:lineRule="exact"/>
        <w:ind w:left="709" w:hanging="709"/>
        <w:rPr>
          <w:rFonts w:ascii="Fira Sans SemiBold" w:eastAsia="Times New Roman" w:hAnsi="Fira Sans SemiBold" w:cs="Times New Roman"/>
          <w:bCs/>
          <w:noProof/>
          <w:color w:val="001D77"/>
          <w:spacing w:val="-2"/>
          <w:sz w:val="19"/>
          <w:szCs w:val="19"/>
          <w:lang w:val="en-US" w:eastAsia="pl-PL"/>
        </w:rPr>
      </w:pPr>
      <w:r w:rsidRPr="000F45BD">
        <w:rPr>
          <w:rFonts w:ascii="Fira Sans" w:hAnsi="Fira Sans"/>
          <w:b/>
          <w:sz w:val="18"/>
          <w:szCs w:val="18"/>
          <w:lang w:val="en-US"/>
        </w:rPr>
        <w:t xml:space="preserve">Chart </w:t>
      </w:r>
      <w:r w:rsidR="00C47A6B" w:rsidRPr="00294769">
        <w:rPr>
          <w:rFonts w:ascii="Fira Sans" w:hAnsi="Fira Sans"/>
          <w:b/>
          <w:sz w:val="18"/>
          <w:szCs w:val="18"/>
        </w:rPr>
        <w:fldChar w:fldCharType="begin"/>
      </w:r>
      <w:r w:rsidRPr="000F45BD">
        <w:rPr>
          <w:rFonts w:ascii="Fira Sans" w:hAnsi="Fira Sans"/>
          <w:b/>
          <w:sz w:val="18"/>
          <w:szCs w:val="18"/>
          <w:lang w:val="en-US"/>
        </w:rPr>
        <w:instrText xml:space="preserve"> SEQ Rysunek \* ARABIC </w:instrText>
      </w:r>
      <w:r w:rsidR="00C47A6B" w:rsidRPr="00294769">
        <w:rPr>
          <w:rFonts w:ascii="Fira Sans" w:hAnsi="Fira Sans"/>
          <w:b/>
          <w:sz w:val="18"/>
          <w:szCs w:val="18"/>
        </w:rPr>
        <w:fldChar w:fldCharType="separate"/>
      </w:r>
      <w:r w:rsidR="00CE7825">
        <w:rPr>
          <w:rFonts w:ascii="Fira Sans" w:hAnsi="Fira Sans"/>
          <w:b/>
          <w:noProof/>
          <w:sz w:val="18"/>
          <w:szCs w:val="18"/>
          <w:lang w:val="en-US"/>
        </w:rPr>
        <w:t>1</w:t>
      </w:r>
      <w:r w:rsidR="00C47A6B" w:rsidRPr="00294769">
        <w:rPr>
          <w:rFonts w:ascii="Fira Sans" w:hAnsi="Fira Sans"/>
          <w:b/>
          <w:sz w:val="18"/>
          <w:szCs w:val="18"/>
        </w:rPr>
        <w:fldChar w:fldCharType="end"/>
      </w:r>
      <w:r w:rsidRPr="000F45BD">
        <w:rPr>
          <w:rFonts w:ascii="Fira Sans" w:hAnsi="Fira Sans"/>
          <w:b/>
          <w:sz w:val="18"/>
          <w:szCs w:val="18"/>
          <w:lang w:val="en-US"/>
        </w:rPr>
        <w:t>. Changes in procurement prices of basic agricultural products</w:t>
      </w:r>
      <w:r w:rsidR="00B61380" w:rsidRPr="000F45BD">
        <w:rPr>
          <w:rFonts w:ascii="Fira Sans" w:hAnsi="Fira Sans"/>
          <w:b/>
          <w:sz w:val="18"/>
          <w:szCs w:val="18"/>
          <w:lang w:val="en-US"/>
        </w:rPr>
        <w:t xml:space="preserve"> in relation</w:t>
      </w:r>
      <w:r w:rsidRPr="000F45BD">
        <w:rPr>
          <w:rFonts w:ascii="Fira Sans" w:hAnsi="Fira Sans"/>
          <w:b/>
          <w:sz w:val="18"/>
          <w:szCs w:val="18"/>
          <w:lang w:val="en-US"/>
        </w:rPr>
        <w:t xml:space="preserve"> to previous </w:t>
      </w:r>
      <w:r w:rsidR="00B61380" w:rsidRPr="000F45BD">
        <w:rPr>
          <w:rFonts w:ascii="Fira Sans" w:hAnsi="Fira Sans"/>
          <w:b/>
          <w:sz w:val="18"/>
          <w:szCs w:val="18"/>
          <w:lang w:val="en-US"/>
        </w:rPr>
        <w:t xml:space="preserve"> </w:t>
      </w:r>
      <w:r w:rsidRPr="000F45BD">
        <w:rPr>
          <w:rFonts w:ascii="Fira Sans" w:hAnsi="Fira Sans"/>
          <w:b/>
          <w:sz w:val="18"/>
          <w:szCs w:val="18"/>
          <w:lang w:val="en-US"/>
        </w:rPr>
        <w:t>mon</w:t>
      </w:r>
      <w:bookmarkStart w:id="0" w:name="_GoBack"/>
      <w:bookmarkEnd w:id="0"/>
      <w:r w:rsidRPr="000F45BD">
        <w:rPr>
          <w:rFonts w:ascii="Fira Sans" w:hAnsi="Fira Sans"/>
          <w:b/>
          <w:sz w:val="18"/>
          <w:szCs w:val="18"/>
          <w:lang w:val="en-US"/>
        </w:rPr>
        <w:t>th</w:t>
      </w:r>
    </w:p>
    <w:p w:rsidR="00BC4B00" w:rsidRDefault="00C47A6B" w:rsidP="00E05995">
      <w:pPr>
        <w:spacing w:before="120" w:line="240" w:lineRule="auto"/>
        <w:ind w:left="284"/>
        <w:rPr>
          <w:rFonts w:ascii="Fira Sans SemiBold" w:eastAsia="Times New Roman" w:hAnsi="Fira Sans SemiBold" w:cs="Times New Roman"/>
          <w:bCs/>
          <w:color w:val="001D77"/>
          <w:spacing w:val="-2"/>
          <w:sz w:val="19"/>
          <w:szCs w:val="19"/>
          <w:lang w:eastAsia="pl-PL"/>
        </w:rPr>
      </w:pPr>
      <w:r w:rsidRPr="00C47A6B">
        <w:rPr>
          <w:rFonts w:ascii="Fira Sans" w:hAnsi="Fira Sans"/>
          <w:noProof/>
          <w:sz w:val="19"/>
          <w:szCs w:val="18"/>
          <w:lang w:eastAsia="pl-PL"/>
        </w:rPr>
        <w:pict>
          <v:shape id="_x0000_s1061" type="#_x0000_t202" style="position:absolute;left:0;text-align:left;margin-left:434.25pt;margin-top:9.5pt;width:114.05pt;height:117.2pt;z-index:-251489280;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" filled="f" stroked="f">
            <v:textbox style="mso-next-textbox:#_x0000_s1061">
              <w:txbxContent>
                <w:p w:rsidR="009C699E" w:rsidRPr="00661C39" w:rsidRDefault="0011103C" w:rsidP="009C699E">
                  <w:pPr>
                    <w:spacing w:after="0" w:line="240" w:lineRule="exact"/>
                    <w:rPr>
                      <w:rFonts w:ascii="Fira Sans" w:hAnsi="Fira Sans"/>
                      <w:color w:val="001D77"/>
                      <w:sz w:val="18"/>
                      <w:szCs w:val="18"/>
                      <w:lang w:val="en-US"/>
                    </w:rPr>
                  </w:pPr>
                  <w:r w:rsidRPr="00661C39">
                    <w:rPr>
                      <w:rFonts w:ascii="Fira Sans" w:hAnsi="Fira Sans"/>
                      <w:color w:val="001D77"/>
                      <w:sz w:val="18"/>
                      <w:szCs w:val="18"/>
                      <w:lang w:val="en-US"/>
                    </w:rPr>
                    <w:t>The growth</w:t>
                  </w:r>
                  <w:r w:rsidR="005263EB" w:rsidRPr="00661C39">
                    <w:rPr>
                      <w:rFonts w:ascii="Fira Sans" w:hAnsi="Fira Sans"/>
                      <w:color w:val="001D77"/>
                      <w:sz w:val="18"/>
                      <w:szCs w:val="18"/>
                      <w:lang w:val="en-US"/>
                    </w:rPr>
                    <w:t xml:space="preserve"> in procur</w:t>
                  </w:r>
                  <w:r w:rsidR="005263EB" w:rsidRPr="00661C39">
                    <w:rPr>
                      <w:rFonts w:ascii="Fira Sans" w:hAnsi="Fira Sans"/>
                      <w:color w:val="001D77"/>
                      <w:sz w:val="18"/>
                      <w:szCs w:val="18"/>
                      <w:lang w:val="en-US"/>
                    </w:rPr>
                    <w:t>e</w:t>
                  </w:r>
                  <w:r w:rsidR="005263EB" w:rsidRPr="00661C39">
                    <w:rPr>
                      <w:rFonts w:ascii="Fira Sans" w:hAnsi="Fira Sans"/>
                      <w:color w:val="001D77"/>
                      <w:sz w:val="18"/>
                      <w:szCs w:val="18"/>
                      <w:lang w:val="en-US"/>
                    </w:rPr>
                    <w:t xml:space="preserve">ment prices of </w:t>
                  </w:r>
                  <w:r w:rsidR="00665418" w:rsidRPr="00661C39">
                    <w:rPr>
                      <w:rFonts w:ascii="Fira Sans" w:hAnsi="Fira Sans"/>
                      <w:color w:val="001D77"/>
                      <w:sz w:val="18"/>
                      <w:szCs w:val="18"/>
                      <w:lang w:val="en-US"/>
                    </w:rPr>
                    <w:t>b</w:t>
                  </w:r>
                  <w:r w:rsidR="005263EB" w:rsidRPr="00661C39">
                    <w:rPr>
                      <w:rFonts w:ascii="Fira Sans" w:hAnsi="Fira Sans"/>
                      <w:color w:val="001D77"/>
                      <w:sz w:val="18"/>
                      <w:szCs w:val="18"/>
                      <w:lang w:val="en-US"/>
                    </w:rPr>
                    <w:t>asic agricultural products</w:t>
                  </w:r>
                  <w:r w:rsidR="00787946" w:rsidRPr="00661C39">
                    <w:rPr>
                      <w:rFonts w:ascii="Fira Sans" w:hAnsi="Fira Sans"/>
                      <w:color w:val="001D77"/>
                      <w:sz w:val="18"/>
                      <w:szCs w:val="18"/>
                      <w:lang w:val="en-US"/>
                    </w:rPr>
                    <w:t xml:space="preserve"> </w:t>
                  </w:r>
                  <w:r w:rsidR="00265080" w:rsidRPr="00661C39">
                    <w:rPr>
                      <w:rFonts w:ascii="Fira Sans" w:hAnsi="Fira Sans"/>
                      <w:color w:val="001D77"/>
                      <w:sz w:val="18"/>
                      <w:szCs w:val="18"/>
                      <w:lang w:val="en-US"/>
                    </w:rPr>
                    <w:t>i</w:t>
                  </w:r>
                  <w:r w:rsidR="00787946" w:rsidRPr="00661C39">
                    <w:rPr>
                      <w:rFonts w:ascii="Fira Sans" w:hAnsi="Fira Sans"/>
                      <w:color w:val="001D77"/>
                      <w:sz w:val="18"/>
                      <w:szCs w:val="18"/>
                      <w:lang w:val="en-US"/>
                    </w:rPr>
                    <w:t>n February 2020</w:t>
                  </w:r>
                  <w:r w:rsidR="009C699E" w:rsidRPr="00661C39">
                    <w:rPr>
                      <w:rFonts w:ascii="Fira Sans" w:hAnsi="Fira Sans"/>
                      <w:color w:val="001D77"/>
                      <w:sz w:val="18"/>
                      <w:szCs w:val="18"/>
                      <w:lang w:val="en-US"/>
                    </w:rPr>
                    <w:t xml:space="preserve"> </w:t>
                  </w:r>
                  <w:r w:rsidR="00787946" w:rsidRPr="00661C39">
                    <w:rPr>
                      <w:rFonts w:ascii="Fira Sans" w:hAnsi="Fira Sans"/>
                      <w:color w:val="001D77"/>
                      <w:sz w:val="18"/>
                      <w:szCs w:val="18"/>
                      <w:lang w:val="en-US"/>
                    </w:rPr>
                    <w:t>as rela</w:t>
                  </w:r>
                  <w:r w:rsidR="00787946" w:rsidRPr="00661C39">
                    <w:rPr>
                      <w:rFonts w:ascii="Fira Sans" w:hAnsi="Fira Sans"/>
                      <w:color w:val="001D77"/>
                      <w:sz w:val="18"/>
                      <w:szCs w:val="18"/>
                      <w:lang w:val="en-US"/>
                    </w:rPr>
                    <w:t>t</w:t>
                  </w:r>
                  <w:r w:rsidR="00787946" w:rsidRPr="00661C39">
                    <w:rPr>
                      <w:rFonts w:ascii="Fira Sans" w:hAnsi="Fira Sans"/>
                      <w:color w:val="001D77"/>
                      <w:sz w:val="18"/>
                      <w:szCs w:val="18"/>
                      <w:lang w:val="en-US"/>
                    </w:rPr>
                    <w:t>ed to January</w:t>
                  </w:r>
                  <w:r w:rsidR="009C699E" w:rsidRPr="00661C39">
                    <w:rPr>
                      <w:rFonts w:ascii="Fira Sans" w:hAnsi="Fira Sans"/>
                      <w:color w:val="001D77"/>
                      <w:sz w:val="18"/>
                      <w:szCs w:val="18"/>
                      <w:lang w:val="en-US"/>
                    </w:rPr>
                    <w:t xml:space="preserve"> 2020</w:t>
                  </w:r>
                  <w:r w:rsidR="009C699E" w:rsidRPr="00661C39">
                    <w:rPr>
                      <w:lang w:val="en-US"/>
                    </w:rPr>
                    <w:t xml:space="preserve"> </w:t>
                  </w:r>
                  <w:r w:rsidR="009C699E" w:rsidRPr="00661C39">
                    <w:rPr>
                      <w:rFonts w:ascii="Fira Sans" w:hAnsi="Fira Sans"/>
                      <w:color w:val="001D77"/>
                      <w:sz w:val="18"/>
                      <w:szCs w:val="18"/>
                      <w:lang w:val="en-US"/>
                    </w:rPr>
                    <w:t xml:space="preserve"> </w:t>
                  </w:r>
                  <w:r w:rsidR="00DE4CA5" w:rsidRPr="00661C39">
                    <w:rPr>
                      <w:rFonts w:ascii="Fira Sans" w:hAnsi="Fira Sans"/>
                      <w:color w:val="001D77"/>
                      <w:sz w:val="18"/>
                      <w:szCs w:val="18"/>
                      <w:lang w:val="en-US"/>
                    </w:rPr>
                    <w:t>was the re</w:t>
                  </w:r>
                  <w:r w:rsidR="007A5EDD" w:rsidRPr="00661C39">
                    <w:rPr>
                      <w:rFonts w:ascii="Fira Sans" w:hAnsi="Fira Sans"/>
                      <w:color w:val="001D77"/>
                      <w:sz w:val="18"/>
                      <w:szCs w:val="18"/>
                      <w:lang w:val="en-US"/>
                    </w:rPr>
                    <w:t>s</w:t>
                  </w:r>
                  <w:r w:rsidR="00DE4CA5" w:rsidRPr="00661C39">
                    <w:rPr>
                      <w:rFonts w:ascii="Fira Sans" w:hAnsi="Fira Sans"/>
                      <w:color w:val="001D77"/>
                      <w:sz w:val="18"/>
                      <w:szCs w:val="18"/>
                      <w:lang w:val="en-US"/>
                    </w:rPr>
                    <w:t>ult</w:t>
                  </w:r>
                  <w:r w:rsidR="009C699E" w:rsidRPr="00661C39">
                    <w:rPr>
                      <w:rFonts w:ascii="Fira Sans" w:hAnsi="Fira Sans"/>
                      <w:color w:val="001D77"/>
                      <w:sz w:val="18"/>
                      <w:szCs w:val="18"/>
                      <w:lang w:val="en-US"/>
                    </w:rPr>
                    <w:t xml:space="preserve"> </w:t>
                  </w:r>
                  <w:r w:rsidR="00DE4CA5" w:rsidRPr="00661C39">
                    <w:rPr>
                      <w:rFonts w:ascii="Fira Sans" w:hAnsi="Fira Sans"/>
                      <w:color w:val="001D77"/>
                      <w:sz w:val="18"/>
                      <w:szCs w:val="18"/>
                      <w:lang w:val="en-US"/>
                    </w:rPr>
                    <w:t>of price i</w:t>
                  </w:r>
                  <w:r w:rsidR="00DE4CA5" w:rsidRPr="00661C39">
                    <w:rPr>
                      <w:rFonts w:ascii="Fira Sans" w:hAnsi="Fira Sans"/>
                      <w:color w:val="001D77"/>
                      <w:sz w:val="18"/>
                      <w:szCs w:val="18"/>
                      <w:lang w:val="en-US"/>
                    </w:rPr>
                    <w:t>n</w:t>
                  </w:r>
                  <w:r w:rsidR="00DE4CA5" w:rsidRPr="00661C39">
                    <w:rPr>
                      <w:rFonts w:ascii="Fira Sans" w:hAnsi="Fira Sans"/>
                      <w:color w:val="001D77"/>
                      <w:sz w:val="18"/>
                      <w:szCs w:val="18"/>
                      <w:lang w:val="en-US"/>
                    </w:rPr>
                    <w:t>creases</w:t>
                  </w:r>
                  <w:r w:rsidR="009F3DD7" w:rsidRPr="00661C39">
                    <w:rPr>
                      <w:rFonts w:ascii="Fira Sans" w:hAnsi="Fira Sans"/>
                      <w:color w:val="001D77"/>
                      <w:sz w:val="18"/>
                      <w:szCs w:val="18"/>
                      <w:lang w:val="en-US"/>
                    </w:rPr>
                    <w:t xml:space="preserve"> for all products</w:t>
                  </w:r>
                  <w:r w:rsidR="0035137B" w:rsidRPr="00661C39">
                    <w:rPr>
                      <w:rFonts w:ascii="Fira Sans" w:hAnsi="Fira Sans"/>
                      <w:color w:val="001D77"/>
                      <w:sz w:val="18"/>
                      <w:szCs w:val="18"/>
                      <w:lang w:val="en-US"/>
                    </w:rPr>
                    <w:t>,</w:t>
                  </w:r>
                  <w:r w:rsidR="00055860" w:rsidRPr="00661C39">
                    <w:rPr>
                      <w:rFonts w:ascii="Fira Sans" w:hAnsi="Fira Sans"/>
                      <w:color w:val="001D77"/>
                      <w:sz w:val="18"/>
                      <w:szCs w:val="18"/>
                      <w:lang w:val="en-US"/>
                    </w:rPr>
                    <w:t xml:space="preserve"> except</w:t>
                  </w:r>
                  <w:r w:rsidR="008716CF" w:rsidRPr="00661C39">
                    <w:rPr>
                      <w:rFonts w:ascii="Fira Sans" w:hAnsi="Fira Sans"/>
                      <w:color w:val="001D77"/>
                      <w:sz w:val="18"/>
                      <w:szCs w:val="18"/>
                      <w:lang w:val="en-US"/>
                    </w:rPr>
                    <w:t xml:space="preserve"> for</w:t>
                  </w:r>
                  <w:r w:rsidR="00055860" w:rsidRPr="00661C39">
                    <w:rPr>
                      <w:rFonts w:ascii="Fira Sans" w:hAnsi="Fira Sans"/>
                      <w:color w:val="001D77"/>
                      <w:sz w:val="18"/>
                      <w:szCs w:val="18"/>
                      <w:lang w:val="en-US"/>
                    </w:rPr>
                    <w:t xml:space="preserve"> rye prices</w:t>
                  </w:r>
                </w:p>
                <w:p w:rsidR="009C699E" w:rsidRPr="00661C39" w:rsidRDefault="009C699E" w:rsidP="009C699E">
                  <w:pPr>
                    <w:jc w:val="both"/>
                    <w:rPr>
                      <w:color w:val="001D77"/>
                      <w:sz w:val="18"/>
                      <w:szCs w:val="18"/>
                      <w:lang w:val="en-US"/>
                    </w:rPr>
                  </w:pPr>
                </w:p>
              </w:txbxContent>
            </v:textbox>
            <w10:wrap type="tight"/>
          </v:shape>
        </w:pict>
      </w:r>
      <w:r w:rsidR="00AE01A0" w:rsidRPr="00C40BD3">
        <w:rPr>
          <w:rFonts w:ascii="Fira Sans" w:eastAsia="Times New Roman" w:hAnsi="Fira Sans" w:cs="Times New Roman"/>
          <w:bCs/>
          <w:noProof/>
          <w:color w:val="001D77"/>
          <w:spacing w:val="-2"/>
          <w:sz w:val="15"/>
          <w:szCs w:val="19"/>
          <w:lang w:eastAsia="pl-PL"/>
        </w:rPr>
        <w:drawing>
          <wp:inline distT="0" distB="0" distL="0" distR="0">
            <wp:extent cx="4857750" cy="1779270"/>
            <wp:effectExtent l="0" t="0" r="0" b="0"/>
            <wp:docPr id="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47A6B">
        <w:rPr>
          <w:noProof/>
          <w:sz w:val="20"/>
          <w:szCs w:val="20"/>
          <w:lang w:eastAsia="pl-PL"/>
        </w:rPr>
        <w:pict>
          <v:shape id="_x0000_s1028" type="#_x0000_t202" style="position:absolute;left:0;text-align:left;margin-left:427.2pt;margin-top:9.5pt;width:127.2pt;height:119.45pt;z-index:-251521024;visibility:visible;mso-wrap-distance-top:3.6pt;mso-wrap-distance-bottom:3.6pt;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" filled="f" stroked="f">
            <v:textbox style="mso-next-textbox:#_x0000_s1028">
              <w:txbxContent>
                <w:p w:rsidR="00133140" w:rsidRPr="003A3978" w:rsidRDefault="00133140" w:rsidP="003A3978">
                  <w:pPr>
                    <w:rPr>
                      <w:szCs w:val="18"/>
                    </w:rPr>
                  </w:pPr>
                </w:p>
              </w:txbxContent>
            </v:textbox>
            <w10:wrap type="tight"/>
          </v:shape>
        </w:pict>
      </w:r>
    </w:p>
    <w:p w:rsidR="009F2576" w:rsidRDefault="009F2576" w:rsidP="000E63E9">
      <w:pPr>
        <w:spacing w:before="120" w:line="240" w:lineRule="auto"/>
        <w:rPr>
          <w:rFonts w:ascii="Fira Sans SemiBold" w:eastAsia="Times New Roman" w:hAnsi="Fira Sans SemiBold" w:cs="Times New Roman"/>
          <w:bCs/>
          <w:color w:val="001D77"/>
          <w:spacing w:val="-2"/>
          <w:sz w:val="19"/>
          <w:szCs w:val="19"/>
          <w:lang w:eastAsia="pl-PL"/>
        </w:rPr>
      </w:pPr>
    </w:p>
    <w:p w:rsidR="00347B4E" w:rsidRPr="000F45BD" w:rsidRDefault="00347B4E" w:rsidP="005E76C0">
      <w:pPr>
        <w:spacing w:before="120" w:after="120" w:line="240" w:lineRule="exact"/>
        <w:rPr>
          <w:rFonts w:ascii="Fira Sans SemiBold" w:eastAsia="Times New Roman" w:hAnsi="Fira Sans SemiBold" w:cs="Times New Roman"/>
          <w:bCs/>
          <w:noProof/>
          <w:color w:val="001D77"/>
          <w:spacing w:val="-2"/>
          <w:sz w:val="19"/>
          <w:szCs w:val="19"/>
          <w:lang w:val="en-US" w:eastAsia="pl-PL"/>
        </w:rPr>
      </w:pPr>
      <w:r w:rsidRPr="000F45BD">
        <w:rPr>
          <w:rFonts w:ascii="Fira Sans" w:hAnsi="Fira Sans"/>
          <w:b/>
          <w:sz w:val="18"/>
          <w:szCs w:val="18"/>
          <w:lang w:val="en-US"/>
        </w:rPr>
        <w:t xml:space="preserve">Chart </w:t>
      </w:r>
      <w:r w:rsidRPr="00661C39">
        <w:rPr>
          <w:rFonts w:ascii="Fira Sans" w:hAnsi="Fira Sans"/>
          <w:b/>
          <w:sz w:val="18"/>
          <w:szCs w:val="18"/>
          <w:lang w:val="en-US"/>
        </w:rPr>
        <w:t>2.</w:t>
      </w:r>
      <w:r w:rsidRPr="000F45BD">
        <w:rPr>
          <w:rFonts w:ascii="Fira Sans" w:hAnsi="Fira Sans"/>
          <w:b/>
          <w:sz w:val="18"/>
          <w:szCs w:val="18"/>
          <w:lang w:val="en-US"/>
        </w:rPr>
        <w:t xml:space="preserve"> Changes in procurement prices of basic agricultural products in relation to previous  </w:t>
      </w:r>
      <w:r>
        <w:rPr>
          <w:rFonts w:ascii="Fira Sans" w:hAnsi="Fira Sans"/>
          <w:b/>
          <w:sz w:val="18"/>
          <w:szCs w:val="18"/>
          <w:lang w:val="en-US"/>
        </w:rPr>
        <w:t>year</w:t>
      </w:r>
    </w:p>
    <w:p w:rsidR="009F2576" w:rsidRDefault="00C47A6B" w:rsidP="000E63E9">
      <w:pPr>
        <w:spacing w:before="120" w:line="240" w:lineRule="auto"/>
        <w:rPr>
          <w:rFonts w:ascii="Fira Sans SemiBold" w:eastAsia="Times New Roman" w:hAnsi="Fira Sans SemiBold" w:cs="Times New Roman"/>
          <w:bCs/>
          <w:color w:val="001D77"/>
          <w:spacing w:val="-2"/>
          <w:sz w:val="19"/>
          <w:szCs w:val="19"/>
          <w:lang w:eastAsia="pl-PL"/>
        </w:rPr>
      </w:pPr>
      <w:r w:rsidRPr="00C47A6B">
        <w:rPr>
          <w:rFonts w:ascii="Fira Sans" w:hAnsi="Fira Sans"/>
          <w:b/>
          <w:noProof/>
          <w:sz w:val="18"/>
          <w:szCs w:val="18"/>
          <w:lang w:eastAsia="pl-PL"/>
        </w:rPr>
        <w:pict>
          <v:shape id="_x0000_s1062" type="#_x0000_t202" style="position:absolute;margin-left:434.25pt;margin-top:8.2pt;width:110.45pt;height:138pt;z-index:-25148825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" filled="f" stroked="f">
            <v:textbox style="mso-next-textbox:#_x0000_s1062">
              <w:txbxContent>
                <w:p w:rsidR="00BA56B8" w:rsidRPr="00661C39" w:rsidRDefault="001A177D" w:rsidP="00D55103">
                  <w:pPr>
                    <w:spacing w:after="0" w:line="240" w:lineRule="exact"/>
                    <w:rPr>
                      <w:color w:val="001D77"/>
                      <w:sz w:val="18"/>
                      <w:szCs w:val="18"/>
                      <w:lang w:val="en-US"/>
                    </w:rPr>
                  </w:pPr>
                  <w:r w:rsidRPr="00661C39">
                    <w:rPr>
                      <w:rFonts w:ascii="Fira Sans" w:hAnsi="Fira Sans"/>
                      <w:color w:val="001D77"/>
                      <w:sz w:val="18"/>
                      <w:szCs w:val="18"/>
                      <w:lang w:val="en-US"/>
                    </w:rPr>
                    <w:t>The growth</w:t>
                  </w:r>
                  <w:r w:rsidR="00D55103" w:rsidRPr="00661C39">
                    <w:rPr>
                      <w:rFonts w:ascii="Fira Sans" w:hAnsi="Fira Sans"/>
                      <w:color w:val="001D77"/>
                      <w:sz w:val="18"/>
                      <w:szCs w:val="18"/>
                      <w:lang w:val="en-US"/>
                    </w:rPr>
                    <w:t xml:space="preserve"> in pr</w:t>
                  </w:r>
                  <w:r w:rsidR="00D55103" w:rsidRPr="00661C39">
                    <w:rPr>
                      <w:rFonts w:ascii="Fira Sans" w:hAnsi="Fira Sans"/>
                      <w:color w:val="001D77"/>
                      <w:sz w:val="18"/>
                      <w:szCs w:val="18"/>
                      <w:lang w:val="en-US"/>
                    </w:rPr>
                    <w:t>o</w:t>
                  </w:r>
                  <w:r w:rsidR="00D55103" w:rsidRPr="00661C39">
                    <w:rPr>
                      <w:rFonts w:ascii="Fira Sans" w:hAnsi="Fira Sans"/>
                      <w:color w:val="001D77"/>
                      <w:sz w:val="18"/>
                      <w:szCs w:val="18"/>
                      <w:lang w:val="en-US"/>
                    </w:rPr>
                    <w:t>curement prices of</w:t>
                  </w:r>
                  <w:r w:rsidR="00661C39">
                    <w:rPr>
                      <w:rFonts w:ascii="Fira Sans" w:hAnsi="Fira Sans"/>
                      <w:color w:val="001D77"/>
                      <w:sz w:val="18"/>
                      <w:szCs w:val="18"/>
                      <w:lang w:val="en-US"/>
                    </w:rPr>
                    <w:t> </w:t>
                  </w:r>
                  <w:r w:rsidR="00D55103" w:rsidRPr="00661C39">
                    <w:rPr>
                      <w:rFonts w:ascii="Fira Sans" w:hAnsi="Fira Sans"/>
                      <w:color w:val="001D77"/>
                      <w:sz w:val="18"/>
                      <w:szCs w:val="18"/>
                      <w:lang w:val="en-US"/>
                    </w:rPr>
                    <w:t xml:space="preserve">basic agricultural products </w:t>
                  </w:r>
                  <w:r w:rsidR="00A8381C" w:rsidRPr="00661C39">
                    <w:rPr>
                      <w:rFonts w:ascii="Fira Sans" w:hAnsi="Fira Sans"/>
                      <w:color w:val="001D77"/>
                      <w:sz w:val="18"/>
                      <w:szCs w:val="18"/>
                      <w:lang w:val="en-US"/>
                    </w:rPr>
                    <w:t>i</w:t>
                  </w:r>
                  <w:r w:rsidR="00D55103" w:rsidRPr="00661C39">
                    <w:rPr>
                      <w:rFonts w:ascii="Fira Sans" w:hAnsi="Fira Sans"/>
                      <w:color w:val="001D77"/>
                      <w:sz w:val="18"/>
                      <w:szCs w:val="18"/>
                      <w:lang w:val="en-US"/>
                    </w:rPr>
                    <w:t xml:space="preserve">n February </w:t>
                  </w:r>
                  <w:r w:rsidR="004216C8" w:rsidRPr="00661C39">
                    <w:rPr>
                      <w:rFonts w:ascii="Fira Sans" w:hAnsi="Fira Sans"/>
                      <w:color w:val="001D77"/>
                      <w:sz w:val="18"/>
                      <w:szCs w:val="18"/>
                      <w:lang w:val="en-US"/>
                    </w:rPr>
                    <w:t>this</w:t>
                  </w:r>
                  <w:r w:rsidR="00992338" w:rsidRPr="00661C39">
                    <w:rPr>
                      <w:rFonts w:ascii="Fira Sans" w:hAnsi="Fira Sans"/>
                      <w:color w:val="001D77"/>
                      <w:sz w:val="18"/>
                      <w:szCs w:val="18"/>
                      <w:lang w:val="en-US"/>
                    </w:rPr>
                    <w:t xml:space="preserve"> year</w:t>
                  </w:r>
                  <w:r w:rsidR="00D55103" w:rsidRPr="00661C39">
                    <w:rPr>
                      <w:rFonts w:ascii="Fira Sans" w:hAnsi="Fira Sans"/>
                      <w:color w:val="001D77"/>
                      <w:sz w:val="18"/>
                      <w:szCs w:val="18"/>
                      <w:lang w:val="en-US"/>
                    </w:rPr>
                    <w:t xml:space="preserve"> </w:t>
                  </w:r>
                  <w:r w:rsidR="00360006" w:rsidRPr="00661C39">
                    <w:rPr>
                      <w:rFonts w:ascii="Fira Sans" w:hAnsi="Fira Sans"/>
                      <w:color w:val="001D77"/>
                      <w:sz w:val="18"/>
                      <w:szCs w:val="18"/>
                      <w:lang w:val="en-US"/>
                    </w:rPr>
                    <w:t xml:space="preserve">compared </w:t>
                  </w:r>
                  <w:r w:rsidR="00D47C12" w:rsidRPr="00661C39">
                    <w:rPr>
                      <w:rFonts w:ascii="Fira Sans" w:hAnsi="Fira Sans"/>
                      <w:color w:val="001D77"/>
                      <w:sz w:val="18"/>
                      <w:szCs w:val="18"/>
                      <w:lang w:val="en-US"/>
                    </w:rPr>
                    <w:t>to the same</w:t>
                  </w:r>
                  <w:r w:rsidR="00360006" w:rsidRPr="00661C39">
                    <w:rPr>
                      <w:rFonts w:ascii="Fira Sans" w:hAnsi="Fira Sans"/>
                      <w:color w:val="001D77"/>
                      <w:sz w:val="18"/>
                      <w:szCs w:val="18"/>
                      <w:lang w:val="en-US"/>
                    </w:rPr>
                    <w:t xml:space="preserve"> month</w:t>
                  </w:r>
                  <w:r w:rsidR="00CB4CD2" w:rsidRPr="00661C39">
                    <w:rPr>
                      <w:rFonts w:ascii="Fira Sans" w:hAnsi="Fira Sans"/>
                      <w:color w:val="001D77"/>
                      <w:sz w:val="18"/>
                      <w:szCs w:val="18"/>
                      <w:lang w:val="en-US"/>
                    </w:rPr>
                    <w:t xml:space="preserve"> of the </w:t>
                  </w:r>
                  <w:r w:rsidR="00065F11" w:rsidRPr="00661C39">
                    <w:rPr>
                      <w:rFonts w:ascii="Fira Sans" w:hAnsi="Fira Sans"/>
                      <w:color w:val="001D77"/>
                      <w:sz w:val="18"/>
                      <w:szCs w:val="18"/>
                      <w:lang w:val="en-US"/>
                    </w:rPr>
                    <w:t>last</w:t>
                  </w:r>
                  <w:r w:rsidR="00CB4CD2" w:rsidRPr="00661C39">
                    <w:rPr>
                      <w:rFonts w:ascii="Fira Sans" w:hAnsi="Fira Sans"/>
                      <w:color w:val="001D77"/>
                      <w:sz w:val="18"/>
                      <w:szCs w:val="18"/>
                      <w:lang w:val="en-US"/>
                    </w:rPr>
                    <w:t xml:space="preserve"> </w:t>
                  </w:r>
                  <w:r w:rsidR="008610A6" w:rsidRPr="00661C39">
                    <w:rPr>
                      <w:rFonts w:ascii="Fira Sans" w:hAnsi="Fira Sans"/>
                      <w:color w:val="001D77"/>
                      <w:sz w:val="18"/>
                      <w:szCs w:val="18"/>
                      <w:lang w:val="en-US"/>
                    </w:rPr>
                    <w:t xml:space="preserve"> </w:t>
                  </w:r>
                  <w:r w:rsidR="00CB4CD2" w:rsidRPr="00661C39">
                    <w:rPr>
                      <w:rFonts w:ascii="Fira Sans" w:hAnsi="Fira Sans"/>
                      <w:color w:val="001D77"/>
                      <w:sz w:val="18"/>
                      <w:szCs w:val="18"/>
                      <w:lang w:val="en-US"/>
                    </w:rPr>
                    <w:t>year</w:t>
                  </w:r>
                  <w:r w:rsidR="001B7CC3" w:rsidRPr="00661C39">
                    <w:rPr>
                      <w:rFonts w:ascii="Fira Sans" w:hAnsi="Fira Sans"/>
                      <w:color w:val="001D77"/>
                      <w:sz w:val="18"/>
                      <w:szCs w:val="18"/>
                      <w:lang w:val="en-US"/>
                    </w:rPr>
                    <w:t xml:space="preserve"> was </w:t>
                  </w:r>
                  <w:r w:rsidR="005B397D" w:rsidRPr="00661C39">
                    <w:rPr>
                      <w:rFonts w:ascii="Fira Sans" w:hAnsi="Fira Sans"/>
                      <w:color w:val="001D77"/>
                      <w:sz w:val="18"/>
                      <w:szCs w:val="18"/>
                      <w:lang w:val="en-US"/>
                    </w:rPr>
                    <w:t xml:space="preserve">mainly </w:t>
                  </w:r>
                  <w:r w:rsidR="001B7CC3" w:rsidRPr="00661C39">
                    <w:rPr>
                      <w:rFonts w:ascii="Fira Sans" w:hAnsi="Fira Sans"/>
                      <w:color w:val="001D77"/>
                      <w:sz w:val="18"/>
                      <w:szCs w:val="18"/>
                      <w:lang w:val="en-US"/>
                    </w:rPr>
                    <w:t xml:space="preserve">caused by </w:t>
                  </w:r>
                  <w:r w:rsidR="00CC278C" w:rsidRPr="00661C39">
                    <w:rPr>
                      <w:rFonts w:ascii="Fira Sans" w:hAnsi="Fira Sans"/>
                      <w:color w:val="001D77"/>
                      <w:sz w:val="18"/>
                      <w:szCs w:val="18"/>
                      <w:lang w:val="en-US"/>
                    </w:rPr>
                    <w:t>an</w:t>
                  </w:r>
                  <w:r w:rsidR="001B7CC3" w:rsidRPr="00661C39">
                    <w:rPr>
                      <w:rFonts w:ascii="Fira Sans" w:hAnsi="Fira Sans"/>
                      <w:color w:val="001D77"/>
                      <w:sz w:val="18"/>
                      <w:szCs w:val="18"/>
                      <w:lang w:val="en-US"/>
                    </w:rPr>
                    <w:t xml:space="preserve"> increase in pigs </w:t>
                  </w:r>
                  <w:r w:rsidR="005D031D" w:rsidRPr="00661C39">
                    <w:rPr>
                      <w:rFonts w:ascii="Fira Sans" w:hAnsi="Fira Sans"/>
                      <w:color w:val="001D77"/>
                      <w:sz w:val="18"/>
                      <w:szCs w:val="18"/>
                      <w:lang w:val="en-US"/>
                    </w:rPr>
                    <w:t xml:space="preserve">for slaughter </w:t>
                  </w:r>
                  <w:r w:rsidR="00661C39">
                    <w:rPr>
                      <w:rFonts w:ascii="Fira Sans" w:hAnsi="Fira Sans"/>
                      <w:color w:val="001D77"/>
                      <w:sz w:val="18"/>
                      <w:szCs w:val="18"/>
                      <w:lang w:val="en-US"/>
                    </w:rPr>
                    <w:t xml:space="preserve">prices </w:t>
                  </w:r>
                  <w:r w:rsidR="00195CB8" w:rsidRPr="00661C39">
                    <w:rPr>
                      <w:rFonts w:ascii="Fira Sans" w:hAnsi="Fira Sans"/>
                      <w:color w:val="001D77"/>
                      <w:sz w:val="18"/>
                      <w:szCs w:val="18"/>
                      <w:lang w:val="en-US"/>
                    </w:rPr>
                    <w:t>(</w:t>
                  </w:r>
                  <w:r w:rsidR="005D031D" w:rsidRPr="00661C39">
                    <w:rPr>
                      <w:rFonts w:ascii="Fira Sans" w:hAnsi="Fira Sans"/>
                      <w:color w:val="001D77"/>
                      <w:sz w:val="18"/>
                      <w:szCs w:val="18"/>
                      <w:lang w:val="en-US"/>
                    </w:rPr>
                    <w:t>by 50.6%</w:t>
                  </w:r>
                  <w:r w:rsidR="002410D2" w:rsidRPr="00661C39">
                    <w:rPr>
                      <w:rFonts w:ascii="Fira Sans" w:hAnsi="Fira Sans"/>
                      <w:color w:val="001D77"/>
                      <w:sz w:val="18"/>
                      <w:szCs w:val="18"/>
                      <w:lang w:val="en-US"/>
                    </w:rPr>
                    <w:t>)</w:t>
                  </w:r>
                  <w:r w:rsidR="001B7CC3" w:rsidRPr="00661C39">
                    <w:rPr>
                      <w:rFonts w:ascii="Fira Sans" w:hAnsi="Fira Sans"/>
                      <w:color w:val="001D77"/>
                      <w:sz w:val="18"/>
                      <w:szCs w:val="18"/>
                      <w:lang w:val="en-US"/>
                    </w:rPr>
                    <w:t xml:space="preserve"> </w:t>
                  </w:r>
                  <w:r w:rsidR="00CB4CD2" w:rsidRPr="00661C39">
                    <w:rPr>
                      <w:rFonts w:ascii="Fira Sans" w:hAnsi="Fira Sans"/>
                      <w:color w:val="001D77"/>
                      <w:sz w:val="18"/>
                      <w:szCs w:val="18"/>
                      <w:lang w:val="en-US"/>
                    </w:rPr>
                    <w:t xml:space="preserve"> </w:t>
                  </w:r>
                </w:p>
              </w:txbxContent>
            </v:textbox>
            <w10:wrap type="tight"/>
          </v:shape>
        </w:pict>
      </w:r>
      <w:r w:rsidR="00DA0B4D" w:rsidRPr="00B624E9">
        <w:rPr>
          <w:rFonts w:ascii="Fira Sans" w:eastAsia="Times New Roman" w:hAnsi="Fira Sans" w:cs="Times New Roman"/>
          <w:bCs/>
          <w:noProof/>
          <w:color w:val="001D77"/>
          <w:spacing w:val="-2"/>
          <w:sz w:val="19"/>
          <w:szCs w:val="19"/>
          <w:lang w:eastAsia="pl-PL"/>
        </w:rPr>
        <w:drawing>
          <wp:inline distT="0" distB="0" distL="0" distR="0">
            <wp:extent cx="5036820" cy="1817370"/>
            <wp:effectExtent l="0" t="0" r="0" b="0"/>
            <wp:docPr id="8"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1091" w:rsidRDefault="00A01091" w:rsidP="00537210">
      <w:pPr>
        <w:spacing w:after="0" w:line="240" w:lineRule="auto"/>
        <w:rPr>
          <w:rFonts w:ascii="Fira Sans" w:eastAsia="Times New Roman" w:hAnsi="Fira Sans" w:cs="Arial"/>
          <w:b/>
          <w:bCs/>
          <w:sz w:val="18"/>
          <w:szCs w:val="18"/>
          <w:lang w:eastAsia="pl-PL"/>
        </w:rPr>
      </w:pPr>
    </w:p>
    <w:p w:rsidR="00097B75" w:rsidRPr="00EE027D" w:rsidRDefault="00DF75AF" w:rsidP="001F3009">
      <w:pPr>
        <w:spacing w:before="240" w:after="120" w:line="240" w:lineRule="auto"/>
        <w:rPr>
          <w:rFonts w:ascii="Fira Sans SemiBold" w:hAnsi="Fira Sans SemiBold"/>
          <w:color w:val="001D77"/>
          <w:sz w:val="19"/>
          <w:szCs w:val="18"/>
          <w:lang w:val="en-US"/>
        </w:rPr>
      </w:pPr>
      <w:r w:rsidRPr="00EE027D">
        <w:rPr>
          <w:rFonts w:ascii="Fira Sans SemiBold" w:hAnsi="Fira Sans SemiBold"/>
          <w:color w:val="001D77"/>
          <w:sz w:val="19"/>
          <w:szCs w:val="18"/>
          <w:lang w:val="en-US"/>
        </w:rPr>
        <w:t>Procurement prices and marketplace</w:t>
      </w:r>
      <w:r w:rsidR="000A1F0E" w:rsidRPr="00EE027D">
        <w:rPr>
          <w:rFonts w:ascii="Fira Sans SemiBold" w:hAnsi="Fira Sans SemiBold"/>
          <w:color w:val="001D77"/>
          <w:sz w:val="19"/>
          <w:szCs w:val="18"/>
          <w:lang w:val="en-US"/>
        </w:rPr>
        <w:t xml:space="preserve"> </w:t>
      </w:r>
      <w:r w:rsidRPr="00EE027D">
        <w:rPr>
          <w:rFonts w:ascii="Fira Sans SemiBold" w:hAnsi="Fira Sans SemiBold"/>
          <w:color w:val="001D77"/>
          <w:sz w:val="19"/>
          <w:szCs w:val="18"/>
          <w:lang w:val="en-US"/>
        </w:rPr>
        <w:t>prices received by farmers</w:t>
      </w:r>
    </w:p>
    <w:p w:rsidR="009D26C5" w:rsidRPr="00661C39" w:rsidRDefault="009D26C5" w:rsidP="009D26C5">
      <w:pPr>
        <w:spacing w:before="120" w:after="120" w:line="240" w:lineRule="exact"/>
        <w:rPr>
          <w:rFonts w:ascii="Fira Sans" w:hAnsi="Fira Sans"/>
          <w:sz w:val="19"/>
          <w:szCs w:val="18"/>
          <w:lang w:val="en-US"/>
        </w:rPr>
      </w:pPr>
      <w:r w:rsidRPr="00661C39">
        <w:rPr>
          <w:rFonts w:ascii="Fira Sans" w:hAnsi="Fira Sans"/>
          <w:sz w:val="19"/>
          <w:szCs w:val="18"/>
          <w:lang w:val="en-US"/>
        </w:rPr>
        <w:t>In February 2020, compared to the previous month, procurement prices of most agricultural products increased while  the drop in prices of rye, barley, triticale and oats. Prices of most agricultural products fell on marketplaces except for prices of barley and triticale. Wheat prices were at a level similar to the one recorded in January this year.</w:t>
      </w:r>
    </w:p>
    <w:p w:rsidR="0052321F" w:rsidRPr="00661C39" w:rsidRDefault="0052321F" w:rsidP="0052321F">
      <w:pPr>
        <w:spacing w:before="120" w:after="120" w:line="240" w:lineRule="exact"/>
        <w:rPr>
          <w:rFonts w:ascii="Fira Sans" w:hAnsi="Fira Sans"/>
          <w:sz w:val="19"/>
          <w:szCs w:val="18"/>
          <w:lang w:val="en-US"/>
        </w:rPr>
      </w:pPr>
      <w:r w:rsidRPr="00661C39">
        <w:rPr>
          <w:rFonts w:ascii="Fira Sans" w:hAnsi="Fira Sans"/>
          <w:sz w:val="19"/>
          <w:szCs w:val="18"/>
          <w:lang w:val="en-US"/>
        </w:rPr>
        <w:t>Compared with the corresponding month of the previous year, in February 2020, both in pr</w:t>
      </w:r>
      <w:r w:rsidRPr="00661C39">
        <w:rPr>
          <w:rFonts w:ascii="Fira Sans" w:hAnsi="Fira Sans"/>
          <w:sz w:val="19"/>
          <w:szCs w:val="18"/>
          <w:lang w:val="en-US"/>
        </w:rPr>
        <w:t>o</w:t>
      </w:r>
      <w:r w:rsidRPr="00661C39">
        <w:rPr>
          <w:rFonts w:ascii="Fira Sans" w:hAnsi="Fira Sans"/>
          <w:sz w:val="19"/>
          <w:szCs w:val="18"/>
          <w:lang w:val="en-US"/>
        </w:rPr>
        <w:t>curement and on marketplaces the drop in  prices of most agricultural products was recor</w:t>
      </w:r>
      <w:r w:rsidRPr="00661C39">
        <w:rPr>
          <w:rFonts w:ascii="Fira Sans" w:hAnsi="Fira Sans"/>
          <w:sz w:val="19"/>
          <w:szCs w:val="18"/>
          <w:lang w:val="en-US"/>
        </w:rPr>
        <w:t>d</w:t>
      </w:r>
      <w:r w:rsidRPr="00661C39">
        <w:rPr>
          <w:rFonts w:ascii="Fira Sans" w:hAnsi="Fira Sans"/>
          <w:sz w:val="19"/>
          <w:szCs w:val="18"/>
          <w:lang w:val="en-US"/>
        </w:rPr>
        <w:t>ed. The exceptions were the prices of potatoes and pigs on both markets as well as the pri</w:t>
      </w:r>
      <w:r w:rsidRPr="00661C39">
        <w:rPr>
          <w:rFonts w:ascii="Fira Sans" w:hAnsi="Fira Sans"/>
          <w:sz w:val="19"/>
          <w:szCs w:val="18"/>
          <w:lang w:val="en-US"/>
        </w:rPr>
        <w:t>c</w:t>
      </w:r>
      <w:r w:rsidRPr="00661C39">
        <w:rPr>
          <w:rFonts w:ascii="Fira Sans" w:hAnsi="Fira Sans"/>
          <w:sz w:val="19"/>
          <w:szCs w:val="18"/>
          <w:lang w:val="en-US"/>
        </w:rPr>
        <w:t>es of cattle for slaughter and poultry (in procurement).</w:t>
      </w:r>
    </w:p>
    <w:p w:rsidR="00B125DF" w:rsidRPr="000F45BD" w:rsidRDefault="00B125DF" w:rsidP="00B125DF">
      <w:pPr>
        <w:spacing w:after="0" w:line="240" w:lineRule="auto"/>
        <w:rPr>
          <w:rFonts w:ascii="Fira Sans" w:eastAsia="Times New Roman" w:hAnsi="Fira Sans" w:cs="Arial"/>
          <w:b/>
          <w:bCs/>
          <w:sz w:val="18"/>
          <w:szCs w:val="18"/>
          <w:lang w:val="en-US" w:eastAsia="pl-PL"/>
        </w:rPr>
      </w:pPr>
      <w:r w:rsidRPr="000F45BD">
        <w:rPr>
          <w:rFonts w:ascii="Fira Sans" w:eastAsia="Times New Roman" w:hAnsi="Fira Sans" w:cs="Arial"/>
          <w:b/>
          <w:bCs/>
          <w:sz w:val="18"/>
          <w:szCs w:val="18"/>
          <w:lang w:val="en-US" w:eastAsia="pl-PL"/>
        </w:rPr>
        <w:lastRenderedPageBreak/>
        <w:t xml:space="preserve">Table 1. Prices of agricultural products (excluding VAT) in </w:t>
      </w:r>
      <w:r w:rsidR="00846DAA">
        <w:rPr>
          <w:rFonts w:ascii="Fira Sans" w:eastAsia="Times New Roman" w:hAnsi="Fira Sans" w:cs="Arial"/>
          <w:b/>
          <w:bCs/>
          <w:sz w:val="18"/>
          <w:szCs w:val="18"/>
          <w:lang w:val="en-US" w:eastAsia="pl-PL"/>
        </w:rPr>
        <w:t xml:space="preserve">February </w:t>
      </w:r>
      <w:r w:rsidRPr="000F45BD">
        <w:rPr>
          <w:rFonts w:ascii="Fira Sans" w:eastAsia="Times New Roman" w:hAnsi="Fira Sans" w:cs="Arial"/>
          <w:b/>
          <w:bCs/>
          <w:sz w:val="18"/>
          <w:szCs w:val="18"/>
          <w:lang w:val="en-US" w:eastAsia="pl-PL"/>
        </w:rPr>
        <w:t xml:space="preserve">2020 </w:t>
      </w:r>
    </w:p>
    <w:p w:rsidR="004656E0" w:rsidRPr="000F45BD" w:rsidRDefault="004656E0" w:rsidP="004A7DE9">
      <w:pPr>
        <w:spacing w:before="360" w:after="120" w:line="240" w:lineRule="exact"/>
        <w:rPr>
          <w:rFonts w:ascii="Fira Sans" w:hAnsi="Fira Sans"/>
          <w:sz w:val="19"/>
          <w:szCs w:val="19"/>
          <w:lang w:val="en-US" w:eastAsia="pl-PL"/>
        </w:rPr>
      </w:pPr>
    </w:p>
    <w:tbl>
      <w:tblPr>
        <w:tblW w:w="7880" w:type="dxa"/>
        <w:tblInd w:w="55" w:type="dxa"/>
        <w:tblCellMar>
          <w:left w:w="70" w:type="dxa"/>
          <w:right w:w="70" w:type="dxa"/>
        </w:tblCellMar>
        <w:tblLook w:val="04A0"/>
      </w:tblPr>
      <w:tblGrid>
        <w:gridCol w:w="2000"/>
        <w:gridCol w:w="980"/>
        <w:gridCol w:w="980"/>
        <w:gridCol w:w="980"/>
        <w:gridCol w:w="980"/>
        <w:gridCol w:w="980"/>
        <w:gridCol w:w="980"/>
      </w:tblGrid>
      <w:tr w:rsidR="004656E0" w:rsidRPr="004656E0" w:rsidTr="004D1B0A">
        <w:trPr>
          <w:trHeight w:val="285"/>
        </w:trPr>
        <w:tc>
          <w:tcPr>
            <w:tcW w:w="2000" w:type="dxa"/>
            <w:vMerge w:val="restart"/>
            <w:tcBorders>
              <w:top w:val="nil"/>
              <w:left w:val="nil"/>
              <w:bottom w:val="single" w:sz="8" w:space="0" w:color="001D77"/>
              <w:right w:val="nil"/>
            </w:tcBorders>
            <w:shd w:val="clear" w:color="auto" w:fill="auto"/>
            <w:vAlign w:val="center"/>
            <w:hideMark/>
          </w:tcPr>
          <w:p w:rsidR="004656E0" w:rsidRPr="004656E0" w:rsidRDefault="002171DB" w:rsidP="004656E0">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SPECIFICATION</w:t>
            </w:r>
          </w:p>
        </w:tc>
        <w:tc>
          <w:tcPr>
            <w:tcW w:w="2940" w:type="dxa"/>
            <w:gridSpan w:val="3"/>
            <w:tcBorders>
              <w:top w:val="nil"/>
              <w:left w:val="single" w:sz="4" w:space="0" w:color="001D77"/>
              <w:bottom w:val="single" w:sz="4" w:space="0" w:color="001D77"/>
              <w:right w:val="single" w:sz="8" w:space="0" w:color="001D77"/>
            </w:tcBorders>
            <w:shd w:val="clear" w:color="auto" w:fill="auto"/>
            <w:vAlign w:val="center"/>
            <w:hideMark/>
          </w:tcPr>
          <w:p w:rsidR="004656E0" w:rsidRPr="004656E0" w:rsidRDefault="00BD5E10" w:rsidP="004656E0">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Procurement prices</w:t>
            </w:r>
          </w:p>
        </w:tc>
        <w:tc>
          <w:tcPr>
            <w:tcW w:w="2940" w:type="dxa"/>
            <w:gridSpan w:val="3"/>
            <w:tcBorders>
              <w:top w:val="nil"/>
              <w:left w:val="nil"/>
              <w:bottom w:val="single" w:sz="4" w:space="0" w:color="001D77"/>
            </w:tcBorders>
            <w:shd w:val="clear" w:color="auto" w:fill="auto"/>
            <w:vAlign w:val="center"/>
            <w:hideMark/>
          </w:tcPr>
          <w:p w:rsidR="004656E0" w:rsidRPr="004656E0" w:rsidRDefault="00637926" w:rsidP="004656E0">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Marketplaces prices</w:t>
            </w:r>
          </w:p>
        </w:tc>
      </w:tr>
      <w:tr w:rsidR="004656E0" w:rsidRPr="004656E0" w:rsidTr="004D1B0A">
        <w:trPr>
          <w:trHeight w:val="285"/>
        </w:trPr>
        <w:tc>
          <w:tcPr>
            <w:tcW w:w="2000" w:type="dxa"/>
            <w:vMerge/>
            <w:tcBorders>
              <w:top w:val="nil"/>
              <w:left w:val="nil"/>
              <w:bottom w:val="single" w:sz="8" w:space="0" w:color="001D77"/>
              <w:right w:val="nil"/>
            </w:tcBorders>
            <w:vAlign w:val="center"/>
            <w:hideMark/>
          </w:tcPr>
          <w:p w:rsidR="004656E0" w:rsidRPr="004656E0" w:rsidRDefault="004656E0" w:rsidP="004656E0">
            <w:pPr>
              <w:spacing w:after="0" w:line="240" w:lineRule="auto"/>
              <w:rPr>
                <w:rFonts w:ascii="Fira Sans" w:eastAsia="Times New Roman" w:hAnsi="Fira Sans" w:cs="Arial"/>
                <w:color w:val="000000"/>
                <w:sz w:val="16"/>
                <w:szCs w:val="16"/>
                <w:lang w:eastAsia="pl-PL"/>
              </w:rPr>
            </w:pPr>
          </w:p>
        </w:tc>
        <w:tc>
          <w:tcPr>
            <w:tcW w:w="2940" w:type="dxa"/>
            <w:gridSpan w:val="3"/>
            <w:tcBorders>
              <w:top w:val="single" w:sz="4" w:space="0" w:color="001D77"/>
              <w:left w:val="single" w:sz="4" w:space="0" w:color="001D77"/>
              <w:bottom w:val="single" w:sz="4" w:space="0" w:color="001D77"/>
              <w:right w:val="single" w:sz="8" w:space="0" w:color="001D77"/>
            </w:tcBorders>
            <w:shd w:val="clear" w:color="auto" w:fill="auto"/>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I</w:t>
            </w:r>
            <w:r w:rsidR="00E96E40">
              <w:rPr>
                <w:rFonts w:ascii="Fira Sans" w:eastAsia="Times New Roman" w:hAnsi="Fira Sans" w:cs="Arial"/>
                <w:color w:val="000000"/>
                <w:sz w:val="16"/>
                <w:szCs w:val="16"/>
                <w:lang w:eastAsia="pl-PL"/>
              </w:rPr>
              <w:t>I</w:t>
            </w:r>
            <w:r w:rsidRPr="004656E0">
              <w:rPr>
                <w:rFonts w:ascii="Fira Sans" w:eastAsia="Times New Roman" w:hAnsi="Fira Sans" w:cs="Arial"/>
                <w:color w:val="000000"/>
                <w:sz w:val="16"/>
                <w:szCs w:val="16"/>
                <w:lang w:eastAsia="pl-PL"/>
              </w:rPr>
              <w:t xml:space="preserve"> 2020</w:t>
            </w:r>
          </w:p>
        </w:tc>
        <w:tc>
          <w:tcPr>
            <w:tcW w:w="2940" w:type="dxa"/>
            <w:gridSpan w:val="3"/>
            <w:tcBorders>
              <w:top w:val="single" w:sz="4" w:space="0" w:color="001D77"/>
              <w:left w:val="nil"/>
              <w:bottom w:val="single" w:sz="4" w:space="0" w:color="001D77"/>
            </w:tcBorders>
            <w:shd w:val="clear" w:color="auto" w:fill="auto"/>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I</w:t>
            </w:r>
            <w:r w:rsidR="00E96E40">
              <w:rPr>
                <w:rFonts w:ascii="Fira Sans" w:eastAsia="Times New Roman" w:hAnsi="Fira Sans" w:cs="Arial"/>
                <w:color w:val="000000"/>
                <w:sz w:val="16"/>
                <w:szCs w:val="16"/>
                <w:lang w:eastAsia="pl-PL"/>
              </w:rPr>
              <w:t>I</w:t>
            </w:r>
            <w:r w:rsidRPr="004656E0">
              <w:rPr>
                <w:rFonts w:ascii="Fira Sans" w:eastAsia="Times New Roman" w:hAnsi="Fira Sans" w:cs="Arial"/>
                <w:color w:val="000000"/>
                <w:sz w:val="16"/>
                <w:szCs w:val="16"/>
                <w:lang w:eastAsia="pl-PL"/>
              </w:rPr>
              <w:t xml:space="preserve"> 2020</w:t>
            </w:r>
          </w:p>
        </w:tc>
      </w:tr>
      <w:tr w:rsidR="004656E0" w:rsidRPr="004656E0" w:rsidTr="004D1B0A">
        <w:trPr>
          <w:trHeight w:val="285"/>
        </w:trPr>
        <w:tc>
          <w:tcPr>
            <w:tcW w:w="2000" w:type="dxa"/>
            <w:vMerge/>
            <w:tcBorders>
              <w:top w:val="nil"/>
              <w:left w:val="nil"/>
              <w:bottom w:val="single" w:sz="8" w:space="0" w:color="001D77"/>
              <w:right w:val="nil"/>
            </w:tcBorders>
            <w:vAlign w:val="center"/>
            <w:hideMark/>
          </w:tcPr>
          <w:p w:rsidR="004656E0" w:rsidRPr="004656E0" w:rsidRDefault="004656E0" w:rsidP="004656E0">
            <w:pPr>
              <w:spacing w:after="0" w:line="240" w:lineRule="auto"/>
              <w:rPr>
                <w:rFonts w:ascii="Fira Sans" w:eastAsia="Times New Roman" w:hAnsi="Fira Sans" w:cs="Arial"/>
                <w:color w:val="000000"/>
                <w:sz w:val="16"/>
                <w:szCs w:val="16"/>
                <w:lang w:eastAsia="pl-PL"/>
              </w:rPr>
            </w:pPr>
          </w:p>
        </w:tc>
        <w:tc>
          <w:tcPr>
            <w:tcW w:w="980" w:type="dxa"/>
            <w:vMerge w:val="restart"/>
            <w:tcBorders>
              <w:top w:val="nil"/>
              <w:left w:val="single" w:sz="4" w:space="0" w:color="001D77"/>
              <w:bottom w:val="single" w:sz="8" w:space="0" w:color="001D77"/>
              <w:right w:val="single" w:sz="4" w:space="0" w:color="001D77"/>
            </w:tcBorders>
            <w:shd w:val="clear" w:color="auto" w:fill="auto"/>
            <w:vAlign w:val="center"/>
            <w:hideMark/>
          </w:tcPr>
          <w:p w:rsidR="004656E0" w:rsidRPr="004656E0" w:rsidRDefault="00DF7947" w:rsidP="004656E0">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in zloty</w:t>
            </w:r>
          </w:p>
        </w:tc>
        <w:tc>
          <w:tcPr>
            <w:tcW w:w="980" w:type="dxa"/>
            <w:tcBorders>
              <w:top w:val="nil"/>
              <w:left w:val="nil"/>
              <w:bottom w:val="nil"/>
              <w:right w:val="single" w:sz="4" w:space="0" w:color="001D77"/>
            </w:tcBorders>
            <w:shd w:val="clear" w:color="auto" w:fill="auto"/>
            <w:vAlign w:val="center"/>
            <w:hideMark/>
          </w:tcPr>
          <w:p w:rsidR="004656E0" w:rsidRPr="004656E0" w:rsidRDefault="00E96E40" w:rsidP="003E0955">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I</w:t>
            </w:r>
          </w:p>
        </w:tc>
        <w:tc>
          <w:tcPr>
            <w:tcW w:w="980" w:type="dxa"/>
            <w:tcBorders>
              <w:top w:val="nil"/>
              <w:left w:val="nil"/>
              <w:right w:val="single" w:sz="8" w:space="0" w:color="001D77"/>
            </w:tcBorders>
            <w:shd w:val="clear" w:color="auto" w:fill="auto"/>
            <w:noWrap/>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I</w:t>
            </w:r>
            <w:r w:rsidR="00E96E40">
              <w:rPr>
                <w:rFonts w:ascii="Fira Sans" w:eastAsia="Times New Roman" w:hAnsi="Fira Sans" w:cs="Arial"/>
                <w:color w:val="000000"/>
                <w:sz w:val="16"/>
                <w:szCs w:val="16"/>
                <w:lang w:eastAsia="pl-PL"/>
              </w:rPr>
              <w:t>I</w:t>
            </w:r>
          </w:p>
        </w:tc>
        <w:tc>
          <w:tcPr>
            <w:tcW w:w="980" w:type="dxa"/>
            <w:vMerge w:val="restart"/>
            <w:tcBorders>
              <w:top w:val="nil"/>
              <w:left w:val="single" w:sz="8" w:space="0" w:color="001D77"/>
              <w:bottom w:val="single" w:sz="8" w:space="0" w:color="001D77"/>
              <w:right w:val="single" w:sz="4" w:space="0" w:color="001D77"/>
            </w:tcBorders>
            <w:shd w:val="clear" w:color="auto" w:fill="auto"/>
            <w:vAlign w:val="center"/>
            <w:hideMark/>
          </w:tcPr>
          <w:p w:rsidR="004656E0" w:rsidRPr="004656E0" w:rsidRDefault="00DF7947" w:rsidP="004656E0">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in zloty</w:t>
            </w:r>
          </w:p>
        </w:tc>
        <w:tc>
          <w:tcPr>
            <w:tcW w:w="980" w:type="dxa"/>
            <w:tcBorders>
              <w:top w:val="nil"/>
              <w:left w:val="nil"/>
              <w:bottom w:val="nil"/>
              <w:right w:val="single" w:sz="4" w:space="0" w:color="001D77"/>
            </w:tcBorders>
            <w:shd w:val="clear" w:color="auto" w:fill="auto"/>
            <w:vAlign w:val="center"/>
            <w:hideMark/>
          </w:tcPr>
          <w:p w:rsidR="004656E0" w:rsidRPr="004656E0" w:rsidRDefault="00E96E40" w:rsidP="003E0955">
            <w:pPr>
              <w:spacing w:after="0" w:line="240" w:lineRule="auto"/>
              <w:jc w:val="center"/>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I</w:t>
            </w:r>
          </w:p>
        </w:tc>
        <w:tc>
          <w:tcPr>
            <w:tcW w:w="980" w:type="dxa"/>
            <w:tcBorders>
              <w:top w:val="nil"/>
              <w:left w:val="nil"/>
              <w:bottom w:val="nil"/>
              <w:right w:val="nil"/>
            </w:tcBorders>
            <w:shd w:val="clear" w:color="auto" w:fill="auto"/>
            <w:noWrap/>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I</w:t>
            </w:r>
            <w:r w:rsidR="00E96E40">
              <w:rPr>
                <w:rFonts w:ascii="Fira Sans" w:eastAsia="Times New Roman" w:hAnsi="Fira Sans" w:cs="Arial"/>
                <w:color w:val="000000"/>
                <w:sz w:val="16"/>
                <w:szCs w:val="16"/>
                <w:lang w:eastAsia="pl-PL"/>
              </w:rPr>
              <w:t>I</w:t>
            </w:r>
          </w:p>
        </w:tc>
      </w:tr>
      <w:tr w:rsidR="004656E0" w:rsidRPr="004656E0" w:rsidTr="000103B6">
        <w:trPr>
          <w:trHeight w:val="300"/>
        </w:trPr>
        <w:tc>
          <w:tcPr>
            <w:tcW w:w="2000" w:type="dxa"/>
            <w:vMerge/>
            <w:tcBorders>
              <w:top w:val="nil"/>
              <w:left w:val="nil"/>
              <w:bottom w:val="single" w:sz="12" w:space="0" w:color="001D77"/>
              <w:right w:val="nil"/>
            </w:tcBorders>
            <w:vAlign w:val="center"/>
            <w:hideMark/>
          </w:tcPr>
          <w:p w:rsidR="004656E0" w:rsidRPr="004656E0" w:rsidRDefault="004656E0" w:rsidP="004656E0">
            <w:pPr>
              <w:spacing w:after="0" w:line="240" w:lineRule="auto"/>
              <w:rPr>
                <w:rFonts w:ascii="Fira Sans" w:eastAsia="Times New Roman" w:hAnsi="Fira Sans" w:cs="Arial"/>
                <w:color w:val="000000"/>
                <w:sz w:val="16"/>
                <w:szCs w:val="16"/>
                <w:lang w:eastAsia="pl-PL"/>
              </w:rPr>
            </w:pPr>
          </w:p>
        </w:tc>
        <w:tc>
          <w:tcPr>
            <w:tcW w:w="980" w:type="dxa"/>
            <w:vMerge/>
            <w:tcBorders>
              <w:top w:val="nil"/>
              <w:left w:val="single" w:sz="4" w:space="0" w:color="001D77"/>
              <w:bottom w:val="single" w:sz="12" w:space="0" w:color="001D77"/>
              <w:right w:val="single" w:sz="4" w:space="0" w:color="001D77"/>
            </w:tcBorders>
            <w:vAlign w:val="center"/>
            <w:hideMark/>
          </w:tcPr>
          <w:p w:rsidR="004656E0" w:rsidRPr="004656E0" w:rsidRDefault="004656E0" w:rsidP="004656E0">
            <w:pPr>
              <w:spacing w:after="0" w:line="240" w:lineRule="auto"/>
              <w:rPr>
                <w:rFonts w:ascii="Fira Sans" w:eastAsia="Times New Roman" w:hAnsi="Fira Sans" w:cs="Arial"/>
                <w:color w:val="000000"/>
                <w:sz w:val="16"/>
                <w:szCs w:val="16"/>
                <w:lang w:eastAsia="pl-PL"/>
              </w:rPr>
            </w:pPr>
          </w:p>
        </w:tc>
        <w:tc>
          <w:tcPr>
            <w:tcW w:w="980" w:type="dxa"/>
            <w:tcBorders>
              <w:top w:val="nil"/>
              <w:left w:val="nil"/>
              <w:bottom w:val="single" w:sz="12" w:space="0" w:color="001D77"/>
              <w:right w:val="single" w:sz="4" w:space="0" w:color="001D77"/>
            </w:tcBorders>
            <w:shd w:val="clear" w:color="auto" w:fill="auto"/>
            <w:vAlign w:val="center"/>
            <w:hideMark/>
          </w:tcPr>
          <w:p w:rsidR="004656E0" w:rsidRPr="004656E0" w:rsidRDefault="004656E0" w:rsidP="00E96E40">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20</w:t>
            </w:r>
            <w:r w:rsidR="00E96E40">
              <w:rPr>
                <w:rFonts w:ascii="Fira Sans" w:eastAsia="Times New Roman" w:hAnsi="Fira Sans" w:cs="Arial"/>
                <w:color w:val="000000"/>
                <w:sz w:val="16"/>
                <w:szCs w:val="16"/>
                <w:lang w:eastAsia="pl-PL"/>
              </w:rPr>
              <w:t>20</w:t>
            </w:r>
            <w:r w:rsidRPr="004656E0">
              <w:rPr>
                <w:rFonts w:ascii="Fira Sans" w:eastAsia="Times New Roman" w:hAnsi="Fira Sans" w:cs="Arial"/>
                <w:color w:val="000000"/>
                <w:sz w:val="16"/>
                <w:szCs w:val="16"/>
                <w:lang w:eastAsia="pl-PL"/>
              </w:rPr>
              <w:t>=100</w:t>
            </w:r>
          </w:p>
        </w:tc>
        <w:tc>
          <w:tcPr>
            <w:tcW w:w="980" w:type="dxa"/>
            <w:tcBorders>
              <w:top w:val="nil"/>
              <w:left w:val="nil"/>
              <w:bottom w:val="single" w:sz="12" w:space="0" w:color="001D77"/>
              <w:right w:val="single" w:sz="8" w:space="0" w:color="001D77"/>
            </w:tcBorders>
            <w:shd w:val="clear" w:color="auto" w:fill="auto"/>
            <w:noWrap/>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2019=100</w:t>
            </w:r>
          </w:p>
        </w:tc>
        <w:tc>
          <w:tcPr>
            <w:tcW w:w="980" w:type="dxa"/>
            <w:vMerge/>
            <w:tcBorders>
              <w:top w:val="nil"/>
              <w:left w:val="single" w:sz="8" w:space="0" w:color="001D77"/>
              <w:bottom w:val="single" w:sz="12" w:space="0" w:color="001D77"/>
              <w:right w:val="single" w:sz="4" w:space="0" w:color="001D77"/>
            </w:tcBorders>
            <w:vAlign w:val="center"/>
            <w:hideMark/>
          </w:tcPr>
          <w:p w:rsidR="004656E0" w:rsidRPr="004656E0" w:rsidRDefault="004656E0" w:rsidP="004656E0">
            <w:pPr>
              <w:spacing w:after="0" w:line="240" w:lineRule="auto"/>
              <w:rPr>
                <w:rFonts w:ascii="Fira Sans" w:eastAsia="Times New Roman" w:hAnsi="Fira Sans" w:cs="Arial"/>
                <w:color w:val="000000"/>
                <w:sz w:val="16"/>
                <w:szCs w:val="16"/>
                <w:lang w:eastAsia="pl-PL"/>
              </w:rPr>
            </w:pPr>
          </w:p>
        </w:tc>
        <w:tc>
          <w:tcPr>
            <w:tcW w:w="980" w:type="dxa"/>
            <w:tcBorders>
              <w:top w:val="nil"/>
              <w:left w:val="nil"/>
              <w:bottom w:val="single" w:sz="12" w:space="0" w:color="001D77"/>
              <w:right w:val="single" w:sz="4" w:space="0" w:color="001D77"/>
            </w:tcBorders>
            <w:shd w:val="clear" w:color="auto" w:fill="auto"/>
            <w:vAlign w:val="center"/>
            <w:hideMark/>
          </w:tcPr>
          <w:p w:rsidR="004656E0" w:rsidRPr="004656E0" w:rsidRDefault="004656E0" w:rsidP="00E96E40">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20</w:t>
            </w:r>
            <w:r w:rsidR="00E96E40">
              <w:rPr>
                <w:rFonts w:ascii="Fira Sans" w:eastAsia="Times New Roman" w:hAnsi="Fira Sans" w:cs="Arial"/>
                <w:color w:val="000000"/>
                <w:sz w:val="16"/>
                <w:szCs w:val="16"/>
                <w:lang w:eastAsia="pl-PL"/>
              </w:rPr>
              <w:t>20</w:t>
            </w:r>
            <w:r w:rsidRPr="004656E0">
              <w:rPr>
                <w:rFonts w:ascii="Fira Sans" w:eastAsia="Times New Roman" w:hAnsi="Fira Sans" w:cs="Arial"/>
                <w:color w:val="000000"/>
                <w:sz w:val="16"/>
                <w:szCs w:val="16"/>
                <w:lang w:eastAsia="pl-PL"/>
              </w:rPr>
              <w:t>=100</w:t>
            </w:r>
          </w:p>
        </w:tc>
        <w:tc>
          <w:tcPr>
            <w:tcW w:w="980" w:type="dxa"/>
            <w:tcBorders>
              <w:top w:val="nil"/>
              <w:left w:val="nil"/>
              <w:bottom w:val="single" w:sz="12" w:space="0" w:color="001D77"/>
              <w:right w:val="nil"/>
            </w:tcBorders>
            <w:shd w:val="clear" w:color="auto" w:fill="auto"/>
            <w:noWrap/>
            <w:vAlign w:val="center"/>
            <w:hideMark/>
          </w:tcPr>
          <w:p w:rsidR="004656E0" w:rsidRPr="004656E0" w:rsidRDefault="004656E0" w:rsidP="003E0955">
            <w:pPr>
              <w:spacing w:after="0" w:line="240" w:lineRule="auto"/>
              <w:jc w:val="center"/>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2019=100</w:t>
            </w:r>
          </w:p>
        </w:tc>
      </w:tr>
      <w:tr w:rsidR="004656E0" w:rsidRPr="004656E0" w:rsidTr="000103B6">
        <w:trPr>
          <w:trHeight w:val="285"/>
        </w:trPr>
        <w:tc>
          <w:tcPr>
            <w:tcW w:w="2000" w:type="dxa"/>
            <w:tcBorders>
              <w:top w:val="single" w:sz="12" w:space="0" w:color="001D77"/>
              <w:left w:val="nil"/>
              <w:bottom w:val="nil"/>
              <w:right w:val="nil"/>
            </w:tcBorders>
            <w:shd w:val="clear" w:color="auto" w:fill="auto"/>
            <w:vAlign w:val="center"/>
            <w:hideMark/>
          </w:tcPr>
          <w:p w:rsidR="004656E0" w:rsidRPr="004656E0" w:rsidRDefault="00636E88" w:rsidP="0055212F">
            <w:pPr>
              <w:spacing w:after="0" w:line="240" w:lineRule="auto"/>
              <w:rPr>
                <w:rFonts w:ascii="Fira Sans" w:eastAsia="Times New Roman" w:hAnsi="Fira Sans" w:cs="Arial"/>
                <w:b/>
                <w:bCs/>
                <w:color w:val="000000"/>
                <w:sz w:val="16"/>
                <w:szCs w:val="16"/>
                <w:lang w:eastAsia="pl-PL"/>
              </w:rPr>
            </w:pPr>
            <w:proofErr w:type="spellStart"/>
            <w:r>
              <w:rPr>
                <w:rFonts w:ascii="Fira Sans" w:eastAsia="Times New Roman" w:hAnsi="Fira Sans" w:cs="Arial"/>
                <w:b/>
                <w:bCs/>
                <w:color w:val="000000"/>
                <w:sz w:val="16"/>
                <w:szCs w:val="16"/>
                <w:lang w:eastAsia="pl-PL"/>
              </w:rPr>
              <w:t>Cereal</w:t>
            </w:r>
            <w:proofErr w:type="spellEnd"/>
            <w:r>
              <w:rPr>
                <w:rFonts w:ascii="Fira Sans" w:eastAsia="Times New Roman" w:hAnsi="Fira Sans" w:cs="Arial"/>
                <w:b/>
                <w:bCs/>
                <w:color w:val="000000"/>
                <w:sz w:val="16"/>
                <w:szCs w:val="16"/>
                <w:lang w:eastAsia="pl-PL"/>
              </w:rPr>
              <w:t xml:space="preserve"> </w:t>
            </w:r>
            <w:proofErr w:type="spellStart"/>
            <w:r>
              <w:rPr>
                <w:rFonts w:ascii="Fira Sans" w:eastAsia="Times New Roman" w:hAnsi="Fira Sans" w:cs="Arial"/>
                <w:b/>
                <w:bCs/>
                <w:color w:val="000000"/>
                <w:sz w:val="16"/>
                <w:szCs w:val="16"/>
                <w:lang w:eastAsia="pl-PL"/>
              </w:rPr>
              <w:t>grain</w:t>
            </w:r>
            <w:proofErr w:type="spellEnd"/>
            <w:r w:rsidRPr="00EC4D3D">
              <w:rPr>
                <w:rStyle w:val="Odwoanieprzypisudolnego"/>
                <w:rFonts w:ascii="Fira Sans" w:eastAsia="Times New Roman" w:hAnsi="Fira Sans" w:cs="Arial"/>
                <w:bCs/>
                <w:color w:val="000000"/>
                <w:sz w:val="16"/>
                <w:szCs w:val="16"/>
                <w:lang w:eastAsia="pl-PL"/>
              </w:rPr>
              <w:footnoteReference w:id="2"/>
            </w:r>
            <w:r w:rsidRPr="004656E0">
              <w:rPr>
                <w:rFonts w:ascii="Fira Sans" w:eastAsia="Times New Roman" w:hAnsi="Fira Sans" w:cs="Arial"/>
                <w:b/>
                <w:bCs/>
                <w:color w:val="000000"/>
                <w:sz w:val="16"/>
                <w:szCs w:val="16"/>
                <w:lang w:eastAsia="pl-PL"/>
              </w:rPr>
              <w:t xml:space="preserve"> – </w:t>
            </w:r>
            <w:r>
              <w:rPr>
                <w:rFonts w:ascii="Fira Sans" w:eastAsia="Times New Roman" w:hAnsi="Fira Sans" w:cs="Arial"/>
                <w:color w:val="000000"/>
                <w:sz w:val="16"/>
                <w:szCs w:val="16"/>
                <w:lang w:eastAsia="pl-PL"/>
              </w:rPr>
              <w:t>per</w:t>
            </w:r>
            <w:r w:rsidRPr="004656E0">
              <w:rPr>
                <w:rFonts w:ascii="Fira Sans" w:eastAsia="Times New Roman" w:hAnsi="Fira Sans" w:cs="Arial"/>
                <w:color w:val="000000"/>
                <w:sz w:val="16"/>
                <w:szCs w:val="16"/>
                <w:lang w:eastAsia="pl-PL"/>
              </w:rPr>
              <w:t xml:space="preserve"> 1 dt</w:t>
            </w:r>
          </w:p>
        </w:tc>
        <w:tc>
          <w:tcPr>
            <w:tcW w:w="980" w:type="dxa"/>
            <w:tcBorders>
              <w:top w:val="single" w:sz="12" w:space="0" w:color="001D77"/>
              <w:left w:val="single" w:sz="4" w:space="0" w:color="001D77"/>
              <w:bottom w:val="nil"/>
              <w:right w:val="single" w:sz="4" w:space="0" w:color="001D77"/>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c>
          <w:tcPr>
            <w:tcW w:w="980" w:type="dxa"/>
            <w:tcBorders>
              <w:top w:val="single" w:sz="12" w:space="0" w:color="001D77"/>
              <w:left w:val="nil"/>
              <w:bottom w:val="nil"/>
              <w:right w:val="single" w:sz="4" w:space="0" w:color="001D77"/>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c>
          <w:tcPr>
            <w:tcW w:w="980" w:type="dxa"/>
            <w:tcBorders>
              <w:top w:val="single" w:sz="12" w:space="0" w:color="001D77"/>
              <w:left w:val="nil"/>
              <w:bottom w:val="nil"/>
              <w:right w:val="single" w:sz="8" w:space="0" w:color="001D77"/>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c>
          <w:tcPr>
            <w:tcW w:w="980" w:type="dxa"/>
            <w:tcBorders>
              <w:top w:val="single" w:sz="12" w:space="0" w:color="001D77"/>
              <w:left w:val="nil"/>
              <w:bottom w:val="nil"/>
              <w:right w:val="single" w:sz="4" w:space="0" w:color="001D77"/>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c>
          <w:tcPr>
            <w:tcW w:w="980" w:type="dxa"/>
            <w:tcBorders>
              <w:top w:val="single" w:sz="12" w:space="0" w:color="001D77"/>
              <w:left w:val="nil"/>
              <w:bottom w:val="nil"/>
              <w:right w:val="single" w:sz="4" w:space="0" w:color="001D77"/>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c>
          <w:tcPr>
            <w:tcW w:w="980" w:type="dxa"/>
            <w:tcBorders>
              <w:top w:val="single" w:sz="12" w:space="0" w:color="001D77"/>
              <w:left w:val="nil"/>
              <w:bottom w:val="nil"/>
              <w:right w:val="nil"/>
            </w:tcBorders>
            <w:shd w:val="clear" w:color="auto" w:fill="auto"/>
            <w:hideMark/>
          </w:tcPr>
          <w:p w:rsidR="004656E0" w:rsidRPr="004656E0" w:rsidRDefault="004656E0" w:rsidP="004656E0">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 </w:t>
            </w:r>
          </w:p>
        </w:tc>
      </w:tr>
      <w:tr w:rsidR="003141B0" w:rsidRPr="004656E0" w:rsidTr="004D1B0A">
        <w:trPr>
          <w:trHeight w:val="285"/>
        </w:trPr>
        <w:tc>
          <w:tcPr>
            <w:tcW w:w="2000" w:type="dxa"/>
            <w:tcBorders>
              <w:top w:val="nil"/>
              <w:left w:val="nil"/>
              <w:bottom w:val="nil"/>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proofErr w:type="spellStart"/>
            <w:r>
              <w:rPr>
                <w:rFonts w:ascii="Fira Sans" w:eastAsia="Times New Roman" w:hAnsi="Fira Sans" w:cs="Arial"/>
                <w:color w:val="000000"/>
                <w:sz w:val="16"/>
                <w:szCs w:val="16"/>
                <w:lang w:eastAsia="pl-PL"/>
              </w:rPr>
              <w:t>Wheat</w:t>
            </w:r>
            <w:proofErr w:type="spellEnd"/>
          </w:p>
        </w:tc>
        <w:tc>
          <w:tcPr>
            <w:tcW w:w="980" w:type="dxa"/>
            <w:tcBorders>
              <w:top w:val="nil"/>
              <w:left w:val="single" w:sz="4" w:space="0" w:color="001D77"/>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73</w:t>
            </w:r>
            <w:r w:rsidR="004A4FF3">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71</w:t>
            </w:r>
          </w:p>
        </w:tc>
        <w:tc>
          <w:tcPr>
            <w:tcW w:w="980" w:type="dxa"/>
            <w:tcBorders>
              <w:top w:val="nil"/>
              <w:left w:val="nil"/>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w:t>
            </w:r>
            <w:r>
              <w:rPr>
                <w:rFonts w:ascii="Fira Sans" w:eastAsia="Times New Roman" w:hAnsi="Fira Sans" w:cs="Arial"/>
                <w:sz w:val="16"/>
                <w:szCs w:val="16"/>
                <w:lang w:eastAsia="pl-PL"/>
              </w:rPr>
              <w:t>2</w:t>
            </w:r>
            <w:r w:rsidR="004A4FF3">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1</w:t>
            </w:r>
          </w:p>
        </w:tc>
        <w:tc>
          <w:tcPr>
            <w:tcW w:w="980" w:type="dxa"/>
            <w:tcBorders>
              <w:top w:val="nil"/>
              <w:left w:val="nil"/>
              <w:bottom w:val="nil"/>
              <w:right w:val="single" w:sz="8"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8</w:t>
            </w:r>
            <w:r>
              <w:rPr>
                <w:rFonts w:ascii="Fira Sans" w:eastAsia="Times New Roman" w:hAnsi="Fira Sans" w:cs="Arial"/>
                <w:sz w:val="16"/>
                <w:szCs w:val="16"/>
                <w:lang w:eastAsia="pl-PL"/>
              </w:rPr>
              <w:t>8</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0</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87</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32</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100</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0</w:t>
            </w:r>
          </w:p>
        </w:tc>
        <w:tc>
          <w:tcPr>
            <w:tcW w:w="980" w:type="dxa"/>
            <w:tcBorders>
              <w:top w:val="nil"/>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92</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7</w:t>
            </w:r>
          </w:p>
        </w:tc>
      </w:tr>
      <w:tr w:rsidR="003141B0" w:rsidRPr="004656E0" w:rsidTr="004D1B0A">
        <w:trPr>
          <w:trHeight w:val="285"/>
        </w:trPr>
        <w:tc>
          <w:tcPr>
            <w:tcW w:w="200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Rye</w:t>
            </w:r>
          </w:p>
        </w:tc>
        <w:tc>
          <w:tcPr>
            <w:tcW w:w="980"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5</w:t>
            </w:r>
            <w:r>
              <w:rPr>
                <w:rFonts w:ascii="Fira Sans" w:eastAsia="Times New Roman" w:hAnsi="Fira Sans" w:cs="Arial"/>
                <w:sz w:val="16"/>
                <w:szCs w:val="16"/>
                <w:lang w:eastAsia="pl-PL"/>
              </w:rPr>
              <w:t>5</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68</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94</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2</w:t>
            </w:r>
          </w:p>
        </w:tc>
        <w:tc>
          <w:tcPr>
            <w:tcW w:w="980" w:type="dxa"/>
            <w:tcBorders>
              <w:top w:val="single" w:sz="4" w:space="0" w:color="001D77"/>
              <w:left w:val="nil"/>
              <w:bottom w:val="single" w:sz="4" w:space="0" w:color="001D77"/>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76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4</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68</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72</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98</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w:t>
            </w:r>
          </w:p>
        </w:tc>
        <w:tc>
          <w:tcPr>
            <w:tcW w:w="98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5</w:t>
            </w:r>
          </w:p>
        </w:tc>
      </w:tr>
      <w:tr w:rsidR="003141B0" w:rsidRPr="004656E0" w:rsidTr="004D1B0A">
        <w:trPr>
          <w:trHeight w:val="285"/>
        </w:trPr>
        <w:tc>
          <w:tcPr>
            <w:tcW w:w="2000" w:type="dxa"/>
            <w:tcBorders>
              <w:top w:val="nil"/>
              <w:left w:val="nil"/>
              <w:bottom w:val="nil"/>
              <w:right w:val="nil"/>
            </w:tcBorders>
            <w:shd w:val="clear" w:color="auto" w:fill="auto"/>
            <w:vAlign w:val="bottom"/>
            <w:hideMark/>
          </w:tcPr>
          <w:p w:rsidR="003141B0" w:rsidRPr="004656E0" w:rsidRDefault="003141B0" w:rsidP="00C10DF9">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Barley</w:t>
            </w:r>
          </w:p>
        </w:tc>
        <w:tc>
          <w:tcPr>
            <w:tcW w:w="980" w:type="dxa"/>
            <w:tcBorders>
              <w:top w:val="nil"/>
              <w:left w:val="single" w:sz="4" w:space="0" w:color="001D77"/>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67</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55</w:t>
            </w:r>
          </w:p>
        </w:tc>
        <w:tc>
          <w:tcPr>
            <w:tcW w:w="980" w:type="dxa"/>
            <w:tcBorders>
              <w:top w:val="nil"/>
              <w:left w:val="nil"/>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95</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0</w:t>
            </w:r>
          </w:p>
        </w:tc>
        <w:tc>
          <w:tcPr>
            <w:tcW w:w="980" w:type="dxa"/>
            <w:tcBorders>
              <w:top w:val="nil"/>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81</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2</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82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60</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3</w:t>
            </w:r>
          </w:p>
        </w:tc>
        <w:tc>
          <w:tcPr>
            <w:tcW w:w="980" w:type="dxa"/>
            <w:tcBorders>
              <w:top w:val="nil"/>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93</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2</w:t>
            </w:r>
          </w:p>
        </w:tc>
      </w:tr>
      <w:tr w:rsidR="003141B0" w:rsidRPr="004656E0" w:rsidTr="007F306D">
        <w:trPr>
          <w:trHeight w:val="285"/>
        </w:trPr>
        <w:tc>
          <w:tcPr>
            <w:tcW w:w="200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Triticale</w:t>
            </w:r>
          </w:p>
        </w:tc>
        <w:tc>
          <w:tcPr>
            <w:tcW w:w="980" w:type="dxa"/>
            <w:tcBorders>
              <w:top w:val="single" w:sz="4" w:space="0" w:color="001D77"/>
              <w:left w:val="single" w:sz="4" w:space="0" w:color="001D77"/>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6</w:t>
            </w:r>
            <w:r>
              <w:rPr>
                <w:rFonts w:ascii="Fira Sans" w:eastAsia="Times New Roman" w:hAnsi="Fira Sans" w:cs="Arial"/>
                <w:sz w:val="16"/>
                <w:szCs w:val="16"/>
                <w:lang w:eastAsia="pl-PL"/>
              </w:rPr>
              <w:t>1</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67</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95</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3</w:t>
            </w:r>
          </w:p>
        </w:tc>
        <w:tc>
          <w:tcPr>
            <w:tcW w:w="980" w:type="dxa"/>
            <w:tcBorders>
              <w:top w:val="single" w:sz="4" w:space="0" w:color="001D77"/>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79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2</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76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69</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c>
          <w:tcPr>
            <w:tcW w:w="980" w:type="dxa"/>
            <w:tcBorders>
              <w:top w:val="single" w:sz="4" w:space="0" w:color="001D77"/>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w:t>
            </w:r>
          </w:p>
        </w:tc>
      </w:tr>
      <w:tr w:rsidR="003141B0" w:rsidRPr="004656E0" w:rsidTr="007F306D">
        <w:trPr>
          <w:trHeight w:val="285"/>
        </w:trPr>
        <w:tc>
          <w:tcPr>
            <w:tcW w:w="200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836F81">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Oat</w:t>
            </w:r>
          </w:p>
        </w:tc>
        <w:tc>
          <w:tcPr>
            <w:tcW w:w="980" w:type="dxa"/>
            <w:tcBorders>
              <w:top w:val="single" w:sz="4" w:space="0" w:color="001D77"/>
              <w:left w:val="single" w:sz="4" w:space="0" w:color="001D77"/>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6</w:t>
            </w:r>
            <w:r>
              <w:rPr>
                <w:rFonts w:ascii="Fira Sans" w:eastAsia="Times New Roman" w:hAnsi="Fira Sans" w:cs="Arial"/>
                <w:sz w:val="16"/>
                <w:szCs w:val="16"/>
                <w:lang w:eastAsia="pl-PL"/>
              </w:rPr>
              <w:t>0</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99</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98</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0</w:t>
            </w:r>
          </w:p>
        </w:tc>
        <w:tc>
          <w:tcPr>
            <w:tcW w:w="980" w:type="dxa"/>
            <w:tcBorders>
              <w:top w:val="single" w:sz="4" w:space="0" w:color="001D77"/>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82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72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40</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5</w:t>
            </w:r>
          </w:p>
        </w:tc>
        <w:tc>
          <w:tcPr>
            <w:tcW w:w="980" w:type="dxa"/>
            <w:tcBorders>
              <w:top w:val="single" w:sz="4" w:space="0" w:color="001D77"/>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9</w:t>
            </w:r>
            <w:r>
              <w:rPr>
                <w:rFonts w:ascii="Fira Sans" w:eastAsia="Times New Roman" w:hAnsi="Fira Sans" w:cs="Arial"/>
                <w:sz w:val="16"/>
                <w:szCs w:val="16"/>
                <w:lang w:eastAsia="pl-PL"/>
              </w:rPr>
              <w:t>4</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9</w:t>
            </w:r>
          </w:p>
        </w:tc>
      </w:tr>
      <w:tr w:rsidR="003141B0" w:rsidRPr="004656E0" w:rsidTr="007F306D">
        <w:trPr>
          <w:trHeight w:val="285"/>
        </w:trPr>
        <w:tc>
          <w:tcPr>
            <w:tcW w:w="2000" w:type="dxa"/>
            <w:tcBorders>
              <w:top w:val="single" w:sz="4" w:space="0" w:color="001D77"/>
              <w:left w:val="nil"/>
              <w:bottom w:val="nil"/>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Maize</w:t>
            </w:r>
          </w:p>
        </w:tc>
        <w:tc>
          <w:tcPr>
            <w:tcW w:w="980" w:type="dxa"/>
            <w:tcBorders>
              <w:top w:val="single" w:sz="4" w:space="0" w:color="001D77"/>
              <w:left w:val="single" w:sz="4" w:space="0" w:color="001D77"/>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6</w:t>
            </w:r>
            <w:r>
              <w:rPr>
                <w:rFonts w:ascii="Fira Sans" w:eastAsia="Times New Roman" w:hAnsi="Fira Sans" w:cs="Arial"/>
                <w:sz w:val="16"/>
                <w:szCs w:val="16"/>
                <w:lang w:eastAsia="pl-PL"/>
              </w:rPr>
              <w:t>7</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10</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w:t>
            </w:r>
            <w:r>
              <w:rPr>
                <w:rFonts w:ascii="Fira Sans" w:eastAsia="Times New Roman" w:hAnsi="Fira Sans" w:cs="Arial"/>
                <w:sz w:val="16"/>
                <w:szCs w:val="16"/>
                <w:lang w:eastAsia="pl-PL"/>
              </w:rPr>
              <w:t>3</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c>
          <w:tcPr>
            <w:tcW w:w="980" w:type="dxa"/>
            <w:tcBorders>
              <w:top w:val="single" w:sz="4" w:space="0" w:color="001D77"/>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91</w:t>
            </w:r>
            <w:r w:rsidR="0038221B">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7</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26</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c>
          <w:tcPr>
            <w:tcW w:w="980" w:type="dxa"/>
            <w:tcBorders>
              <w:top w:val="single" w:sz="4" w:space="0" w:color="001D77"/>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98</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r>
      <w:tr w:rsidR="003141B0" w:rsidRPr="004656E0" w:rsidTr="004D1B0A">
        <w:trPr>
          <w:trHeight w:val="285"/>
        </w:trPr>
        <w:tc>
          <w:tcPr>
            <w:tcW w:w="200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64740E">
            <w:pPr>
              <w:spacing w:after="0" w:line="240" w:lineRule="auto"/>
              <w:rPr>
                <w:rFonts w:ascii="Fira Sans" w:eastAsia="Times New Roman" w:hAnsi="Fira Sans" w:cs="Arial"/>
                <w:b/>
                <w:bCs/>
                <w:color w:val="000000"/>
                <w:sz w:val="16"/>
                <w:szCs w:val="16"/>
                <w:lang w:eastAsia="pl-PL"/>
              </w:rPr>
            </w:pPr>
            <w:r>
              <w:rPr>
                <w:rFonts w:ascii="Fira Sans" w:eastAsia="Times New Roman" w:hAnsi="Fira Sans" w:cs="Arial"/>
                <w:b/>
                <w:bCs/>
                <w:color w:val="000000"/>
                <w:sz w:val="16"/>
                <w:szCs w:val="16"/>
                <w:lang w:eastAsia="pl-PL"/>
              </w:rPr>
              <w:t>Potatoes</w:t>
            </w:r>
            <w:r w:rsidRPr="00EC4D3D">
              <w:rPr>
                <w:rStyle w:val="Odwoanieprzypisudolnego"/>
                <w:rFonts w:ascii="Fira Sans" w:eastAsia="Times New Roman" w:hAnsi="Fira Sans" w:cs="Arial"/>
                <w:bCs/>
                <w:color w:val="000000"/>
                <w:sz w:val="16"/>
                <w:szCs w:val="16"/>
                <w:lang w:eastAsia="pl-PL"/>
              </w:rPr>
              <w:footnoteReference w:id="3"/>
            </w:r>
            <w:r w:rsidRPr="004656E0">
              <w:rPr>
                <w:rFonts w:ascii="Fira Sans" w:eastAsia="Times New Roman" w:hAnsi="Fira Sans" w:cs="Arial"/>
                <w:color w:val="000000"/>
                <w:sz w:val="16"/>
                <w:szCs w:val="16"/>
                <w:lang w:eastAsia="pl-PL"/>
              </w:rPr>
              <w:t xml:space="preserve">– </w:t>
            </w:r>
            <w:r>
              <w:rPr>
                <w:rFonts w:ascii="Fira Sans" w:eastAsia="Times New Roman" w:hAnsi="Fira Sans" w:cs="Arial"/>
                <w:color w:val="000000"/>
                <w:sz w:val="16"/>
                <w:szCs w:val="16"/>
                <w:lang w:eastAsia="pl-PL"/>
              </w:rPr>
              <w:t>per</w:t>
            </w:r>
            <w:r w:rsidRPr="004656E0">
              <w:rPr>
                <w:rFonts w:ascii="Fira Sans" w:eastAsia="Times New Roman" w:hAnsi="Fira Sans" w:cs="Arial"/>
                <w:color w:val="000000"/>
                <w:sz w:val="16"/>
                <w:szCs w:val="16"/>
                <w:lang w:eastAsia="pl-PL"/>
              </w:rPr>
              <w:t xml:space="preserve"> 1 dt</w:t>
            </w:r>
          </w:p>
        </w:tc>
        <w:tc>
          <w:tcPr>
            <w:tcW w:w="980"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rsidR="003141B0" w:rsidRPr="00713390" w:rsidRDefault="003141B0" w:rsidP="004A4FF3">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82</w:t>
            </w:r>
            <w:r w:rsidR="004A4FF3">
              <w:rPr>
                <w:rFonts w:ascii="Fira Sans" w:eastAsia="Times New Roman" w:hAnsi="Fira Sans" w:cs="Arial"/>
                <w:sz w:val="16"/>
                <w:szCs w:val="16"/>
                <w:lang w:eastAsia="pl-PL"/>
              </w:rPr>
              <w:t>.</w:t>
            </w:r>
            <w:r>
              <w:rPr>
                <w:rFonts w:ascii="Fira Sans" w:eastAsia="Times New Roman" w:hAnsi="Fira Sans" w:cs="Arial"/>
                <w:sz w:val="16"/>
                <w:szCs w:val="16"/>
                <w:lang w:eastAsia="pl-PL"/>
              </w:rPr>
              <w:t>61</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102</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c>
          <w:tcPr>
            <w:tcW w:w="980" w:type="dxa"/>
            <w:tcBorders>
              <w:top w:val="single" w:sz="4" w:space="0" w:color="001D77"/>
              <w:left w:val="nil"/>
              <w:bottom w:val="single" w:sz="4" w:space="0" w:color="001D77"/>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105</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203</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81</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99</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2</w:t>
            </w:r>
          </w:p>
        </w:tc>
        <w:tc>
          <w:tcPr>
            <w:tcW w:w="98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color w:val="000000"/>
                <w:sz w:val="16"/>
                <w:szCs w:val="16"/>
                <w:lang w:eastAsia="pl-PL"/>
              </w:rPr>
            </w:pPr>
            <w:r w:rsidRPr="004656E0">
              <w:rPr>
                <w:rFonts w:ascii="Fira Sans" w:eastAsia="Times New Roman" w:hAnsi="Fira Sans" w:cs="Arial"/>
                <w:color w:val="000000"/>
                <w:sz w:val="16"/>
                <w:szCs w:val="16"/>
                <w:lang w:eastAsia="pl-PL"/>
              </w:rPr>
              <w:t>1</w:t>
            </w:r>
            <w:r>
              <w:rPr>
                <w:rFonts w:ascii="Fira Sans" w:eastAsia="Times New Roman" w:hAnsi="Fira Sans" w:cs="Arial"/>
                <w:color w:val="000000"/>
                <w:sz w:val="16"/>
                <w:szCs w:val="16"/>
                <w:lang w:eastAsia="pl-PL"/>
              </w:rPr>
              <w:t>46</w:t>
            </w:r>
            <w:r w:rsidR="0038221B">
              <w:rPr>
                <w:rFonts w:ascii="Fira Sans" w:eastAsia="Times New Roman" w:hAnsi="Fira Sans" w:cs="Arial"/>
                <w:color w:val="000000"/>
                <w:sz w:val="16"/>
                <w:szCs w:val="16"/>
                <w:lang w:eastAsia="pl-PL"/>
              </w:rPr>
              <w:t>.</w:t>
            </w:r>
            <w:r>
              <w:rPr>
                <w:rFonts w:ascii="Fira Sans" w:eastAsia="Times New Roman" w:hAnsi="Fira Sans" w:cs="Arial"/>
                <w:color w:val="000000"/>
                <w:sz w:val="16"/>
                <w:szCs w:val="16"/>
                <w:lang w:eastAsia="pl-PL"/>
              </w:rPr>
              <w:t>6</w:t>
            </w:r>
          </w:p>
        </w:tc>
      </w:tr>
      <w:tr w:rsidR="003141B0" w:rsidRPr="00661C39" w:rsidTr="004D1B0A">
        <w:trPr>
          <w:trHeight w:val="285"/>
        </w:trPr>
        <w:tc>
          <w:tcPr>
            <w:tcW w:w="2000" w:type="dxa"/>
            <w:tcBorders>
              <w:top w:val="nil"/>
              <w:left w:val="nil"/>
              <w:bottom w:val="nil"/>
              <w:right w:val="nil"/>
            </w:tcBorders>
            <w:shd w:val="clear" w:color="auto" w:fill="auto"/>
            <w:vAlign w:val="bottom"/>
            <w:hideMark/>
          </w:tcPr>
          <w:p w:rsidR="003141B0" w:rsidRPr="000F45BD" w:rsidRDefault="003141B0" w:rsidP="00406404">
            <w:pPr>
              <w:spacing w:after="0" w:line="240" w:lineRule="auto"/>
              <w:rPr>
                <w:rFonts w:ascii="Fira Sans" w:eastAsia="Times New Roman" w:hAnsi="Fira Sans" w:cs="Arial"/>
                <w:b/>
                <w:bCs/>
                <w:color w:val="000000"/>
                <w:sz w:val="16"/>
                <w:szCs w:val="16"/>
                <w:lang w:val="en-US" w:eastAsia="pl-PL"/>
              </w:rPr>
            </w:pPr>
            <w:r w:rsidRPr="000F45BD">
              <w:rPr>
                <w:rFonts w:ascii="Fira Sans" w:eastAsia="Times New Roman" w:hAnsi="Fira Sans" w:cs="Arial"/>
                <w:b/>
                <w:bCs/>
                <w:color w:val="000000"/>
                <w:sz w:val="16"/>
                <w:szCs w:val="16"/>
                <w:lang w:val="en-US" w:eastAsia="pl-PL"/>
              </w:rPr>
              <w:t>Animals for slau</w:t>
            </w:r>
            <w:r w:rsidR="005823AE">
              <w:rPr>
                <w:rFonts w:ascii="Fira Sans" w:eastAsia="Times New Roman" w:hAnsi="Fira Sans" w:cs="Arial"/>
                <w:b/>
                <w:bCs/>
                <w:color w:val="000000"/>
                <w:sz w:val="16"/>
                <w:szCs w:val="16"/>
                <w:lang w:val="en-US" w:eastAsia="pl-PL"/>
              </w:rPr>
              <w:t>g</w:t>
            </w:r>
            <w:r w:rsidRPr="000F45BD">
              <w:rPr>
                <w:rFonts w:ascii="Fira Sans" w:eastAsia="Times New Roman" w:hAnsi="Fira Sans" w:cs="Arial"/>
                <w:b/>
                <w:bCs/>
                <w:color w:val="000000"/>
                <w:sz w:val="16"/>
                <w:szCs w:val="16"/>
                <w:lang w:val="en-US" w:eastAsia="pl-PL"/>
              </w:rPr>
              <w:t>hter</w:t>
            </w:r>
            <w:r w:rsidRPr="00EC4D3D">
              <w:rPr>
                <w:rStyle w:val="Odwoanieprzypisudolnego"/>
                <w:rFonts w:ascii="Fira Sans" w:eastAsia="Times New Roman" w:hAnsi="Fira Sans" w:cs="Arial"/>
                <w:bCs/>
                <w:color w:val="000000"/>
                <w:sz w:val="16"/>
                <w:szCs w:val="16"/>
                <w:lang w:eastAsia="pl-PL"/>
              </w:rPr>
              <w:footnoteReference w:id="4"/>
            </w:r>
            <w:r w:rsidRPr="000F45BD">
              <w:rPr>
                <w:rFonts w:ascii="Fira Sans" w:eastAsia="Times New Roman" w:hAnsi="Fira Sans" w:cs="Arial"/>
                <w:color w:val="000000"/>
                <w:sz w:val="16"/>
                <w:szCs w:val="16"/>
                <w:lang w:val="en-US" w:eastAsia="pl-PL"/>
              </w:rPr>
              <w:t xml:space="preserve"> – per  kg</w:t>
            </w:r>
          </w:p>
        </w:tc>
        <w:tc>
          <w:tcPr>
            <w:tcW w:w="980" w:type="dxa"/>
            <w:tcBorders>
              <w:top w:val="nil"/>
              <w:left w:val="single" w:sz="4" w:space="0" w:color="001D77"/>
              <w:bottom w:val="nil"/>
              <w:right w:val="single" w:sz="4" w:space="0" w:color="001D77"/>
            </w:tcBorders>
            <w:shd w:val="clear" w:color="auto" w:fill="auto"/>
            <w:vAlign w:val="bottom"/>
            <w:hideMark/>
          </w:tcPr>
          <w:p w:rsidR="003141B0" w:rsidRPr="00661C39" w:rsidRDefault="003141B0" w:rsidP="00432454">
            <w:pPr>
              <w:spacing w:after="0" w:line="240" w:lineRule="auto"/>
              <w:rPr>
                <w:rFonts w:ascii="Fira Sans" w:eastAsia="Times New Roman" w:hAnsi="Fira Sans" w:cs="Arial"/>
                <w:sz w:val="16"/>
                <w:szCs w:val="16"/>
                <w:lang w:val="en-US" w:eastAsia="pl-PL"/>
              </w:rPr>
            </w:pPr>
            <w:r w:rsidRPr="00661C39">
              <w:rPr>
                <w:rFonts w:ascii="Fira Sans" w:eastAsia="Times New Roman" w:hAnsi="Fira Sans" w:cs="Arial"/>
                <w:sz w:val="16"/>
                <w:szCs w:val="16"/>
                <w:lang w:val="en-US" w:eastAsia="pl-PL"/>
              </w:rPr>
              <w:t> </w:t>
            </w:r>
          </w:p>
        </w:tc>
        <w:tc>
          <w:tcPr>
            <w:tcW w:w="980" w:type="dxa"/>
            <w:tcBorders>
              <w:top w:val="nil"/>
              <w:left w:val="nil"/>
              <w:bottom w:val="nil"/>
              <w:right w:val="single" w:sz="4" w:space="0" w:color="001D77"/>
            </w:tcBorders>
            <w:shd w:val="clear" w:color="auto" w:fill="auto"/>
            <w:vAlign w:val="bottom"/>
            <w:hideMark/>
          </w:tcPr>
          <w:p w:rsidR="003141B0" w:rsidRPr="00661C39" w:rsidRDefault="003141B0" w:rsidP="00432454">
            <w:pPr>
              <w:spacing w:after="0" w:line="240" w:lineRule="auto"/>
              <w:rPr>
                <w:rFonts w:ascii="Fira Sans" w:eastAsia="Times New Roman" w:hAnsi="Fira Sans" w:cs="Arial"/>
                <w:sz w:val="16"/>
                <w:szCs w:val="16"/>
                <w:lang w:val="en-US" w:eastAsia="pl-PL"/>
              </w:rPr>
            </w:pPr>
            <w:r w:rsidRPr="00661C39">
              <w:rPr>
                <w:rFonts w:ascii="Fira Sans" w:eastAsia="Times New Roman" w:hAnsi="Fira Sans" w:cs="Arial"/>
                <w:sz w:val="16"/>
                <w:szCs w:val="16"/>
                <w:lang w:val="en-US" w:eastAsia="pl-PL"/>
              </w:rPr>
              <w:t> </w:t>
            </w:r>
          </w:p>
        </w:tc>
        <w:tc>
          <w:tcPr>
            <w:tcW w:w="980" w:type="dxa"/>
            <w:tcBorders>
              <w:top w:val="nil"/>
              <w:left w:val="nil"/>
              <w:bottom w:val="nil"/>
              <w:right w:val="single" w:sz="8" w:space="0" w:color="001D77"/>
            </w:tcBorders>
            <w:shd w:val="clear" w:color="auto" w:fill="auto"/>
            <w:vAlign w:val="bottom"/>
            <w:hideMark/>
          </w:tcPr>
          <w:p w:rsidR="003141B0" w:rsidRPr="00661C39" w:rsidRDefault="003141B0" w:rsidP="00432454">
            <w:pPr>
              <w:spacing w:after="0" w:line="240" w:lineRule="auto"/>
              <w:rPr>
                <w:rFonts w:ascii="Fira Sans" w:eastAsia="Times New Roman" w:hAnsi="Fira Sans" w:cs="Arial"/>
                <w:sz w:val="16"/>
                <w:szCs w:val="16"/>
                <w:lang w:val="en-US" w:eastAsia="pl-PL"/>
              </w:rPr>
            </w:pPr>
            <w:r w:rsidRPr="00661C39">
              <w:rPr>
                <w:rFonts w:ascii="Fira Sans" w:eastAsia="Times New Roman" w:hAnsi="Fira Sans" w:cs="Arial"/>
                <w:sz w:val="16"/>
                <w:szCs w:val="16"/>
                <w:lang w:val="en-US" w:eastAsia="pl-PL"/>
              </w:rPr>
              <w:t> </w:t>
            </w:r>
          </w:p>
        </w:tc>
        <w:tc>
          <w:tcPr>
            <w:tcW w:w="980" w:type="dxa"/>
            <w:tcBorders>
              <w:top w:val="nil"/>
              <w:left w:val="nil"/>
              <w:bottom w:val="nil"/>
              <w:right w:val="single" w:sz="4" w:space="0" w:color="001D77"/>
            </w:tcBorders>
            <w:shd w:val="clear" w:color="auto" w:fill="auto"/>
            <w:vAlign w:val="bottom"/>
            <w:hideMark/>
          </w:tcPr>
          <w:p w:rsidR="003141B0" w:rsidRPr="00661C39" w:rsidRDefault="003141B0" w:rsidP="00432454">
            <w:pPr>
              <w:spacing w:after="0" w:line="240" w:lineRule="auto"/>
              <w:rPr>
                <w:rFonts w:ascii="Fira Sans" w:eastAsia="Times New Roman" w:hAnsi="Fira Sans" w:cs="Arial"/>
                <w:color w:val="000000"/>
                <w:sz w:val="16"/>
                <w:szCs w:val="16"/>
                <w:lang w:val="en-US" w:eastAsia="pl-PL"/>
              </w:rPr>
            </w:pPr>
            <w:r w:rsidRPr="00661C39">
              <w:rPr>
                <w:rFonts w:ascii="Fira Sans" w:eastAsia="Times New Roman" w:hAnsi="Fira Sans" w:cs="Arial"/>
                <w:color w:val="000000"/>
                <w:sz w:val="16"/>
                <w:szCs w:val="16"/>
                <w:lang w:val="en-US" w:eastAsia="pl-PL"/>
              </w:rPr>
              <w:t> </w:t>
            </w:r>
          </w:p>
        </w:tc>
        <w:tc>
          <w:tcPr>
            <w:tcW w:w="980" w:type="dxa"/>
            <w:tcBorders>
              <w:top w:val="nil"/>
              <w:left w:val="nil"/>
              <w:bottom w:val="nil"/>
              <w:right w:val="single" w:sz="4" w:space="0" w:color="001D77"/>
            </w:tcBorders>
            <w:shd w:val="clear" w:color="auto" w:fill="auto"/>
            <w:hideMark/>
          </w:tcPr>
          <w:p w:rsidR="003141B0" w:rsidRPr="00661C39" w:rsidRDefault="003141B0" w:rsidP="00432454">
            <w:pPr>
              <w:spacing w:after="0" w:line="240" w:lineRule="auto"/>
              <w:rPr>
                <w:rFonts w:ascii="Fira Sans" w:eastAsia="Times New Roman" w:hAnsi="Fira Sans" w:cs="Arial"/>
                <w:color w:val="000000"/>
                <w:sz w:val="16"/>
                <w:szCs w:val="16"/>
                <w:lang w:val="en-US" w:eastAsia="pl-PL"/>
              </w:rPr>
            </w:pPr>
            <w:r w:rsidRPr="00661C39">
              <w:rPr>
                <w:rFonts w:ascii="Fira Sans" w:eastAsia="Times New Roman" w:hAnsi="Fira Sans" w:cs="Arial"/>
                <w:color w:val="000000"/>
                <w:sz w:val="16"/>
                <w:szCs w:val="16"/>
                <w:lang w:val="en-US" w:eastAsia="pl-PL"/>
              </w:rPr>
              <w:t> </w:t>
            </w:r>
          </w:p>
        </w:tc>
        <w:tc>
          <w:tcPr>
            <w:tcW w:w="980" w:type="dxa"/>
            <w:tcBorders>
              <w:top w:val="nil"/>
              <w:left w:val="nil"/>
              <w:bottom w:val="nil"/>
              <w:right w:val="nil"/>
            </w:tcBorders>
            <w:shd w:val="clear" w:color="auto" w:fill="auto"/>
            <w:vAlign w:val="bottom"/>
            <w:hideMark/>
          </w:tcPr>
          <w:p w:rsidR="003141B0" w:rsidRPr="00661C39" w:rsidRDefault="003141B0" w:rsidP="00432454">
            <w:pPr>
              <w:spacing w:after="0" w:line="240" w:lineRule="auto"/>
              <w:rPr>
                <w:rFonts w:ascii="Fira Sans" w:eastAsia="Times New Roman" w:hAnsi="Fira Sans" w:cs="Arial"/>
                <w:color w:val="000000"/>
                <w:sz w:val="16"/>
                <w:szCs w:val="16"/>
                <w:lang w:val="en-US" w:eastAsia="pl-PL"/>
              </w:rPr>
            </w:pPr>
          </w:p>
        </w:tc>
      </w:tr>
      <w:tr w:rsidR="003141B0" w:rsidRPr="004656E0" w:rsidTr="004D1B0A">
        <w:trPr>
          <w:trHeight w:val="285"/>
        </w:trPr>
        <w:tc>
          <w:tcPr>
            <w:tcW w:w="2000" w:type="dxa"/>
            <w:tcBorders>
              <w:top w:val="nil"/>
              <w:left w:val="nil"/>
              <w:bottom w:val="nil"/>
              <w:right w:val="nil"/>
            </w:tcBorders>
            <w:shd w:val="clear" w:color="auto" w:fill="auto"/>
            <w:vAlign w:val="bottom"/>
            <w:hideMark/>
          </w:tcPr>
          <w:p w:rsidR="003141B0" w:rsidRPr="004656E0" w:rsidRDefault="003141B0" w:rsidP="0055212F">
            <w:pPr>
              <w:spacing w:after="0" w:line="240" w:lineRule="auto"/>
              <w:rPr>
                <w:rFonts w:ascii="Fira Sans" w:eastAsia="Times New Roman" w:hAnsi="Fira Sans" w:cs="Arial"/>
                <w:sz w:val="16"/>
                <w:szCs w:val="16"/>
                <w:lang w:eastAsia="pl-PL"/>
              </w:rPr>
            </w:pPr>
            <w:proofErr w:type="spellStart"/>
            <w:r>
              <w:rPr>
                <w:rFonts w:ascii="Fira Sans" w:eastAsia="Times New Roman" w:hAnsi="Fira Sans" w:cs="Arial"/>
                <w:sz w:val="16"/>
                <w:szCs w:val="16"/>
                <w:lang w:eastAsia="pl-PL"/>
              </w:rPr>
              <w:t>Cattle</w:t>
            </w:r>
            <w:proofErr w:type="spellEnd"/>
            <w:r w:rsidRPr="004656E0">
              <w:rPr>
                <w:rFonts w:ascii="Fira Sans" w:eastAsia="Times New Roman" w:hAnsi="Fira Sans" w:cs="Arial"/>
                <w:sz w:val="16"/>
                <w:szCs w:val="16"/>
                <w:lang w:eastAsia="pl-PL"/>
              </w:rPr>
              <w:t xml:space="preserve"> (</w:t>
            </w:r>
            <w:proofErr w:type="spellStart"/>
            <w:r>
              <w:rPr>
                <w:rFonts w:ascii="Fira Sans" w:eastAsia="Times New Roman" w:hAnsi="Fira Sans" w:cs="Arial"/>
                <w:sz w:val="16"/>
                <w:szCs w:val="16"/>
                <w:lang w:eastAsia="pl-PL"/>
              </w:rPr>
              <w:t>excluding</w:t>
            </w:r>
            <w:proofErr w:type="spellEnd"/>
            <w:r>
              <w:rPr>
                <w:rFonts w:ascii="Fira Sans" w:eastAsia="Times New Roman" w:hAnsi="Fira Sans" w:cs="Arial"/>
                <w:sz w:val="16"/>
                <w:szCs w:val="16"/>
                <w:lang w:eastAsia="pl-PL"/>
              </w:rPr>
              <w:t xml:space="preserve"> </w:t>
            </w:r>
            <w:proofErr w:type="spellStart"/>
            <w:r>
              <w:rPr>
                <w:rFonts w:ascii="Fira Sans" w:eastAsia="Times New Roman" w:hAnsi="Fira Sans" w:cs="Arial"/>
                <w:sz w:val="16"/>
                <w:szCs w:val="16"/>
                <w:lang w:eastAsia="pl-PL"/>
              </w:rPr>
              <w:t>calves</w:t>
            </w:r>
            <w:proofErr w:type="spellEnd"/>
          </w:p>
        </w:tc>
        <w:tc>
          <w:tcPr>
            <w:tcW w:w="980" w:type="dxa"/>
            <w:tcBorders>
              <w:top w:val="nil"/>
              <w:left w:val="single" w:sz="4" w:space="0" w:color="001D77"/>
              <w:bottom w:val="single" w:sz="4" w:space="0" w:color="001D77"/>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4</w:t>
            </w:r>
            <w:r>
              <w:rPr>
                <w:rFonts w:ascii="Fira Sans" w:eastAsia="Times New Roman" w:hAnsi="Fira Sans" w:cs="Arial"/>
                <w:sz w:val="16"/>
                <w:szCs w:val="16"/>
                <w:lang w:eastAsia="pl-PL"/>
              </w:rPr>
              <w:t>9</w:t>
            </w:r>
          </w:p>
        </w:tc>
        <w:tc>
          <w:tcPr>
            <w:tcW w:w="980" w:type="dxa"/>
            <w:tcBorders>
              <w:top w:val="nil"/>
              <w:left w:val="nil"/>
              <w:bottom w:val="single" w:sz="4" w:space="0" w:color="001D77"/>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w:t>
            </w:r>
            <w:r>
              <w:rPr>
                <w:rFonts w:ascii="Fira Sans" w:eastAsia="Times New Roman" w:hAnsi="Fira Sans" w:cs="Arial"/>
                <w:sz w:val="16"/>
                <w:szCs w:val="16"/>
                <w:lang w:eastAsia="pl-PL"/>
              </w:rPr>
              <w:t>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w:t>
            </w:r>
          </w:p>
        </w:tc>
        <w:tc>
          <w:tcPr>
            <w:tcW w:w="980" w:type="dxa"/>
            <w:tcBorders>
              <w:top w:val="nil"/>
              <w:left w:val="nil"/>
              <w:bottom w:val="single" w:sz="4" w:space="0" w:color="001D77"/>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101</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5</w:t>
            </w:r>
          </w:p>
        </w:tc>
        <w:tc>
          <w:tcPr>
            <w:tcW w:w="980" w:type="dxa"/>
            <w:tcBorders>
              <w:top w:val="nil"/>
              <w:left w:val="nil"/>
              <w:bottom w:val="single" w:sz="4" w:space="0" w:color="001D77"/>
              <w:right w:val="single" w:sz="4" w:space="0" w:color="001D77"/>
            </w:tcBorders>
            <w:shd w:val="clear" w:color="auto" w:fill="auto"/>
            <w:vAlign w:val="bottom"/>
            <w:hideMark/>
          </w:tcPr>
          <w:p w:rsidR="003141B0" w:rsidRPr="0055314B" w:rsidRDefault="003141B0" w:rsidP="00432454">
            <w:pPr>
              <w:spacing w:after="0" w:line="240" w:lineRule="auto"/>
              <w:jc w:val="right"/>
              <w:rPr>
                <w:rFonts w:ascii="Fira Sans" w:eastAsia="Times New Roman" w:hAnsi="Fira Sans" w:cs="Arial"/>
                <w:sz w:val="16"/>
                <w:szCs w:val="16"/>
                <w:lang w:eastAsia="pl-PL"/>
              </w:rPr>
            </w:pPr>
            <w:r w:rsidRPr="0055314B">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sidRPr="0055314B">
              <w:rPr>
                <w:rFonts w:ascii="Fira Sans" w:eastAsia="Times New Roman" w:hAnsi="Fira Sans" w:cs="Arial"/>
                <w:sz w:val="16"/>
                <w:szCs w:val="16"/>
                <w:lang w:eastAsia="pl-PL"/>
              </w:rPr>
              <w:t>78</w:t>
            </w:r>
          </w:p>
        </w:tc>
        <w:tc>
          <w:tcPr>
            <w:tcW w:w="980" w:type="dxa"/>
            <w:tcBorders>
              <w:top w:val="nil"/>
              <w:left w:val="nil"/>
              <w:bottom w:val="single" w:sz="4" w:space="0" w:color="001D77"/>
              <w:right w:val="single" w:sz="4" w:space="0" w:color="001D77"/>
            </w:tcBorders>
            <w:shd w:val="clear" w:color="auto" w:fill="auto"/>
            <w:vAlign w:val="bottom"/>
            <w:hideMark/>
          </w:tcPr>
          <w:p w:rsidR="003141B0" w:rsidRPr="0055314B" w:rsidRDefault="003141B0" w:rsidP="00432454">
            <w:pPr>
              <w:spacing w:after="0" w:line="240" w:lineRule="auto"/>
              <w:jc w:val="right"/>
              <w:rPr>
                <w:rFonts w:ascii="Fira Sans" w:eastAsia="Times New Roman" w:hAnsi="Fira Sans" w:cs="Arial"/>
                <w:sz w:val="16"/>
                <w:szCs w:val="16"/>
                <w:lang w:eastAsia="pl-PL"/>
              </w:rPr>
            </w:pPr>
            <w:r w:rsidRPr="0055314B">
              <w:rPr>
                <w:rFonts w:ascii="Fira Sans" w:eastAsia="Times New Roman" w:hAnsi="Fira Sans" w:cs="Arial"/>
                <w:sz w:val="16"/>
                <w:szCs w:val="16"/>
                <w:lang w:eastAsia="pl-PL"/>
              </w:rPr>
              <w:t>99</w:t>
            </w:r>
            <w:r w:rsidR="0038221B">
              <w:rPr>
                <w:rFonts w:ascii="Fira Sans" w:eastAsia="Times New Roman" w:hAnsi="Fira Sans" w:cs="Arial"/>
                <w:sz w:val="16"/>
                <w:szCs w:val="16"/>
                <w:lang w:eastAsia="pl-PL"/>
              </w:rPr>
              <w:t>.</w:t>
            </w:r>
            <w:r w:rsidRPr="0055314B">
              <w:rPr>
                <w:rFonts w:ascii="Fira Sans" w:eastAsia="Times New Roman" w:hAnsi="Fira Sans" w:cs="Arial"/>
                <w:sz w:val="16"/>
                <w:szCs w:val="16"/>
                <w:lang w:eastAsia="pl-PL"/>
              </w:rPr>
              <w:t>3</w:t>
            </w:r>
          </w:p>
        </w:tc>
        <w:tc>
          <w:tcPr>
            <w:tcW w:w="980" w:type="dxa"/>
            <w:tcBorders>
              <w:top w:val="nil"/>
              <w:left w:val="nil"/>
              <w:bottom w:val="single" w:sz="4" w:space="0" w:color="001D77"/>
              <w:right w:val="nil"/>
            </w:tcBorders>
            <w:shd w:val="clear" w:color="auto" w:fill="auto"/>
            <w:vAlign w:val="bottom"/>
            <w:hideMark/>
          </w:tcPr>
          <w:p w:rsidR="003141B0" w:rsidRPr="0055314B" w:rsidRDefault="003141B0" w:rsidP="00432454">
            <w:pPr>
              <w:spacing w:after="0" w:line="240" w:lineRule="auto"/>
              <w:jc w:val="right"/>
              <w:rPr>
                <w:rFonts w:ascii="Fira Sans" w:eastAsia="Times New Roman" w:hAnsi="Fira Sans" w:cs="Arial"/>
                <w:sz w:val="16"/>
                <w:szCs w:val="16"/>
                <w:lang w:eastAsia="pl-PL"/>
              </w:rPr>
            </w:pPr>
            <w:r w:rsidRPr="0055314B">
              <w:rPr>
                <w:rFonts w:ascii="Fira Sans" w:eastAsia="Times New Roman" w:hAnsi="Fira Sans" w:cs="Arial"/>
                <w:sz w:val="16"/>
                <w:szCs w:val="16"/>
                <w:lang w:eastAsia="pl-PL"/>
              </w:rPr>
              <w:t>99</w:t>
            </w:r>
            <w:r w:rsidR="0038221B">
              <w:rPr>
                <w:rFonts w:ascii="Fira Sans" w:eastAsia="Times New Roman" w:hAnsi="Fira Sans" w:cs="Arial"/>
                <w:sz w:val="16"/>
                <w:szCs w:val="16"/>
                <w:lang w:eastAsia="pl-PL"/>
              </w:rPr>
              <w:t>.</w:t>
            </w:r>
            <w:r w:rsidRPr="0055314B">
              <w:rPr>
                <w:rFonts w:ascii="Fira Sans" w:eastAsia="Times New Roman" w:hAnsi="Fira Sans" w:cs="Arial"/>
                <w:sz w:val="16"/>
                <w:szCs w:val="16"/>
                <w:lang w:eastAsia="pl-PL"/>
              </w:rPr>
              <w:t>9</w:t>
            </w:r>
          </w:p>
        </w:tc>
      </w:tr>
      <w:tr w:rsidR="003141B0" w:rsidRPr="004656E0" w:rsidTr="004D1B0A">
        <w:trPr>
          <w:trHeight w:val="285"/>
        </w:trPr>
        <w:tc>
          <w:tcPr>
            <w:tcW w:w="2000" w:type="dxa"/>
            <w:tcBorders>
              <w:top w:val="single" w:sz="4" w:space="0" w:color="001D77"/>
              <w:left w:val="nil"/>
              <w:bottom w:val="nil"/>
              <w:right w:val="nil"/>
            </w:tcBorders>
            <w:shd w:val="clear" w:color="auto" w:fill="auto"/>
            <w:vAlign w:val="bottom"/>
            <w:hideMark/>
          </w:tcPr>
          <w:p w:rsidR="003141B0" w:rsidRPr="004656E0" w:rsidRDefault="003141B0" w:rsidP="00EA67D3">
            <w:pPr>
              <w:spacing w:after="0" w:line="240" w:lineRule="auto"/>
              <w:ind w:firstLineChars="100" w:firstLine="160"/>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of which young cattle)</w:t>
            </w:r>
          </w:p>
        </w:tc>
        <w:tc>
          <w:tcPr>
            <w:tcW w:w="980" w:type="dxa"/>
            <w:tcBorders>
              <w:top w:val="nil"/>
              <w:left w:val="single" w:sz="4" w:space="0" w:color="001D77"/>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5</w:t>
            </w:r>
            <w:r>
              <w:rPr>
                <w:rFonts w:ascii="Fira Sans" w:eastAsia="Times New Roman" w:hAnsi="Fira Sans" w:cs="Arial"/>
                <w:sz w:val="16"/>
                <w:szCs w:val="16"/>
                <w:lang w:eastAsia="pl-PL"/>
              </w:rPr>
              <w:t>9</w:t>
            </w:r>
          </w:p>
        </w:tc>
        <w:tc>
          <w:tcPr>
            <w:tcW w:w="980" w:type="dxa"/>
            <w:tcBorders>
              <w:top w:val="nil"/>
              <w:left w:val="nil"/>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w:t>
            </w:r>
            <w:r>
              <w:rPr>
                <w:rFonts w:ascii="Fira Sans" w:eastAsia="Times New Roman" w:hAnsi="Fira Sans" w:cs="Arial"/>
                <w:sz w:val="16"/>
                <w:szCs w:val="16"/>
                <w:lang w:eastAsia="pl-PL"/>
              </w:rPr>
              <w:t>0</w:t>
            </w:r>
            <w:r w:rsidR="0038221B">
              <w:rPr>
                <w:rFonts w:ascii="Fira Sans" w:eastAsia="Times New Roman" w:hAnsi="Fira Sans" w:cs="Arial"/>
                <w:sz w:val="16"/>
                <w:szCs w:val="16"/>
                <w:lang w:eastAsia="pl-PL"/>
              </w:rPr>
              <w:t>.</w:t>
            </w:r>
            <w:r w:rsidRPr="00713390">
              <w:rPr>
                <w:rFonts w:ascii="Fira Sans" w:eastAsia="Times New Roman" w:hAnsi="Fira Sans" w:cs="Arial"/>
                <w:sz w:val="16"/>
                <w:szCs w:val="16"/>
                <w:lang w:eastAsia="pl-PL"/>
              </w:rPr>
              <w:t>5</w:t>
            </w:r>
          </w:p>
        </w:tc>
        <w:tc>
          <w:tcPr>
            <w:tcW w:w="980" w:type="dxa"/>
            <w:tcBorders>
              <w:top w:val="nil"/>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101</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5</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98</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98</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9</w:t>
            </w:r>
          </w:p>
        </w:tc>
        <w:tc>
          <w:tcPr>
            <w:tcW w:w="980" w:type="dxa"/>
            <w:tcBorders>
              <w:top w:val="nil"/>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9</w:t>
            </w:r>
            <w:r>
              <w:rPr>
                <w:rFonts w:ascii="Fira Sans" w:eastAsia="Times New Roman" w:hAnsi="Fira Sans" w:cs="Arial"/>
                <w:sz w:val="16"/>
                <w:szCs w:val="16"/>
                <w:lang w:eastAsia="pl-PL"/>
              </w:rPr>
              <w:t>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1</w:t>
            </w:r>
          </w:p>
        </w:tc>
      </w:tr>
      <w:tr w:rsidR="003141B0" w:rsidRPr="004656E0" w:rsidTr="004D1B0A">
        <w:trPr>
          <w:trHeight w:val="285"/>
        </w:trPr>
        <w:tc>
          <w:tcPr>
            <w:tcW w:w="2000" w:type="dxa"/>
            <w:tcBorders>
              <w:top w:val="single" w:sz="4" w:space="0" w:color="001D77"/>
              <w:left w:val="nil"/>
              <w:bottom w:val="nil"/>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Pigs</w:t>
            </w:r>
          </w:p>
        </w:tc>
        <w:tc>
          <w:tcPr>
            <w:tcW w:w="980" w:type="dxa"/>
            <w:tcBorders>
              <w:top w:val="single" w:sz="4" w:space="0" w:color="001D77"/>
              <w:left w:val="single" w:sz="4" w:space="0" w:color="001D77"/>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27</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105</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1</w:t>
            </w:r>
          </w:p>
        </w:tc>
        <w:tc>
          <w:tcPr>
            <w:tcW w:w="980" w:type="dxa"/>
            <w:tcBorders>
              <w:top w:val="single" w:sz="4" w:space="0" w:color="001D77"/>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150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6</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6</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14</w:t>
            </w:r>
          </w:p>
        </w:tc>
        <w:tc>
          <w:tcPr>
            <w:tcW w:w="980" w:type="dxa"/>
            <w:tcBorders>
              <w:top w:val="single" w:sz="4" w:space="0" w:color="001D77"/>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98</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1</w:t>
            </w:r>
          </w:p>
        </w:tc>
        <w:tc>
          <w:tcPr>
            <w:tcW w:w="980" w:type="dxa"/>
            <w:tcBorders>
              <w:top w:val="single" w:sz="4" w:space="0" w:color="001D77"/>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119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9</w:t>
            </w:r>
          </w:p>
        </w:tc>
      </w:tr>
      <w:tr w:rsidR="003141B0" w:rsidRPr="004656E0" w:rsidTr="004D1B0A">
        <w:trPr>
          <w:trHeight w:val="285"/>
        </w:trPr>
        <w:tc>
          <w:tcPr>
            <w:tcW w:w="200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656E0">
            <w:pPr>
              <w:spacing w:after="0" w:line="240" w:lineRule="auto"/>
              <w:rPr>
                <w:rFonts w:ascii="Fira Sans" w:eastAsia="Times New Roman" w:hAnsi="Fira Sans" w:cs="Arial"/>
                <w:color w:val="000000"/>
                <w:sz w:val="16"/>
                <w:szCs w:val="16"/>
                <w:lang w:eastAsia="pl-PL"/>
              </w:rPr>
            </w:pPr>
            <w:r>
              <w:rPr>
                <w:rFonts w:ascii="Fira Sans" w:eastAsia="Times New Roman" w:hAnsi="Fira Sans" w:cs="Arial"/>
                <w:color w:val="000000"/>
                <w:sz w:val="16"/>
                <w:szCs w:val="16"/>
                <w:lang w:eastAsia="pl-PL"/>
              </w:rPr>
              <w:t>Poultry</w:t>
            </w:r>
          </w:p>
        </w:tc>
        <w:tc>
          <w:tcPr>
            <w:tcW w:w="980" w:type="dxa"/>
            <w:tcBorders>
              <w:top w:val="single" w:sz="4" w:space="0" w:color="001D77"/>
              <w:left w:val="single" w:sz="4" w:space="0" w:color="001D77"/>
              <w:bottom w:val="single" w:sz="4" w:space="0" w:color="001D77"/>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3</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80</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7</w:t>
            </w:r>
          </w:p>
        </w:tc>
        <w:tc>
          <w:tcPr>
            <w:tcW w:w="980" w:type="dxa"/>
            <w:tcBorders>
              <w:top w:val="single" w:sz="4" w:space="0" w:color="001D77"/>
              <w:left w:val="nil"/>
              <w:bottom w:val="single" w:sz="4" w:space="0" w:color="001D77"/>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10</w:t>
            </w:r>
            <w:r>
              <w:rPr>
                <w:rFonts w:ascii="Fira Sans" w:eastAsia="Times New Roman" w:hAnsi="Fira Sans" w:cs="Arial"/>
                <w:sz w:val="16"/>
                <w:szCs w:val="16"/>
                <w:lang w:eastAsia="pl-PL"/>
              </w:rPr>
              <w:t>1</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4</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c>
          <w:tcPr>
            <w:tcW w:w="980" w:type="dxa"/>
            <w:tcBorders>
              <w:top w:val="single" w:sz="4" w:space="0" w:color="001D77"/>
              <w:left w:val="nil"/>
              <w:bottom w:val="single" w:sz="4" w:space="0" w:color="001D77"/>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c>
          <w:tcPr>
            <w:tcW w:w="980" w:type="dxa"/>
            <w:tcBorders>
              <w:top w:val="single" w:sz="4" w:space="0" w:color="001D77"/>
              <w:left w:val="nil"/>
              <w:bottom w:val="single" w:sz="4" w:space="0" w:color="001D77"/>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r>
      <w:tr w:rsidR="003141B0" w:rsidRPr="004656E0" w:rsidTr="004D1B0A">
        <w:trPr>
          <w:trHeight w:val="285"/>
        </w:trPr>
        <w:tc>
          <w:tcPr>
            <w:tcW w:w="2000" w:type="dxa"/>
            <w:tcBorders>
              <w:top w:val="nil"/>
              <w:left w:val="nil"/>
              <w:bottom w:val="nil"/>
              <w:right w:val="nil"/>
            </w:tcBorders>
            <w:shd w:val="clear" w:color="auto" w:fill="auto"/>
            <w:vAlign w:val="bottom"/>
            <w:hideMark/>
          </w:tcPr>
          <w:p w:rsidR="003141B0" w:rsidRPr="004656E0" w:rsidRDefault="003141B0" w:rsidP="00836F81">
            <w:pPr>
              <w:spacing w:after="0" w:line="240" w:lineRule="auto"/>
              <w:rPr>
                <w:rFonts w:ascii="Fira Sans" w:eastAsia="Times New Roman" w:hAnsi="Fira Sans" w:cs="Arial"/>
                <w:b/>
                <w:bCs/>
                <w:color w:val="000000"/>
                <w:sz w:val="16"/>
                <w:szCs w:val="16"/>
                <w:lang w:eastAsia="pl-PL"/>
              </w:rPr>
            </w:pPr>
            <w:r>
              <w:rPr>
                <w:rFonts w:ascii="Fira Sans" w:eastAsia="Times New Roman" w:hAnsi="Fira Sans" w:cs="Arial"/>
                <w:b/>
                <w:bCs/>
                <w:color w:val="000000"/>
                <w:sz w:val="16"/>
                <w:szCs w:val="16"/>
                <w:lang w:eastAsia="pl-PL"/>
              </w:rPr>
              <w:t>Cows’ milk</w:t>
            </w:r>
            <w:r w:rsidRPr="004656E0">
              <w:rPr>
                <w:rFonts w:ascii="Fira Sans" w:eastAsia="Times New Roman" w:hAnsi="Fira Sans" w:cs="Arial"/>
                <w:color w:val="000000"/>
                <w:sz w:val="16"/>
                <w:szCs w:val="16"/>
                <w:lang w:eastAsia="pl-PL"/>
              </w:rPr>
              <w:t xml:space="preserve"> – </w:t>
            </w:r>
            <w:r>
              <w:rPr>
                <w:rFonts w:ascii="Fira Sans" w:eastAsia="Times New Roman" w:hAnsi="Fira Sans" w:cs="Arial"/>
                <w:color w:val="000000"/>
                <w:sz w:val="16"/>
                <w:szCs w:val="16"/>
                <w:lang w:eastAsia="pl-PL"/>
              </w:rPr>
              <w:t>per</w:t>
            </w:r>
            <w:r w:rsidRPr="004656E0">
              <w:rPr>
                <w:rFonts w:ascii="Fira Sans" w:eastAsia="Times New Roman" w:hAnsi="Fira Sans" w:cs="Arial"/>
                <w:color w:val="000000"/>
                <w:sz w:val="16"/>
                <w:szCs w:val="16"/>
                <w:lang w:eastAsia="pl-PL"/>
              </w:rPr>
              <w:t xml:space="preserve"> 1 hl</w:t>
            </w:r>
          </w:p>
        </w:tc>
        <w:tc>
          <w:tcPr>
            <w:tcW w:w="980" w:type="dxa"/>
            <w:tcBorders>
              <w:top w:val="nil"/>
              <w:left w:val="single" w:sz="4" w:space="0" w:color="001D77"/>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sidRPr="00713390">
              <w:rPr>
                <w:rFonts w:ascii="Fira Sans" w:eastAsia="Times New Roman" w:hAnsi="Fira Sans" w:cs="Arial"/>
                <w:sz w:val="16"/>
                <w:szCs w:val="16"/>
                <w:lang w:eastAsia="pl-PL"/>
              </w:rPr>
              <w:t>137</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38</w:t>
            </w:r>
          </w:p>
        </w:tc>
        <w:tc>
          <w:tcPr>
            <w:tcW w:w="980" w:type="dxa"/>
            <w:tcBorders>
              <w:top w:val="nil"/>
              <w:left w:val="nil"/>
              <w:bottom w:val="nil"/>
              <w:right w:val="single" w:sz="4"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100</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1</w:t>
            </w:r>
          </w:p>
        </w:tc>
        <w:tc>
          <w:tcPr>
            <w:tcW w:w="980" w:type="dxa"/>
            <w:tcBorders>
              <w:top w:val="nil"/>
              <w:left w:val="nil"/>
              <w:bottom w:val="nil"/>
              <w:right w:val="single" w:sz="8" w:space="0" w:color="001D77"/>
            </w:tcBorders>
            <w:shd w:val="clear" w:color="auto" w:fill="auto"/>
            <w:vAlign w:val="bottom"/>
            <w:hideMark/>
          </w:tcPr>
          <w:p w:rsidR="003141B0" w:rsidRPr="00713390" w:rsidRDefault="003141B0" w:rsidP="00432454">
            <w:pPr>
              <w:spacing w:after="0" w:line="240" w:lineRule="auto"/>
              <w:jc w:val="right"/>
              <w:rPr>
                <w:rFonts w:ascii="Fira Sans" w:eastAsia="Times New Roman" w:hAnsi="Fira Sans" w:cs="Arial"/>
                <w:sz w:val="16"/>
                <w:szCs w:val="16"/>
                <w:lang w:eastAsia="pl-PL"/>
              </w:rPr>
            </w:pPr>
            <w:r>
              <w:rPr>
                <w:rFonts w:ascii="Fira Sans" w:eastAsia="Times New Roman" w:hAnsi="Fira Sans" w:cs="Arial"/>
                <w:sz w:val="16"/>
                <w:szCs w:val="16"/>
                <w:lang w:eastAsia="pl-PL"/>
              </w:rPr>
              <w:t>99</w:t>
            </w:r>
            <w:r w:rsidR="0038221B">
              <w:rPr>
                <w:rFonts w:ascii="Fira Sans" w:eastAsia="Times New Roman" w:hAnsi="Fira Sans" w:cs="Arial"/>
                <w:sz w:val="16"/>
                <w:szCs w:val="16"/>
                <w:lang w:eastAsia="pl-PL"/>
              </w:rPr>
              <w:t>.</w:t>
            </w:r>
            <w:r>
              <w:rPr>
                <w:rFonts w:ascii="Fira Sans" w:eastAsia="Times New Roman" w:hAnsi="Fira Sans" w:cs="Arial"/>
                <w:sz w:val="16"/>
                <w:szCs w:val="16"/>
                <w:lang w:eastAsia="pl-PL"/>
              </w:rPr>
              <w:t>5</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c>
          <w:tcPr>
            <w:tcW w:w="980" w:type="dxa"/>
            <w:tcBorders>
              <w:top w:val="nil"/>
              <w:left w:val="nil"/>
              <w:bottom w:val="nil"/>
              <w:right w:val="single" w:sz="4" w:space="0" w:color="001D77"/>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c>
          <w:tcPr>
            <w:tcW w:w="980" w:type="dxa"/>
            <w:tcBorders>
              <w:top w:val="nil"/>
              <w:left w:val="nil"/>
              <w:bottom w:val="nil"/>
              <w:right w:val="nil"/>
            </w:tcBorders>
            <w:shd w:val="clear" w:color="auto" w:fill="auto"/>
            <w:vAlign w:val="bottom"/>
            <w:hideMark/>
          </w:tcPr>
          <w:p w:rsidR="003141B0" w:rsidRPr="004656E0" w:rsidRDefault="003141B0" w:rsidP="00432454">
            <w:pPr>
              <w:spacing w:after="0" w:line="240" w:lineRule="auto"/>
              <w:jc w:val="right"/>
              <w:rPr>
                <w:rFonts w:ascii="Fira Sans" w:eastAsia="Times New Roman" w:hAnsi="Fira Sans" w:cs="Arial"/>
                <w:sz w:val="16"/>
                <w:szCs w:val="16"/>
                <w:lang w:eastAsia="pl-PL"/>
              </w:rPr>
            </w:pPr>
            <w:r w:rsidRPr="004656E0">
              <w:rPr>
                <w:rFonts w:ascii="Fira Sans" w:eastAsia="Times New Roman" w:hAnsi="Fira Sans" w:cs="Arial"/>
                <w:sz w:val="16"/>
                <w:szCs w:val="16"/>
                <w:lang w:eastAsia="pl-PL"/>
              </w:rPr>
              <w:t>.</w:t>
            </w:r>
          </w:p>
        </w:tc>
      </w:tr>
    </w:tbl>
    <w:p w:rsidR="004D76BC" w:rsidRDefault="004D76BC" w:rsidP="004D76BC">
      <w:pPr>
        <w:pStyle w:val="Default"/>
        <w:rPr>
          <w:rFonts w:ascii="Fira Sans" w:hAnsi="Fira Sans"/>
          <w:spacing w:val="-4"/>
          <w:sz w:val="16"/>
          <w:szCs w:val="16"/>
        </w:rPr>
      </w:pPr>
    </w:p>
    <w:p w:rsidR="0034324D" w:rsidRPr="000F45BD" w:rsidRDefault="0034324D" w:rsidP="006035C3">
      <w:pPr>
        <w:pStyle w:val="Default"/>
        <w:spacing w:before="120"/>
        <w:rPr>
          <w:rFonts w:ascii="Fira Sans" w:hAnsi="Fira Sans"/>
          <w:spacing w:val="-4"/>
          <w:sz w:val="16"/>
          <w:szCs w:val="16"/>
          <w:lang w:val="en-US"/>
        </w:rPr>
      </w:pPr>
      <w:r w:rsidRPr="000F45BD">
        <w:rPr>
          <w:rFonts w:ascii="Fira Sans" w:hAnsi="Fira Sans"/>
          <w:spacing w:val="-4"/>
          <w:sz w:val="16"/>
          <w:szCs w:val="16"/>
          <w:lang w:val="en-US"/>
        </w:rPr>
        <w:t>Data on procurement prices were calculated on the basis of information on value and quantity of procurement by legal persons and independent organizational enti</w:t>
      </w:r>
      <w:r w:rsidR="00290103" w:rsidRPr="000F45BD">
        <w:rPr>
          <w:rFonts w:ascii="Fira Sans" w:hAnsi="Fira Sans"/>
          <w:spacing w:val="-4"/>
          <w:sz w:val="16"/>
          <w:szCs w:val="16"/>
          <w:lang w:val="en-US"/>
        </w:rPr>
        <w:t>ti</w:t>
      </w:r>
      <w:r w:rsidRPr="000F45BD">
        <w:rPr>
          <w:rFonts w:ascii="Fira Sans" w:hAnsi="Fira Sans"/>
          <w:spacing w:val="-4"/>
          <w:sz w:val="16"/>
          <w:szCs w:val="16"/>
          <w:lang w:val="en-US"/>
        </w:rPr>
        <w:t>es without legal personality (without natural persons).</w:t>
      </w:r>
    </w:p>
    <w:p w:rsidR="0034324D" w:rsidRPr="000F45BD" w:rsidRDefault="0034324D" w:rsidP="0034324D">
      <w:pPr>
        <w:pStyle w:val="Default"/>
        <w:rPr>
          <w:rFonts w:ascii="Fira Sans" w:hAnsi="Fira Sans"/>
          <w:spacing w:val="-4"/>
          <w:sz w:val="16"/>
          <w:szCs w:val="16"/>
          <w:lang w:val="en-US"/>
        </w:rPr>
      </w:pPr>
      <w:r w:rsidRPr="000F45BD">
        <w:rPr>
          <w:rFonts w:ascii="Fira Sans" w:hAnsi="Fira Sans"/>
          <w:spacing w:val="-4"/>
          <w:sz w:val="16"/>
          <w:szCs w:val="16"/>
          <w:lang w:val="en-US"/>
        </w:rPr>
        <w:t>Indices of procurement prices and prices received by farmers on marketplaces were  calculated on the basis of absolute data expressed with more precision than In the tables.</w:t>
      </w:r>
    </w:p>
    <w:p w:rsidR="004D76BC" w:rsidRPr="000F45BD" w:rsidRDefault="004D76BC" w:rsidP="004D76BC">
      <w:pPr>
        <w:pStyle w:val="Default"/>
        <w:spacing w:after="120" w:line="240" w:lineRule="exact"/>
        <w:rPr>
          <w:rFonts w:ascii="Fira Sans" w:hAnsi="Fira Sans"/>
          <w:spacing w:val="-4"/>
          <w:sz w:val="19"/>
          <w:szCs w:val="19"/>
          <w:lang w:val="en-US"/>
        </w:rPr>
      </w:pPr>
    </w:p>
    <w:p w:rsidR="006836BF" w:rsidRPr="00374C3C" w:rsidRDefault="006836BF" w:rsidP="00A4161F">
      <w:pPr>
        <w:spacing w:before="240" w:after="120" w:line="240" w:lineRule="auto"/>
        <w:rPr>
          <w:rFonts w:ascii="Fira Sans SemiBold" w:hAnsi="Fira Sans SemiBold"/>
          <w:color w:val="001D77"/>
          <w:sz w:val="19"/>
          <w:szCs w:val="18"/>
          <w:lang w:val="en-US"/>
        </w:rPr>
      </w:pPr>
      <w:r w:rsidRPr="00374C3C">
        <w:rPr>
          <w:rFonts w:ascii="Fira Sans SemiBold" w:hAnsi="Fira Sans SemiBold"/>
          <w:color w:val="001D77"/>
          <w:sz w:val="19"/>
          <w:szCs w:val="18"/>
          <w:lang w:val="en-US"/>
        </w:rPr>
        <w:t>Prices of major agricultural products in February 2020</w:t>
      </w:r>
    </w:p>
    <w:p w:rsidR="0051442B" w:rsidRPr="00661C39" w:rsidRDefault="0051442B" w:rsidP="0051442B">
      <w:pPr>
        <w:spacing w:before="120" w:after="120" w:line="240" w:lineRule="exact"/>
        <w:rPr>
          <w:rFonts w:ascii="Fira Sans" w:hAnsi="Fira Sans"/>
          <w:sz w:val="19"/>
          <w:szCs w:val="18"/>
          <w:lang w:val="en-US"/>
        </w:rPr>
      </w:pPr>
      <w:r w:rsidRPr="00661C39">
        <w:rPr>
          <w:rFonts w:ascii="Fira Sans" w:hAnsi="Fira Sans"/>
          <w:sz w:val="19"/>
          <w:szCs w:val="18"/>
          <w:lang w:val="en-US"/>
        </w:rPr>
        <w:t>73.7</w:t>
      </w:r>
      <w:r w:rsidR="00541023" w:rsidRPr="00661C39">
        <w:rPr>
          <w:rFonts w:ascii="Fira Sans" w:hAnsi="Fira Sans"/>
          <w:sz w:val="19"/>
          <w:szCs w:val="18"/>
          <w:lang w:val="en-US"/>
        </w:rPr>
        <w:t>1 PL</w:t>
      </w:r>
      <w:r w:rsidRPr="00661C39">
        <w:rPr>
          <w:rFonts w:ascii="Fira Sans" w:hAnsi="Fira Sans"/>
          <w:sz w:val="19"/>
          <w:szCs w:val="18"/>
          <w:lang w:val="en-US"/>
        </w:rPr>
        <w:t>/</w:t>
      </w:r>
      <w:proofErr w:type="spellStart"/>
      <w:r w:rsidRPr="00661C39">
        <w:rPr>
          <w:rFonts w:ascii="Fira Sans" w:hAnsi="Fira Sans"/>
          <w:sz w:val="19"/>
          <w:szCs w:val="18"/>
          <w:lang w:val="en-US"/>
        </w:rPr>
        <w:t>dt</w:t>
      </w:r>
      <w:proofErr w:type="spellEnd"/>
      <w:r w:rsidRPr="00661C39">
        <w:rPr>
          <w:rFonts w:ascii="Fira Sans" w:hAnsi="Fira Sans"/>
          <w:sz w:val="19"/>
          <w:szCs w:val="18"/>
          <w:lang w:val="en-US"/>
        </w:rPr>
        <w:t xml:space="preserve"> were paid for </w:t>
      </w:r>
      <w:r w:rsidRPr="00661C39">
        <w:rPr>
          <w:rFonts w:ascii="Fira Sans" w:hAnsi="Fira Sans"/>
          <w:b/>
          <w:sz w:val="19"/>
          <w:szCs w:val="18"/>
          <w:lang w:val="en-US"/>
        </w:rPr>
        <w:t>wheat</w:t>
      </w:r>
      <w:r w:rsidRPr="00661C39">
        <w:rPr>
          <w:rFonts w:ascii="Fira Sans" w:hAnsi="Fira Sans"/>
          <w:sz w:val="19"/>
          <w:szCs w:val="18"/>
          <w:lang w:val="en-US"/>
        </w:rPr>
        <w:t xml:space="preserve"> in procurement i.e. more by 2.1% than a month ago, and in marketplaces transa</w:t>
      </w:r>
      <w:r w:rsidR="00661C39">
        <w:rPr>
          <w:rFonts w:ascii="Fira Sans" w:hAnsi="Fira Sans"/>
          <w:sz w:val="19"/>
          <w:szCs w:val="18"/>
          <w:lang w:val="en-US"/>
        </w:rPr>
        <w:t>c</w:t>
      </w:r>
      <w:r w:rsidRPr="00661C39">
        <w:rPr>
          <w:rFonts w:ascii="Fira Sans" w:hAnsi="Fira Sans"/>
          <w:sz w:val="19"/>
          <w:szCs w:val="18"/>
          <w:lang w:val="en-US"/>
        </w:rPr>
        <w:t>tions the price was similar to the recording of the previous month and amounted to 87.32 PLN/</w:t>
      </w:r>
      <w:proofErr w:type="spellStart"/>
      <w:r w:rsidRPr="00661C39">
        <w:rPr>
          <w:rFonts w:ascii="Fira Sans" w:hAnsi="Fira Sans"/>
          <w:sz w:val="19"/>
          <w:szCs w:val="18"/>
          <w:lang w:val="en-US"/>
        </w:rPr>
        <w:t>dt</w:t>
      </w:r>
      <w:proofErr w:type="spellEnd"/>
      <w:r w:rsidRPr="00661C39">
        <w:rPr>
          <w:rFonts w:ascii="Fira Sans" w:hAnsi="Fira Sans"/>
          <w:sz w:val="19"/>
          <w:szCs w:val="18"/>
          <w:lang w:val="en-US"/>
        </w:rPr>
        <w:t>.</w:t>
      </w:r>
    </w:p>
    <w:p w:rsidR="0051442B" w:rsidRPr="00661C39" w:rsidRDefault="0051442B" w:rsidP="0051442B">
      <w:pPr>
        <w:spacing w:before="120" w:after="120" w:line="240" w:lineRule="exact"/>
        <w:rPr>
          <w:rFonts w:ascii="Fira Sans" w:hAnsi="Fira Sans"/>
          <w:sz w:val="19"/>
          <w:szCs w:val="18"/>
          <w:lang w:val="en-US"/>
        </w:rPr>
      </w:pPr>
      <w:r w:rsidRPr="00661C39">
        <w:rPr>
          <w:rFonts w:ascii="Fira Sans" w:hAnsi="Fira Sans"/>
          <w:b/>
          <w:sz w:val="19"/>
          <w:szCs w:val="18"/>
          <w:lang w:val="en-US"/>
        </w:rPr>
        <w:t>Rye</w:t>
      </w:r>
      <w:r w:rsidRPr="00661C39">
        <w:rPr>
          <w:rFonts w:ascii="Fira Sans" w:hAnsi="Fira Sans"/>
          <w:sz w:val="19"/>
          <w:szCs w:val="18"/>
          <w:lang w:val="en-US"/>
        </w:rPr>
        <w:t xml:space="preserve"> prices both in procurement and on marketplaces fell respectively by 5.8% (PLN 55.68/</w:t>
      </w:r>
      <w:proofErr w:type="spellStart"/>
      <w:r w:rsidRPr="00661C39">
        <w:rPr>
          <w:rFonts w:ascii="Fira Sans" w:hAnsi="Fira Sans"/>
          <w:sz w:val="19"/>
          <w:szCs w:val="18"/>
          <w:lang w:val="en-US"/>
        </w:rPr>
        <w:t>dt</w:t>
      </w:r>
      <w:proofErr w:type="spellEnd"/>
      <w:r w:rsidRPr="00661C39">
        <w:rPr>
          <w:rFonts w:ascii="Fira Sans" w:hAnsi="Fira Sans"/>
          <w:sz w:val="19"/>
          <w:szCs w:val="18"/>
          <w:lang w:val="en-US"/>
        </w:rPr>
        <w:t>) and by 1.3% (PLN 68.72/</w:t>
      </w:r>
      <w:proofErr w:type="spellStart"/>
      <w:r w:rsidRPr="00661C39">
        <w:rPr>
          <w:rFonts w:ascii="Fira Sans" w:hAnsi="Fira Sans"/>
          <w:sz w:val="19"/>
          <w:szCs w:val="18"/>
          <w:lang w:val="en-US"/>
        </w:rPr>
        <w:t>dt</w:t>
      </w:r>
      <w:proofErr w:type="spellEnd"/>
      <w:r w:rsidRPr="00661C39">
        <w:rPr>
          <w:rFonts w:ascii="Fira Sans" w:hAnsi="Fira Sans"/>
          <w:sz w:val="19"/>
          <w:szCs w:val="18"/>
          <w:lang w:val="en-US"/>
        </w:rPr>
        <w:t xml:space="preserve">). </w:t>
      </w:r>
    </w:p>
    <w:p w:rsidR="0051442B" w:rsidRPr="00661C39" w:rsidRDefault="0051442B" w:rsidP="0051442B">
      <w:pPr>
        <w:spacing w:before="120" w:after="120" w:line="240" w:lineRule="exact"/>
        <w:rPr>
          <w:rFonts w:ascii="Fira Sans" w:hAnsi="Fira Sans"/>
          <w:sz w:val="19"/>
          <w:lang w:val="en-US"/>
        </w:rPr>
      </w:pPr>
      <w:r w:rsidRPr="00661C39">
        <w:rPr>
          <w:rFonts w:ascii="Fira Sans" w:hAnsi="Fira Sans"/>
          <w:sz w:val="19"/>
          <w:lang w:val="en-US"/>
        </w:rPr>
        <w:t xml:space="preserve">In February this year for </w:t>
      </w:r>
      <w:r w:rsidRPr="00661C39">
        <w:rPr>
          <w:rFonts w:ascii="Fira Sans" w:hAnsi="Fira Sans"/>
          <w:b/>
          <w:sz w:val="19"/>
          <w:lang w:val="en-US"/>
        </w:rPr>
        <w:t>potatoes</w:t>
      </w:r>
      <w:r w:rsidRPr="00661C39">
        <w:rPr>
          <w:rFonts w:ascii="Fira Sans" w:hAnsi="Fira Sans"/>
          <w:sz w:val="19"/>
          <w:lang w:val="en-US"/>
        </w:rPr>
        <w:t xml:space="preserve"> in procurement was paid on average, 82.61 PLN/</w:t>
      </w:r>
      <w:proofErr w:type="spellStart"/>
      <w:r w:rsidRPr="00661C39">
        <w:rPr>
          <w:rFonts w:ascii="Fira Sans" w:hAnsi="Fira Sans"/>
          <w:sz w:val="19"/>
          <w:lang w:val="en-US"/>
        </w:rPr>
        <w:t>dt</w:t>
      </w:r>
      <w:proofErr w:type="spellEnd"/>
      <w:r w:rsidRPr="00661C39">
        <w:rPr>
          <w:rFonts w:ascii="Fira Sans" w:hAnsi="Fira Sans"/>
          <w:sz w:val="19"/>
          <w:lang w:val="en-US"/>
        </w:rPr>
        <w:t>, i.e. by 2.8% more than in the previous month. However, the price dropped by 0.8% on marketplaces and amounted to PLN 203.81/</w:t>
      </w:r>
      <w:proofErr w:type="spellStart"/>
      <w:r w:rsidRPr="00661C39">
        <w:rPr>
          <w:rFonts w:ascii="Fira Sans" w:hAnsi="Fira Sans"/>
          <w:sz w:val="19"/>
          <w:lang w:val="en-US"/>
        </w:rPr>
        <w:t>dt</w:t>
      </w:r>
      <w:proofErr w:type="spellEnd"/>
      <w:r w:rsidRPr="00661C39">
        <w:rPr>
          <w:rFonts w:ascii="Fira Sans" w:hAnsi="Fira Sans"/>
          <w:sz w:val="19"/>
          <w:lang w:val="en-US"/>
        </w:rPr>
        <w:t>.</w:t>
      </w:r>
    </w:p>
    <w:p w:rsidR="0051442B" w:rsidRPr="00661C39" w:rsidRDefault="00C47A6B" w:rsidP="0051442B">
      <w:pPr>
        <w:spacing w:before="120" w:after="120" w:line="240" w:lineRule="exact"/>
        <w:rPr>
          <w:rFonts w:ascii="Fira Sans" w:hAnsi="Fira Sans"/>
          <w:sz w:val="19"/>
          <w:lang w:val="en-US"/>
        </w:rPr>
      </w:pPr>
      <w:r w:rsidRPr="00C47A6B">
        <w:rPr>
          <w:noProof/>
        </w:rPr>
        <w:pict>
          <v:shape id="_x0000_s1067" type="#_x0000_t202" style="position:absolute;margin-left:417.8pt;margin-top:1.9pt;width:108.7pt;height:93.25pt;z-index:-25148620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" filled="f" stroked="f">
            <v:textbox>
              <w:txbxContent>
                <w:p w:rsidR="0051442B" w:rsidRPr="00661C39" w:rsidRDefault="0051442B" w:rsidP="003956B3">
                  <w:pPr>
                    <w:spacing w:after="0" w:line="240" w:lineRule="exact"/>
                    <w:rPr>
                      <w:color w:val="001D77"/>
                      <w:sz w:val="18"/>
                      <w:szCs w:val="18"/>
                      <w:lang w:val="en-US"/>
                    </w:rPr>
                  </w:pPr>
                  <w:r w:rsidRPr="00661C39">
                    <w:rPr>
                      <w:rFonts w:ascii="Fira Sans" w:hAnsi="Fira Sans"/>
                      <w:color w:val="001D77"/>
                      <w:sz w:val="18"/>
                      <w:szCs w:val="18"/>
                      <w:lang w:val="en-US"/>
                    </w:rPr>
                    <w:t>On a monthly basis, the increase in pr</w:t>
                  </w:r>
                  <w:r w:rsidRPr="00661C39">
                    <w:rPr>
                      <w:rFonts w:ascii="Fira Sans" w:hAnsi="Fira Sans"/>
                      <w:color w:val="001D77"/>
                      <w:sz w:val="18"/>
                      <w:szCs w:val="18"/>
                      <w:lang w:val="en-US"/>
                    </w:rPr>
                    <w:t>o</w:t>
                  </w:r>
                  <w:r w:rsidRPr="00661C39">
                    <w:rPr>
                      <w:rFonts w:ascii="Fira Sans" w:hAnsi="Fira Sans"/>
                      <w:color w:val="001D77"/>
                      <w:sz w:val="18"/>
                      <w:szCs w:val="18"/>
                      <w:lang w:val="en-US"/>
                    </w:rPr>
                    <w:t>curement prices of  pigs  for slaughter was recorded (by 5.1%) and       the decrease - on marketplaces (by 1.9%)</w:t>
                  </w:r>
                </w:p>
              </w:txbxContent>
            </v:textbox>
            <w10:wrap type="tight"/>
          </v:shape>
        </w:pict>
      </w:r>
      <w:r w:rsidR="0051442B" w:rsidRPr="00661C39">
        <w:rPr>
          <w:rFonts w:ascii="Fira Sans" w:hAnsi="Fira Sans"/>
          <w:sz w:val="19"/>
          <w:lang w:val="en-US"/>
        </w:rPr>
        <w:t xml:space="preserve">On a monthly basis, procurement prices of </w:t>
      </w:r>
      <w:r w:rsidR="0051442B" w:rsidRPr="00661C39">
        <w:rPr>
          <w:rFonts w:ascii="Fira Sans" w:hAnsi="Fira Sans"/>
          <w:b/>
          <w:sz w:val="19"/>
          <w:lang w:val="en-US"/>
        </w:rPr>
        <w:t>cattle for slaughter</w:t>
      </w:r>
      <w:r w:rsidR="0051442B" w:rsidRPr="00661C39">
        <w:rPr>
          <w:rFonts w:ascii="Fira Sans" w:hAnsi="Fira Sans"/>
          <w:sz w:val="19"/>
          <w:lang w:val="en-US"/>
        </w:rPr>
        <w:t xml:space="preserve"> (PLN 6.49PLN/kg) increased by 0.8%. Prices of this cattle (6.78 PLN/kg) on marketplaces were by 0.7% lower than in Jan</w:t>
      </w:r>
      <w:r w:rsidR="0051442B" w:rsidRPr="00661C39">
        <w:rPr>
          <w:rFonts w:ascii="Fira Sans" w:hAnsi="Fira Sans"/>
          <w:sz w:val="19"/>
          <w:lang w:val="en-US"/>
        </w:rPr>
        <w:t>u</w:t>
      </w:r>
      <w:r w:rsidR="0051442B" w:rsidRPr="00661C39">
        <w:rPr>
          <w:rFonts w:ascii="Fira Sans" w:hAnsi="Fira Sans"/>
          <w:sz w:val="19"/>
          <w:lang w:val="en-US"/>
        </w:rPr>
        <w:t>ary this year.</w:t>
      </w:r>
    </w:p>
    <w:p w:rsidR="0051442B" w:rsidRPr="00661C39" w:rsidRDefault="0051442B" w:rsidP="0051442B">
      <w:pPr>
        <w:spacing w:before="120" w:after="120" w:line="240" w:lineRule="exact"/>
        <w:rPr>
          <w:rFonts w:ascii="Fira Sans" w:hAnsi="Fira Sans"/>
          <w:sz w:val="19"/>
          <w:lang w:val="en-US"/>
        </w:rPr>
      </w:pPr>
      <w:r w:rsidRPr="00661C39">
        <w:rPr>
          <w:rFonts w:ascii="Fira Sans" w:hAnsi="Fira Sans"/>
          <w:sz w:val="19"/>
          <w:lang w:val="en-US"/>
        </w:rPr>
        <w:t xml:space="preserve">The prices of </w:t>
      </w:r>
      <w:r w:rsidRPr="00661C39">
        <w:rPr>
          <w:rFonts w:ascii="Fira Sans" w:hAnsi="Fira Sans"/>
          <w:b/>
          <w:sz w:val="19"/>
          <w:lang w:val="en-US"/>
        </w:rPr>
        <w:t>pigs for slaughter</w:t>
      </w:r>
      <w:r w:rsidRPr="00661C39">
        <w:rPr>
          <w:rFonts w:ascii="Fira Sans" w:hAnsi="Fira Sans"/>
          <w:sz w:val="19"/>
          <w:lang w:val="en-US"/>
        </w:rPr>
        <w:t xml:space="preserve"> in procurement in February 2020 were at the level of PLN 6.27/kg and were higher by 5.1% than a month before. On marketplaces, PLN 6.14 was paid for 1 kg of livestock. i.e. 1.9% less compared to the previous month.</w:t>
      </w:r>
    </w:p>
    <w:p w:rsidR="0051442B" w:rsidRPr="00661C39" w:rsidRDefault="0051442B" w:rsidP="0051442B">
      <w:pPr>
        <w:spacing w:before="120" w:after="120" w:line="240" w:lineRule="exact"/>
        <w:rPr>
          <w:rFonts w:ascii="Fira Sans" w:hAnsi="Fira Sans"/>
          <w:sz w:val="19"/>
          <w:lang w:val="en-US"/>
        </w:rPr>
      </w:pPr>
      <w:r w:rsidRPr="00661C39">
        <w:rPr>
          <w:rFonts w:ascii="Fira Sans" w:hAnsi="Fira Sans"/>
          <w:sz w:val="19"/>
          <w:lang w:val="en-US"/>
        </w:rPr>
        <w:t xml:space="preserve">In February 2020, procurement prices of </w:t>
      </w:r>
      <w:r w:rsidRPr="00661C39">
        <w:rPr>
          <w:rFonts w:ascii="Fira Sans" w:hAnsi="Fira Sans"/>
          <w:b/>
          <w:sz w:val="19"/>
          <w:lang w:val="en-US"/>
        </w:rPr>
        <w:t>poultry</w:t>
      </w:r>
      <w:r w:rsidRPr="00661C39">
        <w:rPr>
          <w:rFonts w:ascii="Fira Sans" w:hAnsi="Fira Sans"/>
          <w:sz w:val="19"/>
          <w:lang w:val="en-US"/>
        </w:rPr>
        <w:t xml:space="preserve"> (3.80 PLN/kg) increased by 0.7% compared to the previous month.</w:t>
      </w:r>
    </w:p>
    <w:p w:rsidR="0051442B" w:rsidRPr="00661C39" w:rsidRDefault="0051442B" w:rsidP="0051442B">
      <w:pPr>
        <w:spacing w:before="120" w:after="120" w:line="240" w:lineRule="exact"/>
        <w:rPr>
          <w:rFonts w:ascii="Fira Sans" w:hAnsi="Fira Sans"/>
          <w:sz w:val="19"/>
          <w:lang w:val="en-US"/>
        </w:rPr>
      </w:pPr>
      <w:r w:rsidRPr="00661C39">
        <w:rPr>
          <w:rFonts w:ascii="Fira Sans" w:hAnsi="Fira Sans"/>
          <w:sz w:val="19"/>
          <w:lang w:val="en-US"/>
        </w:rPr>
        <w:t xml:space="preserve">137.38 PLN was paid in procurement for 1 hl of </w:t>
      </w:r>
      <w:r w:rsidRPr="00661C39">
        <w:rPr>
          <w:rFonts w:ascii="Fira Sans" w:hAnsi="Fira Sans"/>
          <w:b/>
          <w:sz w:val="19"/>
          <w:lang w:val="en-US"/>
        </w:rPr>
        <w:t xml:space="preserve">milk </w:t>
      </w:r>
      <w:r w:rsidRPr="00661C39">
        <w:rPr>
          <w:rFonts w:ascii="Fira Sans" w:hAnsi="Fira Sans"/>
          <w:sz w:val="19"/>
          <w:lang w:val="en-US"/>
        </w:rPr>
        <w:t>i.e. by 0.1% more than in January of this year.</w:t>
      </w:r>
    </w:p>
    <w:p w:rsidR="00EA7714" w:rsidRDefault="00EA7714" w:rsidP="00196339">
      <w:pPr>
        <w:spacing w:before="120" w:after="120" w:line="240" w:lineRule="exact"/>
        <w:rPr>
          <w:rFonts w:ascii="Fira Sans" w:hAnsi="Fira Sans"/>
          <w:color w:val="FF0000"/>
          <w:sz w:val="19"/>
          <w:lang w:val="en-US"/>
        </w:rPr>
      </w:pPr>
    </w:p>
    <w:p w:rsidR="00AB7F1C" w:rsidRPr="00661C39" w:rsidRDefault="00AB7F1C" w:rsidP="00AB7F1C">
      <w:pPr>
        <w:spacing w:before="120" w:after="120" w:line="240" w:lineRule="exact"/>
        <w:rPr>
          <w:rFonts w:ascii="Fira Sans" w:hAnsi="Fira Sans"/>
          <w:sz w:val="19"/>
          <w:lang w:val="en-US"/>
        </w:rPr>
      </w:pPr>
      <w:r w:rsidRPr="00661C39">
        <w:rPr>
          <w:rFonts w:ascii="Fira Sans" w:hAnsi="Fira Sans"/>
          <w:sz w:val="19"/>
          <w:lang w:val="en-US"/>
        </w:rPr>
        <w:lastRenderedPageBreak/>
        <w:t xml:space="preserve">Annual procurement prices of </w:t>
      </w:r>
      <w:r w:rsidRPr="00661C39">
        <w:rPr>
          <w:rFonts w:ascii="Fira Sans" w:hAnsi="Fira Sans"/>
          <w:b/>
          <w:sz w:val="19"/>
          <w:lang w:val="en-US"/>
        </w:rPr>
        <w:t>wheat</w:t>
      </w:r>
      <w:r w:rsidRPr="00661C39">
        <w:rPr>
          <w:rFonts w:ascii="Fira Sans" w:hAnsi="Fira Sans"/>
          <w:sz w:val="19"/>
          <w:lang w:val="en-US"/>
        </w:rPr>
        <w:t xml:space="preserve"> were lower by 12.0% and by 7.3% lower in marketplace transactions.</w:t>
      </w:r>
    </w:p>
    <w:p w:rsidR="00AB7F1C" w:rsidRPr="00661C39" w:rsidRDefault="00AB7F1C" w:rsidP="00AB7F1C">
      <w:pPr>
        <w:spacing w:before="120" w:after="120" w:line="240" w:lineRule="exact"/>
        <w:rPr>
          <w:rFonts w:ascii="Fira Sans" w:hAnsi="Fira Sans"/>
          <w:sz w:val="19"/>
          <w:lang w:val="en-US"/>
        </w:rPr>
      </w:pPr>
      <w:r w:rsidRPr="00661C39">
        <w:rPr>
          <w:rFonts w:ascii="Fira Sans" w:hAnsi="Fira Sans"/>
          <w:sz w:val="19"/>
          <w:lang w:val="en-US"/>
        </w:rPr>
        <w:t xml:space="preserve">In procurement as well as on marketplaces, for </w:t>
      </w:r>
      <w:r w:rsidRPr="00661C39">
        <w:rPr>
          <w:rFonts w:ascii="Fira Sans" w:hAnsi="Fira Sans"/>
          <w:b/>
          <w:sz w:val="19"/>
          <w:lang w:val="en-US"/>
        </w:rPr>
        <w:t xml:space="preserve">rye  </w:t>
      </w:r>
      <w:r w:rsidRPr="00661C39">
        <w:rPr>
          <w:rFonts w:ascii="Fira Sans" w:hAnsi="Fira Sans"/>
          <w:sz w:val="19"/>
          <w:lang w:val="en-US"/>
        </w:rPr>
        <w:t>was paid less than a year ago ( respe</w:t>
      </w:r>
      <w:r w:rsidRPr="00661C39">
        <w:rPr>
          <w:rFonts w:ascii="Fira Sans" w:hAnsi="Fira Sans"/>
          <w:sz w:val="19"/>
          <w:lang w:val="en-US"/>
        </w:rPr>
        <w:t>c</w:t>
      </w:r>
      <w:r w:rsidRPr="00661C39">
        <w:rPr>
          <w:rFonts w:ascii="Fira Sans" w:hAnsi="Fira Sans"/>
          <w:sz w:val="19"/>
          <w:lang w:val="en-US"/>
        </w:rPr>
        <w:t>tively by 23.6% and by 7.5%).</w:t>
      </w:r>
    </w:p>
    <w:p w:rsidR="00AB7F1C" w:rsidRPr="00661C39" w:rsidRDefault="00C47A6B" w:rsidP="00AB7F1C">
      <w:pPr>
        <w:spacing w:before="120" w:after="120" w:line="240" w:lineRule="exact"/>
        <w:rPr>
          <w:rFonts w:ascii="Fira Sans" w:hAnsi="Fira Sans"/>
          <w:sz w:val="19"/>
          <w:lang w:val="en-US"/>
        </w:rPr>
      </w:pPr>
      <w:r>
        <w:rPr>
          <w:rFonts w:ascii="Fira Sans" w:hAnsi="Fira Sans"/>
          <w:noProof/>
          <w:sz w:val="19"/>
          <w:lang w:eastAsia="pl-PL"/>
        </w:rPr>
        <w:pict>
          <v:shape id="_x0000_s1068" type="#_x0000_t202" style="position:absolute;margin-left:427.2pt;margin-top:29.2pt;width:122.25pt;height:80.75pt;z-index:-251484160;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" filled="f" stroked="f">
            <v:textbox>
              <w:txbxContent>
                <w:p w:rsidR="00AB7F1C" w:rsidRPr="00661C39" w:rsidRDefault="00AB7F1C" w:rsidP="002B436C">
                  <w:pPr>
                    <w:spacing w:after="0" w:line="240" w:lineRule="exact"/>
                    <w:rPr>
                      <w:color w:val="001D77"/>
                      <w:sz w:val="18"/>
                      <w:szCs w:val="18"/>
                      <w:lang w:val="en-US"/>
                    </w:rPr>
                  </w:pPr>
                  <w:r w:rsidRPr="00661C39">
                    <w:rPr>
                      <w:rFonts w:ascii="Fira Sans" w:hAnsi="Fira Sans"/>
                      <w:color w:val="001D77"/>
                      <w:sz w:val="18"/>
                      <w:szCs w:val="18"/>
                      <w:lang w:val="en-US"/>
                    </w:rPr>
                    <w:t>In annual terms, there was the price increase of  pigs for slaughter in pr</w:t>
                  </w:r>
                  <w:r w:rsidRPr="00661C39">
                    <w:rPr>
                      <w:rFonts w:ascii="Fira Sans" w:hAnsi="Fira Sans"/>
                      <w:color w:val="001D77"/>
                      <w:sz w:val="18"/>
                      <w:szCs w:val="18"/>
                      <w:lang w:val="en-US"/>
                    </w:rPr>
                    <w:t>o</w:t>
                  </w:r>
                  <w:r w:rsidRPr="00661C39">
                    <w:rPr>
                      <w:rFonts w:ascii="Fira Sans" w:hAnsi="Fira Sans"/>
                      <w:color w:val="001D77"/>
                      <w:sz w:val="18"/>
                      <w:szCs w:val="18"/>
                      <w:lang w:val="en-US"/>
                    </w:rPr>
                    <w:t>curement (by 50.6%) as well as on marketplaces (by 19.9%)</w:t>
                  </w:r>
                </w:p>
                <w:p w:rsidR="00AB7F1C" w:rsidRPr="00661C39" w:rsidRDefault="00AB7F1C" w:rsidP="00AB7F1C">
                  <w:pPr>
                    <w:jc w:val="both"/>
                    <w:rPr>
                      <w:color w:val="001D77"/>
                      <w:sz w:val="18"/>
                      <w:szCs w:val="18"/>
                      <w:lang w:val="en-US"/>
                    </w:rPr>
                  </w:pPr>
                </w:p>
              </w:txbxContent>
            </v:textbox>
            <w10:wrap type="tight"/>
          </v:shape>
        </w:pict>
      </w:r>
      <w:r w:rsidR="00AB7F1C" w:rsidRPr="00661C39">
        <w:rPr>
          <w:rFonts w:ascii="Fira Sans" w:hAnsi="Fira Sans"/>
          <w:sz w:val="19"/>
          <w:lang w:val="en-US"/>
        </w:rPr>
        <w:t xml:space="preserve">In February this year compared to the same month of the last year, the price of </w:t>
      </w:r>
      <w:r w:rsidR="00AB7F1C" w:rsidRPr="00661C39">
        <w:rPr>
          <w:rFonts w:ascii="Fira Sans" w:hAnsi="Fira Sans"/>
          <w:b/>
          <w:sz w:val="19"/>
          <w:lang w:val="en-US"/>
        </w:rPr>
        <w:t>potatoes</w:t>
      </w:r>
      <w:r w:rsidR="00AB7F1C" w:rsidRPr="00661C39">
        <w:rPr>
          <w:rFonts w:ascii="Fira Sans" w:hAnsi="Fira Sans"/>
          <w:sz w:val="19"/>
          <w:lang w:val="en-US"/>
        </w:rPr>
        <w:t xml:space="preserve"> in procurement increased by 5.7% and in marketplace trade - by 46.6%. </w:t>
      </w:r>
    </w:p>
    <w:p w:rsidR="00AB7F1C" w:rsidRPr="00661C39" w:rsidRDefault="00AB7F1C" w:rsidP="00AB7F1C">
      <w:pPr>
        <w:rPr>
          <w:rFonts w:ascii="Fira Sans" w:hAnsi="Fira Sans"/>
          <w:sz w:val="19"/>
          <w:lang w:val="en-US"/>
        </w:rPr>
      </w:pPr>
      <w:r w:rsidRPr="00661C39">
        <w:rPr>
          <w:rFonts w:ascii="Fira Sans" w:hAnsi="Fira Sans"/>
          <w:sz w:val="19"/>
          <w:lang w:val="en-US"/>
        </w:rPr>
        <w:t xml:space="preserve">The procurement prices of </w:t>
      </w:r>
      <w:r w:rsidRPr="00661C39">
        <w:rPr>
          <w:rFonts w:ascii="Fira Sans" w:hAnsi="Fira Sans"/>
          <w:b/>
          <w:sz w:val="19"/>
          <w:lang w:val="en-US"/>
        </w:rPr>
        <w:t>cattle for slaughter</w:t>
      </w:r>
      <w:r w:rsidRPr="00661C39">
        <w:rPr>
          <w:rFonts w:ascii="Fira Sans" w:hAnsi="Fira Sans"/>
          <w:sz w:val="19"/>
          <w:lang w:val="en-US"/>
        </w:rPr>
        <w:t xml:space="preserve"> in February 2020 were higher than last year by 1.5%, however the slight drop of prices (by 0.1%)  was recorded on  marketplaces. </w:t>
      </w:r>
    </w:p>
    <w:p w:rsidR="00AB7F1C" w:rsidRPr="00661C39" w:rsidRDefault="00AB7F1C" w:rsidP="00AB7F1C">
      <w:pPr>
        <w:spacing w:before="120" w:after="120" w:line="240" w:lineRule="exact"/>
        <w:rPr>
          <w:rFonts w:ascii="Fira Sans" w:hAnsi="Fira Sans"/>
          <w:sz w:val="19"/>
          <w:lang w:val="en-US"/>
        </w:rPr>
      </w:pPr>
      <w:r w:rsidRPr="00661C39">
        <w:rPr>
          <w:rFonts w:ascii="Fira Sans" w:hAnsi="Fira Sans"/>
          <w:sz w:val="19"/>
          <w:szCs w:val="18"/>
          <w:lang w:val="en-US"/>
        </w:rPr>
        <w:t xml:space="preserve">In February this year, the prices of </w:t>
      </w:r>
      <w:r w:rsidRPr="00661C39">
        <w:rPr>
          <w:rFonts w:ascii="Fira Sans" w:hAnsi="Fira Sans"/>
          <w:b/>
          <w:sz w:val="19"/>
          <w:szCs w:val="18"/>
          <w:lang w:val="en-US"/>
        </w:rPr>
        <w:t>pigs for slaughter</w:t>
      </w:r>
      <w:r w:rsidRPr="00661C39">
        <w:rPr>
          <w:rFonts w:ascii="Fira Sans" w:hAnsi="Fira Sans"/>
          <w:sz w:val="19"/>
          <w:szCs w:val="18"/>
          <w:lang w:val="en-US"/>
        </w:rPr>
        <w:t xml:space="preserve">  compared to February 2019 increased by 50.6% in procurement  and by 19.9% on marketplaces.</w:t>
      </w:r>
    </w:p>
    <w:p w:rsidR="00A80FF5" w:rsidRPr="000F45BD" w:rsidRDefault="00A80FF5" w:rsidP="00983B65">
      <w:pPr>
        <w:rPr>
          <w:rFonts w:ascii="Fira Sans" w:hAnsi="Fira Sans"/>
          <w:sz w:val="19"/>
          <w:szCs w:val="18"/>
          <w:lang w:val="en-US"/>
        </w:rPr>
      </w:pPr>
    </w:p>
    <w:p w:rsidR="00B32639" w:rsidRPr="000F45BD" w:rsidRDefault="00C01726" w:rsidP="00FB6189">
      <w:pPr>
        <w:spacing w:before="120" w:after="120" w:line="240" w:lineRule="exact"/>
        <w:jc w:val="both"/>
        <w:rPr>
          <w:rFonts w:ascii="Fira Sans SemiBold" w:eastAsia="Times New Roman" w:hAnsi="Fira Sans SemiBold" w:cs="Times New Roman"/>
          <w:bCs/>
          <w:noProof/>
          <w:color w:val="001D77"/>
          <w:spacing w:val="-2"/>
          <w:sz w:val="19"/>
          <w:szCs w:val="19"/>
          <w:lang w:val="en-US" w:eastAsia="pl-PL"/>
        </w:rPr>
      </w:pPr>
      <w:r w:rsidRPr="000F45BD">
        <w:rPr>
          <w:rFonts w:ascii="Fira Sans" w:hAnsi="Fira Sans"/>
          <w:b/>
          <w:sz w:val="18"/>
          <w:szCs w:val="18"/>
          <w:lang w:val="en-US"/>
        </w:rPr>
        <w:t xml:space="preserve">Chart </w:t>
      </w:r>
      <w:r w:rsidR="008B06CF">
        <w:rPr>
          <w:rFonts w:ascii="Fira Sans" w:hAnsi="Fira Sans"/>
          <w:b/>
          <w:sz w:val="18"/>
          <w:szCs w:val="18"/>
          <w:lang w:val="en-US"/>
        </w:rPr>
        <w:t>3</w:t>
      </w:r>
      <w:r w:rsidR="00B32639" w:rsidRPr="000F45BD">
        <w:rPr>
          <w:rFonts w:ascii="Fira Sans" w:hAnsi="Fira Sans"/>
          <w:b/>
          <w:sz w:val="18"/>
          <w:szCs w:val="18"/>
          <w:lang w:val="en-US"/>
        </w:rPr>
        <w:t xml:space="preserve">. </w:t>
      </w:r>
      <w:r w:rsidR="00507B04" w:rsidRPr="000F45BD">
        <w:rPr>
          <w:rFonts w:ascii="Fira Sans" w:hAnsi="Fira Sans"/>
          <w:b/>
          <w:bCs/>
          <w:sz w:val="18"/>
          <w:szCs w:val="18"/>
          <w:lang w:val="en-US"/>
        </w:rPr>
        <w:t>Procurement and marketplaces prices of wheat and rye</w:t>
      </w:r>
    </w:p>
    <w:p w:rsidR="00197733" w:rsidRPr="008279D3" w:rsidRDefault="00374C06" w:rsidP="00CC5227">
      <w:pPr>
        <w:rPr>
          <w:rFonts w:ascii="Fira Sans SemiBold" w:hAnsi="Fira Sans SemiBold"/>
          <w:color w:val="001D77"/>
          <w:sz w:val="19"/>
          <w:szCs w:val="19"/>
          <w:lang w:val="en-US"/>
        </w:rPr>
      </w:pPr>
      <w:r w:rsidRPr="00FA4353">
        <w:rPr>
          <w:rFonts w:ascii="Fira Sans" w:hAnsi="Fira Sans"/>
          <w:noProof/>
          <w:color w:val="001D77"/>
          <w:sz w:val="16"/>
          <w:szCs w:val="19"/>
          <w:lang w:eastAsia="pl-PL"/>
        </w:rPr>
        <w:drawing>
          <wp:inline distT="0" distB="0" distL="0" distR="0">
            <wp:extent cx="4907280" cy="3276600"/>
            <wp:effectExtent l="0" t="0" r="0" b="0"/>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29CD" w:rsidRPr="000F45BD" w:rsidRDefault="00920BE3" w:rsidP="00D41F03">
      <w:pPr>
        <w:spacing w:beforeLines="100" w:after="120" w:line="240" w:lineRule="exact"/>
        <w:ind w:left="851" w:hanging="851"/>
        <w:rPr>
          <w:rFonts w:ascii="Fira Sans" w:hAnsi="Fira Sans"/>
          <w:b/>
          <w:sz w:val="18"/>
          <w:szCs w:val="18"/>
          <w:lang w:val="en-US"/>
        </w:rPr>
      </w:pPr>
      <w:r w:rsidRPr="000F45BD">
        <w:rPr>
          <w:rFonts w:ascii="Fira Sans" w:hAnsi="Fira Sans"/>
          <w:b/>
          <w:sz w:val="18"/>
          <w:szCs w:val="18"/>
          <w:lang w:val="en-US"/>
        </w:rPr>
        <w:t xml:space="preserve">Chart </w:t>
      </w:r>
      <w:r w:rsidR="00982CBA">
        <w:rPr>
          <w:rFonts w:ascii="Fira Sans" w:hAnsi="Fira Sans"/>
          <w:b/>
          <w:sz w:val="18"/>
          <w:szCs w:val="18"/>
          <w:lang w:val="en-US"/>
        </w:rPr>
        <w:t>4</w:t>
      </w:r>
      <w:r w:rsidR="002E29CD" w:rsidRPr="000F45BD">
        <w:rPr>
          <w:rFonts w:ascii="Fira Sans" w:hAnsi="Fira Sans"/>
          <w:b/>
          <w:sz w:val="18"/>
          <w:szCs w:val="18"/>
          <w:lang w:val="en-US"/>
        </w:rPr>
        <w:t xml:space="preserve">. </w:t>
      </w:r>
      <w:r w:rsidR="00FF356A" w:rsidRPr="000F45BD">
        <w:rPr>
          <w:rFonts w:ascii="Fira Sans" w:hAnsi="Fira Sans"/>
          <w:b/>
          <w:sz w:val="18"/>
          <w:szCs w:val="18"/>
          <w:lang w:val="en-US"/>
        </w:rPr>
        <w:t>Procurement and marketplaces prices of potatoes</w:t>
      </w:r>
    </w:p>
    <w:p w:rsidR="00D87C6E" w:rsidRDefault="00357CE6" w:rsidP="00D87C6E">
      <w:pPr>
        <w:rPr>
          <w:lang w:eastAsia="pl-PL"/>
        </w:rPr>
      </w:pPr>
      <w:r w:rsidRPr="00357CE6">
        <w:rPr>
          <w:noProof/>
          <w:lang w:eastAsia="pl-PL"/>
        </w:rPr>
        <w:drawing>
          <wp:inline distT="0" distB="0" distL="0" distR="0">
            <wp:extent cx="4926330" cy="3116580"/>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3302" w:rsidRPr="000F45BD" w:rsidRDefault="007431BF" w:rsidP="00D41F03">
      <w:pPr>
        <w:spacing w:beforeLines="100" w:after="120" w:line="240" w:lineRule="exact"/>
        <w:ind w:left="851" w:hanging="851"/>
        <w:rPr>
          <w:rFonts w:ascii="Fira Sans" w:hAnsi="Fira Sans"/>
          <w:b/>
          <w:sz w:val="18"/>
          <w:szCs w:val="18"/>
          <w:lang w:val="en-US"/>
        </w:rPr>
      </w:pPr>
      <w:r w:rsidRPr="000F45BD">
        <w:rPr>
          <w:rFonts w:ascii="Fira Sans" w:hAnsi="Fira Sans"/>
          <w:b/>
          <w:sz w:val="18"/>
          <w:szCs w:val="18"/>
          <w:lang w:val="en-US"/>
        </w:rPr>
        <w:lastRenderedPageBreak/>
        <w:t xml:space="preserve">Chart </w:t>
      </w:r>
      <w:r w:rsidR="00A9340E">
        <w:rPr>
          <w:rFonts w:ascii="Fira Sans" w:hAnsi="Fira Sans"/>
          <w:b/>
          <w:sz w:val="18"/>
          <w:szCs w:val="18"/>
          <w:lang w:val="en-US"/>
        </w:rPr>
        <w:t>5</w:t>
      </w:r>
      <w:r w:rsidR="004156C6" w:rsidRPr="000F45BD">
        <w:rPr>
          <w:rFonts w:ascii="Fira Sans" w:hAnsi="Fira Sans"/>
          <w:b/>
          <w:sz w:val="18"/>
          <w:szCs w:val="18"/>
          <w:lang w:val="en-US"/>
        </w:rPr>
        <w:t xml:space="preserve">. </w:t>
      </w:r>
      <w:r w:rsidR="009F6545" w:rsidRPr="000F45BD">
        <w:rPr>
          <w:rFonts w:ascii="Fira Sans" w:hAnsi="Fira Sans"/>
          <w:b/>
          <w:sz w:val="18"/>
          <w:szCs w:val="18"/>
          <w:lang w:val="en-US"/>
        </w:rPr>
        <w:t>Procurement and marketplace</w:t>
      </w:r>
      <w:r w:rsidR="006C57CB" w:rsidRPr="000F45BD">
        <w:rPr>
          <w:rFonts w:ascii="Fira Sans" w:hAnsi="Fira Sans"/>
          <w:b/>
          <w:sz w:val="18"/>
          <w:szCs w:val="18"/>
          <w:lang w:val="en-US"/>
        </w:rPr>
        <w:t xml:space="preserve">s </w:t>
      </w:r>
      <w:r w:rsidR="009F6545" w:rsidRPr="000F45BD">
        <w:rPr>
          <w:rFonts w:ascii="Fira Sans" w:hAnsi="Fira Sans"/>
          <w:b/>
          <w:sz w:val="18"/>
          <w:szCs w:val="18"/>
          <w:lang w:val="en-US"/>
        </w:rPr>
        <w:t>price</w:t>
      </w:r>
      <w:r w:rsidR="006C57CB" w:rsidRPr="000F45BD">
        <w:rPr>
          <w:rFonts w:ascii="Fira Sans" w:hAnsi="Fira Sans"/>
          <w:b/>
          <w:sz w:val="18"/>
          <w:szCs w:val="18"/>
          <w:lang w:val="en-US"/>
        </w:rPr>
        <w:t>s</w:t>
      </w:r>
      <w:r w:rsidR="009F6545" w:rsidRPr="000F45BD">
        <w:rPr>
          <w:rFonts w:ascii="Fira Sans" w:hAnsi="Fira Sans"/>
          <w:b/>
          <w:sz w:val="18"/>
          <w:szCs w:val="18"/>
          <w:lang w:val="en-US"/>
        </w:rPr>
        <w:t xml:space="preserve"> of</w:t>
      </w:r>
      <w:r w:rsidR="006C57CB" w:rsidRPr="000F45BD">
        <w:rPr>
          <w:rFonts w:ascii="Fira Sans" w:hAnsi="Fira Sans"/>
          <w:b/>
          <w:sz w:val="18"/>
          <w:szCs w:val="18"/>
          <w:lang w:val="en-US"/>
        </w:rPr>
        <w:t xml:space="preserve"> cattle</w:t>
      </w:r>
      <w:r w:rsidR="00640AB1">
        <w:rPr>
          <w:rFonts w:ascii="Fira Sans" w:hAnsi="Fira Sans"/>
          <w:b/>
          <w:sz w:val="18"/>
          <w:szCs w:val="18"/>
          <w:lang w:val="en-US"/>
        </w:rPr>
        <w:t xml:space="preserve"> for slaughter</w:t>
      </w:r>
      <w:r w:rsidR="006C57CB" w:rsidRPr="000F45BD">
        <w:rPr>
          <w:rFonts w:ascii="Fira Sans" w:hAnsi="Fira Sans"/>
          <w:b/>
          <w:sz w:val="18"/>
          <w:szCs w:val="18"/>
          <w:lang w:val="en-US"/>
        </w:rPr>
        <w:t xml:space="preserve"> and pigs for slaughter </w:t>
      </w:r>
    </w:p>
    <w:p w:rsidR="0094650F" w:rsidRPr="00F3419A" w:rsidRDefault="00E07D8A" w:rsidP="00F3419A">
      <w:pPr>
        <w:ind w:left="142"/>
        <w:rPr>
          <w:lang w:eastAsia="pl-PL"/>
        </w:rPr>
      </w:pPr>
      <w:r w:rsidRPr="00E07D8A">
        <w:rPr>
          <w:noProof/>
          <w:lang w:eastAsia="pl-PL"/>
        </w:rPr>
        <w:drawing>
          <wp:inline distT="0" distB="0" distL="0" distR="0">
            <wp:extent cx="4911090" cy="3352800"/>
            <wp:effectExtent l="1905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650F" w:rsidRDefault="0094650F" w:rsidP="009422D3">
      <w:pPr>
        <w:spacing w:before="240" w:after="200" w:line="240" w:lineRule="exact"/>
        <w:ind w:left="851" w:hanging="851"/>
        <w:rPr>
          <w:rFonts w:ascii="Fira Sans" w:hAnsi="Fira Sans"/>
          <w:b/>
          <w:sz w:val="18"/>
          <w:szCs w:val="18"/>
        </w:rPr>
      </w:pPr>
    </w:p>
    <w:p w:rsidR="001B22E2" w:rsidRDefault="001B22E2" w:rsidP="00BC6C2E">
      <w:pPr>
        <w:spacing w:before="120" w:after="200" w:line="240" w:lineRule="exact"/>
        <w:ind w:left="851" w:hanging="851"/>
        <w:rPr>
          <w:rFonts w:ascii="Fira Sans" w:hAnsi="Fira Sans"/>
          <w:b/>
          <w:sz w:val="18"/>
          <w:szCs w:val="18"/>
        </w:rPr>
      </w:pPr>
    </w:p>
    <w:p w:rsidR="004156C6" w:rsidRPr="000F45BD" w:rsidRDefault="00AF1A75" w:rsidP="00D529FC">
      <w:pPr>
        <w:spacing w:before="120" w:after="200" w:line="240" w:lineRule="exact"/>
        <w:ind w:left="709" w:hanging="709"/>
        <w:rPr>
          <w:rFonts w:ascii="Fira Sans" w:hAnsi="Fira Sans"/>
          <w:b/>
          <w:sz w:val="18"/>
          <w:szCs w:val="18"/>
          <w:lang w:val="en-US"/>
        </w:rPr>
      </w:pPr>
      <w:r w:rsidRPr="000F45BD">
        <w:rPr>
          <w:rFonts w:ascii="Fira Sans" w:hAnsi="Fira Sans"/>
          <w:b/>
          <w:sz w:val="18"/>
          <w:szCs w:val="18"/>
          <w:lang w:val="en-US"/>
        </w:rPr>
        <w:t xml:space="preserve">Chart </w:t>
      </w:r>
      <w:r w:rsidR="00757098">
        <w:rPr>
          <w:rFonts w:ascii="Fira Sans" w:hAnsi="Fira Sans"/>
          <w:b/>
          <w:sz w:val="18"/>
          <w:szCs w:val="18"/>
          <w:lang w:val="en-US"/>
        </w:rPr>
        <w:t>6</w:t>
      </w:r>
      <w:r w:rsidR="004156C6" w:rsidRPr="000F45BD">
        <w:rPr>
          <w:rFonts w:ascii="Fira Sans" w:hAnsi="Fira Sans"/>
          <w:b/>
          <w:sz w:val="18"/>
          <w:szCs w:val="18"/>
          <w:lang w:val="en-US"/>
        </w:rPr>
        <w:t>.</w:t>
      </w:r>
      <w:r w:rsidR="00665808" w:rsidRPr="000F45BD">
        <w:rPr>
          <w:rFonts w:ascii="Fira Sans" w:hAnsi="Fira Sans"/>
          <w:b/>
          <w:sz w:val="18"/>
          <w:szCs w:val="18"/>
          <w:lang w:val="en-US"/>
        </w:rPr>
        <w:t xml:space="preserve"> Relation of procurement</w:t>
      </w:r>
      <w:r w:rsidR="005B1E98" w:rsidRPr="000F45BD">
        <w:rPr>
          <w:rFonts w:ascii="Fira Sans" w:hAnsi="Fira Sans"/>
          <w:b/>
          <w:sz w:val="18"/>
          <w:szCs w:val="18"/>
          <w:lang w:val="en-US"/>
        </w:rPr>
        <w:t xml:space="preserve"> </w:t>
      </w:r>
      <w:r w:rsidR="00783D1F" w:rsidRPr="000F45BD">
        <w:rPr>
          <w:rFonts w:ascii="Fira Sans" w:hAnsi="Fira Sans"/>
          <w:b/>
          <w:sz w:val="18"/>
          <w:szCs w:val="18"/>
          <w:lang w:val="en-US"/>
        </w:rPr>
        <w:t>prices of pigs for slaughter to marketplaces prices of rye and barley as well as marketplaces prices of piglets</w:t>
      </w:r>
    </w:p>
    <w:p w:rsidR="008E53D2" w:rsidRPr="008E53D2" w:rsidRDefault="00C47A6B" w:rsidP="00477E10">
      <w:pPr>
        <w:spacing w:after="0" w:line="240" w:lineRule="auto"/>
        <w:ind w:left="142"/>
        <w:rPr>
          <w:rFonts w:ascii="Times New Roman" w:eastAsia="Times New Roman" w:hAnsi="Times New Roman" w:cs="Times New Roman"/>
          <w:sz w:val="24"/>
          <w:szCs w:val="24"/>
          <w:lang w:eastAsia="pl-PL"/>
        </w:rPr>
      </w:pPr>
      <w:r w:rsidRPr="00C47A6B">
        <w:rPr>
          <w:rFonts w:ascii="Fira Sans" w:hAnsi="Fira Sans" w:cs="Arial"/>
          <w:noProof/>
          <w:sz w:val="19"/>
          <w:szCs w:val="19"/>
          <w:lang w:eastAsia="pl-PL"/>
        </w:rPr>
        <w:pict>
          <v:shape id="_x0000_s1045" type="#_x0000_t202" style="position:absolute;left:0;text-align:left;margin-left:421.75pt;margin-top:34.35pt;width:124.6pt;height:127.8pt;z-index:-25149337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" filled="f" stroked="f">
            <v:textbox style="mso-next-textbox:#_x0000_s1045">
              <w:txbxContent>
                <w:p w:rsidR="007B4B3D" w:rsidRPr="00661C39" w:rsidRDefault="00EA7E40" w:rsidP="00812512">
                  <w:pPr>
                    <w:spacing w:after="0" w:line="240" w:lineRule="exact"/>
                    <w:rPr>
                      <w:szCs w:val="18"/>
                      <w:lang w:val="en-US"/>
                    </w:rPr>
                  </w:pPr>
                  <w:r w:rsidRPr="00661C39">
                    <w:rPr>
                      <w:rFonts w:ascii="Fira Sans" w:hAnsi="Fira Sans" w:cs="Arial"/>
                      <w:color w:val="001D77"/>
                      <w:sz w:val="18"/>
                      <w:szCs w:val="18"/>
                      <w:lang w:val="en-US"/>
                    </w:rPr>
                    <w:t>In February 2020, the rel</w:t>
                  </w:r>
                  <w:r w:rsidRPr="00661C39">
                    <w:rPr>
                      <w:rFonts w:ascii="Fira Sans" w:hAnsi="Fira Sans" w:cs="Arial"/>
                      <w:color w:val="001D77"/>
                      <w:sz w:val="18"/>
                      <w:szCs w:val="18"/>
                      <w:lang w:val="en-US"/>
                    </w:rPr>
                    <w:t>a</w:t>
                  </w:r>
                  <w:r w:rsidRPr="00661C39">
                    <w:rPr>
                      <w:rFonts w:ascii="Fira Sans" w:hAnsi="Fira Sans" w:cs="Arial"/>
                      <w:color w:val="001D77"/>
                      <w:sz w:val="18"/>
                      <w:szCs w:val="18"/>
                      <w:lang w:val="en-US"/>
                    </w:rPr>
                    <w:t>tion of both procurement prices of  pigs for slaug</w:t>
                  </w:r>
                  <w:r w:rsidRPr="00661C39">
                    <w:rPr>
                      <w:rFonts w:ascii="Fira Sans" w:hAnsi="Fira Sans" w:cs="Arial"/>
                      <w:color w:val="001D77"/>
                      <w:sz w:val="18"/>
                      <w:szCs w:val="18"/>
                      <w:lang w:val="en-US"/>
                    </w:rPr>
                    <w:t>h</w:t>
                  </w:r>
                  <w:r w:rsidRPr="00661C39">
                    <w:rPr>
                      <w:rFonts w:ascii="Fira Sans" w:hAnsi="Fira Sans" w:cs="Arial"/>
                      <w:color w:val="001D77"/>
                      <w:sz w:val="18"/>
                      <w:szCs w:val="18"/>
                      <w:lang w:val="en-US"/>
                    </w:rPr>
                    <w:t>ter to marketplaces prices of rye  improved (9.1 ve</w:t>
                  </w:r>
                  <w:r w:rsidRPr="00661C39">
                    <w:rPr>
                      <w:rFonts w:ascii="Fira Sans" w:hAnsi="Fira Sans" w:cs="Arial"/>
                      <w:color w:val="001D77"/>
                      <w:sz w:val="18"/>
                      <w:szCs w:val="18"/>
                      <w:lang w:val="en-US"/>
                    </w:rPr>
                    <w:t>r</w:t>
                  </w:r>
                  <w:r w:rsidRPr="00661C39">
                    <w:rPr>
                      <w:rFonts w:ascii="Fira Sans" w:hAnsi="Fira Sans" w:cs="Arial"/>
                      <w:color w:val="001D77"/>
                      <w:sz w:val="18"/>
                      <w:szCs w:val="18"/>
                      <w:lang w:val="en-US"/>
                    </w:rPr>
                    <w:t>sus 8.6) and the relation of procurement prices of pigs for slaughter to ma</w:t>
                  </w:r>
                  <w:r w:rsidRPr="00661C39">
                    <w:rPr>
                      <w:rFonts w:ascii="Fira Sans" w:hAnsi="Fira Sans" w:cs="Arial"/>
                      <w:color w:val="001D77"/>
                      <w:sz w:val="18"/>
                      <w:szCs w:val="18"/>
                      <w:lang w:val="en-US"/>
                    </w:rPr>
                    <w:t>r</w:t>
                  </w:r>
                  <w:r w:rsidRPr="00661C39">
                    <w:rPr>
                      <w:rFonts w:ascii="Fira Sans" w:hAnsi="Fira Sans" w:cs="Arial"/>
                      <w:color w:val="001D77"/>
                      <w:sz w:val="18"/>
                      <w:szCs w:val="18"/>
                      <w:lang w:val="en-US"/>
                    </w:rPr>
                    <w:t>ketplaces prices of barley  (7.6 versus 7.3</w:t>
                  </w:r>
                  <w:r w:rsidR="0037779C" w:rsidRPr="00661C39">
                    <w:rPr>
                      <w:rFonts w:ascii="Fira Sans" w:hAnsi="Fira Sans" w:cs="Arial"/>
                      <w:color w:val="001D77"/>
                      <w:sz w:val="18"/>
                      <w:szCs w:val="18"/>
                      <w:lang w:val="en-US"/>
                    </w:rPr>
                    <w:t>)</w:t>
                  </w:r>
                </w:p>
              </w:txbxContent>
            </v:textbox>
            <w10:wrap type="tight"/>
          </v:shape>
        </w:pict>
      </w:r>
      <w:r w:rsidR="00392155" w:rsidRPr="00392155">
        <w:rPr>
          <w:rFonts w:ascii="Times New Roman" w:eastAsia="Times New Roman" w:hAnsi="Times New Roman" w:cs="Times New Roman"/>
          <w:noProof/>
          <w:sz w:val="24"/>
          <w:szCs w:val="24"/>
          <w:lang w:eastAsia="pl-PL"/>
        </w:rPr>
        <w:drawing>
          <wp:inline distT="0" distB="0" distL="0" distR="0">
            <wp:extent cx="4884420" cy="3794760"/>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E2DA1" w:rsidRDefault="00EE2DA1" w:rsidP="00392155">
      <w:pPr>
        <w:rPr>
          <w:rFonts w:ascii="Fira Sans" w:hAnsi="Fira Sans" w:cs="Arial"/>
          <w:sz w:val="19"/>
          <w:szCs w:val="19"/>
        </w:rPr>
      </w:pPr>
    </w:p>
    <w:p w:rsidR="00CD26D8" w:rsidRPr="000F45BD" w:rsidRDefault="00CA42A5" w:rsidP="00CD26D8">
      <w:pPr>
        <w:spacing w:after="0" w:line="276" w:lineRule="auto"/>
        <w:rPr>
          <w:rFonts w:cs="Arial"/>
          <w:color w:val="000000"/>
          <w:sz w:val="20"/>
          <w:lang w:val="en-US"/>
        </w:rPr>
      </w:pPr>
      <w:r w:rsidRPr="000F45BD">
        <w:rPr>
          <w:rFonts w:ascii="Fira Sans" w:hAnsi="Fira Sans" w:cs="Arial"/>
          <w:sz w:val="19"/>
          <w:szCs w:val="19"/>
          <w:lang w:val="en-US"/>
        </w:rPr>
        <w:t>The differentiation of the level of prices of basic agricultural products in particular voivodships is presented in Table 2 for p</w:t>
      </w:r>
      <w:r w:rsidR="005B17B9" w:rsidRPr="000F45BD">
        <w:rPr>
          <w:rFonts w:ascii="Fira Sans" w:hAnsi="Fira Sans" w:cs="Arial"/>
          <w:sz w:val="19"/>
          <w:szCs w:val="19"/>
          <w:lang w:val="en-US"/>
        </w:rPr>
        <w:t>rocurement</w:t>
      </w:r>
      <w:r w:rsidRPr="000F45BD">
        <w:rPr>
          <w:rFonts w:ascii="Fira Sans" w:hAnsi="Fira Sans" w:cs="Arial"/>
          <w:sz w:val="19"/>
          <w:szCs w:val="19"/>
          <w:lang w:val="en-US"/>
        </w:rPr>
        <w:t xml:space="preserve"> prices and </w:t>
      </w:r>
      <w:r w:rsidR="005B17B9" w:rsidRPr="000F45BD">
        <w:rPr>
          <w:rFonts w:ascii="Fira Sans" w:hAnsi="Fira Sans" w:cs="Arial"/>
          <w:sz w:val="19"/>
          <w:szCs w:val="19"/>
          <w:lang w:val="en-US"/>
        </w:rPr>
        <w:t xml:space="preserve">in </w:t>
      </w:r>
      <w:r w:rsidRPr="000F45BD">
        <w:rPr>
          <w:rFonts w:ascii="Fira Sans" w:hAnsi="Fira Sans" w:cs="Arial"/>
          <w:sz w:val="19"/>
          <w:szCs w:val="19"/>
          <w:lang w:val="en-US"/>
        </w:rPr>
        <w:t xml:space="preserve">Table 3 for prices obtained by farmers </w:t>
      </w:r>
      <w:r w:rsidR="005B17B9" w:rsidRPr="000F45BD">
        <w:rPr>
          <w:rFonts w:ascii="Fira Sans" w:hAnsi="Fira Sans" w:cs="Arial"/>
          <w:sz w:val="19"/>
          <w:szCs w:val="19"/>
          <w:lang w:val="en-US"/>
        </w:rPr>
        <w:t>on</w:t>
      </w:r>
      <w:r w:rsidRPr="000F45BD">
        <w:rPr>
          <w:rFonts w:ascii="Fira Sans" w:hAnsi="Fira Sans" w:cs="Arial"/>
          <w:sz w:val="19"/>
          <w:szCs w:val="19"/>
          <w:lang w:val="en-US"/>
        </w:rPr>
        <w:t xml:space="preserve"> marketplaces (Excel sheet).</w:t>
      </w:r>
    </w:p>
    <w:p w:rsidR="00CA42A5" w:rsidRPr="000F45BD" w:rsidRDefault="00CA42A5" w:rsidP="00CD26D8">
      <w:pPr>
        <w:spacing w:after="0" w:line="276" w:lineRule="auto"/>
        <w:rPr>
          <w:rFonts w:cs="Arial"/>
          <w:color w:val="000000"/>
          <w:sz w:val="20"/>
          <w:lang w:val="en-US"/>
        </w:rPr>
        <w:sectPr w:rsidR="00CA42A5" w:rsidRPr="000F45BD" w:rsidSect="000F45BD">
          <w:headerReference w:type="default" r:id="rId15"/>
          <w:footerReference w:type="default" r:id="rId16"/>
          <w:headerReference w:type="first" r:id="rId17"/>
          <w:footerReference w:type="first" r:id="rId18"/>
          <w:pgSz w:w="11906" w:h="16838"/>
          <w:pgMar w:top="993" w:right="3119" w:bottom="720" w:left="720" w:header="170" w:footer="397" w:gutter="0"/>
          <w:cols w:space="708"/>
          <w:titlePg/>
          <w:docGrid w:linePitch="360"/>
        </w:sectPr>
      </w:pPr>
    </w:p>
    <w:tbl>
      <w:tblPr>
        <w:tblpPr w:leftFromText="141" w:rightFromText="141" w:vertAnchor="text" w:horzAnchor="margin" w:tblpXSpec="center" w:tblpY="-47"/>
        <w:tblW w:w="0" w:type="auto"/>
        <w:tblLook w:val="04A0"/>
      </w:tblPr>
      <w:tblGrid>
        <w:gridCol w:w="4358"/>
        <w:gridCol w:w="3925"/>
      </w:tblGrid>
      <w:tr w:rsidR="00875905" w:rsidRPr="00661C39" w:rsidTr="00875905">
        <w:trPr>
          <w:trHeight w:val="1912"/>
        </w:trPr>
        <w:tc>
          <w:tcPr>
            <w:tcW w:w="4358" w:type="dxa"/>
          </w:tcPr>
          <w:p w:rsidR="00875905" w:rsidRPr="000F45BD" w:rsidRDefault="00875905" w:rsidP="00875905">
            <w:pPr>
              <w:spacing w:after="0" w:line="276" w:lineRule="auto"/>
              <w:rPr>
                <w:rFonts w:ascii="Fira Sans" w:hAnsi="Fira Sans" w:cs="Arial"/>
                <w:color w:val="000000"/>
                <w:sz w:val="20"/>
                <w:lang w:val="en-US"/>
              </w:rPr>
            </w:pPr>
          </w:p>
          <w:p w:rsidR="00E37869" w:rsidRPr="000F45BD" w:rsidRDefault="00E37869" w:rsidP="00E37869">
            <w:pPr>
              <w:spacing w:after="0" w:line="276" w:lineRule="auto"/>
              <w:rPr>
                <w:rFonts w:ascii="Fira Sans" w:hAnsi="Fira Sans" w:cs="Arial"/>
                <w:color w:val="000000"/>
                <w:sz w:val="20"/>
                <w:lang w:val="en-US"/>
              </w:rPr>
            </w:pPr>
            <w:r w:rsidRPr="000F45BD">
              <w:rPr>
                <w:rFonts w:ascii="Fira Sans" w:hAnsi="Fira Sans" w:cs="Arial"/>
                <w:color w:val="000000"/>
                <w:sz w:val="20"/>
                <w:lang w:val="en-US"/>
              </w:rPr>
              <w:t>Prepard by:</w:t>
            </w:r>
          </w:p>
          <w:p w:rsidR="00E37869" w:rsidRPr="000F45BD" w:rsidRDefault="00E37869" w:rsidP="00E37869">
            <w:pPr>
              <w:pStyle w:val="Nagwek3"/>
              <w:spacing w:before="0" w:line="240" w:lineRule="auto"/>
              <w:rPr>
                <w:rFonts w:ascii="Fira Sans" w:hAnsi="Fira Sans" w:cs="Arial"/>
                <w:b/>
                <w:color w:val="000000"/>
                <w:sz w:val="20"/>
                <w:szCs w:val="28"/>
                <w:lang w:val="en-US"/>
              </w:rPr>
            </w:pPr>
            <w:r w:rsidRPr="000F45BD">
              <w:rPr>
                <w:rFonts w:ascii="Fira Sans" w:hAnsi="Fira Sans" w:cs="Arial"/>
                <w:b/>
                <w:color w:val="000000"/>
                <w:sz w:val="20"/>
                <w:szCs w:val="28"/>
                <w:lang w:val="en-US"/>
              </w:rPr>
              <w:t>Trade and Services Departament</w:t>
            </w:r>
          </w:p>
          <w:p w:rsidR="00875905" w:rsidRPr="00AF69ED" w:rsidRDefault="005745A6" w:rsidP="00875905">
            <w:pPr>
              <w:pStyle w:val="Nagwek3"/>
              <w:spacing w:before="0" w:line="240" w:lineRule="auto"/>
              <w:rPr>
                <w:rFonts w:ascii="Fira Sans" w:hAnsi="Fira Sans" w:cs="Arial"/>
                <w:b/>
                <w:color w:val="000000"/>
                <w:sz w:val="20"/>
                <w:szCs w:val="28"/>
              </w:rPr>
            </w:pPr>
            <w:r>
              <w:rPr>
                <w:rFonts w:ascii="Fira Sans" w:hAnsi="Fira Sans" w:cs="Arial"/>
                <w:b/>
                <w:color w:val="000000"/>
                <w:sz w:val="20"/>
                <w:szCs w:val="28"/>
              </w:rPr>
              <w:t>Director</w:t>
            </w:r>
            <w:r w:rsidR="002D5391">
              <w:rPr>
                <w:rFonts w:ascii="Fira Sans" w:hAnsi="Fira Sans" w:cs="Arial"/>
                <w:b/>
                <w:color w:val="000000"/>
                <w:sz w:val="20"/>
                <w:szCs w:val="28"/>
              </w:rPr>
              <w:t xml:space="preserve"> Ewa Adach-Stankiewicz</w:t>
            </w:r>
          </w:p>
          <w:p w:rsidR="00875905" w:rsidRPr="003F20F8" w:rsidRDefault="005745A6" w:rsidP="00875905">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Office</w:t>
            </w:r>
            <w:r w:rsidR="00875905">
              <w:rPr>
                <w:rFonts w:ascii="Fira Sans" w:hAnsi="Fira Sans" w:cs="Arial"/>
                <w:color w:val="000000"/>
                <w:sz w:val="20"/>
                <w:lang w:val="fi-FI"/>
              </w:rPr>
              <w:t xml:space="preserve">: </w:t>
            </w:r>
            <w:r>
              <w:rPr>
                <w:rFonts w:ascii="Fira Sans" w:hAnsi="Fira Sans" w:cs="Arial"/>
                <w:color w:val="000000"/>
                <w:sz w:val="20"/>
                <w:lang w:val="fi-FI"/>
              </w:rPr>
              <w:t xml:space="preserve">tel. (+48 </w:t>
            </w:r>
            <w:r w:rsidR="00875905">
              <w:rPr>
                <w:rFonts w:ascii="Fira Sans" w:hAnsi="Fira Sans" w:cs="Arial"/>
                <w:color w:val="000000"/>
                <w:sz w:val="20"/>
                <w:lang w:val="fi-FI"/>
              </w:rPr>
              <w:t>22</w:t>
            </w:r>
            <w:r>
              <w:rPr>
                <w:rFonts w:ascii="Fira Sans" w:hAnsi="Fira Sans" w:cs="Arial"/>
                <w:color w:val="000000"/>
                <w:sz w:val="20"/>
                <w:lang w:val="fi-FI"/>
              </w:rPr>
              <w:t>)</w:t>
            </w:r>
            <w:r w:rsidR="00875905">
              <w:rPr>
                <w:rFonts w:ascii="Fira Sans" w:hAnsi="Fira Sans" w:cs="Arial"/>
                <w:color w:val="000000"/>
                <w:sz w:val="20"/>
                <w:lang w:val="fi-FI"/>
              </w:rPr>
              <w:t xml:space="preserve"> 608 </w:t>
            </w:r>
            <w:r w:rsidR="002D5391">
              <w:rPr>
                <w:rFonts w:ascii="Fira Sans" w:hAnsi="Fira Sans" w:cs="Arial"/>
                <w:color w:val="000000"/>
                <w:sz w:val="20"/>
                <w:lang w:val="fi-FI"/>
              </w:rPr>
              <w:t>3</w:t>
            </w:r>
            <w:r w:rsidR="00062364">
              <w:rPr>
                <w:rFonts w:ascii="Fira Sans" w:hAnsi="Fira Sans" w:cs="Arial"/>
                <w:color w:val="000000"/>
                <w:sz w:val="20"/>
                <w:lang w:val="fi-FI"/>
              </w:rPr>
              <w:t>0</w:t>
            </w:r>
            <w:r w:rsidR="002D5391">
              <w:rPr>
                <w:rFonts w:ascii="Fira Sans" w:hAnsi="Fira Sans" w:cs="Arial"/>
                <w:color w:val="000000"/>
                <w:sz w:val="20"/>
                <w:lang w:val="fi-FI"/>
              </w:rPr>
              <w:t xml:space="preserve"> </w:t>
            </w:r>
            <w:r w:rsidR="00062364">
              <w:rPr>
                <w:rFonts w:ascii="Fira Sans" w:hAnsi="Fira Sans" w:cs="Arial"/>
                <w:color w:val="000000"/>
                <w:sz w:val="20"/>
                <w:lang w:val="fi-FI"/>
              </w:rPr>
              <w:t>67</w:t>
            </w:r>
          </w:p>
          <w:p w:rsidR="00875905" w:rsidRPr="00AF69ED" w:rsidRDefault="00875905" w:rsidP="00875905">
            <w:pPr>
              <w:pStyle w:val="Nagwek3"/>
              <w:spacing w:before="0" w:line="240" w:lineRule="auto"/>
              <w:rPr>
                <w:rFonts w:ascii="Fira Sans" w:hAnsi="Fira Sans" w:cs="Arial"/>
                <w:b/>
                <w:sz w:val="20"/>
                <w:szCs w:val="20"/>
              </w:rPr>
            </w:pPr>
          </w:p>
        </w:tc>
        <w:tc>
          <w:tcPr>
            <w:tcW w:w="3925" w:type="dxa"/>
          </w:tcPr>
          <w:p w:rsidR="00875905" w:rsidRPr="000F45BD" w:rsidRDefault="00875905" w:rsidP="00875905">
            <w:pPr>
              <w:spacing w:after="0" w:line="276" w:lineRule="auto"/>
              <w:rPr>
                <w:rFonts w:ascii="Fira Sans" w:hAnsi="Fira Sans" w:cs="Arial"/>
                <w:color w:val="000000"/>
                <w:sz w:val="20"/>
                <w:lang w:val="en-US"/>
              </w:rPr>
            </w:pPr>
          </w:p>
          <w:p w:rsidR="00875905" w:rsidRPr="000F45BD" w:rsidRDefault="0033123E" w:rsidP="00875905">
            <w:pPr>
              <w:spacing w:after="0" w:line="276" w:lineRule="auto"/>
              <w:rPr>
                <w:rFonts w:ascii="Fira Sans" w:hAnsi="Fira Sans" w:cs="Arial"/>
                <w:b/>
                <w:color w:val="000000"/>
                <w:sz w:val="20"/>
                <w:lang w:val="en-US"/>
              </w:rPr>
            </w:pPr>
            <w:r w:rsidRPr="000F45BD">
              <w:rPr>
                <w:rFonts w:ascii="Fira Sans" w:hAnsi="Fira Sans" w:cs="Arial"/>
                <w:color w:val="000000"/>
                <w:sz w:val="20"/>
                <w:lang w:val="en-US"/>
              </w:rPr>
              <w:t>Issued by</w:t>
            </w:r>
            <w:r w:rsidR="00875905" w:rsidRPr="000F45BD">
              <w:rPr>
                <w:rFonts w:ascii="Fira Sans" w:hAnsi="Fira Sans" w:cs="Arial"/>
                <w:color w:val="000000"/>
                <w:sz w:val="20"/>
                <w:lang w:val="en-US"/>
              </w:rPr>
              <w:t>:</w:t>
            </w:r>
            <w:r w:rsidR="00875905" w:rsidRPr="000F45BD">
              <w:rPr>
                <w:rFonts w:ascii="Fira Sans" w:hAnsi="Fira Sans" w:cs="Arial"/>
                <w:color w:val="000000"/>
                <w:sz w:val="20"/>
                <w:lang w:val="en-US"/>
              </w:rPr>
              <w:br/>
            </w:r>
            <w:r w:rsidRPr="000F45BD">
              <w:rPr>
                <w:rFonts w:ascii="Fira Sans" w:hAnsi="Fira Sans" w:cs="Arial"/>
                <w:b/>
                <w:color w:val="000000"/>
                <w:sz w:val="20"/>
                <w:lang w:val="en-US"/>
              </w:rPr>
              <w:t>The Spokesperon for the President</w:t>
            </w:r>
          </w:p>
          <w:p w:rsidR="0033123E" w:rsidRPr="000F45BD" w:rsidRDefault="0033123E" w:rsidP="00875905">
            <w:pPr>
              <w:spacing w:after="0" w:line="276" w:lineRule="auto"/>
              <w:rPr>
                <w:rFonts w:ascii="Fira Sans" w:hAnsi="Fira Sans" w:cs="Arial"/>
                <w:b/>
                <w:color w:val="000000"/>
                <w:sz w:val="20"/>
                <w:lang w:val="en-US"/>
              </w:rPr>
            </w:pPr>
            <w:r w:rsidRPr="000F45BD">
              <w:rPr>
                <w:rFonts w:ascii="Fira Sans" w:hAnsi="Fira Sans" w:cs="Arial"/>
                <w:b/>
                <w:color w:val="000000"/>
                <w:sz w:val="20"/>
                <w:lang w:val="en-US"/>
              </w:rPr>
              <w:t>Of Statistics Poland</w:t>
            </w:r>
          </w:p>
          <w:p w:rsidR="00875905" w:rsidRPr="000F45BD" w:rsidRDefault="00875905" w:rsidP="00875905">
            <w:pPr>
              <w:pStyle w:val="Nagwek3"/>
              <w:spacing w:before="0" w:line="240" w:lineRule="auto"/>
              <w:rPr>
                <w:rFonts w:ascii="Fira Sans" w:hAnsi="Fira Sans" w:cs="Arial"/>
                <w:b/>
                <w:color w:val="000000"/>
                <w:sz w:val="20"/>
                <w:szCs w:val="28"/>
                <w:lang w:val="en-US"/>
              </w:rPr>
            </w:pPr>
            <w:r w:rsidRPr="000F45BD">
              <w:rPr>
                <w:rFonts w:ascii="Fira Sans" w:hAnsi="Fira Sans" w:cs="Arial"/>
                <w:b/>
                <w:color w:val="000000"/>
                <w:sz w:val="20"/>
                <w:szCs w:val="28"/>
                <w:lang w:val="en-US"/>
              </w:rPr>
              <w:t>Karolina Banaszek</w:t>
            </w:r>
          </w:p>
          <w:p w:rsidR="00875905" w:rsidRPr="003F20F8" w:rsidRDefault="0049775B" w:rsidP="00875905">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00033484">
              <w:rPr>
                <w:rFonts w:ascii="Fira Sans" w:hAnsi="Fira Sans" w:cs="Arial"/>
                <w:color w:val="000000"/>
                <w:sz w:val="20"/>
                <w:lang w:val="fi-FI"/>
              </w:rPr>
              <w:t xml:space="preserve">: </w:t>
            </w:r>
            <w:r>
              <w:rPr>
                <w:rFonts w:ascii="Fira Sans" w:hAnsi="Fira Sans" w:cs="Arial"/>
                <w:color w:val="000000"/>
                <w:sz w:val="20"/>
                <w:lang w:val="fi-FI"/>
              </w:rPr>
              <w:t xml:space="preserve">(+48) </w:t>
            </w:r>
            <w:r w:rsidR="00033484">
              <w:rPr>
                <w:rFonts w:ascii="Fira Sans" w:hAnsi="Fira Sans" w:cs="Arial"/>
                <w:color w:val="000000"/>
                <w:sz w:val="20"/>
                <w:lang w:val="fi-FI"/>
              </w:rPr>
              <w:t>695 255 011</w:t>
            </w:r>
          </w:p>
          <w:p w:rsidR="00875905" w:rsidRPr="003F20F8" w:rsidRDefault="00875905" w:rsidP="00875905">
            <w:pPr>
              <w:pStyle w:val="Nagwek3"/>
              <w:spacing w:before="0" w:line="240" w:lineRule="auto"/>
              <w:rPr>
                <w:rFonts w:ascii="Fira Sans" w:hAnsi="Fira Sans" w:cs="Arial"/>
                <w:color w:val="000000"/>
                <w:sz w:val="20"/>
                <w:szCs w:val="20"/>
                <w:lang w:val="en-US"/>
              </w:rPr>
            </w:pPr>
          </w:p>
        </w:tc>
      </w:tr>
    </w:tbl>
    <w:p w:rsidR="00CD26D8" w:rsidRPr="005771B2" w:rsidRDefault="00CD26D8" w:rsidP="00CD26D8">
      <w:pPr>
        <w:rPr>
          <w:sz w:val="20"/>
          <w:lang w:val="en-US"/>
        </w:rPr>
      </w:pPr>
    </w:p>
    <w:p w:rsidR="00CD26D8" w:rsidRPr="005771B2" w:rsidRDefault="00CD26D8" w:rsidP="00CD26D8">
      <w:pPr>
        <w:rPr>
          <w:sz w:val="18"/>
          <w:lang w:val="en-US"/>
        </w:rPr>
      </w:pPr>
    </w:p>
    <w:tbl>
      <w:tblPr>
        <w:tblW w:w="5000" w:type="pct"/>
        <w:tblCellMar>
          <w:left w:w="57" w:type="dxa"/>
          <w:right w:w="57" w:type="dxa"/>
        </w:tblCellMar>
        <w:tblLook w:val="04A0"/>
      </w:tblPr>
      <w:tblGrid>
        <w:gridCol w:w="4452"/>
        <w:gridCol w:w="604"/>
        <w:gridCol w:w="3125"/>
      </w:tblGrid>
      <w:tr w:rsidR="00CD26D8" w:rsidRPr="00661C39" w:rsidTr="00470DCE">
        <w:trPr>
          <w:trHeight w:val="610"/>
        </w:trPr>
        <w:tc>
          <w:tcPr>
            <w:tcW w:w="2721" w:type="pct"/>
            <w:vMerge w:val="restart"/>
            <w:shd w:val="clear" w:color="auto" w:fill="auto"/>
            <w:vAlign w:val="center"/>
          </w:tcPr>
          <w:p w:rsidR="00CD26D8" w:rsidRPr="000F45BD" w:rsidRDefault="00970AD1" w:rsidP="00470DCE">
            <w:pPr>
              <w:spacing w:after="120" w:line="240" w:lineRule="exact"/>
              <w:rPr>
                <w:rFonts w:ascii="Fira Sans" w:hAnsi="Fira Sans"/>
                <w:b/>
                <w:sz w:val="20"/>
                <w:lang w:val="en-US"/>
              </w:rPr>
            </w:pPr>
            <w:r w:rsidRPr="000F45BD">
              <w:rPr>
                <w:rFonts w:ascii="Fira Sans" w:hAnsi="Fira Sans"/>
                <w:b/>
                <w:sz w:val="20"/>
                <w:lang w:val="en-US"/>
              </w:rPr>
              <w:t>Press Office</w:t>
            </w:r>
            <w:r w:rsidR="00CD26D8" w:rsidRPr="000F45BD">
              <w:rPr>
                <w:rFonts w:ascii="Fira Sans" w:hAnsi="Fira Sans"/>
                <w:b/>
                <w:sz w:val="20"/>
                <w:lang w:val="en-US"/>
              </w:rPr>
              <w:t xml:space="preserve"> </w:t>
            </w:r>
          </w:p>
          <w:p w:rsidR="00CD26D8" w:rsidRPr="000F45BD" w:rsidRDefault="00970AD1" w:rsidP="00470DCE">
            <w:pPr>
              <w:spacing w:after="120" w:line="240" w:lineRule="exact"/>
              <w:rPr>
                <w:rFonts w:ascii="Fira Sans" w:hAnsi="Fira Sans"/>
                <w:sz w:val="20"/>
                <w:lang w:val="en-US"/>
              </w:rPr>
            </w:pPr>
            <w:r w:rsidRPr="000F45BD">
              <w:rPr>
                <w:rFonts w:ascii="Fira Sans" w:hAnsi="Fira Sans"/>
                <w:sz w:val="20"/>
                <w:lang w:val="en-US"/>
              </w:rPr>
              <w:t>Office: Tel.+48</w:t>
            </w:r>
            <w:r w:rsidR="00CD26D8" w:rsidRPr="000F45BD">
              <w:rPr>
                <w:rFonts w:ascii="Fira Sans" w:hAnsi="Fira Sans"/>
                <w:b/>
                <w:sz w:val="20"/>
                <w:lang w:val="en-US"/>
              </w:rPr>
              <w:t xml:space="preserve"> </w:t>
            </w:r>
            <w:r w:rsidR="00CD26D8" w:rsidRPr="000F45BD">
              <w:rPr>
                <w:rFonts w:ascii="Fira Sans" w:hAnsi="Fira Sans"/>
                <w:sz w:val="20"/>
                <w:lang w:val="en-US"/>
              </w:rPr>
              <w:t>22</w:t>
            </w:r>
            <w:r w:rsidRPr="000F45BD">
              <w:rPr>
                <w:rFonts w:ascii="Fira Sans" w:hAnsi="Fira Sans"/>
                <w:sz w:val="20"/>
                <w:lang w:val="en-US"/>
              </w:rPr>
              <w:t>)</w:t>
            </w:r>
            <w:r w:rsidR="00CD26D8" w:rsidRPr="000F45BD">
              <w:rPr>
                <w:rFonts w:ascii="Fira Sans" w:hAnsi="Fira Sans"/>
                <w:sz w:val="20"/>
                <w:lang w:val="en-US"/>
              </w:rPr>
              <w:t xml:space="preserve"> 608 34 91</w:t>
            </w:r>
            <w:r w:rsidR="000B691F" w:rsidRPr="000F45BD">
              <w:rPr>
                <w:rFonts w:ascii="Fira Sans" w:hAnsi="Fira Sans"/>
                <w:sz w:val="20"/>
                <w:lang w:val="en-US"/>
              </w:rPr>
              <w:t>.</w:t>
            </w:r>
            <w:r w:rsidR="00CD26D8" w:rsidRPr="000F45BD">
              <w:rPr>
                <w:rFonts w:ascii="Fira Sans" w:hAnsi="Fira Sans"/>
                <w:sz w:val="20"/>
                <w:lang w:val="en-US"/>
              </w:rPr>
              <w:t xml:space="preserve"> 22 608 38 04 </w:t>
            </w:r>
          </w:p>
          <w:p w:rsidR="00CD26D8" w:rsidRPr="003F20F8" w:rsidRDefault="00CD26D8" w:rsidP="00470DCE">
            <w:pPr>
              <w:spacing w:after="120" w:line="240" w:lineRule="exact"/>
              <w:rPr>
                <w:rFonts w:ascii="Fira Sans" w:hAnsi="Fira Sans"/>
                <w:sz w:val="18"/>
                <w:lang w:val="en-US"/>
              </w:rPr>
            </w:pPr>
            <w:r w:rsidRPr="003F20F8">
              <w:rPr>
                <w:rFonts w:ascii="Fira Sans" w:hAnsi="Fira Sans"/>
                <w:b/>
                <w:sz w:val="20"/>
                <w:lang w:val="en-US"/>
              </w:rPr>
              <w:t>e-mail:</w:t>
            </w:r>
            <w:r w:rsidRPr="007E71AB">
              <w:rPr>
                <w:rFonts w:ascii="Fira Sans" w:hAnsi="Fira Sans"/>
                <w:b/>
                <w:sz w:val="20"/>
                <w:lang w:val="en-US"/>
              </w:rPr>
              <w:t xml:space="preserve"> </w:t>
            </w:r>
            <w:hyperlink r:id="rId19" w:history="1">
              <w:r w:rsidRPr="007E71AB">
                <w:rPr>
                  <w:rStyle w:val="Hipercze"/>
                  <w:rFonts w:ascii="Fira Sans" w:hAnsi="Fira Sans"/>
                  <w:b/>
                  <w:color w:val="auto"/>
                  <w:sz w:val="20"/>
                  <w:lang w:val="en-US"/>
                </w:rPr>
                <w:t>obslugaprasowa@stat.gov.pl</w:t>
              </w:r>
            </w:hyperlink>
          </w:p>
        </w:tc>
        <w:tc>
          <w:tcPr>
            <w:tcW w:w="369" w:type="pct"/>
            <w:shd w:val="clear" w:color="auto" w:fill="auto"/>
            <w:vAlign w:val="center"/>
          </w:tcPr>
          <w:p w:rsidR="00CD26D8" w:rsidRPr="003F20F8" w:rsidRDefault="00CD26D8" w:rsidP="00470DCE">
            <w:pPr>
              <w:spacing w:after="0" w:line="240" w:lineRule="auto"/>
              <w:rPr>
                <w:rFonts w:ascii="Fira Sans" w:hAnsi="Fira Sans"/>
                <w:sz w:val="18"/>
                <w:lang w:val="en-US"/>
              </w:rPr>
            </w:pPr>
            <w:r>
              <w:rPr>
                <w:noProof/>
                <w:lang w:eastAsia="pl-PL"/>
              </w:rPr>
              <w:drawing>
                <wp:anchor distT="0" distB="0" distL="114300" distR="114300" simplePos="0" relativeHeight="251809792" behindDoc="0" locked="0" layoutInCell="1" allowOverlap="1">
                  <wp:simplePos x="0" y="0"/>
                  <wp:positionH relativeFrom="column">
                    <wp:posOffset>81915</wp:posOffset>
                  </wp:positionH>
                  <wp:positionV relativeFrom="paragraph">
                    <wp:posOffset>347345</wp:posOffset>
                  </wp:positionV>
                  <wp:extent cx="256540" cy="25146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540" cy="251460"/>
                          </a:xfrm>
                          <a:prstGeom prst="rect">
                            <a:avLst/>
                          </a:prstGeom>
                          <a:noFill/>
                          <a:ln>
                            <a:noFill/>
                          </a:ln>
                        </pic:spPr>
                      </pic:pic>
                    </a:graphicData>
                  </a:graphic>
                </wp:anchor>
              </w:drawing>
            </w:r>
            <w:r>
              <w:rPr>
                <w:noProof/>
                <w:lang w:eastAsia="pl-PL"/>
              </w:rPr>
              <w:drawing>
                <wp:anchor distT="0" distB="0" distL="114300" distR="114300" simplePos="0" relativeHeight="251807744"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vAlign w:val="center"/>
          </w:tcPr>
          <w:p w:rsidR="00CD26D8" w:rsidRPr="000F45BD" w:rsidRDefault="00CD26D8" w:rsidP="00470DCE">
            <w:pPr>
              <w:spacing w:after="0" w:line="240" w:lineRule="auto"/>
              <w:rPr>
                <w:rFonts w:ascii="Fira Sans" w:hAnsi="Fira Sans"/>
                <w:sz w:val="18"/>
                <w:lang w:val="en-US"/>
              </w:rPr>
            </w:pPr>
            <w:r w:rsidRPr="000F45BD">
              <w:rPr>
                <w:rFonts w:ascii="Fira Sans" w:hAnsi="Fira Sans"/>
                <w:sz w:val="20"/>
                <w:lang w:val="en-US"/>
              </w:rPr>
              <w:t>www.stat.gov.pl</w:t>
            </w:r>
            <w:r w:rsidR="0084287F" w:rsidRPr="000F45BD">
              <w:rPr>
                <w:rFonts w:ascii="Fira Sans" w:hAnsi="Fira Sans"/>
                <w:sz w:val="20"/>
                <w:lang w:val="en-US"/>
              </w:rPr>
              <w:t>/en/</w:t>
            </w:r>
          </w:p>
        </w:tc>
      </w:tr>
      <w:tr w:rsidR="00CD26D8" w:rsidRPr="003F20F8" w:rsidTr="00470DCE">
        <w:trPr>
          <w:trHeight w:val="436"/>
        </w:trPr>
        <w:tc>
          <w:tcPr>
            <w:tcW w:w="2721" w:type="pct"/>
            <w:vMerge/>
            <w:shd w:val="clear" w:color="auto" w:fill="auto"/>
            <w:vAlign w:val="center"/>
          </w:tcPr>
          <w:p w:rsidR="00CD26D8" w:rsidRPr="000F45BD" w:rsidRDefault="00CD26D8" w:rsidP="00470DCE">
            <w:pPr>
              <w:spacing w:after="0" w:line="240" w:lineRule="auto"/>
              <w:rPr>
                <w:sz w:val="18"/>
                <w:lang w:val="en-US"/>
              </w:rPr>
            </w:pPr>
          </w:p>
        </w:tc>
        <w:tc>
          <w:tcPr>
            <w:tcW w:w="369" w:type="pct"/>
            <w:shd w:val="clear" w:color="auto" w:fill="auto"/>
            <w:vAlign w:val="center"/>
          </w:tcPr>
          <w:p w:rsidR="00CD26D8" w:rsidRPr="000F45BD" w:rsidRDefault="00CD26D8" w:rsidP="00470DCE">
            <w:pPr>
              <w:spacing w:after="0" w:line="240" w:lineRule="auto"/>
              <w:rPr>
                <w:sz w:val="18"/>
                <w:lang w:val="en-US"/>
              </w:rPr>
            </w:pPr>
          </w:p>
        </w:tc>
        <w:tc>
          <w:tcPr>
            <w:tcW w:w="1910" w:type="pct"/>
            <w:shd w:val="clear" w:color="auto" w:fill="auto"/>
          </w:tcPr>
          <w:p w:rsidR="00CD26D8" w:rsidRPr="003F20F8" w:rsidRDefault="00CD26D8" w:rsidP="0084287F">
            <w:pPr>
              <w:spacing w:after="0" w:line="240" w:lineRule="auto"/>
              <w:rPr>
                <w:rFonts w:ascii="Fira Sans" w:hAnsi="Fira Sans"/>
                <w:sz w:val="18"/>
              </w:rPr>
            </w:pPr>
            <w:r w:rsidRPr="003F20F8">
              <w:rPr>
                <w:rFonts w:ascii="Fira Sans" w:hAnsi="Fira Sans"/>
                <w:sz w:val="20"/>
              </w:rPr>
              <w:t>@</w:t>
            </w:r>
            <w:r w:rsidR="0084287F">
              <w:rPr>
                <w:rFonts w:ascii="Fira Sans" w:hAnsi="Fira Sans"/>
                <w:sz w:val="20"/>
              </w:rPr>
              <w:t>StatPoland</w:t>
            </w:r>
          </w:p>
        </w:tc>
      </w:tr>
      <w:tr w:rsidR="00CD26D8" w:rsidRPr="003F20F8" w:rsidTr="00470DCE">
        <w:trPr>
          <w:trHeight w:val="436"/>
        </w:trPr>
        <w:tc>
          <w:tcPr>
            <w:tcW w:w="2721" w:type="pct"/>
            <w:vMerge/>
            <w:shd w:val="clear" w:color="auto" w:fill="auto"/>
            <w:vAlign w:val="center"/>
          </w:tcPr>
          <w:p w:rsidR="00CD26D8" w:rsidRPr="003F20F8" w:rsidRDefault="00CD26D8" w:rsidP="00470DCE">
            <w:pPr>
              <w:spacing w:after="0" w:line="240" w:lineRule="auto"/>
              <w:rPr>
                <w:sz w:val="18"/>
              </w:rPr>
            </w:pPr>
          </w:p>
        </w:tc>
        <w:tc>
          <w:tcPr>
            <w:tcW w:w="369" w:type="pct"/>
            <w:shd w:val="clear" w:color="auto" w:fill="auto"/>
            <w:vAlign w:val="center"/>
          </w:tcPr>
          <w:p w:rsidR="00CD26D8" w:rsidRPr="003F20F8" w:rsidRDefault="00CD26D8" w:rsidP="00470DCE">
            <w:pPr>
              <w:spacing w:after="0" w:line="240" w:lineRule="auto"/>
              <w:rPr>
                <w:sz w:val="18"/>
              </w:rPr>
            </w:pPr>
            <w:r>
              <w:rPr>
                <w:noProof/>
                <w:lang w:eastAsia="pl-PL"/>
              </w:rPr>
              <w:drawing>
                <wp:anchor distT="0" distB="0" distL="114300" distR="114300" simplePos="0" relativeHeight="251808768"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540" cy="251460"/>
                          </a:xfrm>
                          <a:prstGeom prst="rect">
                            <a:avLst/>
                          </a:prstGeom>
                          <a:noFill/>
                          <a:ln>
                            <a:noFill/>
                          </a:ln>
                        </pic:spPr>
                      </pic:pic>
                    </a:graphicData>
                  </a:graphic>
                </wp:anchor>
              </w:drawing>
            </w:r>
          </w:p>
        </w:tc>
        <w:tc>
          <w:tcPr>
            <w:tcW w:w="1910" w:type="pct"/>
            <w:shd w:val="clear" w:color="auto" w:fill="auto"/>
          </w:tcPr>
          <w:p w:rsidR="00CD26D8" w:rsidRPr="003F20F8" w:rsidRDefault="00CD26D8" w:rsidP="00470DCE">
            <w:pPr>
              <w:spacing w:after="0" w:line="240" w:lineRule="auto"/>
              <w:rPr>
                <w:rFonts w:ascii="Fira Sans" w:hAnsi="Fira Sans"/>
                <w:sz w:val="20"/>
              </w:rPr>
            </w:pPr>
            <w:r w:rsidRPr="003F20F8">
              <w:rPr>
                <w:rFonts w:ascii="Fira Sans" w:hAnsi="Fira Sans"/>
                <w:sz w:val="20"/>
              </w:rPr>
              <w:t>@GlownyUrzadStatystyczny</w:t>
            </w:r>
          </w:p>
        </w:tc>
      </w:tr>
    </w:tbl>
    <w:p w:rsidR="00CD26D8" w:rsidRPr="000744C0" w:rsidRDefault="00C47A6B" w:rsidP="00CD26D8">
      <w:pPr>
        <w:rPr>
          <w:sz w:val="18"/>
        </w:rPr>
      </w:pPr>
      <w:r>
        <w:rPr>
          <w:noProof/>
          <w:sz w:val="18"/>
          <w:lang w:eastAsia="pl-PL"/>
        </w:rPr>
        <w:pict>
          <v:shape id="Text Box 65" o:spid="_x0000_s1032" type="#_x0000_t202" style="position:absolute;margin-left:-5.25pt;margin-top:93.8pt;width:516.5pt;height:313.25pt;z-index:25181081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" fillcolor="#f2f2f2" strokecolor="white">
            <v:textbox style="mso-next-textbox:#Text Box 65">
              <w:txbxContent>
                <w:p w:rsidR="00133140" w:rsidRDefault="00133140" w:rsidP="00CD26D8">
                  <w:pPr>
                    <w:rPr>
                      <w:b/>
                    </w:rPr>
                  </w:pPr>
                </w:p>
                <w:p w:rsidR="00133140" w:rsidRPr="000F45BD" w:rsidRDefault="006E1DDA" w:rsidP="00CD26D8">
                  <w:pPr>
                    <w:spacing w:after="120" w:line="240" w:lineRule="exact"/>
                    <w:rPr>
                      <w:rFonts w:ascii="Fira Sans" w:hAnsi="Fira Sans"/>
                      <w:b/>
                      <w:sz w:val="19"/>
                      <w:szCs w:val="19"/>
                      <w:lang w:val="en-US"/>
                    </w:rPr>
                  </w:pPr>
                  <w:r w:rsidRPr="000F45BD">
                    <w:rPr>
                      <w:rFonts w:ascii="Fira Sans" w:hAnsi="Fira Sans"/>
                      <w:b/>
                      <w:sz w:val="19"/>
                      <w:szCs w:val="19"/>
                      <w:lang w:val="en-US"/>
                    </w:rPr>
                    <w:t>Related information</w:t>
                  </w:r>
                </w:p>
                <w:p w:rsidR="004B514A" w:rsidRPr="000F45BD" w:rsidRDefault="00C47A6B" w:rsidP="004B514A">
                  <w:pPr>
                    <w:spacing w:before="120" w:after="120" w:line="240" w:lineRule="exact"/>
                    <w:rPr>
                      <w:rStyle w:val="Hipercze"/>
                      <w:rFonts w:cstheme="minorBidi"/>
                      <w:color w:val="001D77"/>
                      <w:lang w:val="en-US"/>
                    </w:rPr>
                  </w:pPr>
                  <w:hyperlink r:id="rId23" w:history="1">
                    <w:r w:rsidR="004B514A" w:rsidRPr="000F45BD">
                      <w:rPr>
                        <w:rStyle w:val="Hipercze"/>
                        <w:rFonts w:ascii="Fira Sans" w:hAnsi="Fira Sans" w:cstheme="minorBidi"/>
                        <w:color w:val="001D77"/>
                        <w:sz w:val="18"/>
                        <w:szCs w:val="18"/>
                        <w:lang w:val="en-US"/>
                      </w:rPr>
                      <w:t>Information on the socio-economic situation of the country in 2019</w:t>
                    </w:r>
                  </w:hyperlink>
                  <w:r w:rsidR="004B514A" w:rsidRPr="000F45BD">
                    <w:rPr>
                      <w:rStyle w:val="Hipercze"/>
                      <w:rFonts w:cstheme="minorBidi"/>
                      <w:color w:val="001D77"/>
                      <w:lang w:val="en-US"/>
                    </w:rPr>
                    <w:t xml:space="preserve"> </w:t>
                  </w:r>
                </w:p>
                <w:p w:rsidR="004B514A" w:rsidRPr="000F45BD" w:rsidRDefault="00C47A6B" w:rsidP="004B514A">
                  <w:pPr>
                    <w:rPr>
                      <w:rStyle w:val="Hipercze"/>
                      <w:rFonts w:ascii="Fira Sans" w:hAnsi="Fira Sans" w:cstheme="minorBidi"/>
                      <w:color w:val="001D77"/>
                      <w:sz w:val="18"/>
                      <w:szCs w:val="18"/>
                      <w:lang w:val="en-US"/>
                    </w:rPr>
                  </w:pPr>
                  <w:hyperlink r:id="rId24" w:history="1">
                    <w:r w:rsidR="004B514A" w:rsidRPr="000F45BD">
                      <w:rPr>
                        <w:rStyle w:val="Hipercze"/>
                        <w:rFonts w:ascii="Fira Sans" w:hAnsi="Fira Sans" w:cstheme="minorBidi"/>
                        <w:color w:val="001D77"/>
                        <w:sz w:val="18"/>
                        <w:szCs w:val="18"/>
                        <w:lang w:val="en-US"/>
                      </w:rPr>
                      <w:t>Procurement and prices of agricultural products in 2018</w:t>
                    </w:r>
                  </w:hyperlink>
                  <w:r w:rsidR="004B514A" w:rsidRPr="000F45BD">
                    <w:rPr>
                      <w:rStyle w:val="Hipercze"/>
                      <w:rFonts w:ascii="Fira Sans" w:hAnsi="Fira Sans" w:cstheme="minorBidi"/>
                      <w:color w:val="001D77"/>
                      <w:sz w:val="18"/>
                      <w:szCs w:val="18"/>
                      <w:lang w:val="en-US"/>
                    </w:rPr>
                    <w:t xml:space="preserve"> </w:t>
                  </w:r>
                </w:p>
                <w:p w:rsidR="004B514A" w:rsidRPr="000F45BD" w:rsidRDefault="00C47A6B" w:rsidP="004B514A">
                  <w:pPr>
                    <w:rPr>
                      <w:rStyle w:val="Hipercze"/>
                      <w:rFonts w:cstheme="minorBidi"/>
                      <w:color w:val="001D77"/>
                      <w:lang w:val="en-US"/>
                    </w:rPr>
                  </w:pPr>
                  <w:hyperlink r:id="rId25" w:history="1">
                    <w:r w:rsidR="004B514A" w:rsidRPr="000F45BD">
                      <w:rPr>
                        <w:rStyle w:val="Hipercze"/>
                        <w:rFonts w:ascii="Fira Sans" w:hAnsi="Fira Sans" w:cstheme="minorBidi"/>
                        <w:color w:val="001D77"/>
                        <w:sz w:val="18"/>
                        <w:szCs w:val="18"/>
                        <w:lang w:val="en-US"/>
                      </w:rPr>
                      <w:t>Prices in the national economy in 2014-2018</w:t>
                    </w:r>
                  </w:hyperlink>
                  <w:r w:rsidR="004B514A" w:rsidRPr="000F45BD">
                    <w:rPr>
                      <w:rStyle w:val="Hipercze"/>
                      <w:rFonts w:cstheme="minorBidi"/>
                      <w:color w:val="001D77"/>
                      <w:lang w:val="en-US"/>
                    </w:rPr>
                    <w:t xml:space="preserve"> </w:t>
                  </w:r>
                </w:p>
                <w:p w:rsidR="00133140" w:rsidRPr="000F45BD" w:rsidRDefault="00133140" w:rsidP="00CD26D8">
                  <w:pPr>
                    <w:spacing w:after="120" w:line="240" w:lineRule="exact"/>
                    <w:rPr>
                      <w:rFonts w:ascii="Fira Sans" w:hAnsi="Fira Sans"/>
                      <w:b/>
                      <w:color w:val="000000"/>
                      <w:szCs w:val="24"/>
                      <w:lang w:val="en-US"/>
                    </w:rPr>
                  </w:pPr>
                </w:p>
                <w:p w:rsidR="00133140" w:rsidRPr="000F45BD" w:rsidRDefault="00CE315A" w:rsidP="00CD26D8">
                  <w:pPr>
                    <w:spacing w:after="120" w:line="240" w:lineRule="exact"/>
                    <w:rPr>
                      <w:rStyle w:val="Hipercze"/>
                      <w:rFonts w:ascii="Fira Sans" w:hAnsi="Fira Sans"/>
                      <w:b/>
                      <w:color w:val="000000"/>
                      <w:sz w:val="19"/>
                      <w:szCs w:val="19"/>
                      <w:u w:val="none"/>
                      <w:lang w:val="en-US"/>
                    </w:rPr>
                  </w:pPr>
                  <w:r w:rsidRPr="000F45BD">
                    <w:rPr>
                      <w:rFonts w:ascii="Fira Sans" w:hAnsi="Fira Sans"/>
                      <w:b/>
                      <w:color w:val="000000"/>
                      <w:sz w:val="19"/>
                      <w:szCs w:val="19"/>
                      <w:lang w:val="en-US"/>
                    </w:rPr>
                    <w:t>Data available in databases</w:t>
                  </w:r>
                </w:p>
                <w:p w:rsidR="00126062" w:rsidRPr="000F45BD" w:rsidRDefault="00C47A6B" w:rsidP="00126062">
                  <w:pPr>
                    <w:rPr>
                      <w:rStyle w:val="Hipercze"/>
                      <w:rFonts w:ascii="Fira Sans" w:hAnsi="Fira Sans" w:cstheme="minorBidi"/>
                      <w:color w:val="001D77"/>
                      <w:sz w:val="18"/>
                      <w:szCs w:val="18"/>
                      <w:lang w:val="en-US"/>
                    </w:rPr>
                  </w:pPr>
                  <w:hyperlink r:id="rId26" w:history="1">
                    <w:r w:rsidR="00126062" w:rsidRPr="000F45BD">
                      <w:rPr>
                        <w:rStyle w:val="Hipercze"/>
                        <w:rFonts w:ascii="Fira Sans" w:hAnsi="Fira Sans" w:cstheme="minorBidi"/>
                        <w:color w:val="001D77"/>
                        <w:sz w:val="18"/>
                        <w:szCs w:val="18"/>
                        <w:lang w:val="en-US"/>
                      </w:rPr>
                      <w:t>BDL - Prices in agriculture (monthly and annual data)</w:t>
                    </w:r>
                  </w:hyperlink>
                  <w:r w:rsidR="00126062" w:rsidRPr="000F45BD">
                    <w:rPr>
                      <w:rStyle w:val="Hipercze"/>
                      <w:rFonts w:ascii="Fira Sans" w:hAnsi="Fira Sans" w:cstheme="minorBidi"/>
                      <w:color w:val="001D77"/>
                      <w:sz w:val="18"/>
                      <w:szCs w:val="18"/>
                      <w:lang w:val="en-US"/>
                    </w:rPr>
                    <w:t xml:space="preserve"> </w:t>
                  </w:r>
                </w:p>
                <w:p w:rsidR="00126062" w:rsidRPr="000F45BD" w:rsidRDefault="00C47A6B" w:rsidP="00126062">
                  <w:pPr>
                    <w:rPr>
                      <w:rStyle w:val="Hipercze"/>
                      <w:rFonts w:cstheme="minorBidi"/>
                      <w:color w:val="001D77"/>
                      <w:sz w:val="18"/>
                      <w:szCs w:val="18"/>
                      <w:lang w:val="en-US"/>
                    </w:rPr>
                  </w:pPr>
                  <w:hyperlink r:id="rId27" w:history="1">
                    <w:r w:rsidR="00126062" w:rsidRPr="000F45BD">
                      <w:rPr>
                        <w:rStyle w:val="Hipercze"/>
                        <w:rFonts w:ascii="Fira Sans" w:hAnsi="Fira Sans" w:cstheme="minorBidi"/>
                        <w:color w:val="001D77"/>
                        <w:sz w:val="18"/>
                        <w:szCs w:val="18"/>
                        <w:lang w:val="en-US"/>
                      </w:rPr>
                      <w:t>DBW - Prices in agriculture (monthly and annual data)</w:t>
                    </w:r>
                  </w:hyperlink>
                </w:p>
                <w:p w:rsidR="00133140" w:rsidRPr="000F45BD" w:rsidRDefault="00133140" w:rsidP="00CD26D8">
                  <w:pPr>
                    <w:spacing w:after="120" w:line="240" w:lineRule="exact"/>
                    <w:rPr>
                      <w:rFonts w:ascii="Fira Sans" w:hAnsi="Fira Sans"/>
                      <w:b/>
                      <w:color w:val="000000"/>
                      <w:szCs w:val="24"/>
                      <w:lang w:val="en-US"/>
                    </w:rPr>
                  </w:pPr>
                </w:p>
                <w:p w:rsidR="00133140" w:rsidRPr="000F45BD" w:rsidRDefault="00CE315A" w:rsidP="00CD26D8">
                  <w:pPr>
                    <w:spacing w:after="120" w:line="240" w:lineRule="exact"/>
                    <w:rPr>
                      <w:rFonts w:ascii="Fira Sans" w:hAnsi="Fira Sans"/>
                      <w:b/>
                      <w:color w:val="000000"/>
                      <w:sz w:val="19"/>
                      <w:szCs w:val="19"/>
                      <w:lang w:val="en-US"/>
                    </w:rPr>
                  </w:pPr>
                  <w:r w:rsidRPr="000F45BD">
                    <w:rPr>
                      <w:rFonts w:ascii="Fira Sans" w:hAnsi="Fira Sans"/>
                      <w:b/>
                      <w:color w:val="000000"/>
                      <w:sz w:val="19"/>
                      <w:szCs w:val="19"/>
                      <w:lang w:val="en-US"/>
                    </w:rPr>
                    <w:t>Terms used in official statistics</w:t>
                  </w:r>
                </w:p>
                <w:p w:rsidR="004B7E72" w:rsidRPr="000F45BD" w:rsidRDefault="00C47A6B" w:rsidP="004B7E72">
                  <w:pPr>
                    <w:rPr>
                      <w:rStyle w:val="Hipercze"/>
                      <w:rFonts w:ascii="Fira Sans" w:hAnsi="Fira Sans" w:cstheme="minorBidi"/>
                      <w:color w:val="001D77"/>
                      <w:sz w:val="18"/>
                      <w:szCs w:val="18"/>
                      <w:lang w:val="en-US"/>
                    </w:rPr>
                  </w:pPr>
                  <w:hyperlink r:id="rId28" w:history="1">
                    <w:r w:rsidR="004B7E72" w:rsidRPr="000F45BD">
                      <w:rPr>
                        <w:rStyle w:val="Hipercze"/>
                        <w:rFonts w:ascii="Fira Sans" w:hAnsi="Fira Sans" w:cstheme="minorBidi"/>
                        <w:color w:val="001D77"/>
                        <w:sz w:val="18"/>
                        <w:szCs w:val="18"/>
                        <w:lang w:val="en-US"/>
                      </w:rPr>
                      <w:t>Procurement of agricultural products</w:t>
                    </w:r>
                  </w:hyperlink>
                </w:p>
                <w:p w:rsidR="004B7E72" w:rsidRPr="00986B31" w:rsidRDefault="00C47A6B" w:rsidP="004B7E72">
                  <w:pPr>
                    <w:rPr>
                      <w:rStyle w:val="Hipercze"/>
                      <w:rFonts w:ascii="Fira Sans" w:hAnsi="Fira Sans" w:cstheme="minorBidi"/>
                      <w:color w:val="001D77"/>
                      <w:sz w:val="18"/>
                      <w:szCs w:val="18"/>
                    </w:rPr>
                  </w:pPr>
                  <w:hyperlink r:id="rId29" w:history="1">
                    <w:r w:rsidR="004B7E72" w:rsidRPr="00986B31">
                      <w:rPr>
                        <w:rStyle w:val="Hipercze"/>
                        <w:rFonts w:ascii="Fira Sans" w:hAnsi="Fira Sans" w:cstheme="minorBidi"/>
                        <w:color w:val="001D77"/>
                        <w:sz w:val="18"/>
                        <w:szCs w:val="18"/>
                      </w:rPr>
                      <w:t>Procurement prices</w:t>
                    </w:r>
                  </w:hyperlink>
                </w:p>
                <w:p w:rsidR="00713967" w:rsidRPr="00B94304" w:rsidRDefault="00C47A6B" w:rsidP="00713967">
                  <w:pPr>
                    <w:rPr>
                      <w:rStyle w:val="Hipercze"/>
                      <w:rFonts w:ascii="Fira Sans" w:hAnsi="Fira Sans" w:cstheme="minorBidi"/>
                      <w:color w:val="001D77"/>
                      <w:sz w:val="18"/>
                      <w:szCs w:val="18"/>
                    </w:rPr>
                  </w:pPr>
                  <w:hyperlink r:id="rId30" w:history="1">
                    <w:r w:rsidR="00713967" w:rsidRPr="00B94304">
                      <w:rPr>
                        <w:rStyle w:val="Hipercze"/>
                        <w:rFonts w:ascii="Fira Sans" w:hAnsi="Fira Sans" w:cstheme="minorBidi"/>
                        <w:color w:val="001D77"/>
                        <w:sz w:val="18"/>
                        <w:szCs w:val="18"/>
                      </w:rPr>
                      <w:t>Marketplace</w:t>
                    </w:r>
                  </w:hyperlink>
                  <w:r w:rsidR="00713967" w:rsidRPr="00B94304">
                    <w:rPr>
                      <w:rStyle w:val="Hipercze"/>
                      <w:rFonts w:ascii="Fira Sans" w:hAnsi="Fira Sans" w:cstheme="minorBidi"/>
                      <w:color w:val="001D77"/>
                      <w:sz w:val="18"/>
                      <w:szCs w:val="18"/>
                    </w:rPr>
                    <w:t xml:space="preserve"> </w:t>
                  </w:r>
                </w:p>
                <w:p w:rsidR="00713967" w:rsidRPr="004F677F" w:rsidRDefault="00C47A6B" w:rsidP="00713967">
                  <w:pPr>
                    <w:rPr>
                      <w:rStyle w:val="Hipercze"/>
                      <w:rFonts w:ascii="Fira Sans" w:hAnsi="Fira Sans" w:cstheme="minorBidi"/>
                      <w:color w:val="001D77"/>
                      <w:sz w:val="18"/>
                      <w:szCs w:val="18"/>
                    </w:rPr>
                  </w:pPr>
                  <w:hyperlink r:id="rId31" w:history="1">
                    <w:r w:rsidR="00713967" w:rsidRPr="004F677F">
                      <w:rPr>
                        <w:rStyle w:val="Hipercze"/>
                        <w:rFonts w:ascii="Fira Sans" w:hAnsi="Fira Sans" w:cstheme="minorBidi"/>
                        <w:color w:val="001D77"/>
                        <w:sz w:val="18"/>
                        <w:szCs w:val="18"/>
                      </w:rPr>
                      <w:t>Marketplace</w:t>
                    </w:r>
                  </w:hyperlink>
                  <w:r w:rsidR="00713967" w:rsidRPr="004F677F">
                    <w:rPr>
                      <w:rStyle w:val="Hipercze"/>
                      <w:rFonts w:ascii="Fira Sans" w:hAnsi="Fira Sans" w:cstheme="minorBidi"/>
                      <w:color w:val="001D77"/>
                      <w:sz w:val="18"/>
                      <w:szCs w:val="18"/>
                    </w:rPr>
                    <w:t xml:space="preserve"> prices </w:t>
                  </w:r>
                </w:p>
                <w:p w:rsidR="00133140" w:rsidRPr="00564813" w:rsidRDefault="00133140" w:rsidP="00CD26D8">
                  <w:pPr>
                    <w:rPr>
                      <w:b/>
                      <w:color w:val="000000"/>
                      <w:szCs w:val="24"/>
                    </w:rPr>
                  </w:pPr>
                </w:p>
              </w:txbxContent>
            </v:textbox>
            <w10:wrap type="square" anchorx="margin"/>
          </v:shape>
        </w:pict>
      </w:r>
    </w:p>
    <w:p w:rsidR="00815A82" w:rsidRDefault="00815A82" w:rsidP="00CD26D8">
      <w:pPr>
        <w:rPr>
          <w:sz w:val="18"/>
        </w:rPr>
      </w:pPr>
    </w:p>
    <w:p w:rsidR="004B514A" w:rsidRDefault="004B514A" w:rsidP="00CD26D8">
      <w:pPr>
        <w:rPr>
          <w:sz w:val="18"/>
        </w:rPr>
      </w:pPr>
    </w:p>
    <w:p w:rsidR="004B514A" w:rsidRDefault="004B514A" w:rsidP="00CD26D8">
      <w:pPr>
        <w:rPr>
          <w:sz w:val="18"/>
        </w:rPr>
      </w:pPr>
    </w:p>
    <w:p w:rsidR="004B514A" w:rsidRPr="000744C0" w:rsidRDefault="004B514A" w:rsidP="00CD26D8">
      <w:pPr>
        <w:rPr>
          <w:sz w:val="18"/>
        </w:rPr>
      </w:pPr>
    </w:p>
    <w:sectPr w:rsidR="004B514A" w:rsidRPr="000744C0" w:rsidSect="00F32458">
      <w:headerReference w:type="default" r:id="rId32"/>
      <w:headerReference w:type="first" r:id="rId33"/>
      <w:pgSz w:w="11906" w:h="16838"/>
      <w:pgMar w:top="720" w:right="3119" w:bottom="720" w:left="720" w:header="170"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695" w:rsidRDefault="00824695" w:rsidP="000662E2">
      <w:pPr>
        <w:spacing w:after="0" w:line="240" w:lineRule="auto"/>
      </w:pPr>
      <w:r>
        <w:separator/>
      </w:r>
    </w:p>
  </w:endnote>
  <w:endnote w:type="continuationSeparator" w:id="0">
    <w:p w:rsidR="00824695" w:rsidRDefault="00824695" w:rsidP="0006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40" w:rsidRPr="006F2D45" w:rsidRDefault="00C47A6B">
    <w:pPr>
      <w:pStyle w:val="Stopka"/>
      <w:jc w:val="center"/>
      <w:rPr>
        <w:sz w:val="18"/>
        <w:szCs w:val="18"/>
      </w:rPr>
    </w:pPr>
    <w:r w:rsidRPr="006F2D45">
      <w:rPr>
        <w:sz w:val="18"/>
        <w:szCs w:val="18"/>
      </w:rPr>
      <w:fldChar w:fldCharType="begin"/>
    </w:r>
    <w:r w:rsidR="00133140" w:rsidRPr="006F2D45">
      <w:rPr>
        <w:sz w:val="18"/>
        <w:szCs w:val="18"/>
      </w:rPr>
      <w:instrText>PAGE   \* MERGEFORMAT</w:instrText>
    </w:r>
    <w:r w:rsidRPr="006F2D45">
      <w:rPr>
        <w:sz w:val="18"/>
        <w:szCs w:val="18"/>
      </w:rPr>
      <w:fldChar w:fldCharType="separate"/>
    </w:r>
    <w:r w:rsidR="00D41F03">
      <w:rPr>
        <w:noProof/>
        <w:sz w:val="18"/>
        <w:szCs w:val="18"/>
      </w:rPr>
      <w:t>4</w:t>
    </w:r>
    <w:r w:rsidRPr="006F2D45">
      <w:rPr>
        <w:sz w:val="18"/>
        <w:szCs w:val="18"/>
      </w:rPr>
      <w:fldChar w:fldCharType="end"/>
    </w:r>
  </w:p>
  <w:p w:rsidR="00133140" w:rsidRDefault="0013314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40" w:rsidRPr="009F24C7" w:rsidRDefault="00C47A6B">
    <w:pPr>
      <w:pStyle w:val="Stopka"/>
      <w:jc w:val="center"/>
      <w:rPr>
        <w:sz w:val="18"/>
        <w:szCs w:val="18"/>
      </w:rPr>
    </w:pPr>
    <w:r w:rsidRPr="009F24C7">
      <w:rPr>
        <w:sz w:val="18"/>
        <w:szCs w:val="18"/>
      </w:rPr>
      <w:fldChar w:fldCharType="begin"/>
    </w:r>
    <w:r w:rsidR="00133140" w:rsidRPr="009F24C7">
      <w:rPr>
        <w:sz w:val="18"/>
        <w:szCs w:val="18"/>
      </w:rPr>
      <w:instrText>PAGE   \* MERGEFORMAT</w:instrText>
    </w:r>
    <w:r w:rsidRPr="009F24C7">
      <w:rPr>
        <w:sz w:val="18"/>
        <w:szCs w:val="18"/>
      </w:rPr>
      <w:fldChar w:fldCharType="separate"/>
    </w:r>
    <w:r w:rsidR="00D41F03">
      <w:rPr>
        <w:noProof/>
        <w:sz w:val="18"/>
        <w:szCs w:val="18"/>
      </w:rPr>
      <w:t>1</w:t>
    </w:r>
    <w:r w:rsidRPr="009F24C7">
      <w:rPr>
        <w:sz w:val="18"/>
        <w:szCs w:val="18"/>
      </w:rPr>
      <w:fldChar w:fldCharType="end"/>
    </w:r>
  </w:p>
  <w:p w:rsidR="00133140" w:rsidRDefault="0013314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695" w:rsidRDefault="00824695" w:rsidP="000662E2">
      <w:pPr>
        <w:spacing w:after="0" w:line="240" w:lineRule="auto"/>
      </w:pPr>
      <w:r>
        <w:separator/>
      </w:r>
    </w:p>
  </w:footnote>
  <w:footnote w:type="continuationSeparator" w:id="0">
    <w:p w:rsidR="00824695" w:rsidRDefault="00824695" w:rsidP="000662E2">
      <w:pPr>
        <w:spacing w:after="0" w:line="240" w:lineRule="auto"/>
      </w:pPr>
      <w:r>
        <w:continuationSeparator/>
      </w:r>
    </w:p>
  </w:footnote>
  <w:footnote w:id="1">
    <w:p w:rsidR="0034516E" w:rsidRPr="00661C39" w:rsidRDefault="0034516E" w:rsidP="0034516E">
      <w:pPr>
        <w:pStyle w:val="Tekstprzypisudolnego"/>
        <w:spacing w:before="120"/>
        <w:rPr>
          <w:lang w:val="en-US"/>
        </w:rPr>
      </w:pPr>
      <w:r>
        <w:rPr>
          <w:rStyle w:val="Odwoanieprzypisudolnego"/>
        </w:rPr>
        <w:footnoteRef/>
      </w:r>
      <w:r w:rsidRPr="00661C39">
        <w:rPr>
          <w:lang w:val="en-US"/>
        </w:rPr>
        <w:t xml:space="preserve"> </w:t>
      </w:r>
      <w:r w:rsidRPr="00661C39">
        <w:rPr>
          <w:rFonts w:ascii="Cambria" w:hAnsi="Cambria"/>
          <w:sz w:val="16"/>
          <w:szCs w:val="16"/>
          <w:lang w:val="en-US"/>
        </w:rPr>
        <w:t xml:space="preserve">Wheat, rye, cattle for slaughter, pigs for slaughter, </w:t>
      </w:r>
      <w:r w:rsidR="008F34D8" w:rsidRPr="00661C39">
        <w:rPr>
          <w:rFonts w:ascii="Cambria" w:hAnsi="Cambria"/>
          <w:sz w:val="16"/>
          <w:szCs w:val="16"/>
          <w:lang w:val="en-US"/>
        </w:rPr>
        <w:t>poultry,</w:t>
      </w:r>
      <w:r w:rsidRPr="00661C39">
        <w:rPr>
          <w:rFonts w:ascii="Cambria" w:hAnsi="Cambria"/>
          <w:sz w:val="16"/>
          <w:szCs w:val="16"/>
          <w:lang w:val="en-US"/>
        </w:rPr>
        <w:t xml:space="preserve"> cows’ milk</w:t>
      </w:r>
    </w:p>
  </w:footnote>
  <w:footnote w:id="2">
    <w:p w:rsidR="00636E88" w:rsidRPr="000F45BD" w:rsidRDefault="00636E88" w:rsidP="00636E88">
      <w:pPr>
        <w:pStyle w:val="Tekstprzypisudolnego"/>
        <w:rPr>
          <w:rFonts w:ascii="Fira Sans" w:hAnsi="Fira Sans"/>
          <w:sz w:val="16"/>
          <w:szCs w:val="16"/>
          <w:lang w:val="en-US"/>
        </w:rPr>
      </w:pPr>
      <w:r w:rsidRPr="00191893">
        <w:rPr>
          <w:rStyle w:val="Odwoanieprzypisudolnego"/>
          <w:rFonts w:ascii="Fira Sans" w:hAnsi="Fira Sans"/>
          <w:sz w:val="16"/>
          <w:szCs w:val="16"/>
        </w:rPr>
        <w:footnoteRef/>
      </w:r>
      <w:r w:rsidRPr="000F45BD">
        <w:rPr>
          <w:rFonts w:ascii="Fira Sans" w:hAnsi="Fira Sans"/>
          <w:sz w:val="16"/>
          <w:szCs w:val="16"/>
          <w:lang w:val="en-US"/>
        </w:rPr>
        <w:t xml:space="preserve"> Procurement prices – excluding sowing seed.</w:t>
      </w:r>
    </w:p>
  </w:footnote>
  <w:footnote w:id="3">
    <w:p w:rsidR="003141B0" w:rsidRPr="000F45BD" w:rsidRDefault="003141B0" w:rsidP="00C4726F">
      <w:pPr>
        <w:pStyle w:val="Tekstprzypisudolnego"/>
        <w:rPr>
          <w:rFonts w:ascii="Fira Sans" w:hAnsi="Fira Sans"/>
          <w:sz w:val="16"/>
          <w:szCs w:val="16"/>
          <w:lang w:val="en-US"/>
        </w:rPr>
      </w:pPr>
      <w:r w:rsidRPr="00191893">
        <w:rPr>
          <w:rStyle w:val="Odwoanieprzypisudolnego"/>
          <w:rFonts w:ascii="Fira Sans" w:hAnsi="Fira Sans"/>
          <w:sz w:val="16"/>
          <w:szCs w:val="16"/>
        </w:rPr>
        <w:footnoteRef/>
      </w:r>
      <w:r w:rsidRPr="000F45BD">
        <w:rPr>
          <w:rFonts w:ascii="Fira Sans" w:hAnsi="Fira Sans"/>
          <w:sz w:val="16"/>
          <w:szCs w:val="16"/>
          <w:lang w:val="en-US"/>
        </w:rPr>
        <w:t xml:space="preserve"> Marketplaces prices – edible excluding early kinds.</w:t>
      </w:r>
    </w:p>
  </w:footnote>
  <w:footnote w:id="4">
    <w:p w:rsidR="003141B0" w:rsidRPr="000F45BD" w:rsidRDefault="003141B0" w:rsidP="00C2359C">
      <w:pPr>
        <w:pStyle w:val="Tekstprzypisudolnego"/>
        <w:rPr>
          <w:lang w:val="en-US"/>
        </w:rPr>
      </w:pPr>
      <w:r w:rsidRPr="00191893">
        <w:rPr>
          <w:rStyle w:val="Odwoanieprzypisudolnego"/>
          <w:rFonts w:ascii="Fira Sans" w:hAnsi="Fira Sans"/>
          <w:sz w:val="16"/>
          <w:szCs w:val="16"/>
        </w:rPr>
        <w:footnoteRef/>
      </w:r>
      <w:r w:rsidRPr="000F45BD">
        <w:rPr>
          <w:rFonts w:ascii="Fira Sans" w:hAnsi="Fira Sans"/>
          <w:sz w:val="16"/>
          <w:szCs w:val="16"/>
          <w:lang w:val="en-US"/>
        </w:rPr>
        <w:t xml:space="preserve"> Marketplaces prices – average weighted price of cattle for slaughter calculated with the adoption of the structure of procurement quantity of young cattle and cows for slaughter.</w:t>
      </w:r>
      <w:r w:rsidRPr="000F45BD">
        <w:rPr>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40" w:rsidRDefault="00C47A6B" w:rsidP="00071652">
    <w:pPr>
      <w:pStyle w:val="Nagwek"/>
      <w:jc w:val="right"/>
    </w:pPr>
    <w:r>
      <w:rPr>
        <w:noProof/>
        <w:lang w:eastAsia="pl-PL"/>
      </w:rPr>
      <w:pict>
        <v:rect id="_x0000_s2052" style="position:absolute;left:0;text-align:left;margin-left:423.9pt;margin-top:-7.3pt;width:147.4pt;height:1803.55pt;z-index:-251652096;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" fillcolor="#f2f2f2" stroked="f" strokeweight="1pt">
          <v:path arrowok="t"/>
          <w10:wrap type="tight"/>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5BD" w:rsidRDefault="000F45BD" w:rsidP="00F32458">
    <w:pPr>
      <w:pStyle w:val="Nagwek"/>
      <w:rPr>
        <w:noProof/>
        <w:lang w:eastAsia="pl-PL"/>
      </w:rPr>
    </w:pPr>
  </w:p>
  <w:p w:rsidR="00133140" w:rsidRDefault="000F45BD" w:rsidP="00F32458">
    <w:pPr>
      <w:pStyle w:val="Nagwek"/>
      <w:rPr>
        <w:noProof/>
        <w:lang w:eastAsia="pl-PL"/>
      </w:rPr>
    </w:pPr>
    <w:r w:rsidRPr="003E1744">
      <w:rPr>
        <w:noProof/>
        <w:lang w:eastAsia="pl-PL"/>
      </w:rPr>
      <w:drawing>
        <wp:anchor distT="0" distB="0" distL="114300" distR="114300" simplePos="0" relativeHeight="251658752" behindDoc="0" locked="0" layoutInCell="1" allowOverlap="1">
          <wp:simplePos x="0" y="0"/>
          <wp:positionH relativeFrom="column">
            <wp:posOffset>7620</wp:posOffset>
          </wp:positionH>
          <wp:positionV relativeFrom="paragraph">
            <wp:posOffset>-39370</wp:posOffset>
          </wp:positionV>
          <wp:extent cx="1844040" cy="655320"/>
          <wp:effectExtent l="0" t="0" r="0" b="0"/>
          <wp:wrapSquare wrapText="bothSides"/>
          <wp:docPr id="15" name="Obraz 15"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4040" cy="655320"/>
                  </a:xfrm>
                  <a:prstGeom prst="rect">
                    <a:avLst/>
                  </a:prstGeom>
                  <a:noFill/>
                  <a:ln>
                    <a:noFill/>
                  </a:ln>
                </pic:spPr>
              </pic:pic>
            </a:graphicData>
          </a:graphic>
        </wp:anchor>
      </w:drawing>
    </w:r>
  </w:p>
  <w:p w:rsidR="00133140" w:rsidRDefault="00C47A6B" w:rsidP="00F32458">
    <w:pPr>
      <w:pStyle w:val="Nagwek"/>
      <w:rPr>
        <w:noProof/>
        <w:lang w:eastAsia="pl-PL"/>
      </w:rPr>
    </w:pPr>
    <w:r>
      <w:rPr>
        <w:noProof/>
        <w:lang w:eastAsia="pl-PL"/>
      </w:rPr>
      <w:pict>
        <v:shape id="Schemat blokowy: opóźnienie 6" o:spid="_x0000_s2054" style="position:absolute;margin-left:409.8pt;margin-top:2.75pt;width:159.8pt;height:24.15pt;flip:x;z-index:251667456;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776220,0;1945005,180000;1776220,360000;0,360000;0,0" o:connectangles="0,0,0,0,0,0" textboxrect="0,0,3527018,612140"/>
          <v:textbox style="mso-next-textbox:#Schemat blokowy: opóźnienie 6">
            <w:txbxContent>
              <w:p w:rsidR="003E6589" w:rsidRPr="007747A2" w:rsidRDefault="003E6589" w:rsidP="003E6589">
                <w:pPr>
                  <w:spacing w:after="0" w:line="240" w:lineRule="auto"/>
                  <w:ind w:left="227"/>
                  <w:rPr>
                    <w:rFonts w:ascii="Fira Sans SemiBold" w:hAnsi="Fira Sans SemiBold"/>
                    <w:sz w:val="19"/>
                    <w:szCs w:val="19"/>
                  </w:rPr>
                </w:pPr>
                <w:r>
                  <w:rPr>
                    <w:rFonts w:ascii="Fira Sans SemiBold" w:hAnsi="Fira Sans SemiBold"/>
                    <w:sz w:val="19"/>
                    <w:szCs w:val="19"/>
                  </w:rPr>
                  <w:t xml:space="preserve">  NEWS  RELEASES</w:t>
                </w:r>
              </w:p>
            </w:txbxContent>
          </v:textbox>
        </v:shape>
      </w:pict>
    </w:r>
    <w:r>
      <w:rPr>
        <w:noProof/>
        <w:lang w:eastAsia="pl-PL"/>
      </w:rPr>
      <w:pict>
        <v:rect id="Rectangle 5" o:spid="_x0000_s2050" style="position:absolute;margin-left:412.8pt;margin-top:-32.5pt;width:148pt;height:1583.9pt;z-index:-25165414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" fillcolor="#f2f2f2" stroked="f" strokeweight="1pt">
          <w10:wrap type="square" anchorx="margin" anchory="margin"/>
        </v:rect>
      </w:pict>
    </w:r>
  </w:p>
  <w:p w:rsidR="00133140" w:rsidRDefault="00133140" w:rsidP="00CD0E08">
    <w:pPr>
      <w:pStyle w:val="Nagwek"/>
      <w:jc w:val="right"/>
    </w:pPr>
  </w:p>
  <w:p w:rsidR="000F45BD" w:rsidRDefault="000F45BD" w:rsidP="00CD0E08">
    <w:pPr>
      <w:pStyle w:val="Nagwek"/>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40" w:rsidRDefault="00C47A6B" w:rsidP="00071652">
    <w:pPr>
      <w:pStyle w:val="Nagwek"/>
      <w:jc w:val="right"/>
    </w:pPr>
    <w:r>
      <w:rPr>
        <w:noProof/>
        <w:lang w:eastAsia="pl-PL"/>
      </w:rPr>
      <w:pict>
        <v:rect id="Prostokąt 10" o:spid="_x0000_s2049" style="position:absolute;left:0;text-align:left;margin-left:423.9pt;margin-top:3.5pt;width:147.4pt;height:1803.5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" fillcolor="#f2f2f2" stroked="f" strokeweight="1pt">
          <v:path arrowok="t"/>
          <w10:wrap type="tight"/>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40" w:rsidRDefault="00133140" w:rsidP="00F32458">
    <w:pPr>
      <w:pStyle w:val="Nagwek"/>
      <w:rPr>
        <w:noProof/>
        <w:lang w:eastAsia="pl-PL"/>
      </w:rPr>
    </w:pPr>
  </w:p>
  <w:p w:rsidR="00133140" w:rsidRDefault="00133140" w:rsidP="00787C9C">
    <w:pPr>
      <w:pStyle w:val="Nagwek"/>
      <w:jc w:val="right"/>
      <w:rPr>
        <w:noProof/>
        <w:lang w:eastAsia="pl-PL"/>
      </w:rPr>
    </w:pPr>
  </w:p>
  <w:p w:rsidR="00133140" w:rsidRDefault="0013314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15pt;height:125.05pt;visibility:visible" o:bullet="t">
        <v:imagedata r:id="rId1" o:title=""/>
      </v:shape>
    </w:pict>
  </w:numPicBullet>
  <w:numPicBullet w:numPicBulletId="1">
    <w:pict>
      <v:shape id="_x0000_i1035" type="#_x0000_t75" style="width:124.1pt;height:125.05pt;visibility:visible" o:bullet="t">
        <v:imagedata r:id="rId2" o:title=""/>
      </v:shape>
    </w:pict>
  </w:numPicBullet>
  <w:abstractNum w:abstractNumId="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autoHyphenation/>
  <w:hyphenationZone w:val="425"/>
  <w:drawingGridHorizontalSpacing w:val="110"/>
  <w:drawingGridVerticalSpacing w:val="57"/>
  <w:displayHorizontalDrawingGridEvery w:val="2"/>
  <w:characterSpacingControl w:val="doNotCompress"/>
  <w:hdrShapeDefaults>
    <o:shapedefaults v:ext="edit" spidmax="5122" style="mso-width-relative:margin;mso-height-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110D87"/>
    <w:rsid w:val="00000532"/>
    <w:rsid w:val="00000A47"/>
    <w:rsid w:val="00000BEC"/>
    <w:rsid w:val="00000D7A"/>
    <w:rsid w:val="00000DAE"/>
    <w:rsid w:val="00000FA0"/>
    <w:rsid w:val="00001C5B"/>
    <w:rsid w:val="00003437"/>
    <w:rsid w:val="00003531"/>
    <w:rsid w:val="0000454C"/>
    <w:rsid w:val="000055E7"/>
    <w:rsid w:val="0000560B"/>
    <w:rsid w:val="00006A05"/>
    <w:rsid w:val="0000709F"/>
    <w:rsid w:val="00007871"/>
    <w:rsid w:val="000103B6"/>
    <w:rsid w:val="000108B8"/>
    <w:rsid w:val="00010F43"/>
    <w:rsid w:val="0001171D"/>
    <w:rsid w:val="0001174D"/>
    <w:rsid w:val="00011CBF"/>
    <w:rsid w:val="0001349A"/>
    <w:rsid w:val="00013BCB"/>
    <w:rsid w:val="00014825"/>
    <w:rsid w:val="000152F5"/>
    <w:rsid w:val="00015F80"/>
    <w:rsid w:val="00017AE5"/>
    <w:rsid w:val="00020239"/>
    <w:rsid w:val="0002066A"/>
    <w:rsid w:val="0002303D"/>
    <w:rsid w:val="0002385D"/>
    <w:rsid w:val="00024A98"/>
    <w:rsid w:val="00024DEB"/>
    <w:rsid w:val="000254D2"/>
    <w:rsid w:val="000258E1"/>
    <w:rsid w:val="00026041"/>
    <w:rsid w:val="00026D6C"/>
    <w:rsid w:val="00027917"/>
    <w:rsid w:val="00030CB0"/>
    <w:rsid w:val="00031080"/>
    <w:rsid w:val="000313A7"/>
    <w:rsid w:val="00031635"/>
    <w:rsid w:val="00032E2D"/>
    <w:rsid w:val="00032FB4"/>
    <w:rsid w:val="00033484"/>
    <w:rsid w:val="00033D83"/>
    <w:rsid w:val="000351B2"/>
    <w:rsid w:val="0003547E"/>
    <w:rsid w:val="00036F4A"/>
    <w:rsid w:val="00037892"/>
    <w:rsid w:val="00040975"/>
    <w:rsid w:val="00042DB1"/>
    <w:rsid w:val="00043884"/>
    <w:rsid w:val="000439E6"/>
    <w:rsid w:val="0004582E"/>
    <w:rsid w:val="000466B7"/>
    <w:rsid w:val="00051E56"/>
    <w:rsid w:val="00051F7F"/>
    <w:rsid w:val="00052A8A"/>
    <w:rsid w:val="00054462"/>
    <w:rsid w:val="00054E65"/>
    <w:rsid w:val="000553C3"/>
    <w:rsid w:val="00055432"/>
    <w:rsid w:val="00055860"/>
    <w:rsid w:val="00055CAB"/>
    <w:rsid w:val="00057CA1"/>
    <w:rsid w:val="00060730"/>
    <w:rsid w:val="00060BE6"/>
    <w:rsid w:val="00061799"/>
    <w:rsid w:val="00061C9D"/>
    <w:rsid w:val="00061F71"/>
    <w:rsid w:val="00062219"/>
    <w:rsid w:val="00062364"/>
    <w:rsid w:val="000623F7"/>
    <w:rsid w:val="000635B6"/>
    <w:rsid w:val="00065707"/>
    <w:rsid w:val="0006575C"/>
    <w:rsid w:val="00065D3E"/>
    <w:rsid w:val="00065F0B"/>
    <w:rsid w:val="00065F11"/>
    <w:rsid w:val="000662E2"/>
    <w:rsid w:val="000664CD"/>
    <w:rsid w:val="00066883"/>
    <w:rsid w:val="00066D6F"/>
    <w:rsid w:val="00066DF3"/>
    <w:rsid w:val="00071592"/>
    <w:rsid w:val="00071652"/>
    <w:rsid w:val="00071959"/>
    <w:rsid w:val="00071C6F"/>
    <w:rsid w:val="000723BA"/>
    <w:rsid w:val="000740C0"/>
    <w:rsid w:val="000744C0"/>
    <w:rsid w:val="00075BE3"/>
    <w:rsid w:val="00075F18"/>
    <w:rsid w:val="0007647F"/>
    <w:rsid w:val="00077C73"/>
    <w:rsid w:val="00077D0A"/>
    <w:rsid w:val="000806F7"/>
    <w:rsid w:val="00082265"/>
    <w:rsid w:val="000833A1"/>
    <w:rsid w:val="0008459C"/>
    <w:rsid w:val="00084E1C"/>
    <w:rsid w:val="0008542E"/>
    <w:rsid w:val="00085ACF"/>
    <w:rsid w:val="00085AD8"/>
    <w:rsid w:val="000860D2"/>
    <w:rsid w:val="00086109"/>
    <w:rsid w:val="00086C9F"/>
    <w:rsid w:val="0009010D"/>
    <w:rsid w:val="000905EC"/>
    <w:rsid w:val="000918B1"/>
    <w:rsid w:val="00091D0E"/>
    <w:rsid w:val="00092E4D"/>
    <w:rsid w:val="00093582"/>
    <w:rsid w:val="00093BF6"/>
    <w:rsid w:val="00094CA6"/>
    <w:rsid w:val="00094DCE"/>
    <w:rsid w:val="0009554F"/>
    <w:rsid w:val="00095CDD"/>
    <w:rsid w:val="00095D16"/>
    <w:rsid w:val="000965F8"/>
    <w:rsid w:val="000970A0"/>
    <w:rsid w:val="0009754D"/>
    <w:rsid w:val="00097B75"/>
    <w:rsid w:val="000A0EAD"/>
    <w:rsid w:val="000A13B7"/>
    <w:rsid w:val="000A13D3"/>
    <w:rsid w:val="000A177E"/>
    <w:rsid w:val="000A1BD8"/>
    <w:rsid w:val="000A1F0E"/>
    <w:rsid w:val="000A2AEC"/>
    <w:rsid w:val="000A3A62"/>
    <w:rsid w:val="000A463C"/>
    <w:rsid w:val="000A4C6C"/>
    <w:rsid w:val="000A56DC"/>
    <w:rsid w:val="000A5CA7"/>
    <w:rsid w:val="000A642B"/>
    <w:rsid w:val="000A7C99"/>
    <w:rsid w:val="000B04C5"/>
    <w:rsid w:val="000B0727"/>
    <w:rsid w:val="000B08BA"/>
    <w:rsid w:val="000B47B4"/>
    <w:rsid w:val="000B5193"/>
    <w:rsid w:val="000B54C0"/>
    <w:rsid w:val="000B691F"/>
    <w:rsid w:val="000B6BF0"/>
    <w:rsid w:val="000B75B7"/>
    <w:rsid w:val="000B773F"/>
    <w:rsid w:val="000C078A"/>
    <w:rsid w:val="000C08EB"/>
    <w:rsid w:val="000C135D"/>
    <w:rsid w:val="000C273D"/>
    <w:rsid w:val="000C3778"/>
    <w:rsid w:val="000C3879"/>
    <w:rsid w:val="000C3DD9"/>
    <w:rsid w:val="000C5390"/>
    <w:rsid w:val="000C7AE4"/>
    <w:rsid w:val="000D1765"/>
    <w:rsid w:val="000D1D43"/>
    <w:rsid w:val="000D225C"/>
    <w:rsid w:val="000D23C1"/>
    <w:rsid w:val="000D2520"/>
    <w:rsid w:val="000D58B7"/>
    <w:rsid w:val="000D675C"/>
    <w:rsid w:val="000D7492"/>
    <w:rsid w:val="000E05CA"/>
    <w:rsid w:val="000E0918"/>
    <w:rsid w:val="000E2460"/>
    <w:rsid w:val="000E3723"/>
    <w:rsid w:val="000E3FFC"/>
    <w:rsid w:val="000E45B0"/>
    <w:rsid w:val="000E46C1"/>
    <w:rsid w:val="000E584B"/>
    <w:rsid w:val="000E63E9"/>
    <w:rsid w:val="000E6F4A"/>
    <w:rsid w:val="000E6FE6"/>
    <w:rsid w:val="000E75BB"/>
    <w:rsid w:val="000E7D3C"/>
    <w:rsid w:val="000F0944"/>
    <w:rsid w:val="000F0C6A"/>
    <w:rsid w:val="000F11C3"/>
    <w:rsid w:val="000F17D8"/>
    <w:rsid w:val="000F1DF0"/>
    <w:rsid w:val="000F1F10"/>
    <w:rsid w:val="000F2BAF"/>
    <w:rsid w:val="000F3964"/>
    <w:rsid w:val="000F45BD"/>
    <w:rsid w:val="000F4A02"/>
    <w:rsid w:val="000F523E"/>
    <w:rsid w:val="000F5A18"/>
    <w:rsid w:val="000F6141"/>
    <w:rsid w:val="000F78B6"/>
    <w:rsid w:val="001005FB"/>
    <w:rsid w:val="001011C3"/>
    <w:rsid w:val="00101D99"/>
    <w:rsid w:val="001028A7"/>
    <w:rsid w:val="00102FF5"/>
    <w:rsid w:val="00104E4B"/>
    <w:rsid w:val="00106015"/>
    <w:rsid w:val="0010740B"/>
    <w:rsid w:val="001109A5"/>
    <w:rsid w:val="00110D87"/>
    <w:rsid w:val="0011103C"/>
    <w:rsid w:val="00112C4B"/>
    <w:rsid w:val="001134F2"/>
    <w:rsid w:val="00113D95"/>
    <w:rsid w:val="001149A5"/>
    <w:rsid w:val="00114DB9"/>
    <w:rsid w:val="001151A1"/>
    <w:rsid w:val="00116087"/>
    <w:rsid w:val="0011626D"/>
    <w:rsid w:val="0011635B"/>
    <w:rsid w:val="00120FED"/>
    <w:rsid w:val="001211B1"/>
    <w:rsid w:val="00123EC9"/>
    <w:rsid w:val="001249E4"/>
    <w:rsid w:val="00125D6E"/>
    <w:rsid w:val="00125E6F"/>
    <w:rsid w:val="00126062"/>
    <w:rsid w:val="001264A1"/>
    <w:rsid w:val="001264F9"/>
    <w:rsid w:val="00126A23"/>
    <w:rsid w:val="00126FCE"/>
    <w:rsid w:val="00130296"/>
    <w:rsid w:val="001302D2"/>
    <w:rsid w:val="0013130B"/>
    <w:rsid w:val="001314DA"/>
    <w:rsid w:val="001318ED"/>
    <w:rsid w:val="00131BDA"/>
    <w:rsid w:val="00132393"/>
    <w:rsid w:val="00132C84"/>
    <w:rsid w:val="00133140"/>
    <w:rsid w:val="001336E3"/>
    <w:rsid w:val="00133E8A"/>
    <w:rsid w:val="001345C8"/>
    <w:rsid w:val="0013511E"/>
    <w:rsid w:val="00135203"/>
    <w:rsid w:val="00136685"/>
    <w:rsid w:val="00136923"/>
    <w:rsid w:val="001423B6"/>
    <w:rsid w:val="00143888"/>
    <w:rsid w:val="001448A7"/>
    <w:rsid w:val="00144B7C"/>
    <w:rsid w:val="00145699"/>
    <w:rsid w:val="00145818"/>
    <w:rsid w:val="00146621"/>
    <w:rsid w:val="00146E04"/>
    <w:rsid w:val="0014750B"/>
    <w:rsid w:val="00147D79"/>
    <w:rsid w:val="00147E42"/>
    <w:rsid w:val="00150403"/>
    <w:rsid w:val="00150AF7"/>
    <w:rsid w:val="00150D85"/>
    <w:rsid w:val="001515D7"/>
    <w:rsid w:val="00151657"/>
    <w:rsid w:val="001537A0"/>
    <w:rsid w:val="00154817"/>
    <w:rsid w:val="001613CB"/>
    <w:rsid w:val="00162325"/>
    <w:rsid w:val="001629AF"/>
    <w:rsid w:val="0016376F"/>
    <w:rsid w:val="00163D6B"/>
    <w:rsid w:val="00164224"/>
    <w:rsid w:val="001652B9"/>
    <w:rsid w:val="00165B50"/>
    <w:rsid w:val="001668EF"/>
    <w:rsid w:val="00166D3D"/>
    <w:rsid w:val="0016705C"/>
    <w:rsid w:val="00171057"/>
    <w:rsid w:val="00171948"/>
    <w:rsid w:val="00173051"/>
    <w:rsid w:val="0017364B"/>
    <w:rsid w:val="001747BD"/>
    <w:rsid w:val="00174DC2"/>
    <w:rsid w:val="0017511F"/>
    <w:rsid w:val="0017514E"/>
    <w:rsid w:val="00175234"/>
    <w:rsid w:val="00175428"/>
    <w:rsid w:val="00176792"/>
    <w:rsid w:val="00176C87"/>
    <w:rsid w:val="001773BF"/>
    <w:rsid w:val="00181945"/>
    <w:rsid w:val="001820A2"/>
    <w:rsid w:val="0018210A"/>
    <w:rsid w:val="00182AAF"/>
    <w:rsid w:val="00182B67"/>
    <w:rsid w:val="001831A8"/>
    <w:rsid w:val="00183869"/>
    <w:rsid w:val="001858E7"/>
    <w:rsid w:val="001864D0"/>
    <w:rsid w:val="001867D0"/>
    <w:rsid w:val="00187CA7"/>
    <w:rsid w:val="00191893"/>
    <w:rsid w:val="0019210D"/>
    <w:rsid w:val="00192299"/>
    <w:rsid w:val="001927D9"/>
    <w:rsid w:val="00194C84"/>
    <w:rsid w:val="001951DA"/>
    <w:rsid w:val="001952C1"/>
    <w:rsid w:val="00195CB8"/>
    <w:rsid w:val="00196339"/>
    <w:rsid w:val="0019722F"/>
    <w:rsid w:val="00197733"/>
    <w:rsid w:val="00197BF3"/>
    <w:rsid w:val="00197D6D"/>
    <w:rsid w:val="001A111D"/>
    <w:rsid w:val="001A177D"/>
    <w:rsid w:val="001A179F"/>
    <w:rsid w:val="001A23D0"/>
    <w:rsid w:val="001A23DA"/>
    <w:rsid w:val="001A2525"/>
    <w:rsid w:val="001A2895"/>
    <w:rsid w:val="001A2B70"/>
    <w:rsid w:val="001A33AE"/>
    <w:rsid w:val="001A3AFB"/>
    <w:rsid w:val="001A41B3"/>
    <w:rsid w:val="001A493C"/>
    <w:rsid w:val="001A494E"/>
    <w:rsid w:val="001A4F5B"/>
    <w:rsid w:val="001A5CD8"/>
    <w:rsid w:val="001A5FC1"/>
    <w:rsid w:val="001A6407"/>
    <w:rsid w:val="001A66F2"/>
    <w:rsid w:val="001B0680"/>
    <w:rsid w:val="001B1508"/>
    <w:rsid w:val="001B1A09"/>
    <w:rsid w:val="001B1D50"/>
    <w:rsid w:val="001B22E2"/>
    <w:rsid w:val="001B2C05"/>
    <w:rsid w:val="001B3151"/>
    <w:rsid w:val="001B338B"/>
    <w:rsid w:val="001B33E5"/>
    <w:rsid w:val="001B4BB8"/>
    <w:rsid w:val="001B5146"/>
    <w:rsid w:val="001B6542"/>
    <w:rsid w:val="001B7CC3"/>
    <w:rsid w:val="001C0587"/>
    <w:rsid w:val="001C0B59"/>
    <w:rsid w:val="001C1462"/>
    <w:rsid w:val="001C3269"/>
    <w:rsid w:val="001C3883"/>
    <w:rsid w:val="001C40EC"/>
    <w:rsid w:val="001C44D2"/>
    <w:rsid w:val="001C4FAF"/>
    <w:rsid w:val="001C50BC"/>
    <w:rsid w:val="001C60C1"/>
    <w:rsid w:val="001C707C"/>
    <w:rsid w:val="001C7E09"/>
    <w:rsid w:val="001D06D4"/>
    <w:rsid w:val="001D1DB4"/>
    <w:rsid w:val="001D1E06"/>
    <w:rsid w:val="001D2C08"/>
    <w:rsid w:val="001D2E47"/>
    <w:rsid w:val="001D3335"/>
    <w:rsid w:val="001D3394"/>
    <w:rsid w:val="001D3F59"/>
    <w:rsid w:val="001D4853"/>
    <w:rsid w:val="001D6CCC"/>
    <w:rsid w:val="001D7241"/>
    <w:rsid w:val="001D726E"/>
    <w:rsid w:val="001D73E1"/>
    <w:rsid w:val="001D7B0F"/>
    <w:rsid w:val="001E009B"/>
    <w:rsid w:val="001E07FB"/>
    <w:rsid w:val="001E17F5"/>
    <w:rsid w:val="001E2F4B"/>
    <w:rsid w:val="001E2F5F"/>
    <w:rsid w:val="001E3A60"/>
    <w:rsid w:val="001E4F30"/>
    <w:rsid w:val="001E5A60"/>
    <w:rsid w:val="001E5DF2"/>
    <w:rsid w:val="001E6318"/>
    <w:rsid w:val="001E67B8"/>
    <w:rsid w:val="001E6D43"/>
    <w:rsid w:val="001F0BE9"/>
    <w:rsid w:val="001F14E0"/>
    <w:rsid w:val="001F1F84"/>
    <w:rsid w:val="001F2F51"/>
    <w:rsid w:val="001F3009"/>
    <w:rsid w:val="001F3F2A"/>
    <w:rsid w:val="001F3F6F"/>
    <w:rsid w:val="001F4AED"/>
    <w:rsid w:val="001F5561"/>
    <w:rsid w:val="001F5919"/>
    <w:rsid w:val="001F6693"/>
    <w:rsid w:val="001F6A06"/>
    <w:rsid w:val="001F7426"/>
    <w:rsid w:val="00200114"/>
    <w:rsid w:val="0020019B"/>
    <w:rsid w:val="00200D39"/>
    <w:rsid w:val="00201689"/>
    <w:rsid w:val="002022C4"/>
    <w:rsid w:val="002029A2"/>
    <w:rsid w:val="00202C4E"/>
    <w:rsid w:val="002040D1"/>
    <w:rsid w:val="00204FA1"/>
    <w:rsid w:val="00205CCB"/>
    <w:rsid w:val="0020676D"/>
    <w:rsid w:val="00207A22"/>
    <w:rsid w:val="00207C4A"/>
    <w:rsid w:val="002103B9"/>
    <w:rsid w:val="00212390"/>
    <w:rsid w:val="002151E0"/>
    <w:rsid w:val="002156B4"/>
    <w:rsid w:val="002161D9"/>
    <w:rsid w:val="0021632B"/>
    <w:rsid w:val="002171DB"/>
    <w:rsid w:val="00221FE7"/>
    <w:rsid w:val="002227D8"/>
    <w:rsid w:val="002227E7"/>
    <w:rsid w:val="00223D88"/>
    <w:rsid w:val="0022601D"/>
    <w:rsid w:val="00226FAC"/>
    <w:rsid w:val="002270CF"/>
    <w:rsid w:val="0023159C"/>
    <w:rsid w:val="00231F58"/>
    <w:rsid w:val="00232B69"/>
    <w:rsid w:val="002331DA"/>
    <w:rsid w:val="002351B7"/>
    <w:rsid w:val="00236FC5"/>
    <w:rsid w:val="00237277"/>
    <w:rsid w:val="00237BF1"/>
    <w:rsid w:val="00240A07"/>
    <w:rsid w:val="00240E7F"/>
    <w:rsid w:val="002410D2"/>
    <w:rsid w:val="00242755"/>
    <w:rsid w:val="00242A4E"/>
    <w:rsid w:val="00242ED6"/>
    <w:rsid w:val="002438FE"/>
    <w:rsid w:val="002444C6"/>
    <w:rsid w:val="00245870"/>
    <w:rsid w:val="00246A8B"/>
    <w:rsid w:val="00247F7D"/>
    <w:rsid w:val="002505FD"/>
    <w:rsid w:val="002512D0"/>
    <w:rsid w:val="00252553"/>
    <w:rsid w:val="00252FFD"/>
    <w:rsid w:val="002539F4"/>
    <w:rsid w:val="002544CF"/>
    <w:rsid w:val="002562B0"/>
    <w:rsid w:val="00256A5C"/>
    <w:rsid w:val="002574F9"/>
    <w:rsid w:val="00257831"/>
    <w:rsid w:val="00257D7C"/>
    <w:rsid w:val="0026192A"/>
    <w:rsid w:val="002619E2"/>
    <w:rsid w:val="00262E15"/>
    <w:rsid w:val="002636F1"/>
    <w:rsid w:val="00265080"/>
    <w:rsid w:val="00265502"/>
    <w:rsid w:val="00265C36"/>
    <w:rsid w:val="00265F6F"/>
    <w:rsid w:val="00266475"/>
    <w:rsid w:val="00266804"/>
    <w:rsid w:val="002700F2"/>
    <w:rsid w:val="002701DE"/>
    <w:rsid w:val="00272203"/>
    <w:rsid w:val="0027610A"/>
    <w:rsid w:val="00276811"/>
    <w:rsid w:val="00276E4C"/>
    <w:rsid w:val="002774DA"/>
    <w:rsid w:val="00281881"/>
    <w:rsid w:val="00282699"/>
    <w:rsid w:val="002849F2"/>
    <w:rsid w:val="002856A6"/>
    <w:rsid w:val="002857DD"/>
    <w:rsid w:val="00285B9C"/>
    <w:rsid w:val="00286B0C"/>
    <w:rsid w:val="002874C3"/>
    <w:rsid w:val="00290103"/>
    <w:rsid w:val="00291277"/>
    <w:rsid w:val="002920CD"/>
    <w:rsid w:val="0029259C"/>
    <w:rsid w:val="002926DF"/>
    <w:rsid w:val="0029307D"/>
    <w:rsid w:val="00293930"/>
    <w:rsid w:val="00294769"/>
    <w:rsid w:val="00294A7C"/>
    <w:rsid w:val="0029598B"/>
    <w:rsid w:val="00296697"/>
    <w:rsid w:val="002A0C67"/>
    <w:rsid w:val="002A4581"/>
    <w:rsid w:val="002A469F"/>
    <w:rsid w:val="002A6A73"/>
    <w:rsid w:val="002B0472"/>
    <w:rsid w:val="002B0602"/>
    <w:rsid w:val="002B0A26"/>
    <w:rsid w:val="002B0F65"/>
    <w:rsid w:val="002B31BC"/>
    <w:rsid w:val="002B3EFC"/>
    <w:rsid w:val="002B436C"/>
    <w:rsid w:val="002B6845"/>
    <w:rsid w:val="002B6B12"/>
    <w:rsid w:val="002C0852"/>
    <w:rsid w:val="002C4871"/>
    <w:rsid w:val="002C574B"/>
    <w:rsid w:val="002C73BD"/>
    <w:rsid w:val="002C77A2"/>
    <w:rsid w:val="002C7846"/>
    <w:rsid w:val="002D0806"/>
    <w:rsid w:val="002D0969"/>
    <w:rsid w:val="002D11EB"/>
    <w:rsid w:val="002D38E5"/>
    <w:rsid w:val="002D42C7"/>
    <w:rsid w:val="002D4BBD"/>
    <w:rsid w:val="002D517B"/>
    <w:rsid w:val="002D51E0"/>
    <w:rsid w:val="002D5391"/>
    <w:rsid w:val="002D568D"/>
    <w:rsid w:val="002D64D1"/>
    <w:rsid w:val="002D653E"/>
    <w:rsid w:val="002D6588"/>
    <w:rsid w:val="002D6921"/>
    <w:rsid w:val="002D7356"/>
    <w:rsid w:val="002D759C"/>
    <w:rsid w:val="002D7601"/>
    <w:rsid w:val="002E0283"/>
    <w:rsid w:val="002E1444"/>
    <w:rsid w:val="002E1B93"/>
    <w:rsid w:val="002E29CD"/>
    <w:rsid w:val="002E2EA2"/>
    <w:rsid w:val="002E38F8"/>
    <w:rsid w:val="002E44EE"/>
    <w:rsid w:val="002E466E"/>
    <w:rsid w:val="002E59C9"/>
    <w:rsid w:val="002E5E9D"/>
    <w:rsid w:val="002E6140"/>
    <w:rsid w:val="002E66DC"/>
    <w:rsid w:val="002E6985"/>
    <w:rsid w:val="002E6DF3"/>
    <w:rsid w:val="002E6E44"/>
    <w:rsid w:val="002E71B6"/>
    <w:rsid w:val="002E74D4"/>
    <w:rsid w:val="002F0CE7"/>
    <w:rsid w:val="002F1483"/>
    <w:rsid w:val="002F3879"/>
    <w:rsid w:val="002F3AD4"/>
    <w:rsid w:val="002F3F2B"/>
    <w:rsid w:val="002F3FA4"/>
    <w:rsid w:val="002F5DCB"/>
    <w:rsid w:val="002F6A4E"/>
    <w:rsid w:val="002F7213"/>
    <w:rsid w:val="002F7441"/>
    <w:rsid w:val="002F77C8"/>
    <w:rsid w:val="00300097"/>
    <w:rsid w:val="00301AC7"/>
    <w:rsid w:val="00301D01"/>
    <w:rsid w:val="00302372"/>
    <w:rsid w:val="00303381"/>
    <w:rsid w:val="0030446B"/>
    <w:rsid w:val="00304500"/>
    <w:rsid w:val="00304F22"/>
    <w:rsid w:val="003056F9"/>
    <w:rsid w:val="0030622C"/>
    <w:rsid w:val="00306489"/>
    <w:rsid w:val="00306C7C"/>
    <w:rsid w:val="00306E27"/>
    <w:rsid w:val="003071FB"/>
    <w:rsid w:val="0031059E"/>
    <w:rsid w:val="00311BD4"/>
    <w:rsid w:val="00312BFA"/>
    <w:rsid w:val="0031352A"/>
    <w:rsid w:val="003136DC"/>
    <w:rsid w:val="00314113"/>
    <w:rsid w:val="003141B0"/>
    <w:rsid w:val="00314886"/>
    <w:rsid w:val="003148D1"/>
    <w:rsid w:val="00314C0E"/>
    <w:rsid w:val="00314DF6"/>
    <w:rsid w:val="003175A2"/>
    <w:rsid w:val="003175E9"/>
    <w:rsid w:val="003201A8"/>
    <w:rsid w:val="003201EE"/>
    <w:rsid w:val="003210A3"/>
    <w:rsid w:val="0032156E"/>
    <w:rsid w:val="00321888"/>
    <w:rsid w:val="00322EDD"/>
    <w:rsid w:val="00323276"/>
    <w:rsid w:val="00323374"/>
    <w:rsid w:val="00323556"/>
    <w:rsid w:val="003236DA"/>
    <w:rsid w:val="00323898"/>
    <w:rsid w:val="00323BBC"/>
    <w:rsid w:val="003240D3"/>
    <w:rsid w:val="003241AB"/>
    <w:rsid w:val="00326354"/>
    <w:rsid w:val="00326BDD"/>
    <w:rsid w:val="00326D24"/>
    <w:rsid w:val="0033123E"/>
    <w:rsid w:val="00331948"/>
    <w:rsid w:val="00332320"/>
    <w:rsid w:val="0033366D"/>
    <w:rsid w:val="003336AD"/>
    <w:rsid w:val="0033484A"/>
    <w:rsid w:val="0033577F"/>
    <w:rsid w:val="0033794A"/>
    <w:rsid w:val="00340033"/>
    <w:rsid w:val="00340B9B"/>
    <w:rsid w:val="003429C6"/>
    <w:rsid w:val="00342AA1"/>
    <w:rsid w:val="003431C5"/>
    <w:rsid w:val="0034324D"/>
    <w:rsid w:val="00343856"/>
    <w:rsid w:val="0034427B"/>
    <w:rsid w:val="003442B9"/>
    <w:rsid w:val="00344DF2"/>
    <w:rsid w:val="0034516E"/>
    <w:rsid w:val="00346D7E"/>
    <w:rsid w:val="00347B4E"/>
    <w:rsid w:val="00347D72"/>
    <w:rsid w:val="00347F09"/>
    <w:rsid w:val="0035081D"/>
    <w:rsid w:val="00350DE0"/>
    <w:rsid w:val="0035137B"/>
    <w:rsid w:val="00353B8B"/>
    <w:rsid w:val="00354371"/>
    <w:rsid w:val="0035442C"/>
    <w:rsid w:val="003547D3"/>
    <w:rsid w:val="00355553"/>
    <w:rsid w:val="00356D06"/>
    <w:rsid w:val="00357CE6"/>
    <w:rsid w:val="00360006"/>
    <w:rsid w:val="00360261"/>
    <w:rsid w:val="0036045A"/>
    <w:rsid w:val="00361ACD"/>
    <w:rsid w:val="00361C63"/>
    <w:rsid w:val="003620B4"/>
    <w:rsid w:val="00362E47"/>
    <w:rsid w:val="003637D2"/>
    <w:rsid w:val="0036502E"/>
    <w:rsid w:val="00365842"/>
    <w:rsid w:val="003664C0"/>
    <w:rsid w:val="00366A21"/>
    <w:rsid w:val="00367237"/>
    <w:rsid w:val="0036795A"/>
    <w:rsid w:val="00367BE4"/>
    <w:rsid w:val="00370192"/>
    <w:rsid w:val="003705BD"/>
    <w:rsid w:val="003705F2"/>
    <w:rsid w:val="0037077F"/>
    <w:rsid w:val="0037105B"/>
    <w:rsid w:val="00371244"/>
    <w:rsid w:val="00371373"/>
    <w:rsid w:val="00371400"/>
    <w:rsid w:val="00371C7F"/>
    <w:rsid w:val="003734E1"/>
    <w:rsid w:val="00373882"/>
    <w:rsid w:val="00374539"/>
    <w:rsid w:val="00374C06"/>
    <w:rsid w:val="00374C3C"/>
    <w:rsid w:val="00374D9D"/>
    <w:rsid w:val="003765D8"/>
    <w:rsid w:val="00376944"/>
    <w:rsid w:val="00376C9D"/>
    <w:rsid w:val="0037779C"/>
    <w:rsid w:val="00380CDE"/>
    <w:rsid w:val="00380EDC"/>
    <w:rsid w:val="00381377"/>
    <w:rsid w:val="003813C4"/>
    <w:rsid w:val="00381B3A"/>
    <w:rsid w:val="0038221B"/>
    <w:rsid w:val="00382AE8"/>
    <w:rsid w:val="003832E5"/>
    <w:rsid w:val="00383327"/>
    <w:rsid w:val="00385261"/>
    <w:rsid w:val="00385830"/>
    <w:rsid w:val="00385A29"/>
    <w:rsid w:val="00385E36"/>
    <w:rsid w:val="00387C8C"/>
    <w:rsid w:val="003919D7"/>
    <w:rsid w:val="00392155"/>
    <w:rsid w:val="00393962"/>
    <w:rsid w:val="00393A33"/>
    <w:rsid w:val="0039412E"/>
    <w:rsid w:val="003956B3"/>
    <w:rsid w:val="00396F14"/>
    <w:rsid w:val="00397138"/>
    <w:rsid w:val="00397D18"/>
    <w:rsid w:val="003A0560"/>
    <w:rsid w:val="003A1417"/>
    <w:rsid w:val="003A1B36"/>
    <w:rsid w:val="003A229B"/>
    <w:rsid w:val="003A2697"/>
    <w:rsid w:val="003A381A"/>
    <w:rsid w:val="003A3978"/>
    <w:rsid w:val="003A53AE"/>
    <w:rsid w:val="003A5450"/>
    <w:rsid w:val="003A5D7F"/>
    <w:rsid w:val="003A66FB"/>
    <w:rsid w:val="003A7101"/>
    <w:rsid w:val="003A780F"/>
    <w:rsid w:val="003B0AD3"/>
    <w:rsid w:val="003B13CC"/>
    <w:rsid w:val="003B3252"/>
    <w:rsid w:val="003B32AE"/>
    <w:rsid w:val="003B3D6C"/>
    <w:rsid w:val="003B4DBB"/>
    <w:rsid w:val="003B5BFE"/>
    <w:rsid w:val="003B752D"/>
    <w:rsid w:val="003B7EC0"/>
    <w:rsid w:val="003C121E"/>
    <w:rsid w:val="003C14A2"/>
    <w:rsid w:val="003C176B"/>
    <w:rsid w:val="003C27C0"/>
    <w:rsid w:val="003C3308"/>
    <w:rsid w:val="003C3771"/>
    <w:rsid w:val="003C4585"/>
    <w:rsid w:val="003C4688"/>
    <w:rsid w:val="003C4C1A"/>
    <w:rsid w:val="003C55F7"/>
    <w:rsid w:val="003C59E0"/>
    <w:rsid w:val="003C5E5E"/>
    <w:rsid w:val="003C621C"/>
    <w:rsid w:val="003C64B1"/>
    <w:rsid w:val="003C6C8D"/>
    <w:rsid w:val="003D0F33"/>
    <w:rsid w:val="003D0F56"/>
    <w:rsid w:val="003D2D18"/>
    <w:rsid w:val="003D4270"/>
    <w:rsid w:val="003D4522"/>
    <w:rsid w:val="003D4F95"/>
    <w:rsid w:val="003D5F42"/>
    <w:rsid w:val="003D60A9"/>
    <w:rsid w:val="003D641F"/>
    <w:rsid w:val="003D698B"/>
    <w:rsid w:val="003D6E11"/>
    <w:rsid w:val="003D74B0"/>
    <w:rsid w:val="003D7B05"/>
    <w:rsid w:val="003E0955"/>
    <w:rsid w:val="003E09E1"/>
    <w:rsid w:val="003E1744"/>
    <w:rsid w:val="003E1B4A"/>
    <w:rsid w:val="003E3302"/>
    <w:rsid w:val="003E3878"/>
    <w:rsid w:val="003E4AF6"/>
    <w:rsid w:val="003E50D0"/>
    <w:rsid w:val="003E5AA9"/>
    <w:rsid w:val="003E6589"/>
    <w:rsid w:val="003E73C4"/>
    <w:rsid w:val="003F011E"/>
    <w:rsid w:val="003F0D64"/>
    <w:rsid w:val="003F2F2A"/>
    <w:rsid w:val="003F4B9D"/>
    <w:rsid w:val="003F5C9F"/>
    <w:rsid w:val="003F7602"/>
    <w:rsid w:val="003F7C8C"/>
    <w:rsid w:val="003F7FE6"/>
    <w:rsid w:val="0040123B"/>
    <w:rsid w:val="004012CB"/>
    <w:rsid w:val="00402BDC"/>
    <w:rsid w:val="00406404"/>
    <w:rsid w:val="00406502"/>
    <w:rsid w:val="00406EE5"/>
    <w:rsid w:val="00407676"/>
    <w:rsid w:val="0040794E"/>
    <w:rsid w:val="00410120"/>
    <w:rsid w:val="00410948"/>
    <w:rsid w:val="00410E0B"/>
    <w:rsid w:val="00411708"/>
    <w:rsid w:val="0041222D"/>
    <w:rsid w:val="00412580"/>
    <w:rsid w:val="004137F0"/>
    <w:rsid w:val="00413C24"/>
    <w:rsid w:val="00413F31"/>
    <w:rsid w:val="004143BA"/>
    <w:rsid w:val="00414493"/>
    <w:rsid w:val="00414DBE"/>
    <w:rsid w:val="004156C6"/>
    <w:rsid w:val="00415912"/>
    <w:rsid w:val="004162DE"/>
    <w:rsid w:val="004163C8"/>
    <w:rsid w:val="00417521"/>
    <w:rsid w:val="00417A9B"/>
    <w:rsid w:val="00417FB7"/>
    <w:rsid w:val="004216C8"/>
    <w:rsid w:val="00422188"/>
    <w:rsid w:val="00422391"/>
    <w:rsid w:val="00422B46"/>
    <w:rsid w:val="00422BBD"/>
    <w:rsid w:val="00423C85"/>
    <w:rsid w:val="00423CCE"/>
    <w:rsid w:val="0042446D"/>
    <w:rsid w:val="00424619"/>
    <w:rsid w:val="00424C40"/>
    <w:rsid w:val="00424FC0"/>
    <w:rsid w:val="00425D9C"/>
    <w:rsid w:val="00427BF8"/>
    <w:rsid w:val="00430079"/>
    <w:rsid w:val="00430E29"/>
    <w:rsid w:val="00431406"/>
    <w:rsid w:val="00431C02"/>
    <w:rsid w:val="0043376A"/>
    <w:rsid w:val="00433DF5"/>
    <w:rsid w:val="00434EE1"/>
    <w:rsid w:val="00435037"/>
    <w:rsid w:val="004351E1"/>
    <w:rsid w:val="00435B09"/>
    <w:rsid w:val="00436006"/>
    <w:rsid w:val="004370F4"/>
    <w:rsid w:val="00437395"/>
    <w:rsid w:val="00440F03"/>
    <w:rsid w:val="00442692"/>
    <w:rsid w:val="00443C99"/>
    <w:rsid w:val="00444690"/>
    <w:rsid w:val="00445047"/>
    <w:rsid w:val="0044541F"/>
    <w:rsid w:val="00451EFA"/>
    <w:rsid w:val="00452C3B"/>
    <w:rsid w:val="00453C0D"/>
    <w:rsid w:val="00453D02"/>
    <w:rsid w:val="0045438F"/>
    <w:rsid w:val="004553A9"/>
    <w:rsid w:val="00455622"/>
    <w:rsid w:val="00456DEF"/>
    <w:rsid w:val="00457388"/>
    <w:rsid w:val="00461508"/>
    <w:rsid w:val="004618FB"/>
    <w:rsid w:val="004620CF"/>
    <w:rsid w:val="0046443A"/>
    <w:rsid w:val="0046457D"/>
    <w:rsid w:val="004656E0"/>
    <w:rsid w:val="004657FC"/>
    <w:rsid w:val="0046631D"/>
    <w:rsid w:val="00467984"/>
    <w:rsid w:val="00467C68"/>
    <w:rsid w:val="0047059B"/>
    <w:rsid w:val="00470D45"/>
    <w:rsid w:val="00470DCE"/>
    <w:rsid w:val="00470FF5"/>
    <w:rsid w:val="004733F6"/>
    <w:rsid w:val="004746D5"/>
    <w:rsid w:val="00474BEA"/>
    <w:rsid w:val="00474E69"/>
    <w:rsid w:val="00477E10"/>
    <w:rsid w:val="004803D8"/>
    <w:rsid w:val="00480B92"/>
    <w:rsid w:val="00484F26"/>
    <w:rsid w:val="0048611F"/>
    <w:rsid w:val="004866F8"/>
    <w:rsid w:val="00486E04"/>
    <w:rsid w:val="00490049"/>
    <w:rsid w:val="004903B6"/>
    <w:rsid w:val="00492C50"/>
    <w:rsid w:val="0049330E"/>
    <w:rsid w:val="004935FC"/>
    <w:rsid w:val="004945F7"/>
    <w:rsid w:val="00494A73"/>
    <w:rsid w:val="00494EC5"/>
    <w:rsid w:val="00495555"/>
    <w:rsid w:val="0049621B"/>
    <w:rsid w:val="004964B6"/>
    <w:rsid w:val="00496C38"/>
    <w:rsid w:val="00497304"/>
    <w:rsid w:val="0049775B"/>
    <w:rsid w:val="004A0539"/>
    <w:rsid w:val="004A0C43"/>
    <w:rsid w:val="004A2F49"/>
    <w:rsid w:val="004A33F3"/>
    <w:rsid w:val="004A4FF3"/>
    <w:rsid w:val="004A6298"/>
    <w:rsid w:val="004A7DE9"/>
    <w:rsid w:val="004B0516"/>
    <w:rsid w:val="004B11E6"/>
    <w:rsid w:val="004B1528"/>
    <w:rsid w:val="004B2C80"/>
    <w:rsid w:val="004B3942"/>
    <w:rsid w:val="004B4C0D"/>
    <w:rsid w:val="004B514A"/>
    <w:rsid w:val="004B5767"/>
    <w:rsid w:val="004B7263"/>
    <w:rsid w:val="004B7E72"/>
    <w:rsid w:val="004C01FE"/>
    <w:rsid w:val="004C05AA"/>
    <w:rsid w:val="004C1289"/>
    <w:rsid w:val="004C1309"/>
    <w:rsid w:val="004C148E"/>
    <w:rsid w:val="004C1686"/>
    <w:rsid w:val="004C168F"/>
    <w:rsid w:val="004C1895"/>
    <w:rsid w:val="004C18FA"/>
    <w:rsid w:val="004C3066"/>
    <w:rsid w:val="004C3BCB"/>
    <w:rsid w:val="004C5ECE"/>
    <w:rsid w:val="004C61C4"/>
    <w:rsid w:val="004C6D40"/>
    <w:rsid w:val="004D1124"/>
    <w:rsid w:val="004D1724"/>
    <w:rsid w:val="004D1B0A"/>
    <w:rsid w:val="004D2E79"/>
    <w:rsid w:val="004D33C7"/>
    <w:rsid w:val="004D3A51"/>
    <w:rsid w:val="004D4131"/>
    <w:rsid w:val="004D426C"/>
    <w:rsid w:val="004D5D1D"/>
    <w:rsid w:val="004D5E7B"/>
    <w:rsid w:val="004D6F5D"/>
    <w:rsid w:val="004D76BC"/>
    <w:rsid w:val="004D77D8"/>
    <w:rsid w:val="004E0172"/>
    <w:rsid w:val="004E10FE"/>
    <w:rsid w:val="004E5C45"/>
    <w:rsid w:val="004E6B3D"/>
    <w:rsid w:val="004E7827"/>
    <w:rsid w:val="004E799F"/>
    <w:rsid w:val="004E7B11"/>
    <w:rsid w:val="004F0C3C"/>
    <w:rsid w:val="004F0F29"/>
    <w:rsid w:val="004F2A5F"/>
    <w:rsid w:val="004F3628"/>
    <w:rsid w:val="004F4001"/>
    <w:rsid w:val="004F575F"/>
    <w:rsid w:val="004F59DD"/>
    <w:rsid w:val="004F60C6"/>
    <w:rsid w:val="004F63FC"/>
    <w:rsid w:val="004F7959"/>
    <w:rsid w:val="00500813"/>
    <w:rsid w:val="00500E4F"/>
    <w:rsid w:val="005011D1"/>
    <w:rsid w:val="005011FF"/>
    <w:rsid w:val="00502030"/>
    <w:rsid w:val="0050466E"/>
    <w:rsid w:val="005048AB"/>
    <w:rsid w:val="005059A8"/>
    <w:rsid w:val="00505A92"/>
    <w:rsid w:val="0050636E"/>
    <w:rsid w:val="00507B04"/>
    <w:rsid w:val="005130E1"/>
    <w:rsid w:val="00513C35"/>
    <w:rsid w:val="0051442B"/>
    <w:rsid w:val="0051659A"/>
    <w:rsid w:val="005203F1"/>
    <w:rsid w:val="005203FC"/>
    <w:rsid w:val="0052160C"/>
    <w:rsid w:val="00521BC3"/>
    <w:rsid w:val="00522116"/>
    <w:rsid w:val="0052283E"/>
    <w:rsid w:val="00523169"/>
    <w:rsid w:val="0052321F"/>
    <w:rsid w:val="00524DF5"/>
    <w:rsid w:val="00525564"/>
    <w:rsid w:val="005255FB"/>
    <w:rsid w:val="005263EB"/>
    <w:rsid w:val="00531632"/>
    <w:rsid w:val="00532FF8"/>
    <w:rsid w:val="005357D4"/>
    <w:rsid w:val="00535EEB"/>
    <w:rsid w:val="00536175"/>
    <w:rsid w:val="00537210"/>
    <w:rsid w:val="00540647"/>
    <w:rsid w:val="00541023"/>
    <w:rsid w:val="005418FB"/>
    <w:rsid w:val="00541A98"/>
    <w:rsid w:val="00541BD0"/>
    <w:rsid w:val="00541D4A"/>
    <w:rsid w:val="00542505"/>
    <w:rsid w:val="0054251F"/>
    <w:rsid w:val="00542AB6"/>
    <w:rsid w:val="00543488"/>
    <w:rsid w:val="0054405E"/>
    <w:rsid w:val="00544332"/>
    <w:rsid w:val="00544BBC"/>
    <w:rsid w:val="00544CAC"/>
    <w:rsid w:val="005463B9"/>
    <w:rsid w:val="00546B1B"/>
    <w:rsid w:val="00546CE8"/>
    <w:rsid w:val="00547830"/>
    <w:rsid w:val="00551683"/>
    <w:rsid w:val="00551A44"/>
    <w:rsid w:val="005520D8"/>
    <w:rsid w:val="0055212F"/>
    <w:rsid w:val="005521CD"/>
    <w:rsid w:val="0055321F"/>
    <w:rsid w:val="00553AC9"/>
    <w:rsid w:val="00555816"/>
    <w:rsid w:val="00555A18"/>
    <w:rsid w:val="00555C08"/>
    <w:rsid w:val="00556091"/>
    <w:rsid w:val="00556CF1"/>
    <w:rsid w:val="00556DCC"/>
    <w:rsid w:val="005605B7"/>
    <w:rsid w:val="00560945"/>
    <w:rsid w:val="00560D27"/>
    <w:rsid w:val="0056282D"/>
    <w:rsid w:val="0056376E"/>
    <w:rsid w:val="005644E7"/>
    <w:rsid w:val="00565FD3"/>
    <w:rsid w:val="0056664B"/>
    <w:rsid w:val="00572105"/>
    <w:rsid w:val="00573568"/>
    <w:rsid w:val="00573C1F"/>
    <w:rsid w:val="005744DB"/>
    <w:rsid w:val="005745A6"/>
    <w:rsid w:val="005762A7"/>
    <w:rsid w:val="005770D0"/>
    <w:rsid w:val="00577DFE"/>
    <w:rsid w:val="00581DD1"/>
    <w:rsid w:val="005823AE"/>
    <w:rsid w:val="00582EE9"/>
    <w:rsid w:val="00583CC6"/>
    <w:rsid w:val="00584DCC"/>
    <w:rsid w:val="00584DE0"/>
    <w:rsid w:val="005852D9"/>
    <w:rsid w:val="005858CA"/>
    <w:rsid w:val="00585BE3"/>
    <w:rsid w:val="00586A2E"/>
    <w:rsid w:val="00590FFD"/>
    <w:rsid w:val="00591320"/>
    <w:rsid w:val="005916D7"/>
    <w:rsid w:val="0059189F"/>
    <w:rsid w:val="00593195"/>
    <w:rsid w:val="00595CEC"/>
    <w:rsid w:val="005A0542"/>
    <w:rsid w:val="005A0D09"/>
    <w:rsid w:val="005A110B"/>
    <w:rsid w:val="005A1CA4"/>
    <w:rsid w:val="005A230D"/>
    <w:rsid w:val="005A315F"/>
    <w:rsid w:val="005A45B3"/>
    <w:rsid w:val="005A5677"/>
    <w:rsid w:val="005A5F33"/>
    <w:rsid w:val="005A60C5"/>
    <w:rsid w:val="005A6352"/>
    <w:rsid w:val="005A651F"/>
    <w:rsid w:val="005A698C"/>
    <w:rsid w:val="005B008D"/>
    <w:rsid w:val="005B00E1"/>
    <w:rsid w:val="005B09B1"/>
    <w:rsid w:val="005B17B9"/>
    <w:rsid w:val="005B1E98"/>
    <w:rsid w:val="005B2464"/>
    <w:rsid w:val="005B397D"/>
    <w:rsid w:val="005B46C4"/>
    <w:rsid w:val="005B4A9F"/>
    <w:rsid w:val="005B4F6A"/>
    <w:rsid w:val="005C17B6"/>
    <w:rsid w:val="005C1ACD"/>
    <w:rsid w:val="005C1EAD"/>
    <w:rsid w:val="005C296A"/>
    <w:rsid w:val="005C2CFA"/>
    <w:rsid w:val="005C3757"/>
    <w:rsid w:val="005C401C"/>
    <w:rsid w:val="005C4646"/>
    <w:rsid w:val="005C5687"/>
    <w:rsid w:val="005C572D"/>
    <w:rsid w:val="005C5733"/>
    <w:rsid w:val="005C5F3F"/>
    <w:rsid w:val="005C70EF"/>
    <w:rsid w:val="005C7AFA"/>
    <w:rsid w:val="005D031D"/>
    <w:rsid w:val="005D0646"/>
    <w:rsid w:val="005D1D90"/>
    <w:rsid w:val="005D4D2A"/>
    <w:rsid w:val="005D501E"/>
    <w:rsid w:val="005D627C"/>
    <w:rsid w:val="005D678E"/>
    <w:rsid w:val="005D6965"/>
    <w:rsid w:val="005D6F34"/>
    <w:rsid w:val="005E0259"/>
    <w:rsid w:val="005E1A58"/>
    <w:rsid w:val="005E2730"/>
    <w:rsid w:val="005E291A"/>
    <w:rsid w:val="005E38B5"/>
    <w:rsid w:val="005E4185"/>
    <w:rsid w:val="005E4B59"/>
    <w:rsid w:val="005E543E"/>
    <w:rsid w:val="005E671E"/>
    <w:rsid w:val="005E6D68"/>
    <w:rsid w:val="005E76C0"/>
    <w:rsid w:val="005E7890"/>
    <w:rsid w:val="005F1265"/>
    <w:rsid w:val="005F33D1"/>
    <w:rsid w:val="005F352E"/>
    <w:rsid w:val="005F364D"/>
    <w:rsid w:val="005F366B"/>
    <w:rsid w:val="005F4768"/>
    <w:rsid w:val="005F4CD1"/>
    <w:rsid w:val="005F55E7"/>
    <w:rsid w:val="005F5A80"/>
    <w:rsid w:val="005F6143"/>
    <w:rsid w:val="005F6742"/>
    <w:rsid w:val="005F7CDE"/>
    <w:rsid w:val="006004C8"/>
    <w:rsid w:val="006005DD"/>
    <w:rsid w:val="006009DB"/>
    <w:rsid w:val="00600D78"/>
    <w:rsid w:val="00603389"/>
    <w:rsid w:val="006035C3"/>
    <w:rsid w:val="00603DBF"/>
    <w:rsid w:val="006044FF"/>
    <w:rsid w:val="006069B1"/>
    <w:rsid w:val="00606F51"/>
    <w:rsid w:val="006077E4"/>
    <w:rsid w:val="00607CC5"/>
    <w:rsid w:val="00607F56"/>
    <w:rsid w:val="006101DD"/>
    <w:rsid w:val="0061021B"/>
    <w:rsid w:val="00610288"/>
    <w:rsid w:val="00611FA0"/>
    <w:rsid w:val="006128C7"/>
    <w:rsid w:val="00614828"/>
    <w:rsid w:val="00614E5C"/>
    <w:rsid w:val="006158B4"/>
    <w:rsid w:val="00617430"/>
    <w:rsid w:val="0062129A"/>
    <w:rsid w:val="00621394"/>
    <w:rsid w:val="006219CC"/>
    <w:rsid w:val="00622B00"/>
    <w:rsid w:val="00622BB9"/>
    <w:rsid w:val="00624403"/>
    <w:rsid w:val="006260EE"/>
    <w:rsid w:val="0062722A"/>
    <w:rsid w:val="00627795"/>
    <w:rsid w:val="0062786E"/>
    <w:rsid w:val="0063022E"/>
    <w:rsid w:val="00631EDA"/>
    <w:rsid w:val="00632905"/>
    <w:rsid w:val="0063332A"/>
    <w:rsid w:val="0063437B"/>
    <w:rsid w:val="006359F5"/>
    <w:rsid w:val="00635BAB"/>
    <w:rsid w:val="00636475"/>
    <w:rsid w:val="00636E88"/>
    <w:rsid w:val="00636EAD"/>
    <w:rsid w:val="00637926"/>
    <w:rsid w:val="00640054"/>
    <w:rsid w:val="00640AB1"/>
    <w:rsid w:val="006413D0"/>
    <w:rsid w:val="00641A8A"/>
    <w:rsid w:val="00641BDB"/>
    <w:rsid w:val="00642674"/>
    <w:rsid w:val="00642866"/>
    <w:rsid w:val="0064301C"/>
    <w:rsid w:val="00644582"/>
    <w:rsid w:val="00645A93"/>
    <w:rsid w:val="00645F40"/>
    <w:rsid w:val="0064618C"/>
    <w:rsid w:val="006470F5"/>
    <w:rsid w:val="0064740E"/>
    <w:rsid w:val="006502A5"/>
    <w:rsid w:val="0065069A"/>
    <w:rsid w:val="00651C52"/>
    <w:rsid w:val="006527B4"/>
    <w:rsid w:val="00653646"/>
    <w:rsid w:val="006537E1"/>
    <w:rsid w:val="0065412C"/>
    <w:rsid w:val="00656046"/>
    <w:rsid w:val="00657760"/>
    <w:rsid w:val="00660683"/>
    <w:rsid w:val="00660F74"/>
    <w:rsid w:val="00660FA0"/>
    <w:rsid w:val="00661C39"/>
    <w:rsid w:val="00662B1E"/>
    <w:rsid w:val="00663A15"/>
    <w:rsid w:val="006644F5"/>
    <w:rsid w:val="00665418"/>
    <w:rsid w:val="00665808"/>
    <w:rsid w:val="00666682"/>
    <w:rsid w:val="006673CA"/>
    <w:rsid w:val="00667532"/>
    <w:rsid w:val="00670F4C"/>
    <w:rsid w:val="006752FE"/>
    <w:rsid w:val="00680455"/>
    <w:rsid w:val="00680DD6"/>
    <w:rsid w:val="00682501"/>
    <w:rsid w:val="006836BF"/>
    <w:rsid w:val="0068414D"/>
    <w:rsid w:val="00684D61"/>
    <w:rsid w:val="006852A8"/>
    <w:rsid w:val="0068668C"/>
    <w:rsid w:val="00686ABC"/>
    <w:rsid w:val="006871E7"/>
    <w:rsid w:val="0068757C"/>
    <w:rsid w:val="006875B0"/>
    <w:rsid w:val="00687991"/>
    <w:rsid w:val="006901C6"/>
    <w:rsid w:val="00690BD4"/>
    <w:rsid w:val="00690C8F"/>
    <w:rsid w:val="00691E55"/>
    <w:rsid w:val="00692A72"/>
    <w:rsid w:val="00693174"/>
    <w:rsid w:val="0069412F"/>
    <w:rsid w:val="00694784"/>
    <w:rsid w:val="00697272"/>
    <w:rsid w:val="00697454"/>
    <w:rsid w:val="006A11E0"/>
    <w:rsid w:val="006A15C9"/>
    <w:rsid w:val="006A3452"/>
    <w:rsid w:val="006A366F"/>
    <w:rsid w:val="006A3EEF"/>
    <w:rsid w:val="006A5769"/>
    <w:rsid w:val="006A589D"/>
    <w:rsid w:val="006A60D5"/>
    <w:rsid w:val="006A6E06"/>
    <w:rsid w:val="006A7656"/>
    <w:rsid w:val="006B0E9E"/>
    <w:rsid w:val="006B1148"/>
    <w:rsid w:val="006B126F"/>
    <w:rsid w:val="006B1271"/>
    <w:rsid w:val="006B17C8"/>
    <w:rsid w:val="006B2001"/>
    <w:rsid w:val="006B2275"/>
    <w:rsid w:val="006B3F72"/>
    <w:rsid w:val="006B46C5"/>
    <w:rsid w:val="006B487A"/>
    <w:rsid w:val="006B51A3"/>
    <w:rsid w:val="006B542A"/>
    <w:rsid w:val="006B5AE4"/>
    <w:rsid w:val="006B60CA"/>
    <w:rsid w:val="006B6DB5"/>
    <w:rsid w:val="006B7DF6"/>
    <w:rsid w:val="006C042D"/>
    <w:rsid w:val="006C1BDE"/>
    <w:rsid w:val="006C2B48"/>
    <w:rsid w:val="006C346A"/>
    <w:rsid w:val="006C3A9E"/>
    <w:rsid w:val="006C57CB"/>
    <w:rsid w:val="006C5899"/>
    <w:rsid w:val="006C6414"/>
    <w:rsid w:val="006C66E1"/>
    <w:rsid w:val="006C6A45"/>
    <w:rsid w:val="006C7D2B"/>
    <w:rsid w:val="006D0CAA"/>
    <w:rsid w:val="006D0E00"/>
    <w:rsid w:val="006D101B"/>
    <w:rsid w:val="006D15FE"/>
    <w:rsid w:val="006D17F9"/>
    <w:rsid w:val="006D1A04"/>
    <w:rsid w:val="006D29B1"/>
    <w:rsid w:val="006D2A57"/>
    <w:rsid w:val="006D4054"/>
    <w:rsid w:val="006D612C"/>
    <w:rsid w:val="006D6332"/>
    <w:rsid w:val="006D6503"/>
    <w:rsid w:val="006D6CF9"/>
    <w:rsid w:val="006D7090"/>
    <w:rsid w:val="006E02EC"/>
    <w:rsid w:val="006E0A6F"/>
    <w:rsid w:val="006E1DDA"/>
    <w:rsid w:val="006E2BFD"/>
    <w:rsid w:val="006E49D2"/>
    <w:rsid w:val="006E64A8"/>
    <w:rsid w:val="006E65EF"/>
    <w:rsid w:val="006E71E2"/>
    <w:rsid w:val="006F209C"/>
    <w:rsid w:val="006F2453"/>
    <w:rsid w:val="006F2FC6"/>
    <w:rsid w:val="006F4864"/>
    <w:rsid w:val="006F554C"/>
    <w:rsid w:val="006F7A4B"/>
    <w:rsid w:val="00700158"/>
    <w:rsid w:val="007024CD"/>
    <w:rsid w:val="00703DC0"/>
    <w:rsid w:val="007053D5"/>
    <w:rsid w:val="00705CB0"/>
    <w:rsid w:val="007066A3"/>
    <w:rsid w:val="00706DD3"/>
    <w:rsid w:val="00706F4E"/>
    <w:rsid w:val="00707CF2"/>
    <w:rsid w:val="00707ECB"/>
    <w:rsid w:val="00712027"/>
    <w:rsid w:val="007131F0"/>
    <w:rsid w:val="00713967"/>
    <w:rsid w:val="00713A0C"/>
    <w:rsid w:val="007141D6"/>
    <w:rsid w:val="00714E92"/>
    <w:rsid w:val="0071505A"/>
    <w:rsid w:val="00716269"/>
    <w:rsid w:val="00716756"/>
    <w:rsid w:val="0071733F"/>
    <w:rsid w:val="007175CA"/>
    <w:rsid w:val="0071777D"/>
    <w:rsid w:val="007202AE"/>
    <w:rsid w:val="007203FC"/>
    <w:rsid w:val="007206BA"/>
    <w:rsid w:val="00720B63"/>
    <w:rsid w:val="00720C5A"/>
    <w:rsid w:val="007211B1"/>
    <w:rsid w:val="007218D0"/>
    <w:rsid w:val="00721ED7"/>
    <w:rsid w:val="00723422"/>
    <w:rsid w:val="007238E6"/>
    <w:rsid w:val="00724BB7"/>
    <w:rsid w:val="00726294"/>
    <w:rsid w:val="007264ED"/>
    <w:rsid w:val="00726587"/>
    <w:rsid w:val="00726702"/>
    <w:rsid w:val="007268C8"/>
    <w:rsid w:val="0072694E"/>
    <w:rsid w:val="007269FB"/>
    <w:rsid w:val="007300BC"/>
    <w:rsid w:val="00730884"/>
    <w:rsid w:val="007309C1"/>
    <w:rsid w:val="00730E35"/>
    <w:rsid w:val="007316E0"/>
    <w:rsid w:val="007320DE"/>
    <w:rsid w:val="007322C7"/>
    <w:rsid w:val="00734951"/>
    <w:rsid w:val="00734CBE"/>
    <w:rsid w:val="007357A2"/>
    <w:rsid w:val="00736417"/>
    <w:rsid w:val="00736C0B"/>
    <w:rsid w:val="0073718F"/>
    <w:rsid w:val="00740322"/>
    <w:rsid w:val="007405F4"/>
    <w:rsid w:val="00740AFA"/>
    <w:rsid w:val="00740F7E"/>
    <w:rsid w:val="00742610"/>
    <w:rsid w:val="007431BF"/>
    <w:rsid w:val="0074395E"/>
    <w:rsid w:val="00744556"/>
    <w:rsid w:val="00744AA8"/>
    <w:rsid w:val="007456A5"/>
    <w:rsid w:val="00746187"/>
    <w:rsid w:val="007465CF"/>
    <w:rsid w:val="0074773B"/>
    <w:rsid w:val="00750915"/>
    <w:rsid w:val="00750979"/>
    <w:rsid w:val="00750AA3"/>
    <w:rsid w:val="00751990"/>
    <w:rsid w:val="00751D12"/>
    <w:rsid w:val="00751F70"/>
    <w:rsid w:val="00752CD8"/>
    <w:rsid w:val="00752D23"/>
    <w:rsid w:val="007530C0"/>
    <w:rsid w:val="0075362E"/>
    <w:rsid w:val="00753691"/>
    <w:rsid w:val="00753CFF"/>
    <w:rsid w:val="007541AE"/>
    <w:rsid w:val="00755269"/>
    <w:rsid w:val="007555EB"/>
    <w:rsid w:val="007558EE"/>
    <w:rsid w:val="00756761"/>
    <w:rsid w:val="00757098"/>
    <w:rsid w:val="007603B4"/>
    <w:rsid w:val="00760E3C"/>
    <w:rsid w:val="00761DBB"/>
    <w:rsid w:val="0076254F"/>
    <w:rsid w:val="00762EA2"/>
    <w:rsid w:val="00765F07"/>
    <w:rsid w:val="00766661"/>
    <w:rsid w:val="00772292"/>
    <w:rsid w:val="007756C1"/>
    <w:rsid w:val="00776A66"/>
    <w:rsid w:val="00777BA6"/>
    <w:rsid w:val="007801F5"/>
    <w:rsid w:val="00780DCD"/>
    <w:rsid w:val="007811B8"/>
    <w:rsid w:val="007815B0"/>
    <w:rsid w:val="00781766"/>
    <w:rsid w:val="00782EFF"/>
    <w:rsid w:val="00783CA4"/>
    <w:rsid w:val="00783D1F"/>
    <w:rsid w:val="00784017"/>
    <w:rsid w:val="007842FB"/>
    <w:rsid w:val="00786124"/>
    <w:rsid w:val="00786B00"/>
    <w:rsid w:val="00786E48"/>
    <w:rsid w:val="00786F98"/>
    <w:rsid w:val="0078701E"/>
    <w:rsid w:val="00787420"/>
    <w:rsid w:val="00787946"/>
    <w:rsid w:val="007879A4"/>
    <w:rsid w:val="00787C9C"/>
    <w:rsid w:val="00787FD7"/>
    <w:rsid w:val="00790416"/>
    <w:rsid w:val="007905AE"/>
    <w:rsid w:val="007907AE"/>
    <w:rsid w:val="007911B9"/>
    <w:rsid w:val="00791D75"/>
    <w:rsid w:val="00793AE8"/>
    <w:rsid w:val="007948E2"/>
    <w:rsid w:val="0079514B"/>
    <w:rsid w:val="0079573B"/>
    <w:rsid w:val="00795D5C"/>
    <w:rsid w:val="00795FAB"/>
    <w:rsid w:val="007966C4"/>
    <w:rsid w:val="00796EC4"/>
    <w:rsid w:val="0079724F"/>
    <w:rsid w:val="007976BD"/>
    <w:rsid w:val="00797FBA"/>
    <w:rsid w:val="007A18B3"/>
    <w:rsid w:val="007A2410"/>
    <w:rsid w:val="007A2DC1"/>
    <w:rsid w:val="007A4B8A"/>
    <w:rsid w:val="007A508F"/>
    <w:rsid w:val="007A5500"/>
    <w:rsid w:val="007A5EDD"/>
    <w:rsid w:val="007A6A73"/>
    <w:rsid w:val="007B2346"/>
    <w:rsid w:val="007B285E"/>
    <w:rsid w:val="007B33D5"/>
    <w:rsid w:val="007B4120"/>
    <w:rsid w:val="007B4827"/>
    <w:rsid w:val="007B4B3D"/>
    <w:rsid w:val="007B5197"/>
    <w:rsid w:val="007B5AA4"/>
    <w:rsid w:val="007B6718"/>
    <w:rsid w:val="007C0D84"/>
    <w:rsid w:val="007C1A1F"/>
    <w:rsid w:val="007C229B"/>
    <w:rsid w:val="007C2B59"/>
    <w:rsid w:val="007C2D19"/>
    <w:rsid w:val="007C2EC3"/>
    <w:rsid w:val="007C387E"/>
    <w:rsid w:val="007C4EAC"/>
    <w:rsid w:val="007C5932"/>
    <w:rsid w:val="007C5CA4"/>
    <w:rsid w:val="007D072A"/>
    <w:rsid w:val="007D0C3C"/>
    <w:rsid w:val="007D1E9D"/>
    <w:rsid w:val="007D27C8"/>
    <w:rsid w:val="007D3319"/>
    <w:rsid w:val="007D3A8A"/>
    <w:rsid w:val="007D5036"/>
    <w:rsid w:val="007D51CE"/>
    <w:rsid w:val="007D5853"/>
    <w:rsid w:val="007D597B"/>
    <w:rsid w:val="007D66EA"/>
    <w:rsid w:val="007D7C85"/>
    <w:rsid w:val="007E3314"/>
    <w:rsid w:val="007E3C22"/>
    <w:rsid w:val="007E4B03"/>
    <w:rsid w:val="007E5284"/>
    <w:rsid w:val="007E7373"/>
    <w:rsid w:val="007F0D21"/>
    <w:rsid w:val="007F18D8"/>
    <w:rsid w:val="007F2AC2"/>
    <w:rsid w:val="007F2BE5"/>
    <w:rsid w:val="007F306D"/>
    <w:rsid w:val="007F324B"/>
    <w:rsid w:val="007F3410"/>
    <w:rsid w:val="007F5592"/>
    <w:rsid w:val="007F6092"/>
    <w:rsid w:val="007F6ECC"/>
    <w:rsid w:val="007F7EAF"/>
    <w:rsid w:val="00800D06"/>
    <w:rsid w:val="00801431"/>
    <w:rsid w:val="00802001"/>
    <w:rsid w:val="00803467"/>
    <w:rsid w:val="008039E1"/>
    <w:rsid w:val="00803E14"/>
    <w:rsid w:val="00804484"/>
    <w:rsid w:val="00804CD0"/>
    <w:rsid w:val="00805216"/>
    <w:rsid w:val="0080553C"/>
    <w:rsid w:val="00805A3C"/>
    <w:rsid w:val="00805B46"/>
    <w:rsid w:val="00806F6A"/>
    <w:rsid w:val="0080760D"/>
    <w:rsid w:val="0080761A"/>
    <w:rsid w:val="00807BA7"/>
    <w:rsid w:val="00807C47"/>
    <w:rsid w:val="0081068C"/>
    <w:rsid w:val="00810DEF"/>
    <w:rsid w:val="00811F04"/>
    <w:rsid w:val="0081216E"/>
    <w:rsid w:val="00812512"/>
    <w:rsid w:val="008147E0"/>
    <w:rsid w:val="008152E5"/>
    <w:rsid w:val="008155BE"/>
    <w:rsid w:val="008157D7"/>
    <w:rsid w:val="00815A82"/>
    <w:rsid w:val="00816213"/>
    <w:rsid w:val="00816657"/>
    <w:rsid w:val="00816807"/>
    <w:rsid w:val="008168D8"/>
    <w:rsid w:val="0081691B"/>
    <w:rsid w:val="008169D0"/>
    <w:rsid w:val="00817021"/>
    <w:rsid w:val="00817F2A"/>
    <w:rsid w:val="0082021C"/>
    <w:rsid w:val="008211C9"/>
    <w:rsid w:val="00821504"/>
    <w:rsid w:val="0082157D"/>
    <w:rsid w:val="0082190F"/>
    <w:rsid w:val="008224CF"/>
    <w:rsid w:val="008229EA"/>
    <w:rsid w:val="008233EA"/>
    <w:rsid w:val="008241D7"/>
    <w:rsid w:val="00824695"/>
    <w:rsid w:val="00824B22"/>
    <w:rsid w:val="00825A87"/>
    <w:rsid w:val="00825DC2"/>
    <w:rsid w:val="00826342"/>
    <w:rsid w:val="00826769"/>
    <w:rsid w:val="0082736D"/>
    <w:rsid w:val="0082763A"/>
    <w:rsid w:val="008279D3"/>
    <w:rsid w:val="0083133D"/>
    <w:rsid w:val="00831F69"/>
    <w:rsid w:val="00832C45"/>
    <w:rsid w:val="00832DF6"/>
    <w:rsid w:val="0083385A"/>
    <w:rsid w:val="00834520"/>
    <w:rsid w:val="00834AD3"/>
    <w:rsid w:val="00835681"/>
    <w:rsid w:val="0083652B"/>
    <w:rsid w:val="00836F81"/>
    <w:rsid w:val="00837709"/>
    <w:rsid w:val="008401C6"/>
    <w:rsid w:val="00840EDE"/>
    <w:rsid w:val="008413B4"/>
    <w:rsid w:val="008415A7"/>
    <w:rsid w:val="00841D7F"/>
    <w:rsid w:val="0084287F"/>
    <w:rsid w:val="00842DA2"/>
    <w:rsid w:val="00843135"/>
    <w:rsid w:val="00843509"/>
    <w:rsid w:val="00843795"/>
    <w:rsid w:val="0084406B"/>
    <w:rsid w:val="0084428E"/>
    <w:rsid w:val="00846DAA"/>
    <w:rsid w:val="00847555"/>
    <w:rsid w:val="00847816"/>
    <w:rsid w:val="0085046E"/>
    <w:rsid w:val="00850B65"/>
    <w:rsid w:val="008518D9"/>
    <w:rsid w:val="00851F23"/>
    <w:rsid w:val="00852448"/>
    <w:rsid w:val="0085281C"/>
    <w:rsid w:val="00853813"/>
    <w:rsid w:val="008547E2"/>
    <w:rsid w:val="00855A9F"/>
    <w:rsid w:val="0085624B"/>
    <w:rsid w:val="00856648"/>
    <w:rsid w:val="008602AB"/>
    <w:rsid w:val="008610A6"/>
    <w:rsid w:val="008630C8"/>
    <w:rsid w:val="00864080"/>
    <w:rsid w:val="00864C6A"/>
    <w:rsid w:val="00865F66"/>
    <w:rsid w:val="00866AEB"/>
    <w:rsid w:val="00866C55"/>
    <w:rsid w:val="00867A14"/>
    <w:rsid w:val="00867C94"/>
    <w:rsid w:val="008716CF"/>
    <w:rsid w:val="008718D6"/>
    <w:rsid w:val="00871D56"/>
    <w:rsid w:val="00874989"/>
    <w:rsid w:val="00874E27"/>
    <w:rsid w:val="00874E38"/>
    <w:rsid w:val="00875905"/>
    <w:rsid w:val="00875A6F"/>
    <w:rsid w:val="0087758F"/>
    <w:rsid w:val="0087770B"/>
    <w:rsid w:val="0088258A"/>
    <w:rsid w:val="00882E3A"/>
    <w:rsid w:val="00882EF6"/>
    <w:rsid w:val="00883203"/>
    <w:rsid w:val="00883229"/>
    <w:rsid w:val="00883C9E"/>
    <w:rsid w:val="008849C5"/>
    <w:rsid w:val="008851BE"/>
    <w:rsid w:val="0088572F"/>
    <w:rsid w:val="00886332"/>
    <w:rsid w:val="00887EA6"/>
    <w:rsid w:val="008902D8"/>
    <w:rsid w:val="008914E2"/>
    <w:rsid w:val="008918A2"/>
    <w:rsid w:val="00892AB4"/>
    <w:rsid w:val="00892C15"/>
    <w:rsid w:val="008956F7"/>
    <w:rsid w:val="00897149"/>
    <w:rsid w:val="0089720B"/>
    <w:rsid w:val="008A0475"/>
    <w:rsid w:val="008A0908"/>
    <w:rsid w:val="008A0A17"/>
    <w:rsid w:val="008A22FC"/>
    <w:rsid w:val="008A2389"/>
    <w:rsid w:val="008A26D9"/>
    <w:rsid w:val="008A39CE"/>
    <w:rsid w:val="008A7184"/>
    <w:rsid w:val="008B06CF"/>
    <w:rsid w:val="008B0BD6"/>
    <w:rsid w:val="008B21A3"/>
    <w:rsid w:val="008B2AD1"/>
    <w:rsid w:val="008B2FE5"/>
    <w:rsid w:val="008B3A10"/>
    <w:rsid w:val="008B5CD0"/>
    <w:rsid w:val="008B66CC"/>
    <w:rsid w:val="008B6749"/>
    <w:rsid w:val="008B67EC"/>
    <w:rsid w:val="008B6EA3"/>
    <w:rsid w:val="008B7944"/>
    <w:rsid w:val="008C0927"/>
    <w:rsid w:val="008C0F73"/>
    <w:rsid w:val="008C1BBC"/>
    <w:rsid w:val="008C1F15"/>
    <w:rsid w:val="008C38D9"/>
    <w:rsid w:val="008C6213"/>
    <w:rsid w:val="008C6ACE"/>
    <w:rsid w:val="008C6CAE"/>
    <w:rsid w:val="008C6EEA"/>
    <w:rsid w:val="008C7B36"/>
    <w:rsid w:val="008D094F"/>
    <w:rsid w:val="008D2138"/>
    <w:rsid w:val="008D23C7"/>
    <w:rsid w:val="008D283C"/>
    <w:rsid w:val="008D5118"/>
    <w:rsid w:val="008D5199"/>
    <w:rsid w:val="008D5697"/>
    <w:rsid w:val="008D59D4"/>
    <w:rsid w:val="008D78A8"/>
    <w:rsid w:val="008E0077"/>
    <w:rsid w:val="008E097D"/>
    <w:rsid w:val="008E0A77"/>
    <w:rsid w:val="008E0F64"/>
    <w:rsid w:val="008E2974"/>
    <w:rsid w:val="008E3A90"/>
    <w:rsid w:val="008E49D9"/>
    <w:rsid w:val="008E4FB9"/>
    <w:rsid w:val="008E53D2"/>
    <w:rsid w:val="008E64FC"/>
    <w:rsid w:val="008E692D"/>
    <w:rsid w:val="008E72AD"/>
    <w:rsid w:val="008E7D1D"/>
    <w:rsid w:val="008F12C7"/>
    <w:rsid w:val="008F1402"/>
    <w:rsid w:val="008F2371"/>
    <w:rsid w:val="008F2CA6"/>
    <w:rsid w:val="008F34D8"/>
    <w:rsid w:val="008F3638"/>
    <w:rsid w:val="008F39FB"/>
    <w:rsid w:val="008F3D71"/>
    <w:rsid w:val="008F68AD"/>
    <w:rsid w:val="008F6F31"/>
    <w:rsid w:val="009018A4"/>
    <w:rsid w:val="00901D20"/>
    <w:rsid w:val="009043FA"/>
    <w:rsid w:val="009046B7"/>
    <w:rsid w:val="00904AE7"/>
    <w:rsid w:val="009056AE"/>
    <w:rsid w:val="0090648B"/>
    <w:rsid w:val="00910C98"/>
    <w:rsid w:val="00912639"/>
    <w:rsid w:val="00917178"/>
    <w:rsid w:val="00917989"/>
    <w:rsid w:val="00917EF4"/>
    <w:rsid w:val="00920258"/>
    <w:rsid w:val="0092032A"/>
    <w:rsid w:val="00920BE3"/>
    <w:rsid w:val="00920C33"/>
    <w:rsid w:val="00921F2A"/>
    <w:rsid w:val="009220A2"/>
    <w:rsid w:val="009227A6"/>
    <w:rsid w:val="00924355"/>
    <w:rsid w:val="009251B4"/>
    <w:rsid w:val="00930E14"/>
    <w:rsid w:val="009325E5"/>
    <w:rsid w:val="00932E84"/>
    <w:rsid w:val="0093307A"/>
    <w:rsid w:val="00933EC1"/>
    <w:rsid w:val="0093436A"/>
    <w:rsid w:val="00934ADA"/>
    <w:rsid w:val="00935F98"/>
    <w:rsid w:val="00937411"/>
    <w:rsid w:val="0093780F"/>
    <w:rsid w:val="00937C55"/>
    <w:rsid w:val="00940965"/>
    <w:rsid w:val="00941127"/>
    <w:rsid w:val="00941736"/>
    <w:rsid w:val="009422D3"/>
    <w:rsid w:val="0094390A"/>
    <w:rsid w:val="00944653"/>
    <w:rsid w:val="00945038"/>
    <w:rsid w:val="0094650F"/>
    <w:rsid w:val="0094733E"/>
    <w:rsid w:val="00950834"/>
    <w:rsid w:val="00950893"/>
    <w:rsid w:val="00950B60"/>
    <w:rsid w:val="009530DB"/>
    <w:rsid w:val="00953676"/>
    <w:rsid w:val="009536A9"/>
    <w:rsid w:val="00954019"/>
    <w:rsid w:val="009546B3"/>
    <w:rsid w:val="00954F3F"/>
    <w:rsid w:val="00955AB9"/>
    <w:rsid w:val="009569F4"/>
    <w:rsid w:val="00956AFD"/>
    <w:rsid w:val="00960939"/>
    <w:rsid w:val="00960DE7"/>
    <w:rsid w:val="009614DD"/>
    <w:rsid w:val="00962BD1"/>
    <w:rsid w:val="00963416"/>
    <w:rsid w:val="0096391E"/>
    <w:rsid w:val="00964491"/>
    <w:rsid w:val="009647CB"/>
    <w:rsid w:val="009649C9"/>
    <w:rsid w:val="00965B66"/>
    <w:rsid w:val="009661B7"/>
    <w:rsid w:val="00966DD2"/>
    <w:rsid w:val="009677EE"/>
    <w:rsid w:val="00967DF3"/>
    <w:rsid w:val="009705EE"/>
    <w:rsid w:val="00970AD1"/>
    <w:rsid w:val="00971D57"/>
    <w:rsid w:val="009731DA"/>
    <w:rsid w:val="00973D31"/>
    <w:rsid w:val="009753AA"/>
    <w:rsid w:val="00975BF5"/>
    <w:rsid w:val="0097629D"/>
    <w:rsid w:val="009768F3"/>
    <w:rsid w:val="00977927"/>
    <w:rsid w:val="00977CA8"/>
    <w:rsid w:val="009808D2"/>
    <w:rsid w:val="0098135C"/>
    <w:rsid w:val="0098156A"/>
    <w:rsid w:val="00982117"/>
    <w:rsid w:val="00982CBA"/>
    <w:rsid w:val="00983B65"/>
    <w:rsid w:val="009842A2"/>
    <w:rsid w:val="00985759"/>
    <w:rsid w:val="00985FD1"/>
    <w:rsid w:val="0098681B"/>
    <w:rsid w:val="00986EFC"/>
    <w:rsid w:val="009872DC"/>
    <w:rsid w:val="00987F2A"/>
    <w:rsid w:val="00990A3E"/>
    <w:rsid w:val="0099132B"/>
    <w:rsid w:val="0099143D"/>
    <w:rsid w:val="00992338"/>
    <w:rsid w:val="00993416"/>
    <w:rsid w:val="00993726"/>
    <w:rsid w:val="00993E30"/>
    <w:rsid w:val="00994BF9"/>
    <w:rsid w:val="00995F7D"/>
    <w:rsid w:val="009964BE"/>
    <w:rsid w:val="00996A42"/>
    <w:rsid w:val="00997FD8"/>
    <w:rsid w:val="009A031E"/>
    <w:rsid w:val="009A044F"/>
    <w:rsid w:val="009A2A10"/>
    <w:rsid w:val="009A2A2C"/>
    <w:rsid w:val="009A40A5"/>
    <w:rsid w:val="009A44EF"/>
    <w:rsid w:val="009A4E4F"/>
    <w:rsid w:val="009A7031"/>
    <w:rsid w:val="009A77C1"/>
    <w:rsid w:val="009A7B0D"/>
    <w:rsid w:val="009B04EE"/>
    <w:rsid w:val="009B244D"/>
    <w:rsid w:val="009B3224"/>
    <w:rsid w:val="009B3E22"/>
    <w:rsid w:val="009B4EE0"/>
    <w:rsid w:val="009B6210"/>
    <w:rsid w:val="009B78E9"/>
    <w:rsid w:val="009C051C"/>
    <w:rsid w:val="009C1335"/>
    <w:rsid w:val="009C1AB2"/>
    <w:rsid w:val="009C1AFB"/>
    <w:rsid w:val="009C2B1A"/>
    <w:rsid w:val="009C3074"/>
    <w:rsid w:val="009C58A2"/>
    <w:rsid w:val="009C5AA9"/>
    <w:rsid w:val="009C64B2"/>
    <w:rsid w:val="009C6862"/>
    <w:rsid w:val="009C699E"/>
    <w:rsid w:val="009C6E6F"/>
    <w:rsid w:val="009C7251"/>
    <w:rsid w:val="009C76C1"/>
    <w:rsid w:val="009D0B47"/>
    <w:rsid w:val="009D12CB"/>
    <w:rsid w:val="009D16B7"/>
    <w:rsid w:val="009D2421"/>
    <w:rsid w:val="009D24E3"/>
    <w:rsid w:val="009D2596"/>
    <w:rsid w:val="009D26C5"/>
    <w:rsid w:val="009D2F85"/>
    <w:rsid w:val="009D3012"/>
    <w:rsid w:val="009D455D"/>
    <w:rsid w:val="009D591C"/>
    <w:rsid w:val="009D6D1B"/>
    <w:rsid w:val="009E0168"/>
    <w:rsid w:val="009E0E4F"/>
    <w:rsid w:val="009E10DC"/>
    <w:rsid w:val="009E1453"/>
    <w:rsid w:val="009E1BBE"/>
    <w:rsid w:val="009E2E77"/>
    <w:rsid w:val="009E2E91"/>
    <w:rsid w:val="009E32E5"/>
    <w:rsid w:val="009E373E"/>
    <w:rsid w:val="009E6B87"/>
    <w:rsid w:val="009E7672"/>
    <w:rsid w:val="009E7937"/>
    <w:rsid w:val="009F06D5"/>
    <w:rsid w:val="009F1845"/>
    <w:rsid w:val="009F2576"/>
    <w:rsid w:val="009F3DD7"/>
    <w:rsid w:val="009F49F4"/>
    <w:rsid w:val="009F6545"/>
    <w:rsid w:val="00A0030E"/>
    <w:rsid w:val="00A00C1D"/>
    <w:rsid w:val="00A01091"/>
    <w:rsid w:val="00A0180E"/>
    <w:rsid w:val="00A024B6"/>
    <w:rsid w:val="00A0256A"/>
    <w:rsid w:val="00A02615"/>
    <w:rsid w:val="00A0285A"/>
    <w:rsid w:val="00A028EA"/>
    <w:rsid w:val="00A02FDE"/>
    <w:rsid w:val="00A037E6"/>
    <w:rsid w:val="00A0390D"/>
    <w:rsid w:val="00A03C39"/>
    <w:rsid w:val="00A04D07"/>
    <w:rsid w:val="00A06260"/>
    <w:rsid w:val="00A06C33"/>
    <w:rsid w:val="00A06D63"/>
    <w:rsid w:val="00A06EA4"/>
    <w:rsid w:val="00A07058"/>
    <w:rsid w:val="00A07104"/>
    <w:rsid w:val="00A11706"/>
    <w:rsid w:val="00A11D67"/>
    <w:rsid w:val="00A123A6"/>
    <w:rsid w:val="00A12A81"/>
    <w:rsid w:val="00A139F5"/>
    <w:rsid w:val="00A14117"/>
    <w:rsid w:val="00A14619"/>
    <w:rsid w:val="00A14C84"/>
    <w:rsid w:val="00A15446"/>
    <w:rsid w:val="00A1545A"/>
    <w:rsid w:val="00A16EC3"/>
    <w:rsid w:val="00A170A9"/>
    <w:rsid w:val="00A17D7F"/>
    <w:rsid w:val="00A20B50"/>
    <w:rsid w:val="00A220D8"/>
    <w:rsid w:val="00A22444"/>
    <w:rsid w:val="00A24C54"/>
    <w:rsid w:val="00A253C7"/>
    <w:rsid w:val="00A261D4"/>
    <w:rsid w:val="00A279E6"/>
    <w:rsid w:val="00A31272"/>
    <w:rsid w:val="00A32CF1"/>
    <w:rsid w:val="00A32E29"/>
    <w:rsid w:val="00A32F14"/>
    <w:rsid w:val="00A338E9"/>
    <w:rsid w:val="00A33CED"/>
    <w:rsid w:val="00A360ED"/>
    <w:rsid w:val="00A365F4"/>
    <w:rsid w:val="00A36CF8"/>
    <w:rsid w:val="00A37D14"/>
    <w:rsid w:val="00A40A97"/>
    <w:rsid w:val="00A40D99"/>
    <w:rsid w:val="00A4161F"/>
    <w:rsid w:val="00A41653"/>
    <w:rsid w:val="00A4576B"/>
    <w:rsid w:val="00A46313"/>
    <w:rsid w:val="00A470CE"/>
    <w:rsid w:val="00A47A73"/>
    <w:rsid w:val="00A47B8C"/>
    <w:rsid w:val="00A47D80"/>
    <w:rsid w:val="00A51763"/>
    <w:rsid w:val="00A5188B"/>
    <w:rsid w:val="00A524AC"/>
    <w:rsid w:val="00A53132"/>
    <w:rsid w:val="00A5362E"/>
    <w:rsid w:val="00A536CA"/>
    <w:rsid w:val="00A54E97"/>
    <w:rsid w:val="00A55C76"/>
    <w:rsid w:val="00A563F2"/>
    <w:rsid w:val="00A566E8"/>
    <w:rsid w:val="00A5696C"/>
    <w:rsid w:val="00A56A97"/>
    <w:rsid w:val="00A56B24"/>
    <w:rsid w:val="00A5744F"/>
    <w:rsid w:val="00A5789C"/>
    <w:rsid w:val="00A604DD"/>
    <w:rsid w:val="00A63CC4"/>
    <w:rsid w:val="00A658B0"/>
    <w:rsid w:val="00A665B9"/>
    <w:rsid w:val="00A70DA1"/>
    <w:rsid w:val="00A71000"/>
    <w:rsid w:val="00A713D0"/>
    <w:rsid w:val="00A717DE"/>
    <w:rsid w:val="00A74227"/>
    <w:rsid w:val="00A748C7"/>
    <w:rsid w:val="00A75291"/>
    <w:rsid w:val="00A75BC8"/>
    <w:rsid w:val="00A77626"/>
    <w:rsid w:val="00A77C47"/>
    <w:rsid w:val="00A77F7C"/>
    <w:rsid w:val="00A77FC3"/>
    <w:rsid w:val="00A80FF5"/>
    <w:rsid w:val="00A81107"/>
    <w:rsid w:val="00A81235"/>
    <w:rsid w:val="00A82991"/>
    <w:rsid w:val="00A8381C"/>
    <w:rsid w:val="00A844B5"/>
    <w:rsid w:val="00A84C3A"/>
    <w:rsid w:val="00A8603E"/>
    <w:rsid w:val="00A86077"/>
    <w:rsid w:val="00A865D9"/>
    <w:rsid w:val="00A86779"/>
    <w:rsid w:val="00A869C5"/>
    <w:rsid w:val="00A86C7D"/>
    <w:rsid w:val="00A86ECC"/>
    <w:rsid w:val="00A86FCC"/>
    <w:rsid w:val="00A9005C"/>
    <w:rsid w:val="00A91287"/>
    <w:rsid w:val="00A92527"/>
    <w:rsid w:val="00A929FA"/>
    <w:rsid w:val="00A9340E"/>
    <w:rsid w:val="00A93918"/>
    <w:rsid w:val="00A97A0E"/>
    <w:rsid w:val="00AA0A84"/>
    <w:rsid w:val="00AA0B2B"/>
    <w:rsid w:val="00AA33A8"/>
    <w:rsid w:val="00AA35CC"/>
    <w:rsid w:val="00AA3A3D"/>
    <w:rsid w:val="00AA4800"/>
    <w:rsid w:val="00AA4B14"/>
    <w:rsid w:val="00AA59FE"/>
    <w:rsid w:val="00AA5FF1"/>
    <w:rsid w:val="00AA621B"/>
    <w:rsid w:val="00AA652A"/>
    <w:rsid w:val="00AA710D"/>
    <w:rsid w:val="00AA7113"/>
    <w:rsid w:val="00AA7BB0"/>
    <w:rsid w:val="00AB0AA9"/>
    <w:rsid w:val="00AB1415"/>
    <w:rsid w:val="00AB2181"/>
    <w:rsid w:val="00AB2CEA"/>
    <w:rsid w:val="00AB334B"/>
    <w:rsid w:val="00AB3D3E"/>
    <w:rsid w:val="00AB3E11"/>
    <w:rsid w:val="00AB3F4B"/>
    <w:rsid w:val="00AB587B"/>
    <w:rsid w:val="00AB6123"/>
    <w:rsid w:val="00AB635D"/>
    <w:rsid w:val="00AB6D25"/>
    <w:rsid w:val="00AB7938"/>
    <w:rsid w:val="00AB7F1C"/>
    <w:rsid w:val="00AC02E7"/>
    <w:rsid w:val="00AC1770"/>
    <w:rsid w:val="00AC1942"/>
    <w:rsid w:val="00AC1F5F"/>
    <w:rsid w:val="00AC3371"/>
    <w:rsid w:val="00AC3742"/>
    <w:rsid w:val="00AC40AE"/>
    <w:rsid w:val="00AC4C4A"/>
    <w:rsid w:val="00AC675E"/>
    <w:rsid w:val="00AC6D6A"/>
    <w:rsid w:val="00AD0323"/>
    <w:rsid w:val="00AD06AD"/>
    <w:rsid w:val="00AD0E41"/>
    <w:rsid w:val="00AD1310"/>
    <w:rsid w:val="00AD456D"/>
    <w:rsid w:val="00AD48CD"/>
    <w:rsid w:val="00AD4B17"/>
    <w:rsid w:val="00AD5123"/>
    <w:rsid w:val="00AD6249"/>
    <w:rsid w:val="00AE01A0"/>
    <w:rsid w:val="00AE1EED"/>
    <w:rsid w:val="00AE2D4B"/>
    <w:rsid w:val="00AE2DDB"/>
    <w:rsid w:val="00AE4F99"/>
    <w:rsid w:val="00AE626C"/>
    <w:rsid w:val="00AE771B"/>
    <w:rsid w:val="00AE7D3D"/>
    <w:rsid w:val="00AF01B2"/>
    <w:rsid w:val="00AF06E1"/>
    <w:rsid w:val="00AF1A75"/>
    <w:rsid w:val="00AF2107"/>
    <w:rsid w:val="00AF3AEA"/>
    <w:rsid w:val="00AF3C7C"/>
    <w:rsid w:val="00AF4D2A"/>
    <w:rsid w:val="00AF59E4"/>
    <w:rsid w:val="00AF5E4A"/>
    <w:rsid w:val="00AF63E1"/>
    <w:rsid w:val="00AF6FF8"/>
    <w:rsid w:val="00B010FE"/>
    <w:rsid w:val="00B01136"/>
    <w:rsid w:val="00B01155"/>
    <w:rsid w:val="00B01533"/>
    <w:rsid w:val="00B03638"/>
    <w:rsid w:val="00B10211"/>
    <w:rsid w:val="00B125DF"/>
    <w:rsid w:val="00B12CC4"/>
    <w:rsid w:val="00B1362B"/>
    <w:rsid w:val="00B14952"/>
    <w:rsid w:val="00B152C9"/>
    <w:rsid w:val="00B168D2"/>
    <w:rsid w:val="00B17E1B"/>
    <w:rsid w:val="00B2134B"/>
    <w:rsid w:val="00B2194A"/>
    <w:rsid w:val="00B2215B"/>
    <w:rsid w:val="00B22545"/>
    <w:rsid w:val="00B228F5"/>
    <w:rsid w:val="00B240EB"/>
    <w:rsid w:val="00B2462B"/>
    <w:rsid w:val="00B259D7"/>
    <w:rsid w:val="00B25FC5"/>
    <w:rsid w:val="00B267F1"/>
    <w:rsid w:val="00B268D4"/>
    <w:rsid w:val="00B26C0F"/>
    <w:rsid w:val="00B26CC9"/>
    <w:rsid w:val="00B26DBD"/>
    <w:rsid w:val="00B31E5A"/>
    <w:rsid w:val="00B32639"/>
    <w:rsid w:val="00B3264E"/>
    <w:rsid w:val="00B32B58"/>
    <w:rsid w:val="00B331B5"/>
    <w:rsid w:val="00B34AE4"/>
    <w:rsid w:val="00B34CDC"/>
    <w:rsid w:val="00B40010"/>
    <w:rsid w:val="00B41AC9"/>
    <w:rsid w:val="00B4311B"/>
    <w:rsid w:val="00B4375E"/>
    <w:rsid w:val="00B438BA"/>
    <w:rsid w:val="00B440B8"/>
    <w:rsid w:val="00B4459D"/>
    <w:rsid w:val="00B4565C"/>
    <w:rsid w:val="00B45D46"/>
    <w:rsid w:val="00B462A1"/>
    <w:rsid w:val="00B47C5B"/>
    <w:rsid w:val="00B47D3F"/>
    <w:rsid w:val="00B51A57"/>
    <w:rsid w:val="00B52112"/>
    <w:rsid w:val="00B531D3"/>
    <w:rsid w:val="00B549B4"/>
    <w:rsid w:val="00B54BE8"/>
    <w:rsid w:val="00B5572E"/>
    <w:rsid w:val="00B57AAA"/>
    <w:rsid w:val="00B57AFF"/>
    <w:rsid w:val="00B61114"/>
    <w:rsid w:val="00B61380"/>
    <w:rsid w:val="00B624E9"/>
    <w:rsid w:val="00B62871"/>
    <w:rsid w:val="00B6292F"/>
    <w:rsid w:val="00B62CFE"/>
    <w:rsid w:val="00B63352"/>
    <w:rsid w:val="00B64845"/>
    <w:rsid w:val="00B653AB"/>
    <w:rsid w:val="00B65F9E"/>
    <w:rsid w:val="00B66B19"/>
    <w:rsid w:val="00B66F34"/>
    <w:rsid w:val="00B6731A"/>
    <w:rsid w:val="00B67617"/>
    <w:rsid w:val="00B6764A"/>
    <w:rsid w:val="00B67C79"/>
    <w:rsid w:val="00B701BE"/>
    <w:rsid w:val="00B70513"/>
    <w:rsid w:val="00B71475"/>
    <w:rsid w:val="00B71B74"/>
    <w:rsid w:val="00B7235F"/>
    <w:rsid w:val="00B73612"/>
    <w:rsid w:val="00B74623"/>
    <w:rsid w:val="00B74EC0"/>
    <w:rsid w:val="00B759DD"/>
    <w:rsid w:val="00B761C1"/>
    <w:rsid w:val="00B761FC"/>
    <w:rsid w:val="00B7774E"/>
    <w:rsid w:val="00B80A5A"/>
    <w:rsid w:val="00B811A9"/>
    <w:rsid w:val="00B823A7"/>
    <w:rsid w:val="00B82758"/>
    <w:rsid w:val="00B82845"/>
    <w:rsid w:val="00B82BB2"/>
    <w:rsid w:val="00B82C01"/>
    <w:rsid w:val="00B82FBE"/>
    <w:rsid w:val="00B83046"/>
    <w:rsid w:val="00B8394F"/>
    <w:rsid w:val="00B83FC5"/>
    <w:rsid w:val="00B85B0E"/>
    <w:rsid w:val="00B8679E"/>
    <w:rsid w:val="00B86A70"/>
    <w:rsid w:val="00B86DC4"/>
    <w:rsid w:val="00B87889"/>
    <w:rsid w:val="00B87B0F"/>
    <w:rsid w:val="00B914E9"/>
    <w:rsid w:val="00B92916"/>
    <w:rsid w:val="00B95145"/>
    <w:rsid w:val="00B956EE"/>
    <w:rsid w:val="00B96047"/>
    <w:rsid w:val="00B96C90"/>
    <w:rsid w:val="00B97998"/>
    <w:rsid w:val="00BA07CF"/>
    <w:rsid w:val="00BA0E78"/>
    <w:rsid w:val="00BA182D"/>
    <w:rsid w:val="00BA2BA1"/>
    <w:rsid w:val="00BA3DF0"/>
    <w:rsid w:val="00BA4006"/>
    <w:rsid w:val="00BA4633"/>
    <w:rsid w:val="00BA4CF9"/>
    <w:rsid w:val="00BA56B8"/>
    <w:rsid w:val="00BA5992"/>
    <w:rsid w:val="00BA5BB0"/>
    <w:rsid w:val="00BA6B4F"/>
    <w:rsid w:val="00BA7711"/>
    <w:rsid w:val="00BB193C"/>
    <w:rsid w:val="00BB226D"/>
    <w:rsid w:val="00BB254F"/>
    <w:rsid w:val="00BB29F8"/>
    <w:rsid w:val="00BB2FC1"/>
    <w:rsid w:val="00BB3B7F"/>
    <w:rsid w:val="00BB4747"/>
    <w:rsid w:val="00BB768F"/>
    <w:rsid w:val="00BB7D28"/>
    <w:rsid w:val="00BC01E2"/>
    <w:rsid w:val="00BC022B"/>
    <w:rsid w:val="00BC1F7C"/>
    <w:rsid w:val="00BC3E9C"/>
    <w:rsid w:val="00BC4B00"/>
    <w:rsid w:val="00BC54E6"/>
    <w:rsid w:val="00BC56C8"/>
    <w:rsid w:val="00BC6015"/>
    <w:rsid w:val="00BC6C2E"/>
    <w:rsid w:val="00BD214B"/>
    <w:rsid w:val="00BD23B3"/>
    <w:rsid w:val="00BD34B6"/>
    <w:rsid w:val="00BD3AA2"/>
    <w:rsid w:val="00BD3AD5"/>
    <w:rsid w:val="00BD4B70"/>
    <w:rsid w:val="00BD4E33"/>
    <w:rsid w:val="00BD5271"/>
    <w:rsid w:val="00BD5E10"/>
    <w:rsid w:val="00BD60C7"/>
    <w:rsid w:val="00BD6478"/>
    <w:rsid w:val="00BE131C"/>
    <w:rsid w:val="00BE1FB4"/>
    <w:rsid w:val="00BE2638"/>
    <w:rsid w:val="00BE2E0F"/>
    <w:rsid w:val="00BE34A5"/>
    <w:rsid w:val="00BE455E"/>
    <w:rsid w:val="00BE4AC4"/>
    <w:rsid w:val="00BE51DA"/>
    <w:rsid w:val="00BE5518"/>
    <w:rsid w:val="00BE5594"/>
    <w:rsid w:val="00BE5C28"/>
    <w:rsid w:val="00BE694A"/>
    <w:rsid w:val="00BE6DB5"/>
    <w:rsid w:val="00BE73C9"/>
    <w:rsid w:val="00BE7614"/>
    <w:rsid w:val="00BF026F"/>
    <w:rsid w:val="00BF228C"/>
    <w:rsid w:val="00BF2AC2"/>
    <w:rsid w:val="00BF3E5A"/>
    <w:rsid w:val="00BF3EA7"/>
    <w:rsid w:val="00BF49C3"/>
    <w:rsid w:val="00BF4A05"/>
    <w:rsid w:val="00BF56E0"/>
    <w:rsid w:val="00BF7284"/>
    <w:rsid w:val="00BF75C9"/>
    <w:rsid w:val="00C009C4"/>
    <w:rsid w:val="00C0125E"/>
    <w:rsid w:val="00C013E6"/>
    <w:rsid w:val="00C01489"/>
    <w:rsid w:val="00C01726"/>
    <w:rsid w:val="00C030DE"/>
    <w:rsid w:val="00C041B3"/>
    <w:rsid w:val="00C05487"/>
    <w:rsid w:val="00C06780"/>
    <w:rsid w:val="00C06950"/>
    <w:rsid w:val="00C06A88"/>
    <w:rsid w:val="00C07640"/>
    <w:rsid w:val="00C10D01"/>
    <w:rsid w:val="00C10DF9"/>
    <w:rsid w:val="00C110DE"/>
    <w:rsid w:val="00C11636"/>
    <w:rsid w:val="00C1264F"/>
    <w:rsid w:val="00C126E4"/>
    <w:rsid w:val="00C13813"/>
    <w:rsid w:val="00C14256"/>
    <w:rsid w:val="00C1563E"/>
    <w:rsid w:val="00C16DB6"/>
    <w:rsid w:val="00C201ED"/>
    <w:rsid w:val="00C22105"/>
    <w:rsid w:val="00C2254F"/>
    <w:rsid w:val="00C2359C"/>
    <w:rsid w:val="00C239CB"/>
    <w:rsid w:val="00C24635"/>
    <w:rsid w:val="00C24A0A"/>
    <w:rsid w:val="00C24BE6"/>
    <w:rsid w:val="00C24EF2"/>
    <w:rsid w:val="00C27632"/>
    <w:rsid w:val="00C27FC3"/>
    <w:rsid w:val="00C306BF"/>
    <w:rsid w:val="00C30BC5"/>
    <w:rsid w:val="00C33916"/>
    <w:rsid w:val="00C35562"/>
    <w:rsid w:val="00C3566A"/>
    <w:rsid w:val="00C3620B"/>
    <w:rsid w:val="00C368E9"/>
    <w:rsid w:val="00C3782D"/>
    <w:rsid w:val="00C40A1C"/>
    <w:rsid w:val="00C40A90"/>
    <w:rsid w:val="00C40BD3"/>
    <w:rsid w:val="00C415FE"/>
    <w:rsid w:val="00C41B1C"/>
    <w:rsid w:val="00C41E9B"/>
    <w:rsid w:val="00C41EC1"/>
    <w:rsid w:val="00C43E0B"/>
    <w:rsid w:val="00C44E36"/>
    <w:rsid w:val="00C4523F"/>
    <w:rsid w:val="00C4577D"/>
    <w:rsid w:val="00C4726F"/>
    <w:rsid w:val="00C47A6B"/>
    <w:rsid w:val="00C51B9B"/>
    <w:rsid w:val="00C52068"/>
    <w:rsid w:val="00C53CB4"/>
    <w:rsid w:val="00C55544"/>
    <w:rsid w:val="00C57244"/>
    <w:rsid w:val="00C6025E"/>
    <w:rsid w:val="00C61FFB"/>
    <w:rsid w:val="00C62133"/>
    <w:rsid w:val="00C6218D"/>
    <w:rsid w:val="00C62478"/>
    <w:rsid w:val="00C62D1C"/>
    <w:rsid w:val="00C62E3A"/>
    <w:rsid w:val="00C63697"/>
    <w:rsid w:val="00C64A37"/>
    <w:rsid w:val="00C653D8"/>
    <w:rsid w:val="00C657B4"/>
    <w:rsid w:val="00C65F93"/>
    <w:rsid w:val="00C7064B"/>
    <w:rsid w:val="00C711F3"/>
    <w:rsid w:val="00C7158E"/>
    <w:rsid w:val="00C7163F"/>
    <w:rsid w:val="00C7250B"/>
    <w:rsid w:val="00C72C69"/>
    <w:rsid w:val="00C72CC9"/>
    <w:rsid w:val="00C7346B"/>
    <w:rsid w:val="00C73F50"/>
    <w:rsid w:val="00C74027"/>
    <w:rsid w:val="00C747A4"/>
    <w:rsid w:val="00C74800"/>
    <w:rsid w:val="00C754CD"/>
    <w:rsid w:val="00C7712E"/>
    <w:rsid w:val="00C771B7"/>
    <w:rsid w:val="00C77C0E"/>
    <w:rsid w:val="00C80A9C"/>
    <w:rsid w:val="00C81358"/>
    <w:rsid w:val="00C815A3"/>
    <w:rsid w:val="00C82E65"/>
    <w:rsid w:val="00C8306D"/>
    <w:rsid w:val="00C84114"/>
    <w:rsid w:val="00C8486C"/>
    <w:rsid w:val="00C84B09"/>
    <w:rsid w:val="00C84C34"/>
    <w:rsid w:val="00C86E7B"/>
    <w:rsid w:val="00C90962"/>
    <w:rsid w:val="00C91687"/>
    <w:rsid w:val="00C9221A"/>
    <w:rsid w:val="00C924A8"/>
    <w:rsid w:val="00C9276F"/>
    <w:rsid w:val="00C93F22"/>
    <w:rsid w:val="00C945FE"/>
    <w:rsid w:val="00C954FE"/>
    <w:rsid w:val="00C9674F"/>
    <w:rsid w:val="00C96FAA"/>
    <w:rsid w:val="00C97538"/>
    <w:rsid w:val="00C97A04"/>
    <w:rsid w:val="00CA0A3A"/>
    <w:rsid w:val="00CA107B"/>
    <w:rsid w:val="00CA1A19"/>
    <w:rsid w:val="00CA1AEA"/>
    <w:rsid w:val="00CA1EDE"/>
    <w:rsid w:val="00CA42A5"/>
    <w:rsid w:val="00CA484D"/>
    <w:rsid w:val="00CA5A25"/>
    <w:rsid w:val="00CA625F"/>
    <w:rsid w:val="00CB1C25"/>
    <w:rsid w:val="00CB30D1"/>
    <w:rsid w:val="00CB37B0"/>
    <w:rsid w:val="00CB471B"/>
    <w:rsid w:val="00CB48DD"/>
    <w:rsid w:val="00CB4CD2"/>
    <w:rsid w:val="00CB531E"/>
    <w:rsid w:val="00CB540A"/>
    <w:rsid w:val="00CB5F19"/>
    <w:rsid w:val="00CB6605"/>
    <w:rsid w:val="00CB7376"/>
    <w:rsid w:val="00CB7CF5"/>
    <w:rsid w:val="00CB7DD8"/>
    <w:rsid w:val="00CC1DB6"/>
    <w:rsid w:val="00CC278C"/>
    <w:rsid w:val="00CC2D3B"/>
    <w:rsid w:val="00CC3C03"/>
    <w:rsid w:val="00CC5227"/>
    <w:rsid w:val="00CC5707"/>
    <w:rsid w:val="00CC5AB4"/>
    <w:rsid w:val="00CC5BE7"/>
    <w:rsid w:val="00CC6050"/>
    <w:rsid w:val="00CC739E"/>
    <w:rsid w:val="00CD0936"/>
    <w:rsid w:val="00CD0E08"/>
    <w:rsid w:val="00CD103D"/>
    <w:rsid w:val="00CD26D8"/>
    <w:rsid w:val="00CD44AA"/>
    <w:rsid w:val="00CD58B7"/>
    <w:rsid w:val="00CD6E3E"/>
    <w:rsid w:val="00CD7426"/>
    <w:rsid w:val="00CD760F"/>
    <w:rsid w:val="00CD7950"/>
    <w:rsid w:val="00CD7DEE"/>
    <w:rsid w:val="00CE06D3"/>
    <w:rsid w:val="00CE0A64"/>
    <w:rsid w:val="00CE0F28"/>
    <w:rsid w:val="00CE1D79"/>
    <w:rsid w:val="00CE233B"/>
    <w:rsid w:val="00CE2392"/>
    <w:rsid w:val="00CE2CEB"/>
    <w:rsid w:val="00CE315A"/>
    <w:rsid w:val="00CE337F"/>
    <w:rsid w:val="00CE49B8"/>
    <w:rsid w:val="00CE5A42"/>
    <w:rsid w:val="00CE66FD"/>
    <w:rsid w:val="00CE7825"/>
    <w:rsid w:val="00CE7F75"/>
    <w:rsid w:val="00CF01FB"/>
    <w:rsid w:val="00CF0476"/>
    <w:rsid w:val="00CF11C0"/>
    <w:rsid w:val="00CF4099"/>
    <w:rsid w:val="00CF417C"/>
    <w:rsid w:val="00CF434E"/>
    <w:rsid w:val="00CF4587"/>
    <w:rsid w:val="00CF4C9D"/>
    <w:rsid w:val="00CF4EF8"/>
    <w:rsid w:val="00CF4F92"/>
    <w:rsid w:val="00CF51C8"/>
    <w:rsid w:val="00CF5472"/>
    <w:rsid w:val="00CF5C6F"/>
    <w:rsid w:val="00CF5E0B"/>
    <w:rsid w:val="00CF672F"/>
    <w:rsid w:val="00D00EEF"/>
    <w:rsid w:val="00D0153F"/>
    <w:rsid w:val="00D01C08"/>
    <w:rsid w:val="00D01E21"/>
    <w:rsid w:val="00D025F3"/>
    <w:rsid w:val="00D02743"/>
    <w:rsid w:val="00D029D0"/>
    <w:rsid w:val="00D05D30"/>
    <w:rsid w:val="00D05FA7"/>
    <w:rsid w:val="00D075C5"/>
    <w:rsid w:val="00D10042"/>
    <w:rsid w:val="00D122F8"/>
    <w:rsid w:val="00D1323D"/>
    <w:rsid w:val="00D144A6"/>
    <w:rsid w:val="00D21D57"/>
    <w:rsid w:val="00D21ED7"/>
    <w:rsid w:val="00D24364"/>
    <w:rsid w:val="00D248E2"/>
    <w:rsid w:val="00D254E8"/>
    <w:rsid w:val="00D258FC"/>
    <w:rsid w:val="00D25AF1"/>
    <w:rsid w:val="00D261A2"/>
    <w:rsid w:val="00D265FD"/>
    <w:rsid w:val="00D26B46"/>
    <w:rsid w:val="00D27D2A"/>
    <w:rsid w:val="00D30839"/>
    <w:rsid w:val="00D30E8F"/>
    <w:rsid w:val="00D30FF7"/>
    <w:rsid w:val="00D31282"/>
    <w:rsid w:val="00D319B8"/>
    <w:rsid w:val="00D3208E"/>
    <w:rsid w:val="00D321DD"/>
    <w:rsid w:val="00D3233D"/>
    <w:rsid w:val="00D32CEB"/>
    <w:rsid w:val="00D33129"/>
    <w:rsid w:val="00D3340D"/>
    <w:rsid w:val="00D33863"/>
    <w:rsid w:val="00D338F8"/>
    <w:rsid w:val="00D34617"/>
    <w:rsid w:val="00D36A5E"/>
    <w:rsid w:val="00D36FC0"/>
    <w:rsid w:val="00D37BB9"/>
    <w:rsid w:val="00D37E99"/>
    <w:rsid w:val="00D401E4"/>
    <w:rsid w:val="00D40CAD"/>
    <w:rsid w:val="00D40CBF"/>
    <w:rsid w:val="00D41F03"/>
    <w:rsid w:val="00D4389C"/>
    <w:rsid w:val="00D457C0"/>
    <w:rsid w:val="00D457F5"/>
    <w:rsid w:val="00D465D3"/>
    <w:rsid w:val="00D46D5C"/>
    <w:rsid w:val="00D47776"/>
    <w:rsid w:val="00D47C12"/>
    <w:rsid w:val="00D47D56"/>
    <w:rsid w:val="00D52320"/>
    <w:rsid w:val="00D529FC"/>
    <w:rsid w:val="00D5347D"/>
    <w:rsid w:val="00D53948"/>
    <w:rsid w:val="00D53FE1"/>
    <w:rsid w:val="00D540E8"/>
    <w:rsid w:val="00D54900"/>
    <w:rsid w:val="00D54F80"/>
    <w:rsid w:val="00D55103"/>
    <w:rsid w:val="00D5632E"/>
    <w:rsid w:val="00D5637B"/>
    <w:rsid w:val="00D56FC6"/>
    <w:rsid w:val="00D57132"/>
    <w:rsid w:val="00D57E8A"/>
    <w:rsid w:val="00D60C1F"/>
    <w:rsid w:val="00D616D2"/>
    <w:rsid w:val="00D61EA7"/>
    <w:rsid w:val="00D61F51"/>
    <w:rsid w:val="00D61F90"/>
    <w:rsid w:val="00D62FA8"/>
    <w:rsid w:val="00D63074"/>
    <w:rsid w:val="00D63B5F"/>
    <w:rsid w:val="00D643D6"/>
    <w:rsid w:val="00D65740"/>
    <w:rsid w:val="00D66C25"/>
    <w:rsid w:val="00D675F9"/>
    <w:rsid w:val="00D67AEF"/>
    <w:rsid w:val="00D70951"/>
    <w:rsid w:val="00D70EF7"/>
    <w:rsid w:val="00D72229"/>
    <w:rsid w:val="00D73A6D"/>
    <w:rsid w:val="00D74A4C"/>
    <w:rsid w:val="00D74CBE"/>
    <w:rsid w:val="00D755E5"/>
    <w:rsid w:val="00D7578B"/>
    <w:rsid w:val="00D75A73"/>
    <w:rsid w:val="00D75A91"/>
    <w:rsid w:val="00D760A8"/>
    <w:rsid w:val="00D76525"/>
    <w:rsid w:val="00D7722F"/>
    <w:rsid w:val="00D776B2"/>
    <w:rsid w:val="00D811D2"/>
    <w:rsid w:val="00D81632"/>
    <w:rsid w:val="00D82A72"/>
    <w:rsid w:val="00D82C75"/>
    <w:rsid w:val="00D8397C"/>
    <w:rsid w:val="00D84257"/>
    <w:rsid w:val="00D84A46"/>
    <w:rsid w:val="00D85184"/>
    <w:rsid w:val="00D85353"/>
    <w:rsid w:val="00D85549"/>
    <w:rsid w:val="00D858BA"/>
    <w:rsid w:val="00D868B9"/>
    <w:rsid w:val="00D86D10"/>
    <w:rsid w:val="00D86F61"/>
    <w:rsid w:val="00D87A42"/>
    <w:rsid w:val="00D87C6E"/>
    <w:rsid w:val="00D87D42"/>
    <w:rsid w:val="00D87F1C"/>
    <w:rsid w:val="00D91213"/>
    <w:rsid w:val="00D91214"/>
    <w:rsid w:val="00D930AF"/>
    <w:rsid w:val="00D94EED"/>
    <w:rsid w:val="00D956AD"/>
    <w:rsid w:val="00D95C37"/>
    <w:rsid w:val="00D96026"/>
    <w:rsid w:val="00D96C20"/>
    <w:rsid w:val="00D971AF"/>
    <w:rsid w:val="00DA04E4"/>
    <w:rsid w:val="00DA0B4D"/>
    <w:rsid w:val="00DA0D81"/>
    <w:rsid w:val="00DA1E2C"/>
    <w:rsid w:val="00DA2EBC"/>
    <w:rsid w:val="00DA4A9F"/>
    <w:rsid w:val="00DA4AAD"/>
    <w:rsid w:val="00DA5307"/>
    <w:rsid w:val="00DA551C"/>
    <w:rsid w:val="00DA5A1F"/>
    <w:rsid w:val="00DA5C0C"/>
    <w:rsid w:val="00DA5E01"/>
    <w:rsid w:val="00DA6D4B"/>
    <w:rsid w:val="00DA7C1D"/>
    <w:rsid w:val="00DA7CE5"/>
    <w:rsid w:val="00DB0907"/>
    <w:rsid w:val="00DB147A"/>
    <w:rsid w:val="00DB1B7A"/>
    <w:rsid w:val="00DB30C8"/>
    <w:rsid w:val="00DB3274"/>
    <w:rsid w:val="00DB350A"/>
    <w:rsid w:val="00DB3FDE"/>
    <w:rsid w:val="00DB4443"/>
    <w:rsid w:val="00DB51B4"/>
    <w:rsid w:val="00DB5226"/>
    <w:rsid w:val="00DB599D"/>
    <w:rsid w:val="00DB5A91"/>
    <w:rsid w:val="00DB788C"/>
    <w:rsid w:val="00DC03F2"/>
    <w:rsid w:val="00DC108B"/>
    <w:rsid w:val="00DC1316"/>
    <w:rsid w:val="00DC1A99"/>
    <w:rsid w:val="00DC2BD5"/>
    <w:rsid w:val="00DC301C"/>
    <w:rsid w:val="00DC3553"/>
    <w:rsid w:val="00DC3B08"/>
    <w:rsid w:val="00DC3E22"/>
    <w:rsid w:val="00DC42F7"/>
    <w:rsid w:val="00DC4CFA"/>
    <w:rsid w:val="00DC6708"/>
    <w:rsid w:val="00DC6D94"/>
    <w:rsid w:val="00DC7339"/>
    <w:rsid w:val="00DC75F5"/>
    <w:rsid w:val="00DC79B6"/>
    <w:rsid w:val="00DC7A1B"/>
    <w:rsid w:val="00DD10AE"/>
    <w:rsid w:val="00DD19F7"/>
    <w:rsid w:val="00DD2291"/>
    <w:rsid w:val="00DD35CA"/>
    <w:rsid w:val="00DD38C9"/>
    <w:rsid w:val="00DD3956"/>
    <w:rsid w:val="00DD50E3"/>
    <w:rsid w:val="00DD6945"/>
    <w:rsid w:val="00DD6CCB"/>
    <w:rsid w:val="00DE08D5"/>
    <w:rsid w:val="00DE31F3"/>
    <w:rsid w:val="00DE3E51"/>
    <w:rsid w:val="00DE4222"/>
    <w:rsid w:val="00DE438A"/>
    <w:rsid w:val="00DE4CA5"/>
    <w:rsid w:val="00DE50A9"/>
    <w:rsid w:val="00DE564A"/>
    <w:rsid w:val="00DE7E39"/>
    <w:rsid w:val="00DF0A00"/>
    <w:rsid w:val="00DF0DE3"/>
    <w:rsid w:val="00DF1833"/>
    <w:rsid w:val="00DF1BC8"/>
    <w:rsid w:val="00DF2827"/>
    <w:rsid w:val="00DF2D14"/>
    <w:rsid w:val="00DF382B"/>
    <w:rsid w:val="00DF3C45"/>
    <w:rsid w:val="00DF42EA"/>
    <w:rsid w:val="00DF62E2"/>
    <w:rsid w:val="00DF6DE7"/>
    <w:rsid w:val="00DF6FA0"/>
    <w:rsid w:val="00DF75AF"/>
    <w:rsid w:val="00DF7947"/>
    <w:rsid w:val="00E00706"/>
    <w:rsid w:val="00E00E4F"/>
    <w:rsid w:val="00E01436"/>
    <w:rsid w:val="00E020E5"/>
    <w:rsid w:val="00E024E6"/>
    <w:rsid w:val="00E03530"/>
    <w:rsid w:val="00E03D47"/>
    <w:rsid w:val="00E045BD"/>
    <w:rsid w:val="00E04C02"/>
    <w:rsid w:val="00E0528D"/>
    <w:rsid w:val="00E05459"/>
    <w:rsid w:val="00E05995"/>
    <w:rsid w:val="00E065C3"/>
    <w:rsid w:val="00E07AF0"/>
    <w:rsid w:val="00E07D8A"/>
    <w:rsid w:val="00E07F69"/>
    <w:rsid w:val="00E10CAC"/>
    <w:rsid w:val="00E12495"/>
    <w:rsid w:val="00E12594"/>
    <w:rsid w:val="00E13852"/>
    <w:rsid w:val="00E13DDA"/>
    <w:rsid w:val="00E143C8"/>
    <w:rsid w:val="00E14A8F"/>
    <w:rsid w:val="00E152BC"/>
    <w:rsid w:val="00E16BFC"/>
    <w:rsid w:val="00E178F3"/>
    <w:rsid w:val="00E17B77"/>
    <w:rsid w:val="00E218D1"/>
    <w:rsid w:val="00E22213"/>
    <w:rsid w:val="00E2333A"/>
    <w:rsid w:val="00E25BB5"/>
    <w:rsid w:val="00E26184"/>
    <w:rsid w:val="00E27999"/>
    <w:rsid w:val="00E300CE"/>
    <w:rsid w:val="00E3062A"/>
    <w:rsid w:val="00E32061"/>
    <w:rsid w:val="00E32A88"/>
    <w:rsid w:val="00E33FC7"/>
    <w:rsid w:val="00E34E11"/>
    <w:rsid w:val="00E352B8"/>
    <w:rsid w:val="00E35BFF"/>
    <w:rsid w:val="00E35D65"/>
    <w:rsid w:val="00E370F3"/>
    <w:rsid w:val="00E37869"/>
    <w:rsid w:val="00E4066E"/>
    <w:rsid w:val="00E40A17"/>
    <w:rsid w:val="00E4162A"/>
    <w:rsid w:val="00E41A33"/>
    <w:rsid w:val="00E426C0"/>
    <w:rsid w:val="00E42C3E"/>
    <w:rsid w:val="00E42FF9"/>
    <w:rsid w:val="00E43880"/>
    <w:rsid w:val="00E43FD8"/>
    <w:rsid w:val="00E4471B"/>
    <w:rsid w:val="00E44C0F"/>
    <w:rsid w:val="00E46137"/>
    <w:rsid w:val="00E46E72"/>
    <w:rsid w:val="00E4714C"/>
    <w:rsid w:val="00E47265"/>
    <w:rsid w:val="00E47B2B"/>
    <w:rsid w:val="00E504A0"/>
    <w:rsid w:val="00E51AEB"/>
    <w:rsid w:val="00E522A7"/>
    <w:rsid w:val="00E533A3"/>
    <w:rsid w:val="00E53C92"/>
    <w:rsid w:val="00E53DE0"/>
    <w:rsid w:val="00E53FF1"/>
    <w:rsid w:val="00E54452"/>
    <w:rsid w:val="00E556C9"/>
    <w:rsid w:val="00E56AD2"/>
    <w:rsid w:val="00E574EE"/>
    <w:rsid w:val="00E57675"/>
    <w:rsid w:val="00E61241"/>
    <w:rsid w:val="00E6159F"/>
    <w:rsid w:val="00E63CA1"/>
    <w:rsid w:val="00E6419C"/>
    <w:rsid w:val="00E642E7"/>
    <w:rsid w:val="00E64DA9"/>
    <w:rsid w:val="00E650BE"/>
    <w:rsid w:val="00E66357"/>
    <w:rsid w:val="00E66845"/>
    <w:rsid w:val="00E671A2"/>
    <w:rsid w:val="00E672A4"/>
    <w:rsid w:val="00E67DB1"/>
    <w:rsid w:val="00E67DF0"/>
    <w:rsid w:val="00E67E20"/>
    <w:rsid w:val="00E71042"/>
    <w:rsid w:val="00E712EC"/>
    <w:rsid w:val="00E7275E"/>
    <w:rsid w:val="00E7386B"/>
    <w:rsid w:val="00E74489"/>
    <w:rsid w:val="00E74B84"/>
    <w:rsid w:val="00E753C2"/>
    <w:rsid w:val="00E76913"/>
    <w:rsid w:val="00E76D26"/>
    <w:rsid w:val="00E80633"/>
    <w:rsid w:val="00E816F6"/>
    <w:rsid w:val="00E8342D"/>
    <w:rsid w:val="00E84777"/>
    <w:rsid w:val="00E84888"/>
    <w:rsid w:val="00E84EBA"/>
    <w:rsid w:val="00E854AF"/>
    <w:rsid w:val="00E864D2"/>
    <w:rsid w:val="00E86D8E"/>
    <w:rsid w:val="00E86E65"/>
    <w:rsid w:val="00E90C23"/>
    <w:rsid w:val="00E91653"/>
    <w:rsid w:val="00E92603"/>
    <w:rsid w:val="00E92698"/>
    <w:rsid w:val="00E93680"/>
    <w:rsid w:val="00E93747"/>
    <w:rsid w:val="00E93809"/>
    <w:rsid w:val="00E939BA"/>
    <w:rsid w:val="00E9406A"/>
    <w:rsid w:val="00E9430B"/>
    <w:rsid w:val="00E943A5"/>
    <w:rsid w:val="00E95ADB"/>
    <w:rsid w:val="00E95F93"/>
    <w:rsid w:val="00E96E40"/>
    <w:rsid w:val="00E9781B"/>
    <w:rsid w:val="00EA1273"/>
    <w:rsid w:val="00EA2D61"/>
    <w:rsid w:val="00EA33DF"/>
    <w:rsid w:val="00EA3475"/>
    <w:rsid w:val="00EA3B8C"/>
    <w:rsid w:val="00EA3FD6"/>
    <w:rsid w:val="00EA436E"/>
    <w:rsid w:val="00EA462E"/>
    <w:rsid w:val="00EA4D98"/>
    <w:rsid w:val="00EA67D3"/>
    <w:rsid w:val="00EA749F"/>
    <w:rsid w:val="00EA7598"/>
    <w:rsid w:val="00EA7714"/>
    <w:rsid w:val="00EA7E40"/>
    <w:rsid w:val="00EB1390"/>
    <w:rsid w:val="00EB1552"/>
    <w:rsid w:val="00EB1A56"/>
    <w:rsid w:val="00EB26A3"/>
    <w:rsid w:val="00EB2C71"/>
    <w:rsid w:val="00EB34D8"/>
    <w:rsid w:val="00EB38A2"/>
    <w:rsid w:val="00EB39EC"/>
    <w:rsid w:val="00EB3C40"/>
    <w:rsid w:val="00EB4340"/>
    <w:rsid w:val="00EB5312"/>
    <w:rsid w:val="00EB56DC"/>
    <w:rsid w:val="00EC027D"/>
    <w:rsid w:val="00EC061C"/>
    <w:rsid w:val="00EC0E35"/>
    <w:rsid w:val="00EC155C"/>
    <w:rsid w:val="00EC1596"/>
    <w:rsid w:val="00EC16C1"/>
    <w:rsid w:val="00EC3988"/>
    <w:rsid w:val="00EC4B30"/>
    <w:rsid w:val="00EC4D3D"/>
    <w:rsid w:val="00EC53E1"/>
    <w:rsid w:val="00EC5989"/>
    <w:rsid w:val="00EC62A3"/>
    <w:rsid w:val="00EC6420"/>
    <w:rsid w:val="00EC67B5"/>
    <w:rsid w:val="00EC7FCC"/>
    <w:rsid w:val="00ED0279"/>
    <w:rsid w:val="00ED11AB"/>
    <w:rsid w:val="00ED13F7"/>
    <w:rsid w:val="00ED3542"/>
    <w:rsid w:val="00ED4FDD"/>
    <w:rsid w:val="00ED55C0"/>
    <w:rsid w:val="00ED62C2"/>
    <w:rsid w:val="00ED670D"/>
    <w:rsid w:val="00ED682B"/>
    <w:rsid w:val="00EE027D"/>
    <w:rsid w:val="00EE1C2B"/>
    <w:rsid w:val="00EE2641"/>
    <w:rsid w:val="00EE2DA1"/>
    <w:rsid w:val="00EE3DB6"/>
    <w:rsid w:val="00EE40C1"/>
    <w:rsid w:val="00EE41D5"/>
    <w:rsid w:val="00EE4372"/>
    <w:rsid w:val="00EE4B5D"/>
    <w:rsid w:val="00EE5894"/>
    <w:rsid w:val="00EE6925"/>
    <w:rsid w:val="00EE718C"/>
    <w:rsid w:val="00EE71F9"/>
    <w:rsid w:val="00EE72AC"/>
    <w:rsid w:val="00EE7D65"/>
    <w:rsid w:val="00EF0334"/>
    <w:rsid w:val="00EF1098"/>
    <w:rsid w:val="00EF1269"/>
    <w:rsid w:val="00EF2275"/>
    <w:rsid w:val="00EF3C9B"/>
    <w:rsid w:val="00EF47A0"/>
    <w:rsid w:val="00EF58D7"/>
    <w:rsid w:val="00EF686D"/>
    <w:rsid w:val="00EF7B65"/>
    <w:rsid w:val="00EF7B92"/>
    <w:rsid w:val="00F00196"/>
    <w:rsid w:val="00F001A8"/>
    <w:rsid w:val="00F00806"/>
    <w:rsid w:val="00F02279"/>
    <w:rsid w:val="00F036BD"/>
    <w:rsid w:val="00F037A4"/>
    <w:rsid w:val="00F03AE0"/>
    <w:rsid w:val="00F03FEA"/>
    <w:rsid w:val="00F04FC6"/>
    <w:rsid w:val="00F05545"/>
    <w:rsid w:val="00F073D0"/>
    <w:rsid w:val="00F11B41"/>
    <w:rsid w:val="00F1268D"/>
    <w:rsid w:val="00F13D23"/>
    <w:rsid w:val="00F15FE1"/>
    <w:rsid w:val="00F16D68"/>
    <w:rsid w:val="00F17264"/>
    <w:rsid w:val="00F20C16"/>
    <w:rsid w:val="00F21675"/>
    <w:rsid w:val="00F21B3D"/>
    <w:rsid w:val="00F22774"/>
    <w:rsid w:val="00F229C7"/>
    <w:rsid w:val="00F22C60"/>
    <w:rsid w:val="00F2486B"/>
    <w:rsid w:val="00F25162"/>
    <w:rsid w:val="00F2665F"/>
    <w:rsid w:val="00F268B4"/>
    <w:rsid w:val="00F2793F"/>
    <w:rsid w:val="00F27C89"/>
    <w:rsid w:val="00F27C8F"/>
    <w:rsid w:val="00F305DF"/>
    <w:rsid w:val="00F3064B"/>
    <w:rsid w:val="00F3152E"/>
    <w:rsid w:val="00F31BCD"/>
    <w:rsid w:val="00F31E86"/>
    <w:rsid w:val="00F31FD4"/>
    <w:rsid w:val="00F32458"/>
    <w:rsid w:val="00F32749"/>
    <w:rsid w:val="00F32B2E"/>
    <w:rsid w:val="00F3419A"/>
    <w:rsid w:val="00F351F8"/>
    <w:rsid w:val="00F3552A"/>
    <w:rsid w:val="00F355B9"/>
    <w:rsid w:val="00F366C2"/>
    <w:rsid w:val="00F37172"/>
    <w:rsid w:val="00F40A51"/>
    <w:rsid w:val="00F40C43"/>
    <w:rsid w:val="00F41266"/>
    <w:rsid w:val="00F41469"/>
    <w:rsid w:val="00F4166A"/>
    <w:rsid w:val="00F4242D"/>
    <w:rsid w:val="00F42C84"/>
    <w:rsid w:val="00F43225"/>
    <w:rsid w:val="00F43FA4"/>
    <w:rsid w:val="00F4477E"/>
    <w:rsid w:val="00F4558B"/>
    <w:rsid w:val="00F45A61"/>
    <w:rsid w:val="00F45B00"/>
    <w:rsid w:val="00F4666A"/>
    <w:rsid w:val="00F46B4F"/>
    <w:rsid w:val="00F5043B"/>
    <w:rsid w:val="00F53E18"/>
    <w:rsid w:val="00F53EA6"/>
    <w:rsid w:val="00F54D0D"/>
    <w:rsid w:val="00F54FDE"/>
    <w:rsid w:val="00F550DC"/>
    <w:rsid w:val="00F5619A"/>
    <w:rsid w:val="00F5668E"/>
    <w:rsid w:val="00F56A3E"/>
    <w:rsid w:val="00F57AE0"/>
    <w:rsid w:val="00F60BD6"/>
    <w:rsid w:val="00F60EF6"/>
    <w:rsid w:val="00F61A90"/>
    <w:rsid w:val="00F6272F"/>
    <w:rsid w:val="00F63993"/>
    <w:rsid w:val="00F64399"/>
    <w:rsid w:val="00F64400"/>
    <w:rsid w:val="00F647DB"/>
    <w:rsid w:val="00F6605E"/>
    <w:rsid w:val="00F6741B"/>
    <w:rsid w:val="00F6767D"/>
    <w:rsid w:val="00F67D8F"/>
    <w:rsid w:val="00F71BDD"/>
    <w:rsid w:val="00F720E6"/>
    <w:rsid w:val="00F721CD"/>
    <w:rsid w:val="00F7265E"/>
    <w:rsid w:val="00F73B32"/>
    <w:rsid w:val="00F74FA7"/>
    <w:rsid w:val="00F74FC1"/>
    <w:rsid w:val="00F75CFF"/>
    <w:rsid w:val="00F76212"/>
    <w:rsid w:val="00F7680C"/>
    <w:rsid w:val="00F7753D"/>
    <w:rsid w:val="00F77788"/>
    <w:rsid w:val="00F80717"/>
    <w:rsid w:val="00F80C36"/>
    <w:rsid w:val="00F80DB0"/>
    <w:rsid w:val="00F81CDC"/>
    <w:rsid w:val="00F82177"/>
    <w:rsid w:val="00F82CC5"/>
    <w:rsid w:val="00F82E23"/>
    <w:rsid w:val="00F83D2D"/>
    <w:rsid w:val="00F83E2E"/>
    <w:rsid w:val="00F849B5"/>
    <w:rsid w:val="00F851C0"/>
    <w:rsid w:val="00F86024"/>
    <w:rsid w:val="00F8603C"/>
    <w:rsid w:val="00F8611A"/>
    <w:rsid w:val="00F867A1"/>
    <w:rsid w:val="00F872C2"/>
    <w:rsid w:val="00F90052"/>
    <w:rsid w:val="00F90614"/>
    <w:rsid w:val="00F90DD2"/>
    <w:rsid w:val="00F932E8"/>
    <w:rsid w:val="00F94AB3"/>
    <w:rsid w:val="00F94EAF"/>
    <w:rsid w:val="00F951CD"/>
    <w:rsid w:val="00F9672B"/>
    <w:rsid w:val="00F96B18"/>
    <w:rsid w:val="00F9715D"/>
    <w:rsid w:val="00F97C0A"/>
    <w:rsid w:val="00F97C14"/>
    <w:rsid w:val="00FA0133"/>
    <w:rsid w:val="00FA17D1"/>
    <w:rsid w:val="00FA1B12"/>
    <w:rsid w:val="00FA4270"/>
    <w:rsid w:val="00FA4353"/>
    <w:rsid w:val="00FA43B7"/>
    <w:rsid w:val="00FA4CE5"/>
    <w:rsid w:val="00FA505A"/>
    <w:rsid w:val="00FA5128"/>
    <w:rsid w:val="00FA5FEA"/>
    <w:rsid w:val="00FA64A6"/>
    <w:rsid w:val="00FA6705"/>
    <w:rsid w:val="00FA6760"/>
    <w:rsid w:val="00FA6BFE"/>
    <w:rsid w:val="00FA6F17"/>
    <w:rsid w:val="00FA7D6C"/>
    <w:rsid w:val="00FB06DC"/>
    <w:rsid w:val="00FB0970"/>
    <w:rsid w:val="00FB1722"/>
    <w:rsid w:val="00FB1B6C"/>
    <w:rsid w:val="00FB24AF"/>
    <w:rsid w:val="00FB2572"/>
    <w:rsid w:val="00FB3380"/>
    <w:rsid w:val="00FB42D4"/>
    <w:rsid w:val="00FB483F"/>
    <w:rsid w:val="00FB5367"/>
    <w:rsid w:val="00FB5906"/>
    <w:rsid w:val="00FB5D78"/>
    <w:rsid w:val="00FB5F0A"/>
    <w:rsid w:val="00FB6189"/>
    <w:rsid w:val="00FB6FDA"/>
    <w:rsid w:val="00FB762F"/>
    <w:rsid w:val="00FC0CCA"/>
    <w:rsid w:val="00FC1732"/>
    <w:rsid w:val="00FC25E0"/>
    <w:rsid w:val="00FC2AED"/>
    <w:rsid w:val="00FC3AF2"/>
    <w:rsid w:val="00FC3D48"/>
    <w:rsid w:val="00FC472C"/>
    <w:rsid w:val="00FC48BE"/>
    <w:rsid w:val="00FC4A03"/>
    <w:rsid w:val="00FC58E0"/>
    <w:rsid w:val="00FC666F"/>
    <w:rsid w:val="00FC6D31"/>
    <w:rsid w:val="00FC6E6B"/>
    <w:rsid w:val="00FC76E2"/>
    <w:rsid w:val="00FD0303"/>
    <w:rsid w:val="00FD054F"/>
    <w:rsid w:val="00FD0A15"/>
    <w:rsid w:val="00FD1343"/>
    <w:rsid w:val="00FD179A"/>
    <w:rsid w:val="00FD3C4C"/>
    <w:rsid w:val="00FD471F"/>
    <w:rsid w:val="00FD51B5"/>
    <w:rsid w:val="00FD5BC1"/>
    <w:rsid w:val="00FD6D55"/>
    <w:rsid w:val="00FD6F1D"/>
    <w:rsid w:val="00FD78A9"/>
    <w:rsid w:val="00FD7B34"/>
    <w:rsid w:val="00FE039E"/>
    <w:rsid w:val="00FE1003"/>
    <w:rsid w:val="00FE20DF"/>
    <w:rsid w:val="00FE2EED"/>
    <w:rsid w:val="00FE3108"/>
    <w:rsid w:val="00FE4DAA"/>
    <w:rsid w:val="00FE5DE4"/>
    <w:rsid w:val="00FE753B"/>
    <w:rsid w:val="00FE7B6A"/>
    <w:rsid w:val="00FE7F37"/>
    <w:rsid w:val="00FF02BE"/>
    <w:rsid w:val="00FF1983"/>
    <w:rsid w:val="00FF356A"/>
    <w:rsid w:val="00FF41ED"/>
    <w:rsid w:val="00FF49E8"/>
    <w:rsid w:val="00FF4C75"/>
    <w:rsid w:val="00FF55D2"/>
    <w:rsid w:val="00FF60C9"/>
    <w:rsid w:val="00FF6AE6"/>
    <w:rsid w:val="00FF7C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styl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Plandokumentu">
    <w:name w:val="Document Map"/>
    <w:basedOn w:val="Normalny"/>
    <w:link w:val="PlandokumentuZnak"/>
    <w:uiPriority w:val="99"/>
    <w:semiHidden/>
    <w:unhideWhenUsed/>
    <w:rsid w:val="00787C9C"/>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87C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5.xml"/><Relationship Id="rId18" Type="http://schemas.openxmlformats.org/officeDocument/2006/relationships/footer" Target="footer2.xml"/><Relationship Id="rId26" Type="http://schemas.openxmlformats.org/officeDocument/2006/relationships/hyperlink" Target="https://bdl.stat.gov.pl/BDL/dane/podgrup/temat"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5" Type="http://schemas.openxmlformats.org/officeDocument/2006/relationships/hyperlink" Target="https://stat.gov.pl/en/topics/prices-trade/prices/prices-in-the-national-economy-in-20142018,2,15.html"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stat.gov.pl/metainformacje/slownik-pojec/pojecia-stosowane-w-statystyce-publicznej/3234,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stat.gov.pl/obszary-tematyczne/rolnictwo-lesnictwo/rolnictwo/skup-i-ceny-produktow-rolnych-w-2018-roku,7,15.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tat.gov.pl/en/topics/other-studies/informations-on-socio-economic-situation/socio-economic-situation-of-the-country-in-2019,1,105.html" TargetMode="External"/><Relationship Id="rId28" Type="http://schemas.openxmlformats.org/officeDocument/2006/relationships/hyperlink" Target="https://stat.gov.pl/metainformacje/slownik-pojec/pojecia-stosowane-w-statystyce-publicznej/2331,pojecie.html" TargetMode="External"/><Relationship Id="rId10" Type="http://schemas.openxmlformats.org/officeDocument/2006/relationships/chart" Target="charts/chart2.xml"/><Relationship Id="rId19" Type="http://schemas.openxmlformats.org/officeDocument/2006/relationships/hyperlink" Target="mailto:obslugaprasowa@stat.gov.pl" TargetMode="External"/><Relationship Id="rId31" Type="http://schemas.openxmlformats.org/officeDocument/2006/relationships/hyperlink" Target="http://stat.gov.pl/metainformacje/slownik-pojec/pojecia-stosowane-w-statystyce-publicznej/1718,pojecie.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6.png"/><Relationship Id="rId27" Type="http://schemas.openxmlformats.org/officeDocument/2006/relationships/hyperlink" Target="http://swaid.stat.gov.pl/EN/SitePagesDBW/Ceny.aspx" TargetMode="External"/><Relationship Id="rId30" Type="http://schemas.openxmlformats.org/officeDocument/2006/relationships/hyperlink" Target="https://stat.gov.pl/metainformacje/slownik-pojec/pojecia-stosowane-w-statystyce-publicznej/529,pojecie.htm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otowskaj\Documents\Moje%20pisma\DOKUMENTY\2020\Wykresy%202020_02_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otowskaj\Documents\Moje%20pisma\DOKUMENTY\2020\Wykresy%202020_02_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towskaj\Documents\Moje%20pisma\DOKUMENTY\2020\Wykresy%202019_02_3%20&#322;&#261;czone%20pszenica%20i%20zyto%20luty%202020%20wersja%20angiels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mfgus01a\d04\W10\8_Informacja%20sygnalna\2020\02.2019\Wykresy%202020_02_3%20wersja%20angiels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mfgus01a\d04\W10\8_Informacja%20sygnalna\2020\02.2019\Wykresy%202020_02_4%20wersja%20angielsk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mfgus01a\d04\W10\8_Informacja%20sygnalna\2020\02.2019\Wykresy%202020_02_5%20wersja%20angiels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4.2398324817548905E-2"/>
          <c:y val="8.4568796055304846E-2"/>
          <c:w val="0.93546721628448803"/>
          <c:h val="0.75122887358745771"/>
        </c:manualLayout>
      </c:layout>
      <c:lineChart>
        <c:grouping val="standard"/>
        <c:ser>
          <c:idx val="3"/>
          <c:order val="0"/>
          <c:spPr>
            <a:ln w="19050">
              <a:solidFill>
                <a:srgbClr val="001D77"/>
              </a:solidFill>
              <a:prstDash val="solid"/>
            </a:ln>
          </c:spPr>
          <c:marker>
            <c:symbol val="circle"/>
            <c:size val="4"/>
            <c:spPr>
              <a:solidFill>
                <a:schemeClr val="bg1"/>
              </a:solidFill>
              <a:ln w="15875">
                <a:solidFill>
                  <a:srgbClr val="001D77"/>
                </a:solidFill>
                <a:prstDash val="solid"/>
              </a:ln>
            </c:spPr>
          </c:marker>
          <c:dLbls>
            <c:dLbl>
              <c:idx val="0"/>
              <c:layout>
                <c:manualLayout>
                  <c:x val="-3.3300422086737586E-2"/>
                  <c:y val="4.6114057918492414E-2"/>
                </c:manualLayout>
              </c:layout>
              <c:tx>
                <c:rich>
                  <a:bodyPr/>
                  <a:lstStyle/>
                  <a:p>
                    <a:r>
                      <a:rPr lang="en-US"/>
                      <a:t>-1.0</a:t>
                    </a:r>
                  </a:p>
                </c:rich>
              </c:tx>
              <c:dLblPos val="r"/>
              <c:showVal val="1"/>
              <c:extLst>
                <c:ext xmlns:c15="http://schemas.microsoft.com/office/drawing/2012/chart" uri="{CE6537A1-D6FC-4f65-9D91-7224C49458BB}"/>
              </c:extLst>
            </c:dLbl>
            <c:dLbl>
              <c:idx val="1"/>
              <c:layout>
                <c:manualLayout>
                  <c:x val="-3.2356897785896052E-2"/>
                  <c:y val="-4.5910343843002924E-2"/>
                </c:manualLayout>
              </c:layout>
              <c:tx>
                <c:rich>
                  <a:bodyPr/>
                  <a:lstStyle/>
                  <a:p>
                    <a:r>
                      <a:rPr lang="en-US"/>
                      <a:t>0.4</a:t>
                    </a:r>
                  </a:p>
                </c:rich>
              </c:tx>
              <c:dLblPos val="r"/>
              <c:showVal val="1"/>
              <c:extLst>
                <c:ext xmlns:c15="http://schemas.microsoft.com/office/drawing/2012/chart" uri="{CE6537A1-D6FC-4f65-9D91-7224C49458BB}"/>
              </c:extLst>
            </c:dLbl>
            <c:dLbl>
              <c:idx val="2"/>
              <c:layout>
                <c:manualLayout>
                  <c:x val="-3.7918995419690189E-2"/>
                  <c:y val="5.894102637598566E-2"/>
                </c:manualLayout>
              </c:layout>
              <c:tx>
                <c:rich>
                  <a:bodyPr/>
                  <a:lstStyle/>
                  <a:p>
                    <a:r>
                      <a:rPr lang="en-US"/>
                      <a:t>-1.3</a:t>
                    </a:r>
                  </a:p>
                </c:rich>
              </c:tx>
              <c:dLblPos val="r"/>
              <c:showVal val="1"/>
              <c:extLst>
                <c:ext xmlns:c15="http://schemas.microsoft.com/office/drawing/2012/chart" uri="{CE6537A1-D6FC-4f65-9D91-7224C49458BB}"/>
              </c:extLst>
            </c:dLbl>
            <c:dLbl>
              <c:idx val="3"/>
              <c:layout>
                <c:manualLayout>
                  <c:x val="-2.7837167412896931E-2"/>
                  <c:y val="4.9903612155546957E-2"/>
                </c:manualLayout>
              </c:layout>
              <c:tx>
                <c:rich>
                  <a:bodyPr wrap="square" lIns="38100" tIns="19050" rIns="38100" bIns="19050" anchor="ctr">
                    <a:noAutofit/>
                  </a:bodyPr>
                  <a:lstStyle/>
                  <a:p>
                    <a:pPr>
                      <a:defRPr sz="750">
                        <a:latin typeface="Fira Sans" panose="020B0503050000020004" pitchFamily="34" charset="0"/>
                        <a:ea typeface="Fira Sans" panose="020B0503050000020004" pitchFamily="34" charset="0"/>
                      </a:defRPr>
                    </a:pPr>
                    <a:r>
                      <a:rPr lang="en-US"/>
                      <a:t>-0.9</a:t>
                    </a:r>
                  </a:p>
                </c:rich>
              </c:tx>
              <c:spPr>
                <a:noFill/>
                <a:ln>
                  <a:noFill/>
                </a:ln>
                <a:effectLst/>
              </c:spPr>
              <c:dLblPos val="r"/>
              <c:showVal val="1"/>
              <c:extLst>
                <c:ext xmlns:c15="http://schemas.microsoft.com/office/drawing/2012/chart" uri="{CE6537A1-D6FC-4f65-9D91-7224C49458BB}">
                  <c15:layout>
                    <c:manualLayout>
                      <c:w val="6.1642529977870411E-2"/>
                      <c:h val="8.7564000966688579E-2"/>
                    </c:manualLayout>
                  </c15:layout>
                </c:ext>
              </c:extLst>
            </c:dLbl>
            <c:dLbl>
              <c:idx val="4"/>
              <c:layout>
                <c:manualLayout>
                  <c:x val="-3.9644691472389554E-2"/>
                  <c:y val="-4.6049222433919457E-2"/>
                </c:manualLayout>
              </c:layout>
              <c:tx>
                <c:rich>
                  <a:bodyPr/>
                  <a:lstStyle/>
                  <a:p>
                    <a:r>
                      <a:rPr lang="en-US"/>
                      <a:t>2.0</a:t>
                    </a:r>
                  </a:p>
                </c:rich>
              </c:tx>
              <c:dLblPos val="r"/>
              <c:showVal val="1"/>
              <c:extLst>
                <c:ext xmlns:c15="http://schemas.microsoft.com/office/drawing/2012/chart" uri="{CE6537A1-D6FC-4f65-9D91-7224C49458BB}"/>
              </c:extLst>
            </c:dLbl>
            <c:dLbl>
              <c:idx val="5"/>
              <c:layout>
                <c:manualLayout>
                  <c:x val="-3.9686026707476729E-2"/>
                  <c:y val="-5.8854149507461956E-2"/>
                </c:manualLayout>
              </c:layout>
              <c:tx>
                <c:rich>
                  <a:bodyPr/>
                  <a:lstStyle/>
                  <a:p>
                    <a:r>
                      <a:rPr lang="en-US"/>
                      <a:t>1.5</a:t>
                    </a:r>
                  </a:p>
                </c:rich>
              </c:tx>
              <c:dLblPos val="r"/>
              <c:showVal val="1"/>
              <c:extLst>
                <c:ext xmlns:c15="http://schemas.microsoft.com/office/drawing/2012/chart" uri="{CE6537A1-D6FC-4f65-9D91-7224C49458BB}"/>
              </c:extLst>
            </c:dLbl>
            <c:dLbl>
              <c:idx val="6"/>
              <c:layout>
                <c:manualLayout>
                  <c:x val="-3.4274303947300806E-2"/>
                  <c:y val="-5.3224854920657858E-2"/>
                </c:manualLayout>
              </c:layout>
              <c:tx>
                <c:rich>
                  <a:bodyPr/>
                  <a:lstStyle/>
                  <a:p>
                    <a:r>
                      <a:rPr lang="en-US"/>
                      <a:t>2.9</a:t>
                    </a:r>
                  </a:p>
                </c:rich>
              </c:tx>
              <c:dLblPos val="r"/>
              <c:showVal val="1"/>
              <c:extLst>
                <c:ext xmlns:c15="http://schemas.microsoft.com/office/drawing/2012/chart" uri="{CE6537A1-D6FC-4f65-9D91-7224C49458BB}"/>
              </c:extLst>
            </c:dLbl>
            <c:dLbl>
              <c:idx val="7"/>
              <c:layout>
                <c:manualLayout>
                  <c:x val="-1.6603777468992931E-2"/>
                  <c:y val="-3.2937826579017254E-2"/>
                </c:manualLayout>
              </c:layout>
              <c:tx>
                <c:rich>
                  <a:bodyPr/>
                  <a:lstStyle/>
                  <a:p>
                    <a:r>
                      <a:rPr lang="en-US"/>
                      <a:t>1.4</a:t>
                    </a:r>
                  </a:p>
                </c:rich>
              </c:tx>
              <c:dLblPos val="r"/>
              <c:showVal val="1"/>
              <c:extLst>
                <c:ext xmlns:c15="http://schemas.microsoft.com/office/drawing/2012/chart" uri="{CE6537A1-D6FC-4f65-9D91-7224C49458BB}"/>
              </c:extLst>
            </c:dLbl>
            <c:dLbl>
              <c:idx val="8"/>
              <c:layout>
                <c:manualLayout>
                  <c:x val="-6.0134195607994066E-2"/>
                  <c:y val="4.8951229422681999E-2"/>
                </c:manualLayout>
              </c:layout>
              <c:tx>
                <c:rich>
                  <a:bodyPr/>
                  <a:lstStyle/>
                  <a:p>
                    <a:r>
                      <a:rPr lang="en-US"/>
                      <a:t>-0.6</a:t>
                    </a:r>
                  </a:p>
                </c:rich>
              </c:tx>
              <c:dLblPos val="r"/>
              <c:showVal val="1"/>
              <c:extLst>
                <c:ext xmlns:c15="http://schemas.microsoft.com/office/drawing/2012/chart" uri="{CE6537A1-D6FC-4f65-9D91-7224C49458BB}"/>
              </c:extLst>
            </c:dLbl>
            <c:dLbl>
              <c:idx val="9"/>
              <c:layout>
                <c:manualLayout>
                  <c:x val="-4.1216406772682811E-2"/>
                  <c:y val="5.6911542374119689E-2"/>
                </c:manualLayout>
              </c:layout>
              <c:tx>
                <c:rich>
                  <a:bodyPr wrap="square" lIns="38100" tIns="19050" rIns="38100" bIns="19050" anchor="ctr">
                    <a:noAutofit/>
                  </a:bodyPr>
                  <a:lstStyle/>
                  <a:p>
                    <a:pPr>
                      <a:defRPr sz="750">
                        <a:latin typeface="Fira Sans" panose="020B0503050000020004" pitchFamily="34" charset="0"/>
                        <a:ea typeface="Fira Sans" panose="020B0503050000020004" pitchFamily="34" charset="0"/>
                      </a:defRPr>
                    </a:pPr>
                    <a:r>
                      <a:rPr lang="en-US"/>
                      <a:t>-0.8</a:t>
                    </a:r>
                  </a:p>
                </c:rich>
              </c:tx>
              <c:spPr>
                <a:noFill/>
                <a:ln>
                  <a:noFill/>
                </a:ln>
                <a:effectLst/>
              </c:spPr>
              <c:dLblPos val="r"/>
              <c:showVal val="1"/>
              <c:extLst>
                <c:ext xmlns:c15="http://schemas.microsoft.com/office/drawing/2012/chart" uri="{CE6537A1-D6FC-4f65-9D91-7224C49458BB}">
                  <c15:layout>
                    <c:manualLayout>
                      <c:w val="5.6384334311152286E-2"/>
                      <c:h val="0.1018395184541975"/>
                    </c:manualLayout>
                  </c15:layout>
                </c:ext>
              </c:extLst>
            </c:dLbl>
            <c:dLbl>
              <c:idx val="10"/>
              <c:layout>
                <c:manualLayout>
                  <c:x val="-3.5207246153054379E-2"/>
                  <c:y val="5.6355696437302968E-2"/>
                </c:manualLayout>
              </c:layout>
              <c:tx>
                <c:rich>
                  <a:bodyPr/>
                  <a:lstStyle/>
                  <a:p>
                    <a:r>
                      <a:rPr lang="en-US"/>
                      <a:t>-0.7</a:t>
                    </a:r>
                  </a:p>
                </c:rich>
              </c:tx>
              <c:dLblPos val="r"/>
              <c:showVal val="1"/>
              <c:extLst>
                <c:ext xmlns:c15="http://schemas.microsoft.com/office/drawing/2012/chart" uri="{CE6537A1-D6FC-4f65-9D91-7224C49458BB}"/>
              </c:extLst>
            </c:dLbl>
            <c:dLbl>
              <c:idx val="11"/>
              <c:layout>
                <c:manualLayout>
                  <c:x val="-2.8236529257372238E-2"/>
                  <c:y val="4.3432418913374606E-2"/>
                </c:manualLayout>
              </c:layout>
              <c:tx>
                <c:rich>
                  <a:bodyPr/>
                  <a:lstStyle/>
                  <a:p>
                    <a:r>
                      <a:rPr lang="en-US"/>
                      <a:t>-0.5</a:t>
                    </a:r>
                  </a:p>
                </c:rich>
              </c:tx>
              <c:dLblPos val="r"/>
              <c:showVal val="1"/>
              <c:extLst>
                <c:ext xmlns:c15="http://schemas.microsoft.com/office/drawing/2012/chart" uri="{CE6537A1-D6FC-4f65-9D91-7224C49458BB}"/>
              </c:extLst>
            </c:dLbl>
            <c:dLbl>
              <c:idx val="12"/>
              <c:layout>
                <c:manualLayout>
                  <c:x val="-4.5052133189233713E-2"/>
                  <c:y val="-3.7621608862061416E-2"/>
                </c:manualLayout>
              </c:layout>
              <c:tx>
                <c:rich>
                  <a:bodyPr/>
                  <a:lstStyle/>
                  <a:p>
                    <a:r>
                      <a:rPr lang="en-US"/>
                      <a:t>0.1</a:t>
                    </a:r>
                  </a:p>
                </c:rich>
              </c:tx>
              <c:dLblPos val="r"/>
              <c:showVal val="1"/>
              <c:extLst>
                <c:ext xmlns:c15="http://schemas.microsoft.com/office/drawing/2012/chart" uri="{CE6537A1-D6FC-4f65-9D91-7224C49458BB}"/>
              </c:extLst>
            </c:dLbl>
            <c:dLbl>
              <c:idx val="13"/>
              <c:layout>
                <c:manualLayout>
                  <c:x val="-5.0238279038649594E-2"/>
                  <c:y val="-1.6717233740277903E-2"/>
                </c:manualLayout>
              </c:layout>
              <c:tx>
                <c:rich>
                  <a:bodyPr/>
                  <a:lstStyle/>
                  <a:p>
                    <a:r>
                      <a:rPr lang="en-US"/>
                      <a:t>2.1</a:t>
                    </a:r>
                  </a:p>
                </c:rich>
              </c:tx>
              <c:dLblPos val="r"/>
              <c:showVal val="1"/>
              <c:extLst>
                <c:ext xmlns:c15="http://schemas.microsoft.com/office/drawing/2012/chart" uri="{CE6537A1-D6FC-4f65-9D91-7224C49458BB}"/>
              </c:extLst>
            </c:dLbl>
            <c:dLbl>
              <c:idx val="14"/>
              <c:layout>
                <c:manualLayout>
                  <c:x val="-3.3257166383613812E-2"/>
                  <c:y val="-4.328966373849949E-2"/>
                </c:manualLayout>
              </c:layout>
              <c:tx>
                <c:rich>
                  <a:bodyPr/>
                  <a:lstStyle/>
                  <a:p>
                    <a:r>
                      <a:rPr lang="en-US"/>
                      <a:t>4.2</a:t>
                    </a:r>
                  </a:p>
                </c:rich>
              </c:tx>
              <c:dLblPos val="r"/>
              <c:showVal val="1"/>
              <c:extLst>
                <c:ext xmlns:c15="http://schemas.microsoft.com/office/drawing/2012/chart" uri="{CE6537A1-D6FC-4f65-9D91-7224C49458BB}"/>
              </c:extLst>
            </c:dLbl>
            <c:dLbl>
              <c:idx val="15"/>
              <c:layout>
                <c:manualLayout>
                  <c:x val="-5.4652050846585636E-2"/>
                  <c:y val="-3.5697946013629286E-2"/>
                </c:manualLayout>
              </c:layout>
              <c:tx>
                <c:rich>
                  <a:bodyPr/>
                  <a:lstStyle/>
                  <a:p>
                    <a:r>
                      <a:rPr lang="en-US"/>
                      <a:t>0.0</a:t>
                    </a:r>
                  </a:p>
                </c:rich>
              </c:tx>
              <c:dLblPos val="r"/>
              <c:showVal val="1"/>
              <c:extLst>
                <c:ext xmlns:c15="http://schemas.microsoft.com/office/drawing/2012/chart" uri="{CE6537A1-D6FC-4f65-9D91-7224C49458BB}"/>
              </c:extLst>
            </c:dLbl>
            <c:dLbl>
              <c:idx val="16"/>
              <c:layout>
                <c:manualLayout>
                  <c:x val="-3.7009315012094091E-2"/>
                  <c:y val="6.5861842216189848E-2"/>
                </c:manualLayout>
              </c:layout>
              <c:tx>
                <c:rich>
                  <a:bodyPr wrap="square" lIns="38100" tIns="19050" rIns="38100" bIns="19050" anchor="ctr">
                    <a:noAutofit/>
                  </a:bodyPr>
                  <a:lstStyle/>
                  <a:p>
                    <a:pPr>
                      <a:defRPr sz="750">
                        <a:latin typeface="Fira Sans" panose="020B0503050000020004" pitchFamily="34" charset="0"/>
                        <a:ea typeface="Fira Sans" panose="020B0503050000020004" pitchFamily="34" charset="0"/>
                      </a:defRPr>
                    </a:pPr>
                    <a:r>
                      <a:rPr lang="en-US"/>
                      <a:t>-1.5</a:t>
                    </a:r>
                  </a:p>
                </c:rich>
              </c:tx>
              <c:spPr>
                <a:noFill/>
                <a:ln>
                  <a:noFill/>
                </a:ln>
                <a:effectLst/>
              </c:spPr>
              <c:dLblPos val="r"/>
              <c:showVal val="1"/>
              <c:extLst>
                <c:ext xmlns:c15="http://schemas.microsoft.com/office/drawing/2012/chart" uri="{CE6537A1-D6FC-4f65-9D91-7224C49458BB}">
                  <c15:layout>
                    <c:manualLayout>
                      <c:w val="5.3017343420307755E-2"/>
                      <c:h val="8.6274146138584931E-2"/>
                    </c:manualLayout>
                  </c15:layout>
                </c:ext>
              </c:extLst>
            </c:dLbl>
            <c:dLbl>
              <c:idx val="17"/>
              <c:layout>
                <c:manualLayout>
                  <c:x val="-2.5759015624614447E-2"/>
                  <c:y val="5.4619532391087099E-2"/>
                </c:manualLayout>
              </c:layout>
              <c:tx>
                <c:rich>
                  <a:bodyPr/>
                  <a:lstStyle/>
                  <a:p>
                    <a:r>
                      <a:rPr lang="en-US"/>
                      <a:t>-0.6</a:t>
                    </a:r>
                  </a:p>
                </c:rich>
              </c:tx>
              <c:dLblPos val="r"/>
              <c:showVal val="1"/>
              <c:extLst>
                <c:ext xmlns:c15="http://schemas.microsoft.com/office/drawing/2012/chart" uri="{CE6537A1-D6FC-4f65-9D91-7224C49458BB}"/>
              </c:extLst>
            </c:dLbl>
            <c:dLbl>
              <c:idx val="18"/>
              <c:layout>
                <c:manualLayout>
                  <c:x val="-2.9278575472183734E-2"/>
                  <c:y val="-4.8808781129339722E-2"/>
                </c:manualLayout>
              </c:layout>
              <c:tx>
                <c:rich>
                  <a:bodyPr/>
                  <a:lstStyle/>
                  <a:p>
                    <a:r>
                      <a:rPr lang="en-US"/>
                      <a:t>0.7</a:t>
                    </a:r>
                  </a:p>
                </c:rich>
              </c:tx>
              <c:dLblPos val="r"/>
              <c:showVal val="1"/>
              <c:extLst>
                <c:ext xmlns:c15="http://schemas.microsoft.com/office/drawing/2012/chart" uri="{CE6537A1-D6FC-4f65-9D91-7224C49458BB}"/>
              </c:extLst>
            </c:dLbl>
            <c:dLbl>
              <c:idx val="19"/>
              <c:layout>
                <c:manualLayout>
                  <c:x val="-4.1211462987189286E-2"/>
                  <c:y val="5.860760605761145E-2"/>
                </c:manualLayout>
              </c:layout>
              <c:tx>
                <c:rich>
                  <a:bodyPr/>
                  <a:lstStyle/>
                  <a:p>
                    <a:r>
                      <a:rPr lang="en-US"/>
                      <a:t>-0.2</a:t>
                    </a:r>
                  </a:p>
                </c:rich>
              </c:tx>
              <c:dLblPos val="r"/>
              <c:showVal val="1"/>
              <c:extLst>
                <c:ext xmlns:c15="http://schemas.microsoft.com/office/drawing/2012/chart" uri="{CE6537A1-D6FC-4f65-9D91-7224C49458BB}"/>
              </c:extLst>
            </c:dLbl>
            <c:dLbl>
              <c:idx val="20"/>
              <c:layout>
                <c:manualLayout>
                  <c:x val="-3.7125531722327812E-2"/>
                  <c:y val="6.2821357581348394E-2"/>
                </c:manualLayout>
              </c:layout>
              <c:tx>
                <c:rich>
                  <a:bodyPr/>
                  <a:lstStyle/>
                  <a:p>
                    <a:r>
                      <a:rPr lang="en-US"/>
                      <a:t>-0.4</a:t>
                    </a:r>
                  </a:p>
                </c:rich>
              </c:tx>
              <c:dLblPos val="r"/>
              <c:showVal val="1"/>
              <c:extLst>
                <c:ext xmlns:c15="http://schemas.microsoft.com/office/drawing/2012/chart" uri="{CE6537A1-D6FC-4f65-9D91-7224C49458BB}"/>
              </c:extLst>
            </c:dLbl>
            <c:dLbl>
              <c:idx val="21"/>
              <c:layout>
                <c:manualLayout>
                  <c:x val="-5.3703257681025275E-2"/>
                  <c:y val="-3.9255424977659402E-2"/>
                </c:manualLayout>
              </c:layout>
              <c:tx>
                <c:rich>
                  <a:bodyPr/>
                  <a:lstStyle/>
                  <a:p>
                    <a:r>
                      <a:rPr lang="en-US"/>
                      <a:t>0.9</a:t>
                    </a:r>
                  </a:p>
                </c:rich>
              </c:tx>
              <c:dLblPos val="r"/>
              <c:showVal val="1"/>
              <c:extLst>
                <c:ext xmlns:c15="http://schemas.microsoft.com/office/drawing/2012/chart" uri="{CE6537A1-D6FC-4f65-9D91-7224C49458BB}"/>
              </c:extLst>
            </c:dLbl>
            <c:dLbl>
              <c:idx val="22"/>
              <c:layout>
                <c:manualLayout>
                  <c:x val="-3.3415817145114109E-2"/>
                  <c:y val="-5.318694472814358E-2"/>
                </c:manualLayout>
              </c:layout>
              <c:tx>
                <c:rich>
                  <a:bodyPr/>
                  <a:lstStyle/>
                  <a:p>
                    <a:r>
                      <a:rPr lang="en-US"/>
                      <a:t>1.9</a:t>
                    </a:r>
                  </a:p>
                </c:rich>
              </c:tx>
              <c:dLblPos val="r"/>
              <c:showVal val="1"/>
              <c:extLst>
                <c:ext xmlns:c15="http://schemas.microsoft.com/office/drawing/2012/chart" uri="{CE6537A1-D6FC-4f65-9D91-7224C49458BB}"/>
              </c:extLst>
            </c:dLbl>
            <c:dLbl>
              <c:idx val="23"/>
              <c:layout>
                <c:manualLayout>
                  <c:x val="-4.1612363109783723E-2"/>
                  <c:y val="6.1065353232519576E-2"/>
                </c:manualLayout>
              </c:layout>
              <c:tx>
                <c:rich>
                  <a:bodyPr wrap="square" lIns="38100" tIns="19050" rIns="38100" bIns="19050" anchor="ctr">
                    <a:noAutofit/>
                  </a:bodyPr>
                  <a:lstStyle/>
                  <a:p>
                    <a:pPr>
                      <a:defRPr sz="750">
                        <a:latin typeface="Fira Sans" panose="020B0503050000020004" pitchFamily="34" charset="0"/>
                        <a:ea typeface="Fira Sans" panose="020B0503050000020004" pitchFamily="34" charset="0"/>
                      </a:defRPr>
                    </a:pPr>
                    <a:r>
                      <a:rPr lang="en-US"/>
                      <a:t>-1.4</a:t>
                    </a:r>
                  </a:p>
                </c:rich>
              </c:tx>
              <c:spPr>
                <a:noFill/>
                <a:ln>
                  <a:noFill/>
                </a:ln>
                <a:effectLst/>
              </c:spPr>
              <c:dLblPos val="r"/>
              <c:showVal val="1"/>
              <c:extLst>
                <c:ext xmlns:c15="http://schemas.microsoft.com/office/drawing/2012/chart" uri="{CE6537A1-D6FC-4f65-9D91-7224C49458BB}">
                  <c15:layout>
                    <c:manualLayout>
                      <c:w val="6.3034866004097662E-2"/>
                      <c:h val="4.2158181435721899E-2"/>
                    </c:manualLayout>
                  </c15:layout>
                </c:ext>
              </c:extLst>
            </c:dLbl>
            <c:dLbl>
              <c:idx val="24"/>
              <c:layout>
                <c:manualLayout>
                  <c:x val="-1.6734702279862151E-2"/>
                  <c:y val="-5.2642731585157393E-2"/>
                </c:manualLayout>
              </c:layout>
              <c:tx>
                <c:rich>
                  <a:bodyPr/>
                  <a:lstStyle/>
                  <a:p>
                    <a:r>
                      <a:rPr lang="en-US"/>
                      <a:t>1.5</a:t>
                    </a:r>
                  </a:p>
                </c:rich>
              </c:tx>
              <c:dLblPos val="r"/>
              <c:showVal val="1"/>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750">
                    <a:latin typeface="Fira Sans" panose="020B0503050000020004" pitchFamily="34" charset="0"/>
                    <a:ea typeface="Fira Sans" panose="020B0503050000020004" pitchFamily="34" charset="0"/>
                  </a:defRPr>
                </a:pPr>
                <a:endParaRPr lang="pl-PL"/>
              </a:p>
            </c:txPr>
            <c:dLblPos val="t"/>
            <c:showVal val="1"/>
            <c:extLst>
              <c:ext xmlns:c15="http://schemas.microsoft.com/office/drawing/2012/chart" uri="{CE6537A1-D6FC-4f65-9D91-7224C49458BB}">
                <c15:showLeaderLines val="1"/>
              </c:ext>
            </c:extLst>
          </c:dLbls>
          <c:cat>
            <c:strRef>
              <c:f>wskaźnik!$A$4:$A$28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c:v>
                </c:pt>
                <c:pt idx="24">
                  <c:v>II 2020</c:v>
                </c:pt>
              </c:strCache>
            </c:strRef>
          </c:cat>
          <c:val>
            <c:numRef>
              <c:f>wskaźnik!$B$4:$B$28</c:f>
              <c:numCache>
                <c:formatCode>0.0</c:formatCode>
                <c:ptCount val="25"/>
                <c:pt idx="0">
                  <c:v>-1</c:v>
                </c:pt>
                <c:pt idx="1">
                  <c:v>0.4</c:v>
                </c:pt>
                <c:pt idx="2">
                  <c:v>-1.2529999999999955</c:v>
                </c:pt>
                <c:pt idx="3">
                  <c:v>-0.9</c:v>
                </c:pt>
                <c:pt idx="4">
                  <c:v>2</c:v>
                </c:pt>
                <c:pt idx="5">
                  <c:v>1.5</c:v>
                </c:pt>
                <c:pt idx="6">
                  <c:v>2.9</c:v>
                </c:pt>
                <c:pt idx="7">
                  <c:v>1.4</c:v>
                </c:pt>
                <c:pt idx="8">
                  <c:v>-0.60000000000000064</c:v>
                </c:pt>
                <c:pt idx="9">
                  <c:v>-0.8</c:v>
                </c:pt>
                <c:pt idx="10">
                  <c:v>-0.70000000000000062</c:v>
                </c:pt>
                <c:pt idx="11">
                  <c:v>-0.5</c:v>
                </c:pt>
                <c:pt idx="12">
                  <c:v>0.1</c:v>
                </c:pt>
                <c:pt idx="13">
                  <c:v>2.1</c:v>
                </c:pt>
                <c:pt idx="14">
                  <c:v>4.2</c:v>
                </c:pt>
                <c:pt idx="15">
                  <c:v>0</c:v>
                </c:pt>
                <c:pt idx="16">
                  <c:v>-1.5</c:v>
                </c:pt>
                <c:pt idx="17">
                  <c:v>-0.60000000000000064</c:v>
                </c:pt>
                <c:pt idx="18">
                  <c:v>0.70000000000000062</c:v>
                </c:pt>
                <c:pt idx="19">
                  <c:v>-0.2</c:v>
                </c:pt>
                <c:pt idx="20">
                  <c:v>-0.4</c:v>
                </c:pt>
                <c:pt idx="21">
                  <c:v>0.9</c:v>
                </c:pt>
                <c:pt idx="22">
                  <c:v>1.9000000000000001</c:v>
                </c:pt>
                <c:pt idx="23">
                  <c:v>-1.4</c:v>
                </c:pt>
                <c:pt idx="24">
                  <c:v>1.5</c:v>
                </c:pt>
              </c:numCache>
            </c:numRef>
          </c:val>
        </c:ser>
        <c:dLbls>
          <c:showVal val="1"/>
        </c:dLbls>
        <c:marker val="1"/>
        <c:axId val="100747520"/>
        <c:axId val="114593792"/>
        <c:extLst/>
      </c:lineChart>
      <c:catAx>
        <c:axId val="100747520"/>
        <c:scaling>
          <c:orientation val="minMax"/>
        </c:scaling>
        <c:axPos val="b"/>
        <c:numFmt formatCode="General" sourceLinked="1"/>
        <c:majorTickMark val="none"/>
        <c:tickLblPos val="low"/>
        <c:spPr>
          <a:ln w="12700" cmpd="sng">
            <a:solidFill>
              <a:schemeClr val="tx1"/>
            </a:solidFill>
          </a:ln>
        </c:spPr>
        <c:txPr>
          <a:bodyPr rot="0" vert="horz"/>
          <a:lstStyle/>
          <a:p>
            <a:pPr>
              <a:defRPr sz="630" baseline="0">
                <a:latin typeface="Fira Sans" panose="020B0503050000020004" pitchFamily="34" charset="0"/>
                <a:ea typeface="Fira Sans" panose="020B0503050000020004" pitchFamily="34" charset="0"/>
              </a:defRPr>
            </a:pPr>
            <a:endParaRPr lang="pl-PL"/>
          </a:p>
        </c:txPr>
        <c:crossAx val="114593792"/>
        <c:crosses val="autoZero"/>
        <c:lblAlgn val="ctr"/>
        <c:lblOffset val="200"/>
        <c:tickLblSkip val="1"/>
        <c:tickMarkSkip val="1"/>
      </c:catAx>
      <c:valAx>
        <c:axId val="114593792"/>
        <c:scaling>
          <c:orientation val="minMax"/>
          <c:max val="5"/>
          <c:min val="-6"/>
        </c:scaling>
        <c:axPos val="l"/>
        <c:majorGridlines>
          <c:spPr>
            <a:ln w="6350">
              <a:solidFill>
                <a:schemeClr val="bg1">
                  <a:lumMod val="85000"/>
                </a:schemeClr>
              </a:solidFill>
              <a:prstDash val="sysDash"/>
            </a:ln>
          </c:spPr>
        </c:majorGridlines>
        <c:title>
          <c:tx>
            <c:rich>
              <a:bodyPr rot="0" vert="horz"/>
              <a:lstStyle/>
              <a:p>
                <a:pPr>
                  <a:defRPr sz="600" baseline="0"/>
                </a:pPr>
                <a:r>
                  <a:rPr lang="pl-PL" sz="600" baseline="0">
                    <a:latin typeface="Fira Sans" panose="020B0503050000020004" pitchFamily="34" charset="0"/>
                    <a:ea typeface="Fira Sans" panose="020B0503050000020004" pitchFamily="34" charset="0"/>
                  </a:rPr>
                  <a:t>%</a:t>
                </a:r>
                <a:endParaRPr lang="pl-PL" sz="600" baseline="0"/>
              </a:p>
            </c:rich>
          </c:tx>
          <c:layout>
            <c:manualLayout>
              <c:xMode val="edge"/>
              <c:yMode val="edge"/>
              <c:x val="7.7146827234831211E-3"/>
              <c:y val="2.7167762286595012E-3"/>
            </c:manualLayout>
          </c:layout>
        </c:title>
        <c:numFmt formatCode="0" sourceLinked="0"/>
        <c:tickLblPos val="nextTo"/>
        <c:spPr>
          <a:ln w="0">
            <a:noFill/>
            <a:prstDash val="solid"/>
          </a:ln>
        </c:spPr>
        <c:txPr>
          <a:bodyPr rot="0" vert="horz"/>
          <a:lstStyle/>
          <a:p>
            <a:pPr>
              <a:defRPr sz="600" b="0" i="0" u="none" strike="noStrike" baseline="0">
                <a:solidFill>
                  <a:srgbClr val="000000"/>
                </a:solidFill>
                <a:latin typeface="Fira Sans" panose="020B0503050000020004" pitchFamily="34" charset="0"/>
                <a:ea typeface="Fira Sans" panose="020B0503050000020004" pitchFamily="34" charset="0"/>
                <a:cs typeface="Arial CE"/>
              </a:defRPr>
            </a:pPr>
            <a:endParaRPr lang="pl-PL"/>
          </a:p>
        </c:txPr>
        <c:crossAx val="100747520"/>
        <c:crosses val="autoZero"/>
        <c:crossBetween val="between"/>
        <c:majorUnit val="1"/>
        <c:minorUnit val="1"/>
      </c:valAx>
    </c:plotArea>
    <c:plotVisOnly val="1"/>
    <c:dispBlanksAs val="gap"/>
  </c:chart>
  <c:spPr>
    <a:ln w="0">
      <a:noFill/>
      <a:prstDash val="solid"/>
    </a:ln>
  </c:spPr>
  <c:txPr>
    <a:bodyPr/>
    <a:lstStyle/>
    <a:p>
      <a:pPr>
        <a:defRPr sz="800" b="0" i="0" u="none" strike="noStrike" baseline="0">
          <a:solidFill>
            <a:srgbClr val="000000"/>
          </a:solidFill>
          <a:latin typeface="Arial CE"/>
          <a:ea typeface="Arial CE"/>
          <a:cs typeface="Arial CE"/>
        </a:defRPr>
      </a:pPr>
      <a:endParaRPr lang="pl-PL"/>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7.4931405132603532E-2"/>
          <c:y val="7.1473612968190312E-2"/>
          <c:w val="0.8969786492270917"/>
          <c:h val="0.75719033548479608"/>
        </c:manualLayout>
      </c:layout>
      <c:lineChart>
        <c:grouping val="standard"/>
        <c:ser>
          <c:idx val="3"/>
          <c:order val="0"/>
          <c:spPr>
            <a:ln w="19050">
              <a:solidFill>
                <a:srgbClr val="001D77"/>
              </a:solidFill>
              <a:prstDash val="solid"/>
            </a:ln>
          </c:spPr>
          <c:marker>
            <c:symbol val="circle"/>
            <c:size val="4"/>
            <c:spPr>
              <a:solidFill>
                <a:schemeClr val="bg1"/>
              </a:solidFill>
              <a:ln w="15875">
                <a:solidFill>
                  <a:srgbClr val="001D77"/>
                </a:solidFill>
                <a:prstDash val="solid"/>
              </a:ln>
            </c:spPr>
          </c:marker>
          <c:dLbls>
            <c:dLbl>
              <c:idx val="0"/>
              <c:layout>
                <c:manualLayout>
                  <c:x val="-3.3270793873912498E-2"/>
                  <c:y val="-4.4366571635442477E-2"/>
                </c:manualLayout>
              </c:layout>
              <c:tx>
                <c:rich>
                  <a:bodyPr/>
                  <a:lstStyle/>
                  <a:p>
                    <a:r>
                      <a:rPr lang="en-US"/>
                      <a:t>0.2</a:t>
                    </a:r>
                  </a:p>
                </c:rich>
              </c:tx>
              <c:dLblPos val="r"/>
              <c:showVal val="1"/>
              <c:extLst>
                <c:ext xmlns:c15="http://schemas.microsoft.com/office/drawing/2012/chart" uri="{CE6537A1-D6FC-4f65-9D91-7224C49458BB}"/>
              </c:extLst>
            </c:dLbl>
            <c:dLbl>
              <c:idx val="1"/>
              <c:layout>
                <c:manualLayout>
                  <c:x val="-3.8918603404529045E-2"/>
                  <c:y val="6.0268463209340414E-2"/>
                </c:manualLayout>
              </c:layout>
              <c:tx>
                <c:rich>
                  <a:bodyPr/>
                  <a:lstStyle/>
                  <a:p>
                    <a:r>
                      <a:rPr lang="en-US"/>
                      <a:t>-1.2</a:t>
                    </a:r>
                  </a:p>
                </c:rich>
              </c:tx>
              <c:dLblPos val="r"/>
              <c:showVal val="1"/>
              <c:extLst>
                <c:ext xmlns:c15="http://schemas.microsoft.com/office/drawing/2012/chart" uri="{CE6537A1-D6FC-4f65-9D91-7224C49458BB}"/>
              </c:extLst>
            </c:dLbl>
            <c:dLbl>
              <c:idx val="2"/>
              <c:layout>
                <c:manualLayout>
                  <c:x val="-5.0170742651117095E-2"/>
                  <c:y val="3.3698751018191683E-2"/>
                </c:manualLayout>
              </c:layout>
              <c:tx>
                <c:rich>
                  <a:bodyPr/>
                  <a:lstStyle/>
                  <a:p>
                    <a:r>
                      <a:rPr lang="en-US"/>
                      <a:t>-2.9</a:t>
                    </a:r>
                  </a:p>
                </c:rich>
              </c:tx>
              <c:dLblPos val="r"/>
              <c:showVal val="1"/>
              <c:extLst>
                <c:ext xmlns:c15="http://schemas.microsoft.com/office/drawing/2012/chart" uri="{CE6537A1-D6FC-4f65-9D91-7224C49458BB}"/>
              </c:extLst>
            </c:dLbl>
            <c:dLbl>
              <c:idx val="3"/>
              <c:layout>
                <c:manualLayout>
                  <c:x val="-4.4075627082166932E-2"/>
                  <c:y val="5.1036858539234307E-2"/>
                </c:manualLayout>
              </c:layout>
              <c:tx>
                <c:rich>
                  <a:bodyPr/>
                  <a:lstStyle/>
                  <a:p>
                    <a:r>
                      <a:rPr lang="en-US"/>
                      <a:t>-4.9</a:t>
                    </a:r>
                  </a:p>
                </c:rich>
              </c:tx>
              <c:dLblPos val="r"/>
              <c:showVal val="1"/>
              <c:extLst>
                <c:ext xmlns:c15="http://schemas.microsoft.com/office/drawing/2012/chart" uri="{CE6537A1-D6FC-4f65-9D91-7224C49458BB}"/>
              </c:extLst>
            </c:dLbl>
            <c:dLbl>
              <c:idx val="4"/>
              <c:layout>
                <c:manualLayout>
                  <c:x val="-3.5229889038245935E-2"/>
                  <c:y val="4.2126329885181814E-2"/>
                </c:manualLayout>
              </c:layout>
              <c:tx>
                <c:rich>
                  <a:bodyPr/>
                  <a:lstStyle/>
                  <a:p>
                    <a:r>
                      <a:rPr lang="en-US"/>
                      <a:t>-3.9</a:t>
                    </a:r>
                  </a:p>
                </c:rich>
              </c:tx>
              <c:dLblPos val="r"/>
              <c:showVal val="1"/>
              <c:extLst>
                <c:ext xmlns:c15="http://schemas.microsoft.com/office/drawing/2012/chart" uri="{CE6537A1-D6FC-4f65-9D91-7224C49458BB}"/>
              </c:extLst>
            </c:dLbl>
            <c:dLbl>
              <c:idx val="5"/>
              <c:layout>
                <c:manualLayout>
                  <c:x val="-1.9502209648649252E-2"/>
                  <c:y val="2.5271471248248158E-2"/>
                </c:manualLayout>
              </c:layout>
              <c:tx>
                <c:rich>
                  <a:bodyPr/>
                  <a:lstStyle/>
                  <a:p>
                    <a:r>
                      <a:rPr lang="en-US"/>
                      <a:t>-3.3</a:t>
                    </a:r>
                  </a:p>
                </c:rich>
              </c:tx>
              <c:dLblPos val="r"/>
              <c:showVal val="1"/>
              <c:extLst>
                <c:ext xmlns:c15="http://schemas.microsoft.com/office/drawing/2012/chart" uri="{CE6537A1-D6FC-4f65-9D91-7224C49458BB}"/>
              </c:extLst>
            </c:dLbl>
            <c:dLbl>
              <c:idx val="6"/>
              <c:layout>
                <c:manualLayout>
                  <c:x val="-3.2242962821780546E-2"/>
                  <c:y val="-4.3873879989139303E-2"/>
                </c:manualLayout>
              </c:layout>
              <c:tx>
                <c:rich>
                  <a:bodyPr/>
                  <a:lstStyle/>
                  <a:p>
                    <a:r>
                      <a:rPr lang="en-US"/>
                      <a:t>2.0</a:t>
                    </a:r>
                  </a:p>
                </c:rich>
              </c:tx>
              <c:dLblPos val="r"/>
              <c:showVal val="1"/>
              <c:extLst>
                <c:ext xmlns:c15="http://schemas.microsoft.com/office/drawing/2012/chart" uri="{CE6537A1-D6FC-4f65-9D91-7224C49458BB}"/>
              </c:extLst>
            </c:dLbl>
            <c:dLbl>
              <c:idx val="7"/>
              <c:layout>
                <c:manualLayout>
                  <c:x val="-1.6722373004106401E-2"/>
                  <c:y val="-3.7182597005507599E-2"/>
                </c:manualLayout>
              </c:layout>
              <c:tx>
                <c:rich>
                  <a:bodyPr/>
                  <a:lstStyle/>
                  <a:p>
                    <a:r>
                      <a:rPr lang="en-US"/>
                      <a:t>0.2</a:t>
                    </a:r>
                  </a:p>
                </c:rich>
              </c:tx>
              <c:dLblPos val="r"/>
              <c:showVal val="1"/>
              <c:extLst>
                <c:ext xmlns:c15="http://schemas.microsoft.com/office/drawing/2012/chart" uri="{CE6537A1-D6FC-4f65-9D91-7224C49458BB}"/>
              </c:extLst>
            </c:dLbl>
            <c:dLbl>
              <c:idx val="8"/>
              <c:layout>
                <c:manualLayout>
                  <c:x val="-4.7720494158741952E-2"/>
                  <c:y val="4.1374848922587366E-2"/>
                </c:manualLayout>
              </c:layout>
              <c:tx>
                <c:rich>
                  <a:bodyPr/>
                  <a:lstStyle/>
                  <a:p>
                    <a:r>
                      <a:rPr lang="en-US"/>
                      <a:t>-0.7</a:t>
                    </a:r>
                  </a:p>
                </c:rich>
              </c:tx>
              <c:dLblPos val="r"/>
              <c:showVal val="1"/>
              <c:extLst>
                <c:ext xmlns:c15="http://schemas.microsoft.com/office/drawing/2012/chart" uri="{CE6537A1-D6FC-4f65-9D91-7224C49458BB}"/>
              </c:extLst>
            </c:dLbl>
            <c:dLbl>
              <c:idx val="9"/>
              <c:layout>
                <c:manualLayout>
                  <c:x val="-4.4963904848452391E-2"/>
                  <c:y val="4.5588165079983256E-2"/>
                </c:manualLayout>
              </c:layout>
              <c:tx>
                <c:rich>
                  <a:bodyPr/>
                  <a:lstStyle/>
                  <a:p>
                    <a:r>
                      <a:rPr lang="en-US"/>
                      <a:t>-0.6</a:t>
                    </a:r>
                  </a:p>
                </c:rich>
              </c:tx>
              <c:dLblPos val="r"/>
              <c:showVal val="1"/>
              <c:extLst>
                <c:ext xmlns:c15="http://schemas.microsoft.com/office/drawing/2012/chart" uri="{CE6537A1-D6FC-4f65-9D91-7224C49458BB}"/>
              </c:extLst>
            </c:dLbl>
            <c:dLbl>
              <c:idx val="10"/>
              <c:layout>
                <c:manualLayout>
                  <c:x val="-3.7044405001568449E-2"/>
                  <c:y val="4.2842112408362748E-2"/>
                </c:manualLayout>
              </c:layout>
              <c:tx>
                <c:rich>
                  <a:bodyPr/>
                  <a:lstStyle/>
                  <a:p>
                    <a:r>
                      <a:rPr lang="en-US"/>
                      <a:t>-2.9</a:t>
                    </a:r>
                  </a:p>
                </c:rich>
              </c:tx>
              <c:dLblPos val="r"/>
              <c:showVal val="1"/>
              <c:extLst>
                <c:ext xmlns:c15="http://schemas.microsoft.com/office/drawing/2012/chart" uri="{CE6537A1-D6FC-4f65-9D91-7224C49458BB}"/>
              </c:extLst>
            </c:dLbl>
            <c:dLbl>
              <c:idx val="11"/>
              <c:layout>
                <c:manualLayout>
                  <c:x val="-5.548064056289484E-2"/>
                  <c:y val="-1.4611050773825686E-2"/>
                </c:manualLayout>
              </c:layout>
              <c:tx>
                <c:rich>
                  <a:bodyPr/>
                  <a:lstStyle/>
                  <a:p>
                    <a:r>
                      <a:rPr lang="en-US"/>
                      <a:t>1.5</a:t>
                    </a:r>
                  </a:p>
                </c:rich>
              </c:tx>
              <c:dLblPos val="r"/>
              <c:showVal val="1"/>
              <c:extLst>
                <c:ext xmlns:c15="http://schemas.microsoft.com/office/drawing/2012/chart" uri="{CE6537A1-D6FC-4f65-9D91-7224C49458BB}"/>
              </c:extLst>
            </c:dLbl>
            <c:dLbl>
              <c:idx val="12"/>
              <c:layout>
                <c:manualLayout>
                  <c:x val="-5.2940882028993816E-2"/>
                  <c:y val="-2.6272256710365125E-2"/>
                </c:manualLayout>
              </c:layout>
              <c:tx>
                <c:rich>
                  <a:bodyPr/>
                  <a:lstStyle/>
                  <a:p>
                    <a:r>
                      <a:rPr lang="en-US"/>
                      <a:t>2.8</a:t>
                    </a:r>
                  </a:p>
                </c:rich>
              </c:tx>
              <c:dLblPos val="r"/>
              <c:showVal val="1"/>
              <c:extLst>
                <c:ext xmlns:c15="http://schemas.microsoft.com/office/drawing/2012/chart" uri="{CE6537A1-D6FC-4f65-9D91-7224C49458BB}"/>
              </c:extLst>
            </c:dLbl>
            <c:dLbl>
              <c:idx val="13"/>
              <c:layout>
                <c:manualLayout>
                  <c:x val="-5.0872707022224024E-2"/>
                  <c:y val="-3.1237800294150679E-2"/>
                </c:manualLayout>
              </c:layout>
              <c:tx>
                <c:rich>
                  <a:bodyPr/>
                  <a:lstStyle/>
                  <a:p>
                    <a:r>
                      <a:rPr lang="en-US"/>
                      <a:t>4.4</a:t>
                    </a:r>
                  </a:p>
                </c:rich>
              </c:tx>
              <c:dLblPos val="r"/>
              <c:showVal val="1"/>
              <c:extLst>
                <c:ext xmlns:c15="http://schemas.microsoft.com/office/drawing/2012/chart" uri="{CE6537A1-D6FC-4f65-9D91-7224C49458BB}"/>
              </c:extLst>
            </c:dLbl>
            <c:dLbl>
              <c:idx val="14"/>
              <c:layout>
                <c:manualLayout>
                  <c:x val="-5.6357821293343532E-2"/>
                  <c:y val="-3.2968812753882609E-2"/>
                </c:manualLayout>
              </c:layout>
              <c:tx>
                <c:rich>
                  <a:bodyPr/>
                  <a:lstStyle/>
                  <a:p>
                    <a:r>
                      <a:rPr lang="en-US"/>
                      <a:t>10.0</a:t>
                    </a:r>
                  </a:p>
                </c:rich>
              </c:tx>
              <c:dLblPos val="r"/>
              <c:showVal val="1"/>
              <c:extLst>
                <c:ext xmlns:c15="http://schemas.microsoft.com/office/drawing/2012/chart" uri="{CE6537A1-D6FC-4f65-9D91-7224C49458BB}"/>
              </c:extLst>
            </c:dLbl>
            <c:dLbl>
              <c:idx val="15"/>
              <c:layout>
                <c:manualLayout>
                  <c:x val="-1.5743266584869024E-2"/>
                  <c:y val="-1.7851620748664324E-2"/>
                </c:manualLayout>
              </c:layout>
              <c:tx>
                <c:rich>
                  <a:bodyPr/>
                  <a:lstStyle/>
                  <a:p>
                    <a:r>
                      <a:rPr lang="en-US"/>
                      <a:t>10.9</a:t>
                    </a:r>
                  </a:p>
                </c:rich>
              </c:tx>
              <c:dLblPos val="r"/>
              <c:showVal val="1"/>
              <c:extLst>
                <c:ext xmlns:c15="http://schemas.microsoft.com/office/drawing/2012/chart" uri="{CE6537A1-D6FC-4f65-9D91-7224C49458BB}"/>
              </c:extLst>
            </c:dLbl>
            <c:dLbl>
              <c:idx val="16"/>
              <c:layout>
                <c:manualLayout>
                  <c:x val="-8.0811686012901666E-3"/>
                  <c:y val="-1.0596827583410079E-2"/>
                </c:manualLayout>
              </c:layout>
              <c:tx>
                <c:rich>
                  <a:bodyPr wrap="square" lIns="38100" tIns="19050" rIns="38100" bIns="19050" anchor="ctr">
                    <a:noAutofit/>
                  </a:bodyPr>
                  <a:lstStyle/>
                  <a:p>
                    <a:pPr>
                      <a:defRPr/>
                    </a:pPr>
                    <a:r>
                      <a:rPr lang="en-US"/>
                      <a:t>6.9</a:t>
                    </a:r>
                  </a:p>
                </c:rich>
              </c:tx>
              <c:spPr>
                <a:noFill/>
                <a:ln>
                  <a:noFill/>
                </a:ln>
                <a:effectLst/>
              </c:spPr>
              <c:dLblPos val="r"/>
              <c:showVal val="1"/>
              <c:extLst>
                <c:ext xmlns:c15="http://schemas.microsoft.com/office/drawing/2012/chart" uri="{CE6537A1-D6FC-4f65-9D91-7224C49458BB}">
                  <c15:layout>
                    <c:manualLayout>
                      <c:w val="5.2459686865919369E-2"/>
                      <c:h val="7.1550097118363354E-2"/>
                    </c:manualLayout>
                  </c15:layout>
                </c:ext>
              </c:extLst>
            </c:dLbl>
            <c:dLbl>
              <c:idx val="17"/>
              <c:layout>
                <c:manualLayout>
                  <c:x val="-1.3907187471460181E-2"/>
                  <c:y val="-2.5293012942347752E-2"/>
                </c:manualLayout>
              </c:layout>
              <c:tx>
                <c:rich>
                  <a:bodyPr/>
                  <a:lstStyle/>
                  <a:p>
                    <a:r>
                      <a:rPr lang="en-US"/>
                      <a:t>3.9</a:t>
                    </a:r>
                  </a:p>
                </c:rich>
              </c:tx>
              <c:dLblPos val="r"/>
              <c:showVal val="1"/>
              <c:extLst>
                <c:ext xmlns:c15="http://schemas.microsoft.com/office/drawing/2012/chart" uri="{CE6537A1-D6FC-4f65-9D91-7224C49458BB}"/>
              </c:extLst>
            </c:dLbl>
            <c:dLbl>
              <c:idx val="18"/>
              <c:layout>
                <c:manualLayout>
                  <c:x val="-2.4911352797995591E-2"/>
                  <c:y val="-3.5943298036021441E-2"/>
                </c:manualLayout>
              </c:layout>
              <c:tx>
                <c:rich>
                  <a:bodyPr/>
                  <a:lstStyle/>
                  <a:p>
                    <a:r>
                      <a:rPr lang="en-US"/>
                      <a:t>1.3</a:t>
                    </a:r>
                  </a:p>
                </c:rich>
              </c:tx>
              <c:dLblPos val="r"/>
              <c:showVal val="1"/>
              <c:extLst>
                <c:ext xmlns:c15="http://schemas.microsoft.com/office/drawing/2012/chart" uri="{CE6537A1-D6FC-4f65-9D91-7224C49458BB}"/>
              </c:extLst>
            </c:dLbl>
            <c:dLbl>
              <c:idx val="19"/>
              <c:layout>
                <c:manualLayout>
                  <c:x val="-3.4117243218009206E-2"/>
                  <c:y val="-3.5451584545775405E-2"/>
                </c:manualLayout>
              </c:layout>
              <c:tx>
                <c:rich>
                  <a:bodyPr/>
                  <a:lstStyle/>
                  <a:p>
                    <a:r>
                      <a:rPr lang="en-US"/>
                      <a:t>1.3</a:t>
                    </a:r>
                  </a:p>
                </c:rich>
              </c:tx>
              <c:dLblPos val="r"/>
              <c:showVal val="1"/>
              <c:extLst>
                <c:ext xmlns:c15="http://schemas.microsoft.com/office/drawing/2012/chart" uri="{CE6537A1-D6FC-4f65-9D91-7224C49458BB}"/>
              </c:extLst>
            </c:dLbl>
            <c:dLbl>
              <c:idx val="20"/>
              <c:layout>
                <c:manualLayout>
                  <c:x val="-3.9477324529226289E-2"/>
                  <c:y val="-4.0872583814612534E-2"/>
                </c:manualLayout>
              </c:layout>
              <c:tx>
                <c:rich>
                  <a:bodyPr/>
                  <a:lstStyle/>
                  <a:p>
                    <a:r>
                      <a:rPr lang="en-US"/>
                      <a:t>2.6</a:t>
                    </a:r>
                  </a:p>
                </c:rich>
              </c:tx>
              <c:dLblPos val="r"/>
              <c:showVal val="1"/>
              <c:extLst>
                <c:ext xmlns:c15="http://schemas.microsoft.com/office/drawing/2012/chart" uri="{CE6537A1-D6FC-4f65-9D91-7224C49458BB}"/>
              </c:extLst>
            </c:dLbl>
            <c:dLbl>
              <c:idx val="21"/>
              <c:layout>
                <c:manualLayout>
                  <c:x val="-4.6982862525946432E-2"/>
                  <c:y val="-3.1989091532081772E-2"/>
                </c:manualLayout>
              </c:layout>
              <c:tx>
                <c:rich>
                  <a:bodyPr/>
                  <a:lstStyle/>
                  <a:p>
                    <a:r>
                      <a:rPr lang="en-US"/>
                      <a:t>5.0</a:t>
                    </a:r>
                  </a:p>
                </c:rich>
              </c:tx>
              <c:dLblPos val="r"/>
              <c:showVal val="1"/>
              <c:extLst>
                <c:ext xmlns:c15="http://schemas.microsoft.com/office/drawing/2012/chart" uri="{CE6537A1-D6FC-4f65-9D91-7224C49458BB}"/>
              </c:extLst>
            </c:dLbl>
            <c:dLbl>
              <c:idx val="22"/>
              <c:layout>
                <c:manualLayout>
                  <c:x val="-3.204446063147709E-2"/>
                  <c:y val="-4.3127393716864776E-2"/>
                </c:manualLayout>
              </c:layout>
              <c:tx>
                <c:rich>
                  <a:bodyPr/>
                  <a:lstStyle/>
                  <a:p>
                    <a:r>
                      <a:rPr lang="en-US"/>
                      <a:t>9.1</a:t>
                    </a:r>
                  </a:p>
                </c:rich>
              </c:tx>
              <c:dLblPos val="r"/>
              <c:showVal val="1"/>
              <c:extLst>
                <c:ext xmlns:c15="http://schemas.microsoft.com/office/drawing/2012/chart" uri="{CE6537A1-D6FC-4f65-9D91-7224C49458BB}"/>
              </c:extLst>
            </c:dLbl>
            <c:dLbl>
              <c:idx val="23"/>
              <c:layout>
                <c:manualLayout>
                  <c:x val="-2.754934770283906E-2"/>
                  <c:y val="-4.7340709874260527E-2"/>
                </c:manualLayout>
              </c:layout>
              <c:tx>
                <c:rich>
                  <a:bodyPr/>
                  <a:lstStyle/>
                  <a:p>
                    <a:r>
                      <a:rPr lang="en-US"/>
                      <a:t>6.9</a:t>
                    </a:r>
                  </a:p>
                </c:rich>
              </c:tx>
              <c:dLblPos val="r"/>
              <c:showVal val="1"/>
              <c:extLst>
                <c:ext xmlns:c15="http://schemas.microsoft.com/office/drawing/2012/chart" uri="{CE6537A1-D6FC-4f65-9D91-7224C49458BB}"/>
              </c:extLst>
            </c:dLbl>
            <c:dLbl>
              <c:idx val="24"/>
              <c:layout>
                <c:manualLayout>
                  <c:x val="-2.2731913626310395E-2"/>
                  <c:y val="-4.3127393716864776E-2"/>
                </c:manualLayout>
              </c:layout>
              <c:tx>
                <c:rich>
                  <a:bodyPr/>
                  <a:lstStyle/>
                  <a:p>
                    <a:r>
                      <a:rPr lang="en-US"/>
                      <a:t>7.5</a:t>
                    </a:r>
                  </a:p>
                </c:rich>
              </c:tx>
              <c:dLblPos val="r"/>
              <c:showVal val="1"/>
              <c:extLst>
                <c:ext xmlns:c15="http://schemas.microsoft.com/office/drawing/2012/chart" uri="{CE6537A1-D6FC-4f65-9D91-7224C49458BB}"/>
              </c:extLst>
            </c:dLbl>
            <c:spPr>
              <a:noFill/>
              <a:ln>
                <a:noFill/>
              </a:ln>
              <a:effectLst/>
            </c:spPr>
            <c:dLblPos val="t"/>
            <c:showVal val="1"/>
            <c:extLst>
              <c:ext xmlns:c15="http://schemas.microsoft.com/office/drawing/2012/chart" uri="{CE6537A1-D6FC-4f65-9D91-7224C49458BB}">
                <c15:showLeaderLines val="1"/>
              </c:ext>
            </c:extLst>
          </c:dLbls>
          <c:cat>
            <c:strRef>
              <c:f>wskaźnik!$A$4:$A$28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wskaźnik!$B$4:$B$28</c:f>
              <c:numCache>
                <c:formatCode>0.0</c:formatCode>
                <c:ptCount val="25"/>
                <c:pt idx="0">
                  <c:v>0.2</c:v>
                </c:pt>
                <c:pt idx="1">
                  <c:v>-1.2</c:v>
                </c:pt>
                <c:pt idx="2">
                  <c:v>-2.9</c:v>
                </c:pt>
                <c:pt idx="3">
                  <c:v>-4.9000000000000004</c:v>
                </c:pt>
                <c:pt idx="4">
                  <c:v>-3.9</c:v>
                </c:pt>
                <c:pt idx="5">
                  <c:v>-3.3</c:v>
                </c:pt>
                <c:pt idx="6">
                  <c:v>2</c:v>
                </c:pt>
                <c:pt idx="7">
                  <c:v>0.2</c:v>
                </c:pt>
                <c:pt idx="8">
                  <c:v>-0.70000000000000062</c:v>
                </c:pt>
                <c:pt idx="9">
                  <c:v>-0.60000000000000064</c:v>
                </c:pt>
                <c:pt idx="10">
                  <c:v>-2.9</c:v>
                </c:pt>
                <c:pt idx="11">
                  <c:v>1.5</c:v>
                </c:pt>
                <c:pt idx="12">
                  <c:v>2.8</c:v>
                </c:pt>
                <c:pt idx="13">
                  <c:v>4.4000000000000004</c:v>
                </c:pt>
                <c:pt idx="14">
                  <c:v>10</c:v>
                </c:pt>
                <c:pt idx="15">
                  <c:v>10.9</c:v>
                </c:pt>
                <c:pt idx="16">
                  <c:v>6.9</c:v>
                </c:pt>
                <c:pt idx="17">
                  <c:v>3.9</c:v>
                </c:pt>
                <c:pt idx="18">
                  <c:v>1.3</c:v>
                </c:pt>
                <c:pt idx="19">
                  <c:v>1.3</c:v>
                </c:pt>
                <c:pt idx="20">
                  <c:v>2.6</c:v>
                </c:pt>
                <c:pt idx="21">
                  <c:v>5</c:v>
                </c:pt>
                <c:pt idx="22">
                  <c:v>9.1</c:v>
                </c:pt>
                <c:pt idx="23">
                  <c:v>6.9</c:v>
                </c:pt>
                <c:pt idx="24">
                  <c:v>7.5</c:v>
                </c:pt>
              </c:numCache>
            </c:numRef>
          </c:val>
        </c:ser>
        <c:dLbls>
          <c:showVal val="1"/>
        </c:dLbls>
        <c:marker val="1"/>
        <c:axId val="131985408"/>
        <c:axId val="131986944"/>
        <c:extLst/>
      </c:lineChart>
      <c:catAx>
        <c:axId val="131985408"/>
        <c:scaling>
          <c:orientation val="minMax"/>
        </c:scaling>
        <c:axPos val="b"/>
        <c:numFmt formatCode="General" sourceLinked="1"/>
        <c:majorTickMark val="none"/>
        <c:tickLblPos val="low"/>
        <c:spPr>
          <a:ln w="12700" cmpd="sng">
            <a:solidFill>
              <a:schemeClr val="tx1"/>
            </a:solidFill>
          </a:ln>
        </c:spPr>
        <c:txPr>
          <a:bodyPr rot="0" vert="horz"/>
          <a:lstStyle/>
          <a:p>
            <a:pPr>
              <a:defRPr sz="640" baseline="0"/>
            </a:pPr>
            <a:endParaRPr lang="pl-PL"/>
          </a:p>
        </c:txPr>
        <c:crossAx val="131986944"/>
        <c:crosses val="autoZero"/>
        <c:lblAlgn val="ctr"/>
        <c:lblOffset val="200"/>
        <c:tickLblSkip val="1"/>
        <c:tickMarkSkip val="1"/>
      </c:catAx>
      <c:valAx>
        <c:axId val="131986944"/>
        <c:scaling>
          <c:orientation val="minMax"/>
          <c:max val="11.5"/>
          <c:min val="-6"/>
        </c:scaling>
        <c:axPos val="l"/>
        <c:majorGridlines>
          <c:spPr>
            <a:ln w="6350">
              <a:solidFill>
                <a:schemeClr val="bg1">
                  <a:lumMod val="85000"/>
                </a:schemeClr>
              </a:solidFill>
              <a:prstDash val="sysDash"/>
            </a:ln>
          </c:spPr>
        </c:majorGridlines>
        <c:title>
          <c:tx>
            <c:rich>
              <a:bodyPr rot="0" vert="horz"/>
              <a:lstStyle/>
              <a:p>
                <a:pPr>
                  <a:defRPr sz="600" baseline="0"/>
                </a:pPr>
                <a:r>
                  <a:rPr lang="pl-PL" sz="600" baseline="0"/>
                  <a:t>%</a:t>
                </a:r>
              </a:p>
            </c:rich>
          </c:tx>
          <c:layout>
            <c:manualLayout>
              <c:xMode val="edge"/>
              <c:yMode val="edge"/>
              <c:x val="4.3705949388701613E-2"/>
              <c:y val="2.7171131910398039E-3"/>
            </c:manualLayout>
          </c:layout>
        </c:title>
        <c:numFmt formatCode="0" sourceLinked="0"/>
        <c:tickLblPos val="nextTo"/>
        <c:spPr>
          <a:ln w="0">
            <a:noFill/>
            <a:prstDash val="solid"/>
          </a:ln>
        </c:spPr>
        <c:txPr>
          <a:bodyPr rot="0" vert="horz"/>
          <a:lstStyle/>
          <a:p>
            <a:pPr>
              <a:defRPr sz="600" baseline="0"/>
            </a:pPr>
            <a:endParaRPr lang="pl-PL"/>
          </a:p>
        </c:txPr>
        <c:crossAx val="131985408"/>
        <c:crosses val="autoZero"/>
        <c:crossBetween val="between"/>
        <c:majorUnit val="1"/>
        <c:minorUnit val="1"/>
      </c:valAx>
    </c:plotArea>
    <c:plotVisOnly val="1"/>
    <c:dispBlanksAs val="gap"/>
  </c:chart>
  <c:spPr>
    <a:ln w="0">
      <a:noFill/>
      <a:prstDash val="solid"/>
    </a:ln>
  </c:spPr>
  <c:txPr>
    <a:bodyPr/>
    <a:lstStyle/>
    <a:p>
      <a:pPr>
        <a:defRPr sz="750" b="0" i="0" u="none" strike="noStrike" baseline="0">
          <a:solidFill>
            <a:srgbClr val="000000"/>
          </a:solidFill>
          <a:latin typeface="Fira Sans" pitchFamily="34" charset="0"/>
          <a:ea typeface="Fira Sans" pitchFamily="34" charset="0"/>
          <a:cs typeface="Arial CE"/>
        </a:defRPr>
      </a:pPr>
      <a:endParaRPr lang="pl-PL"/>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5.6884588704148864E-2"/>
          <c:y val="9.445351980185511E-2"/>
          <c:w val="0.92044997876535839"/>
          <c:h val="0.68360517303392065"/>
        </c:manualLayout>
      </c:layout>
      <c:lineChart>
        <c:grouping val="standard"/>
        <c:ser>
          <c:idx val="0"/>
          <c:order val="0"/>
          <c:tx>
            <c:strRef>
              <c:f>'pszenica i zyto'!$B$3</c:f>
              <c:strCache>
                <c:ptCount val="1"/>
                <c:pt idx="0">
                  <c:v>  Wheat in procurement</c:v>
                </c:pt>
              </c:strCache>
            </c:strRef>
          </c:tx>
          <c:spPr>
            <a:ln w="19050" cap="rnd">
              <a:solidFill>
                <a:srgbClr val="001D77"/>
              </a:solidFill>
              <a:round/>
            </a:ln>
            <a:effectLst/>
          </c:spPr>
          <c:marker>
            <c:symbol val="circle"/>
            <c:size val="4"/>
            <c:spPr>
              <a:solidFill>
                <a:schemeClr val="bg1"/>
              </a:solidFill>
              <a:ln w="15875">
                <a:solidFill>
                  <a:srgbClr val="001D77"/>
                </a:solidFill>
              </a:ln>
              <a:effectLst/>
            </c:spPr>
          </c:marker>
          <c:cat>
            <c:strRef>
              <c:f>'pszenica i zyto'!$A$4:$A$28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c:v>
                </c:pt>
                <c:pt idx="12">
                  <c:v>II 2019</c:v>
                </c:pt>
                <c:pt idx="13">
                  <c:v>III </c:v>
                </c:pt>
                <c:pt idx="14">
                  <c:v>IV </c:v>
                </c:pt>
                <c:pt idx="15">
                  <c:v>V </c:v>
                </c:pt>
                <c:pt idx="16">
                  <c:v>VI</c:v>
                </c:pt>
                <c:pt idx="17">
                  <c:v>VII </c:v>
                </c:pt>
                <c:pt idx="18">
                  <c:v>VIII </c:v>
                </c:pt>
                <c:pt idx="19">
                  <c:v>IX </c:v>
                </c:pt>
                <c:pt idx="20">
                  <c:v>X</c:v>
                </c:pt>
                <c:pt idx="21">
                  <c:v>XI </c:v>
                </c:pt>
                <c:pt idx="22">
                  <c:v>XII </c:v>
                </c:pt>
                <c:pt idx="23">
                  <c:v>I </c:v>
                </c:pt>
                <c:pt idx="24">
                  <c:v>II 2020</c:v>
                </c:pt>
              </c:strCache>
            </c:strRef>
          </c:cat>
          <c:val>
            <c:numRef>
              <c:f>'pszenica i zyto'!$B$4:$B$28</c:f>
              <c:numCache>
                <c:formatCode>0.00</c:formatCode>
                <c:ptCount val="25"/>
                <c:pt idx="0">
                  <c:v>66.209999999999994</c:v>
                </c:pt>
                <c:pt idx="1">
                  <c:v>66.849999999999994</c:v>
                </c:pt>
                <c:pt idx="2">
                  <c:v>66.239999999999995</c:v>
                </c:pt>
                <c:pt idx="3">
                  <c:v>67.23</c:v>
                </c:pt>
                <c:pt idx="4">
                  <c:v>68.599999999999994</c:v>
                </c:pt>
                <c:pt idx="5">
                  <c:v>69.319999999999993</c:v>
                </c:pt>
                <c:pt idx="6">
                  <c:v>75.179999999999978</c:v>
                </c:pt>
                <c:pt idx="7">
                  <c:v>80.040000000000006</c:v>
                </c:pt>
                <c:pt idx="8">
                  <c:v>81.040000000000006</c:v>
                </c:pt>
                <c:pt idx="9">
                  <c:v>82.25</c:v>
                </c:pt>
                <c:pt idx="10">
                  <c:v>83.11</c:v>
                </c:pt>
                <c:pt idx="11">
                  <c:v>83.26</c:v>
                </c:pt>
                <c:pt idx="12">
                  <c:v>83.8</c:v>
                </c:pt>
                <c:pt idx="13">
                  <c:v>82.89</c:v>
                </c:pt>
                <c:pt idx="14">
                  <c:v>79.97</c:v>
                </c:pt>
                <c:pt idx="15">
                  <c:v>79.02</c:v>
                </c:pt>
                <c:pt idx="16">
                  <c:v>76.28</c:v>
                </c:pt>
                <c:pt idx="17">
                  <c:v>67.58</c:v>
                </c:pt>
                <c:pt idx="18">
                  <c:v>66.39</c:v>
                </c:pt>
                <c:pt idx="19">
                  <c:v>66.02</c:v>
                </c:pt>
                <c:pt idx="20">
                  <c:v>66.430000000000007</c:v>
                </c:pt>
                <c:pt idx="21">
                  <c:v>68.290000000000006</c:v>
                </c:pt>
                <c:pt idx="22">
                  <c:v>69.34</c:v>
                </c:pt>
                <c:pt idx="23">
                  <c:v>72.209999999999994</c:v>
                </c:pt>
                <c:pt idx="24">
                  <c:v>73.709999999999994</c:v>
                </c:pt>
              </c:numCache>
            </c:numRef>
          </c:val>
        </c:ser>
        <c:ser>
          <c:idx val="1"/>
          <c:order val="1"/>
          <c:tx>
            <c:strRef>
              <c:f>'pszenica i zyto'!$C$3</c:f>
              <c:strCache>
                <c:ptCount val="1"/>
                <c:pt idx="0">
                  <c:v> Wheat on marketplaces </c:v>
                </c:pt>
              </c:strCache>
            </c:strRef>
          </c:tx>
          <c:spPr>
            <a:ln w="19050" cap="rnd">
              <a:solidFill>
                <a:srgbClr val="008542"/>
              </a:solidFill>
              <a:round/>
            </a:ln>
            <a:effectLst/>
          </c:spPr>
          <c:marker>
            <c:symbol val="circle"/>
            <c:size val="4"/>
            <c:spPr>
              <a:solidFill>
                <a:schemeClr val="bg1"/>
              </a:solidFill>
              <a:ln w="15875">
                <a:solidFill>
                  <a:srgbClr val="008542"/>
                </a:solidFill>
              </a:ln>
              <a:effectLst/>
            </c:spPr>
          </c:marker>
          <c:cat>
            <c:strRef>
              <c:f>'pszenica i zyto'!$A$4:$A$28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c:v>
                </c:pt>
                <c:pt idx="12">
                  <c:v>II 2019</c:v>
                </c:pt>
                <c:pt idx="13">
                  <c:v>III </c:v>
                </c:pt>
                <c:pt idx="14">
                  <c:v>IV </c:v>
                </c:pt>
                <c:pt idx="15">
                  <c:v>V </c:v>
                </c:pt>
                <c:pt idx="16">
                  <c:v>VI</c:v>
                </c:pt>
                <c:pt idx="17">
                  <c:v>VII </c:v>
                </c:pt>
                <c:pt idx="18">
                  <c:v>VIII </c:v>
                </c:pt>
                <c:pt idx="19">
                  <c:v>IX </c:v>
                </c:pt>
                <c:pt idx="20">
                  <c:v>X</c:v>
                </c:pt>
                <c:pt idx="21">
                  <c:v>XI </c:v>
                </c:pt>
                <c:pt idx="22">
                  <c:v>XII </c:v>
                </c:pt>
                <c:pt idx="23">
                  <c:v>I </c:v>
                </c:pt>
                <c:pt idx="24">
                  <c:v>II 2020</c:v>
                </c:pt>
              </c:strCache>
            </c:strRef>
          </c:cat>
          <c:val>
            <c:numRef>
              <c:f>'pszenica i zyto'!$C$4:$C$28</c:f>
              <c:numCache>
                <c:formatCode>0.00</c:formatCode>
                <c:ptCount val="25"/>
                <c:pt idx="0">
                  <c:v>80.790000000000006</c:v>
                </c:pt>
                <c:pt idx="1">
                  <c:v>81.02</c:v>
                </c:pt>
                <c:pt idx="2">
                  <c:v>81.36</c:v>
                </c:pt>
                <c:pt idx="3">
                  <c:v>81.11</c:v>
                </c:pt>
                <c:pt idx="4">
                  <c:v>80.149999999999991</c:v>
                </c:pt>
                <c:pt idx="5">
                  <c:v>80.97</c:v>
                </c:pt>
                <c:pt idx="6">
                  <c:v>82.9</c:v>
                </c:pt>
                <c:pt idx="7">
                  <c:v>86.86999999999999</c:v>
                </c:pt>
                <c:pt idx="8">
                  <c:v>87.31</c:v>
                </c:pt>
                <c:pt idx="9">
                  <c:v>89.81</c:v>
                </c:pt>
                <c:pt idx="10">
                  <c:v>90.6</c:v>
                </c:pt>
                <c:pt idx="11">
                  <c:v>92.02</c:v>
                </c:pt>
                <c:pt idx="12">
                  <c:v>94.19</c:v>
                </c:pt>
                <c:pt idx="13">
                  <c:v>94.679999999999978</c:v>
                </c:pt>
                <c:pt idx="14">
                  <c:v>94.9</c:v>
                </c:pt>
                <c:pt idx="15">
                  <c:v>95.82</c:v>
                </c:pt>
                <c:pt idx="16">
                  <c:v>94.34</c:v>
                </c:pt>
                <c:pt idx="17">
                  <c:v>93.11</c:v>
                </c:pt>
                <c:pt idx="18">
                  <c:v>90.04</c:v>
                </c:pt>
                <c:pt idx="19">
                  <c:v>88.89</c:v>
                </c:pt>
                <c:pt idx="20">
                  <c:v>87.88</c:v>
                </c:pt>
                <c:pt idx="21">
                  <c:v>86.940000000000026</c:v>
                </c:pt>
                <c:pt idx="22">
                  <c:v>86.72</c:v>
                </c:pt>
                <c:pt idx="23">
                  <c:v>87.35</c:v>
                </c:pt>
                <c:pt idx="24">
                  <c:v>87.32</c:v>
                </c:pt>
              </c:numCache>
            </c:numRef>
          </c:val>
        </c:ser>
        <c:ser>
          <c:idx val="2"/>
          <c:order val="2"/>
          <c:tx>
            <c:strRef>
              <c:f>'pszenica i zyto'!$D$3</c:f>
              <c:strCache>
                <c:ptCount val="1"/>
                <c:pt idx="0">
                  <c:v>Rye in procurement</c:v>
                </c:pt>
              </c:strCache>
            </c:strRef>
          </c:tx>
          <c:spPr>
            <a:ln w="19050" cap="rnd">
              <a:solidFill>
                <a:srgbClr val="6677AD"/>
              </a:solidFill>
              <a:round/>
            </a:ln>
            <a:effectLst/>
          </c:spPr>
          <c:marker>
            <c:symbol val="circle"/>
            <c:size val="4"/>
            <c:spPr>
              <a:solidFill>
                <a:schemeClr val="bg1"/>
              </a:solidFill>
              <a:ln w="15875">
                <a:solidFill>
                  <a:srgbClr val="6677AD"/>
                </a:solidFill>
              </a:ln>
              <a:effectLst/>
            </c:spPr>
          </c:marker>
          <c:cat>
            <c:strRef>
              <c:f>'pszenica i zyto'!$A$4:$A$28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c:v>
                </c:pt>
                <c:pt idx="12">
                  <c:v>II 2019</c:v>
                </c:pt>
                <c:pt idx="13">
                  <c:v>III </c:v>
                </c:pt>
                <c:pt idx="14">
                  <c:v>IV </c:v>
                </c:pt>
                <c:pt idx="15">
                  <c:v>V </c:v>
                </c:pt>
                <c:pt idx="16">
                  <c:v>VI</c:v>
                </c:pt>
                <c:pt idx="17">
                  <c:v>VII </c:v>
                </c:pt>
                <c:pt idx="18">
                  <c:v>VIII </c:v>
                </c:pt>
                <c:pt idx="19">
                  <c:v>IX </c:v>
                </c:pt>
                <c:pt idx="20">
                  <c:v>X</c:v>
                </c:pt>
                <c:pt idx="21">
                  <c:v>XI </c:v>
                </c:pt>
                <c:pt idx="22">
                  <c:v>XII </c:v>
                </c:pt>
                <c:pt idx="23">
                  <c:v>I </c:v>
                </c:pt>
                <c:pt idx="24">
                  <c:v>II 2020</c:v>
                </c:pt>
              </c:strCache>
            </c:strRef>
          </c:cat>
          <c:val>
            <c:numRef>
              <c:f>'pszenica i zyto'!$D$4:$D$28</c:f>
              <c:numCache>
                <c:formatCode>0.00</c:formatCode>
                <c:ptCount val="25"/>
                <c:pt idx="0">
                  <c:v>57.42</c:v>
                </c:pt>
                <c:pt idx="1">
                  <c:v>57.25</c:v>
                </c:pt>
                <c:pt idx="2">
                  <c:v>57.379999999999995</c:v>
                </c:pt>
                <c:pt idx="3">
                  <c:v>57.92</c:v>
                </c:pt>
                <c:pt idx="4">
                  <c:v>58.05</c:v>
                </c:pt>
                <c:pt idx="5">
                  <c:v>56.06</c:v>
                </c:pt>
                <c:pt idx="6">
                  <c:v>62.65</c:v>
                </c:pt>
                <c:pt idx="7">
                  <c:v>69.2</c:v>
                </c:pt>
                <c:pt idx="8">
                  <c:v>70.179999999999978</c:v>
                </c:pt>
                <c:pt idx="9">
                  <c:v>70.86999999999999</c:v>
                </c:pt>
                <c:pt idx="10">
                  <c:v>70.88</c:v>
                </c:pt>
                <c:pt idx="11">
                  <c:v>72.440000000000026</c:v>
                </c:pt>
                <c:pt idx="12">
                  <c:v>72.86</c:v>
                </c:pt>
                <c:pt idx="13">
                  <c:v>69.75</c:v>
                </c:pt>
                <c:pt idx="14">
                  <c:v>72.83</c:v>
                </c:pt>
                <c:pt idx="15">
                  <c:v>75.33</c:v>
                </c:pt>
                <c:pt idx="16">
                  <c:v>70.760000000000005</c:v>
                </c:pt>
                <c:pt idx="17">
                  <c:v>57.83</c:v>
                </c:pt>
                <c:pt idx="18">
                  <c:v>56.94</c:v>
                </c:pt>
                <c:pt idx="19">
                  <c:v>56.7</c:v>
                </c:pt>
                <c:pt idx="20">
                  <c:v>54.5</c:v>
                </c:pt>
                <c:pt idx="21">
                  <c:v>54.32</c:v>
                </c:pt>
                <c:pt idx="22">
                  <c:v>58</c:v>
                </c:pt>
                <c:pt idx="23">
                  <c:v>59.09</c:v>
                </c:pt>
                <c:pt idx="24">
                  <c:v>55.68</c:v>
                </c:pt>
              </c:numCache>
            </c:numRef>
          </c:val>
        </c:ser>
        <c:ser>
          <c:idx val="3"/>
          <c:order val="3"/>
          <c:tx>
            <c:strRef>
              <c:f>'pszenica i zyto'!$E$3</c:f>
              <c:strCache>
                <c:ptCount val="1"/>
                <c:pt idx="0">
                  <c:v>Rye on marketplaces </c:v>
                </c:pt>
              </c:strCache>
            </c:strRef>
          </c:tx>
          <c:spPr>
            <a:ln w="19050" cap="rnd">
              <a:solidFill>
                <a:srgbClr val="99CEB0"/>
              </a:solidFill>
              <a:round/>
            </a:ln>
            <a:effectLst/>
          </c:spPr>
          <c:marker>
            <c:symbol val="circle"/>
            <c:size val="4"/>
            <c:spPr>
              <a:solidFill>
                <a:schemeClr val="bg1"/>
              </a:solidFill>
              <a:ln w="15875">
                <a:solidFill>
                  <a:srgbClr val="99CEB0"/>
                </a:solidFill>
              </a:ln>
              <a:effectLst/>
            </c:spPr>
          </c:marker>
          <c:cat>
            <c:strRef>
              <c:f>'pszenica i zyto'!$A$4:$A$28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c:v>
                </c:pt>
                <c:pt idx="12">
                  <c:v>II 2019</c:v>
                </c:pt>
                <c:pt idx="13">
                  <c:v>III </c:v>
                </c:pt>
                <c:pt idx="14">
                  <c:v>IV </c:v>
                </c:pt>
                <c:pt idx="15">
                  <c:v>V </c:v>
                </c:pt>
                <c:pt idx="16">
                  <c:v>VI</c:v>
                </c:pt>
                <c:pt idx="17">
                  <c:v>VII </c:v>
                </c:pt>
                <c:pt idx="18">
                  <c:v>VIII </c:v>
                </c:pt>
                <c:pt idx="19">
                  <c:v>IX </c:v>
                </c:pt>
                <c:pt idx="20">
                  <c:v>X</c:v>
                </c:pt>
                <c:pt idx="21">
                  <c:v>XI </c:v>
                </c:pt>
                <c:pt idx="22">
                  <c:v>XII </c:v>
                </c:pt>
                <c:pt idx="23">
                  <c:v>I </c:v>
                </c:pt>
                <c:pt idx="24">
                  <c:v>II 2020</c:v>
                </c:pt>
              </c:strCache>
            </c:strRef>
          </c:cat>
          <c:val>
            <c:numRef>
              <c:f>'pszenica i zyto'!$E$4:$E$28</c:f>
              <c:numCache>
                <c:formatCode>0.00</c:formatCode>
                <c:ptCount val="25"/>
                <c:pt idx="0">
                  <c:v>65.53</c:v>
                </c:pt>
                <c:pt idx="1">
                  <c:v>65.510000000000005</c:v>
                </c:pt>
                <c:pt idx="2">
                  <c:v>65.34</c:v>
                </c:pt>
                <c:pt idx="3">
                  <c:v>65.209999999999994</c:v>
                </c:pt>
                <c:pt idx="4">
                  <c:v>63.67</c:v>
                </c:pt>
                <c:pt idx="5">
                  <c:v>64.89</c:v>
                </c:pt>
                <c:pt idx="6">
                  <c:v>66.010000000000005</c:v>
                </c:pt>
                <c:pt idx="7">
                  <c:v>69.819999999999993</c:v>
                </c:pt>
                <c:pt idx="8">
                  <c:v>70.790000000000006</c:v>
                </c:pt>
                <c:pt idx="9">
                  <c:v>71.63</c:v>
                </c:pt>
                <c:pt idx="10">
                  <c:v>71.61999999999999</c:v>
                </c:pt>
                <c:pt idx="11">
                  <c:v>73.510000000000005</c:v>
                </c:pt>
                <c:pt idx="12">
                  <c:v>74.3</c:v>
                </c:pt>
                <c:pt idx="13">
                  <c:v>74.86</c:v>
                </c:pt>
                <c:pt idx="14">
                  <c:v>76.23</c:v>
                </c:pt>
                <c:pt idx="15">
                  <c:v>76.11</c:v>
                </c:pt>
                <c:pt idx="16">
                  <c:v>76.48</c:v>
                </c:pt>
                <c:pt idx="17">
                  <c:v>75</c:v>
                </c:pt>
                <c:pt idx="18">
                  <c:v>72.440000000000026</c:v>
                </c:pt>
                <c:pt idx="19">
                  <c:v>72.34</c:v>
                </c:pt>
                <c:pt idx="20">
                  <c:v>71.55</c:v>
                </c:pt>
                <c:pt idx="21">
                  <c:v>68.73</c:v>
                </c:pt>
                <c:pt idx="22">
                  <c:v>70.319999999999993</c:v>
                </c:pt>
                <c:pt idx="23">
                  <c:v>69.61</c:v>
                </c:pt>
                <c:pt idx="24">
                  <c:v>68.72</c:v>
                </c:pt>
              </c:numCache>
            </c:numRef>
          </c:val>
        </c:ser>
        <c:marker val="1"/>
        <c:axId val="146791040"/>
        <c:axId val="146809600"/>
      </c:lineChart>
      <c:catAx>
        <c:axId val="146791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4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6809600"/>
        <c:crosses val="autoZero"/>
        <c:auto val="1"/>
        <c:lblAlgn val="ctr"/>
        <c:lblOffset val="100"/>
      </c:catAx>
      <c:valAx>
        <c:axId val="146809600"/>
        <c:scaling>
          <c:orientation val="minMax"/>
          <c:max val="100"/>
        </c:scaling>
        <c:axPos val="l"/>
        <c:majorGridlines>
          <c:spPr>
            <a:ln w="6350" cap="flat" cmpd="sng" algn="ctr">
              <a:solidFill>
                <a:schemeClr val="bg1">
                  <a:lumMod val="85000"/>
                </a:schemeClr>
              </a:solidFill>
              <a:prstDash val="sysDash"/>
              <a:round/>
            </a:ln>
            <a:effectLst/>
          </c:spPr>
        </c:majorGridlines>
        <c:title>
          <c:tx>
            <c:rich>
              <a:bodyPr rot="0" vert="horz"/>
              <a:lstStyle/>
              <a:p>
                <a:pPr>
                  <a:defRPr sz="700" b="0" baseline="0"/>
                </a:pPr>
                <a:r>
                  <a:rPr lang="pl-PL" sz="700" b="0" baseline="0"/>
                  <a:t>PLN/dt</a:t>
                </a:r>
              </a:p>
            </c:rich>
          </c:tx>
          <c:layout>
            <c:manualLayout>
              <c:xMode val="edge"/>
              <c:yMode val="edge"/>
              <c:x val="2.1051232954207412E-3"/>
              <c:y val="8.0586567481965247E-3"/>
            </c:manualLayout>
          </c:layout>
        </c:title>
        <c:numFmt formatCode="0" sourceLinked="0"/>
        <c:majorTickMark val="none"/>
        <c:tickLblPos val="nextTo"/>
        <c:spPr>
          <a:noFill/>
          <a:ln w="9525">
            <a:noFill/>
          </a:ln>
          <a:effectLst/>
        </c:spPr>
        <c:txPr>
          <a:bodyPr rot="-60000000" spcFirstLastPara="1" vertOverflow="ellipsis" vert="horz" wrap="square" anchor="ctr" anchorCtr="1"/>
          <a:lstStyle/>
          <a:p>
            <a:pPr>
              <a:defRPr sz="7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6791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chart>
  <c:spPr>
    <a:solidFill>
      <a:schemeClr val="bg1"/>
    </a:solidFill>
    <a:ln w="9525" cap="flat" cmpd="sng" algn="ctr">
      <a:noFill/>
      <a:round/>
    </a:ln>
    <a:effectLst/>
  </c:spPr>
  <c:txPr>
    <a:bodyPr/>
    <a:lstStyle/>
    <a:p>
      <a:pPr>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5.7717794572815388E-2"/>
          <c:y val="7.1242609969083909E-2"/>
          <c:w val="0.91674816749994414"/>
          <c:h val="0.73717615835999173"/>
        </c:manualLayout>
      </c:layout>
      <c:lineChart>
        <c:grouping val="standard"/>
        <c:ser>
          <c:idx val="3"/>
          <c:order val="0"/>
          <c:tx>
            <c:strRef>
              <c:f>'ziemniaki 3'!$B$3</c:f>
              <c:strCache>
                <c:ptCount val="1"/>
                <c:pt idx="0">
                  <c:v>Procurement</c:v>
                </c:pt>
              </c:strCache>
            </c:strRef>
          </c:tx>
          <c:spPr>
            <a:ln w="19050">
              <a:solidFill>
                <a:srgbClr val="001D77"/>
              </a:solidFill>
              <a:prstDash val="solid"/>
            </a:ln>
          </c:spPr>
          <c:marker>
            <c:symbol val="circle"/>
            <c:size val="4"/>
            <c:spPr>
              <a:solidFill>
                <a:schemeClr val="bg1"/>
              </a:solidFill>
              <a:ln w="15875">
                <a:solidFill>
                  <a:srgbClr val="001D77"/>
                </a:solidFill>
                <a:prstDash val="solid"/>
              </a:ln>
            </c:spPr>
          </c:marker>
          <c:cat>
            <c:strRef>
              <c:f>'ziemniaki 3'!$A$4:$A$28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'ziemniaki 3'!$B$4:$B$28</c:f>
              <c:numCache>
                <c:formatCode>0.00</c:formatCode>
                <c:ptCount val="25"/>
                <c:pt idx="0">
                  <c:v>54.61</c:v>
                </c:pt>
                <c:pt idx="1">
                  <c:v>60.9</c:v>
                </c:pt>
                <c:pt idx="2">
                  <c:v>67.06</c:v>
                </c:pt>
                <c:pt idx="3">
                  <c:v>64.09</c:v>
                </c:pt>
                <c:pt idx="4">
                  <c:v>56.08</c:v>
                </c:pt>
                <c:pt idx="5">
                  <c:v>54.93</c:v>
                </c:pt>
                <c:pt idx="6">
                  <c:v>38.99</c:v>
                </c:pt>
                <c:pt idx="7">
                  <c:v>33.120000000000012</c:v>
                </c:pt>
                <c:pt idx="8">
                  <c:v>31.82</c:v>
                </c:pt>
                <c:pt idx="9">
                  <c:v>35.94</c:v>
                </c:pt>
                <c:pt idx="10">
                  <c:v>52.74</c:v>
                </c:pt>
                <c:pt idx="11">
                  <c:v>72.739999999999995</c:v>
                </c:pt>
                <c:pt idx="12">
                  <c:v>78.14</c:v>
                </c:pt>
                <c:pt idx="13">
                  <c:v>86.679999999999978</c:v>
                </c:pt>
                <c:pt idx="14">
                  <c:v>95.36</c:v>
                </c:pt>
                <c:pt idx="15">
                  <c:v>89.05</c:v>
                </c:pt>
                <c:pt idx="16">
                  <c:v>97.28</c:v>
                </c:pt>
                <c:pt idx="17">
                  <c:v>108.82</c:v>
                </c:pt>
                <c:pt idx="18">
                  <c:v>67.790000000000006</c:v>
                </c:pt>
                <c:pt idx="19">
                  <c:v>42.18</c:v>
                </c:pt>
                <c:pt idx="20">
                  <c:v>37.03</c:v>
                </c:pt>
                <c:pt idx="21">
                  <c:v>39.75</c:v>
                </c:pt>
                <c:pt idx="22">
                  <c:v>53.63</c:v>
                </c:pt>
                <c:pt idx="23">
                  <c:v>80.38</c:v>
                </c:pt>
                <c:pt idx="24">
                  <c:v>82.61</c:v>
                </c:pt>
              </c:numCache>
            </c:numRef>
          </c:val>
        </c:ser>
        <c:ser>
          <c:idx val="0"/>
          <c:order val="1"/>
          <c:tx>
            <c:strRef>
              <c:f>'ziemniaki 3'!$C$3</c:f>
              <c:strCache>
                <c:ptCount val="1"/>
                <c:pt idx="0">
                  <c:v>Marketplaces</c:v>
                </c:pt>
              </c:strCache>
            </c:strRef>
          </c:tx>
          <c:spPr>
            <a:ln w="19050">
              <a:solidFill>
                <a:srgbClr val="008542"/>
              </a:solidFill>
              <a:prstDash val="solid"/>
            </a:ln>
          </c:spPr>
          <c:marker>
            <c:symbol val="circle"/>
            <c:size val="4"/>
            <c:spPr>
              <a:solidFill>
                <a:schemeClr val="bg1"/>
              </a:solidFill>
              <a:ln w="15875">
                <a:solidFill>
                  <a:srgbClr val="008542"/>
                </a:solidFill>
                <a:prstDash val="solid"/>
              </a:ln>
            </c:spPr>
          </c:marker>
          <c:cat>
            <c:strRef>
              <c:f>'ziemniaki 3'!$A$4:$A$28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'ziemniaki 3'!$C$4:$C$28</c:f>
              <c:numCache>
                <c:formatCode>General</c:formatCode>
                <c:ptCount val="25"/>
                <c:pt idx="0" formatCode="0.00">
                  <c:v>87.51</c:v>
                </c:pt>
                <c:pt idx="1">
                  <c:v>87.82</c:v>
                </c:pt>
                <c:pt idx="2">
                  <c:v>87.42</c:v>
                </c:pt>
                <c:pt idx="3">
                  <c:v>85.14</c:v>
                </c:pt>
                <c:pt idx="4">
                  <c:v>84.95</c:v>
                </c:pt>
                <c:pt idx="5">
                  <c:v>100.44000000000032</c:v>
                </c:pt>
                <c:pt idx="6">
                  <c:v>106.23</c:v>
                </c:pt>
                <c:pt idx="7">
                  <c:v>107.13</c:v>
                </c:pt>
                <c:pt idx="8">
                  <c:v>105.11999999999999</c:v>
                </c:pt>
                <c:pt idx="9">
                  <c:v>108.86</c:v>
                </c:pt>
                <c:pt idx="10">
                  <c:v>116.99000000000002</c:v>
                </c:pt>
                <c:pt idx="11">
                  <c:v>123.11</c:v>
                </c:pt>
                <c:pt idx="12">
                  <c:v>138.99</c:v>
                </c:pt>
                <c:pt idx="13">
                  <c:v>147.54</c:v>
                </c:pt>
                <c:pt idx="14" formatCode="0.00">
                  <c:v>164</c:v>
                </c:pt>
                <c:pt idx="15" formatCode="0.00">
                  <c:v>203.42000000000004</c:v>
                </c:pt>
                <c:pt idx="16" formatCode="0.00">
                  <c:v>199.81</c:v>
                </c:pt>
                <c:pt idx="17" formatCode="0.00">
                  <c:v>203.51</c:v>
                </c:pt>
                <c:pt idx="18" formatCode="0.00">
                  <c:v>233.34</c:v>
                </c:pt>
                <c:pt idx="19" formatCode="0.00">
                  <c:v>226.05</c:v>
                </c:pt>
                <c:pt idx="20" formatCode="0.00">
                  <c:v>215.23</c:v>
                </c:pt>
                <c:pt idx="21" formatCode="0.00">
                  <c:v>210.04</c:v>
                </c:pt>
                <c:pt idx="22" formatCode="0.00">
                  <c:v>205</c:v>
                </c:pt>
                <c:pt idx="23" formatCode="0.00">
                  <c:v>205.38000000000093</c:v>
                </c:pt>
                <c:pt idx="24" formatCode="0.00">
                  <c:v>203.81</c:v>
                </c:pt>
              </c:numCache>
            </c:numRef>
          </c:val>
        </c:ser>
        <c:marker val="1"/>
        <c:axId val="146842368"/>
        <c:axId val="146844288"/>
        <c:extLst/>
      </c:lineChart>
      <c:catAx>
        <c:axId val="146842368"/>
        <c:scaling>
          <c:orientation val="minMax"/>
        </c:scaling>
        <c:axPos val="b"/>
        <c:numFmt formatCode="General" sourceLinked="1"/>
        <c:tickLblPos val="nextTo"/>
        <c:spPr>
          <a:ln w="3175">
            <a:noFill/>
            <a:prstDash val="solid"/>
          </a:ln>
        </c:spPr>
        <c:txPr>
          <a:bodyPr rot="0" vert="horz"/>
          <a:lstStyle/>
          <a:p>
            <a:pPr>
              <a:defRPr sz="640" baseline="0"/>
            </a:pPr>
            <a:endParaRPr lang="pl-PL"/>
          </a:p>
        </c:txPr>
        <c:crossAx val="146844288"/>
        <c:crosses val="autoZero"/>
        <c:lblAlgn val="ctr"/>
        <c:lblOffset val="100"/>
        <c:tickLblSkip val="1"/>
        <c:tickMarkSkip val="1"/>
      </c:catAx>
      <c:valAx>
        <c:axId val="146844288"/>
        <c:scaling>
          <c:orientation val="minMax"/>
          <c:max val="240"/>
          <c:min val="0"/>
        </c:scaling>
        <c:axPos val="l"/>
        <c:majorGridlines>
          <c:spPr>
            <a:ln w="3175">
              <a:solidFill>
                <a:schemeClr val="bg1">
                  <a:lumMod val="75000"/>
                </a:schemeClr>
              </a:solidFill>
              <a:prstDash val="sysDash"/>
            </a:ln>
          </c:spPr>
        </c:majorGridlines>
        <c:title>
          <c:tx>
            <c:rich>
              <a:bodyPr rot="0" vert="horz"/>
              <a:lstStyle/>
              <a:p>
                <a:pPr>
                  <a:defRPr/>
                </a:pPr>
                <a:r>
                  <a:rPr lang="pl-PL"/>
                  <a:t>PLN/dt 
</a:t>
                </a:r>
              </a:p>
            </c:rich>
          </c:tx>
          <c:layout>
            <c:manualLayout>
              <c:xMode val="edge"/>
              <c:yMode val="edge"/>
              <c:x val="4.5036207588220519E-4"/>
              <c:y val="4.2056868516422014E-4"/>
            </c:manualLayout>
          </c:layout>
          <c:spPr>
            <a:noFill/>
            <a:ln w="25400">
              <a:noFill/>
            </a:ln>
          </c:spPr>
        </c:title>
        <c:numFmt formatCode="0" sourceLinked="0"/>
        <c:tickLblPos val="nextTo"/>
        <c:spPr>
          <a:ln w="3175">
            <a:noFill/>
            <a:prstDash val="solid"/>
          </a:ln>
        </c:spPr>
        <c:txPr>
          <a:bodyPr rot="0" vert="horz"/>
          <a:lstStyle/>
          <a:p>
            <a:pPr>
              <a:defRPr/>
            </a:pPr>
            <a:endParaRPr lang="pl-PL"/>
          </a:p>
        </c:txPr>
        <c:crossAx val="146842368"/>
        <c:crosses val="autoZero"/>
        <c:crossBetween val="between"/>
        <c:majorUnit val="20"/>
      </c:valAx>
      <c:spPr>
        <a:solidFill>
          <a:srgbClr val="FFFFFF"/>
        </a:solidFill>
        <a:ln w="12700">
          <a:noFill/>
          <a:prstDash val="solid"/>
        </a:ln>
      </c:spPr>
    </c:plotArea>
    <c:legend>
      <c:legendPos val="r"/>
      <c:layout>
        <c:manualLayout>
          <c:xMode val="edge"/>
          <c:yMode val="edge"/>
          <c:x val="0.16871520110265836"/>
          <c:y val="0.88922313609046677"/>
          <c:w val="0.66257018431355363"/>
          <c:h val="7.5914491944565871E-2"/>
        </c:manualLayout>
      </c:layout>
      <c:spPr>
        <a:solidFill>
          <a:srgbClr val="FFFFFF"/>
        </a:solidFill>
        <a:ln w="25400">
          <a:noFill/>
        </a:ln>
      </c:spPr>
    </c:legend>
    <c:plotVisOnly val="1"/>
    <c:dispBlanksAs val="gap"/>
  </c:chart>
  <c:spPr>
    <a:ln w="12700">
      <a:noFill/>
      <a:prstDash val="solid"/>
    </a:ln>
  </c:spPr>
  <c:txPr>
    <a:bodyPr/>
    <a:lstStyle/>
    <a:p>
      <a:pPr>
        <a:defRPr sz="800" b="0" i="0" u="none" strike="noStrike" baseline="0">
          <a:solidFill>
            <a:srgbClr val="000000"/>
          </a:solidFill>
          <a:latin typeface="Fira Sans" pitchFamily="34" charset="0"/>
          <a:ea typeface="Arial CE"/>
          <a:cs typeface="Arial CE"/>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l-PL"/>
  <c:chart>
    <c:autoTitleDeleted val="1"/>
    <c:plotArea>
      <c:layout>
        <c:manualLayout>
          <c:layoutTarget val="inner"/>
          <c:xMode val="edge"/>
          <c:yMode val="edge"/>
          <c:x val="3.2241510351746612E-2"/>
          <c:y val="7.4522583075520524E-2"/>
          <c:w val="0.9468557646510406"/>
          <c:h val="0.73733377104165221"/>
        </c:manualLayout>
      </c:layout>
      <c:lineChart>
        <c:grouping val="standard"/>
        <c:ser>
          <c:idx val="0"/>
          <c:order val="0"/>
          <c:tx>
            <c:strRef>
              <c:f>'bydło_trzoda 5'!$B$3</c:f>
              <c:strCache>
                <c:ptCount val="1"/>
                <c:pt idx="0">
                  <c:v> Cattle for slaughter in procurement</c:v>
                </c:pt>
              </c:strCache>
            </c:strRef>
          </c:tx>
          <c:spPr>
            <a:ln w="19050" cap="rnd">
              <a:solidFill>
                <a:srgbClr val="001D77"/>
              </a:solidFill>
              <a:round/>
            </a:ln>
            <a:effectLst/>
          </c:spPr>
          <c:marker>
            <c:symbol val="circle"/>
            <c:size val="4"/>
            <c:spPr>
              <a:solidFill>
                <a:schemeClr val="bg1"/>
              </a:solidFill>
              <a:ln w="15875">
                <a:solidFill>
                  <a:srgbClr val="001D77"/>
                </a:solidFill>
              </a:ln>
              <a:effectLst/>
            </c:spPr>
          </c:marker>
          <c:cat>
            <c:strRef>
              <c:f>'bydło_trzoda 5'!$A$4:$A$28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VIIII </c:v>
                </c:pt>
                <c:pt idx="19">
                  <c:v>IX </c:v>
                </c:pt>
                <c:pt idx="20">
                  <c:v>X </c:v>
                </c:pt>
                <c:pt idx="21">
                  <c:v>XI </c:v>
                </c:pt>
                <c:pt idx="22">
                  <c:v>XII </c:v>
                </c:pt>
                <c:pt idx="23">
                  <c:v>I </c:v>
                </c:pt>
                <c:pt idx="24">
                  <c:v>II 2020</c:v>
                </c:pt>
              </c:strCache>
            </c:strRef>
          </c:cat>
          <c:val>
            <c:numRef>
              <c:f>'bydło_trzoda 5'!$B$4:$B$28</c:f>
              <c:numCache>
                <c:formatCode>0.00</c:formatCode>
                <c:ptCount val="25"/>
                <c:pt idx="0">
                  <c:v>6.4700000000000024</c:v>
                </c:pt>
                <c:pt idx="1">
                  <c:v>6.34</c:v>
                </c:pt>
                <c:pt idx="2">
                  <c:v>6.58</c:v>
                </c:pt>
                <c:pt idx="3">
                  <c:v>6.63</c:v>
                </c:pt>
                <c:pt idx="4">
                  <c:v>6.49</c:v>
                </c:pt>
                <c:pt idx="5">
                  <c:v>6.42</c:v>
                </c:pt>
                <c:pt idx="6">
                  <c:v>6.52</c:v>
                </c:pt>
                <c:pt idx="7">
                  <c:v>6.48</c:v>
                </c:pt>
                <c:pt idx="8">
                  <c:v>6.51</c:v>
                </c:pt>
                <c:pt idx="9">
                  <c:v>6.5</c:v>
                </c:pt>
                <c:pt idx="10">
                  <c:v>6.54</c:v>
                </c:pt>
                <c:pt idx="11">
                  <c:v>6.6</c:v>
                </c:pt>
                <c:pt idx="12">
                  <c:v>6.39</c:v>
                </c:pt>
                <c:pt idx="13">
                  <c:v>6.53</c:v>
                </c:pt>
                <c:pt idx="14">
                  <c:v>6.49</c:v>
                </c:pt>
                <c:pt idx="15">
                  <c:v>6.52</c:v>
                </c:pt>
                <c:pt idx="16">
                  <c:v>6.06</c:v>
                </c:pt>
                <c:pt idx="17">
                  <c:v>6.22</c:v>
                </c:pt>
                <c:pt idx="18">
                  <c:v>6.1099999999999985</c:v>
                </c:pt>
                <c:pt idx="19">
                  <c:v>6.01</c:v>
                </c:pt>
                <c:pt idx="20">
                  <c:v>6.05</c:v>
                </c:pt>
                <c:pt idx="21">
                  <c:v>6.34</c:v>
                </c:pt>
                <c:pt idx="22">
                  <c:v>6.35</c:v>
                </c:pt>
                <c:pt idx="23">
                  <c:v>6.4300000000000024</c:v>
                </c:pt>
                <c:pt idx="24">
                  <c:v>6.49</c:v>
                </c:pt>
              </c:numCache>
            </c:numRef>
          </c:val>
        </c:ser>
        <c:ser>
          <c:idx val="1"/>
          <c:order val="1"/>
          <c:tx>
            <c:strRef>
              <c:f>'bydło_trzoda 5'!$C$3</c:f>
              <c:strCache>
                <c:ptCount val="1"/>
                <c:pt idx="0">
                  <c:v>Cattle for slaughter on marketplaces</c:v>
                </c:pt>
              </c:strCache>
            </c:strRef>
          </c:tx>
          <c:spPr>
            <a:ln w="19050" cap="rnd">
              <a:solidFill>
                <a:srgbClr val="008542"/>
              </a:solidFill>
              <a:round/>
            </a:ln>
            <a:effectLst/>
          </c:spPr>
          <c:marker>
            <c:symbol val="circle"/>
            <c:size val="4"/>
            <c:spPr>
              <a:solidFill>
                <a:schemeClr val="bg1"/>
              </a:solidFill>
              <a:ln w="15875">
                <a:solidFill>
                  <a:srgbClr val="008542"/>
                </a:solidFill>
              </a:ln>
              <a:effectLst/>
            </c:spPr>
          </c:marker>
          <c:cat>
            <c:strRef>
              <c:f>'bydło_trzoda 5'!$A$4:$A$28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VIIII </c:v>
                </c:pt>
                <c:pt idx="19">
                  <c:v>IX </c:v>
                </c:pt>
                <c:pt idx="20">
                  <c:v>X </c:v>
                </c:pt>
                <c:pt idx="21">
                  <c:v>XI </c:v>
                </c:pt>
                <c:pt idx="22">
                  <c:v>XII </c:v>
                </c:pt>
                <c:pt idx="23">
                  <c:v>I </c:v>
                </c:pt>
                <c:pt idx="24">
                  <c:v>II 2020</c:v>
                </c:pt>
              </c:strCache>
            </c:strRef>
          </c:cat>
          <c:val>
            <c:numRef>
              <c:f>'bydło_trzoda 5'!$C$4:$C$28</c:f>
              <c:numCache>
                <c:formatCode>0.00</c:formatCode>
                <c:ptCount val="25"/>
                <c:pt idx="0">
                  <c:v>6.9300000000000024</c:v>
                </c:pt>
                <c:pt idx="1">
                  <c:v>7.22</c:v>
                </c:pt>
                <c:pt idx="2">
                  <c:v>7.2</c:v>
                </c:pt>
                <c:pt idx="3">
                  <c:v>7.22</c:v>
                </c:pt>
                <c:pt idx="4">
                  <c:v>7.1099999999999985</c:v>
                </c:pt>
                <c:pt idx="5">
                  <c:v>6.88</c:v>
                </c:pt>
                <c:pt idx="6">
                  <c:v>7.02</c:v>
                </c:pt>
                <c:pt idx="7">
                  <c:v>7.07</c:v>
                </c:pt>
                <c:pt idx="8">
                  <c:v>6.94</c:v>
                </c:pt>
                <c:pt idx="9">
                  <c:v>7.06</c:v>
                </c:pt>
                <c:pt idx="10">
                  <c:v>6.9700000000000024</c:v>
                </c:pt>
                <c:pt idx="11">
                  <c:v>7.14</c:v>
                </c:pt>
                <c:pt idx="12">
                  <c:v>6.79</c:v>
                </c:pt>
                <c:pt idx="13">
                  <c:v>7.17</c:v>
                </c:pt>
                <c:pt idx="14">
                  <c:v>7.22</c:v>
                </c:pt>
                <c:pt idx="15">
                  <c:v>7.14</c:v>
                </c:pt>
                <c:pt idx="16">
                  <c:v>7.18</c:v>
                </c:pt>
                <c:pt idx="17">
                  <c:v>6.38</c:v>
                </c:pt>
                <c:pt idx="18">
                  <c:v>6.4700000000000024</c:v>
                </c:pt>
                <c:pt idx="19">
                  <c:v>6.58</c:v>
                </c:pt>
                <c:pt idx="20">
                  <c:v>6.4300000000000024</c:v>
                </c:pt>
                <c:pt idx="21">
                  <c:v>6.57</c:v>
                </c:pt>
                <c:pt idx="22">
                  <c:v>6.75</c:v>
                </c:pt>
                <c:pt idx="23">
                  <c:v>6.83</c:v>
                </c:pt>
                <c:pt idx="24">
                  <c:v>6.78</c:v>
                </c:pt>
              </c:numCache>
            </c:numRef>
          </c:val>
        </c:ser>
        <c:ser>
          <c:idx val="2"/>
          <c:order val="2"/>
          <c:tx>
            <c:strRef>
              <c:f>'bydło_trzoda 5'!$D$3</c:f>
              <c:strCache>
                <c:ptCount val="1"/>
                <c:pt idx="0">
                  <c:v> Pigs for slaughter in procurement </c:v>
                </c:pt>
              </c:strCache>
            </c:strRef>
          </c:tx>
          <c:spPr>
            <a:ln w="19050" cap="rnd">
              <a:solidFill>
                <a:srgbClr val="6677AD"/>
              </a:solidFill>
              <a:round/>
            </a:ln>
            <a:effectLst/>
          </c:spPr>
          <c:marker>
            <c:symbol val="circle"/>
            <c:size val="4"/>
            <c:spPr>
              <a:solidFill>
                <a:schemeClr val="bg1"/>
              </a:solidFill>
              <a:ln w="15875">
                <a:solidFill>
                  <a:srgbClr val="6677AD"/>
                </a:solidFill>
              </a:ln>
              <a:effectLst/>
            </c:spPr>
          </c:marker>
          <c:cat>
            <c:strRef>
              <c:f>'bydło_trzoda 5'!$A$4:$A$28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VIIII </c:v>
                </c:pt>
                <c:pt idx="19">
                  <c:v>IX </c:v>
                </c:pt>
                <c:pt idx="20">
                  <c:v>X </c:v>
                </c:pt>
                <c:pt idx="21">
                  <c:v>XI </c:v>
                </c:pt>
                <c:pt idx="22">
                  <c:v>XII </c:v>
                </c:pt>
                <c:pt idx="23">
                  <c:v>I </c:v>
                </c:pt>
                <c:pt idx="24">
                  <c:v>II 2020</c:v>
                </c:pt>
              </c:strCache>
            </c:strRef>
          </c:cat>
          <c:val>
            <c:numRef>
              <c:f>'bydło_trzoda 5'!$D$4:$D$28</c:f>
              <c:numCache>
                <c:formatCode>0.00</c:formatCode>
                <c:ptCount val="25"/>
                <c:pt idx="0">
                  <c:v>4.4300000000000024</c:v>
                </c:pt>
                <c:pt idx="1">
                  <c:v>4.63</c:v>
                </c:pt>
                <c:pt idx="2">
                  <c:v>4.51</c:v>
                </c:pt>
                <c:pt idx="3">
                  <c:v>4.4400000000000004</c:v>
                </c:pt>
                <c:pt idx="4">
                  <c:v>4.6399999999999997</c:v>
                </c:pt>
                <c:pt idx="5">
                  <c:v>4.68</c:v>
                </c:pt>
                <c:pt idx="6">
                  <c:v>4.8099999999999996</c:v>
                </c:pt>
                <c:pt idx="7">
                  <c:v>4.6899999999999995</c:v>
                </c:pt>
                <c:pt idx="8">
                  <c:v>4.4000000000000004</c:v>
                </c:pt>
                <c:pt idx="9">
                  <c:v>4.22</c:v>
                </c:pt>
                <c:pt idx="10">
                  <c:v>4.1899999999999995</c:v>
                </c:pt>
                <c:pt idx="11">
                  <c:v>4.0599999999999996</c:v>
                </c:pt>
                <c:pt idx="12">
                  <c:v>4.1599999999999975</c:v>
                </c:pt>
                <c:pt idx="13">
                  <c:v>4.4700000000000024</c:v>
                </c:pt>
                <c:pt idx="14">
                  <c:v>5.72</c:v>
                </c:pt>
                <c:pt idx="15">
                  <c:v>5.83</c:v>
                </c:pt>
                <c:pt idx="16">
                  <c:v>5.7700000000000014</c:v>
                </c:pt>
                <c:pt idx="17">
                  <c:v>5.64</c:v>
                </c:pt>
                <c:pt idx="18">
                  <c:v>5.8199999999999985</c:v>
                </c:pt>
                <c:pt idx="19">
                  <c:v>5.94</c:v>
                </c:pt>
                <c:pt idx="20">
                  <c:v>5.89</c:v>
                </c:pt>
                <c:pt idx="21">
                  <c:v>5.88</c:v>
                </c:pt>
                <c:pt idx="22">
                  <c:v>6.26</c:v>
                </c:pt>
                <c:pt idx="23">
                  <c:v>5.9700000000000024</c:v>
                </c:pt>
                <c:pt idx="24">
                  <c:v>6.2700000000000014</c:v>
                </c:pt>
              </c:numCache>
            </c:numRef>
          </c:val>
        </c:ser>
        <c:ser>
          <c:idx val="3"/>
          <c:order val="3"/>
          <c:tx>
            <c:strRef>
              <c:f>'bydło_trzoda 5'!$E$3</c:f>
              <c:strCache>
                <c:ptCount val="1"/>
                <c:pt idx="0">
                  <c:v>Pigs for slaughter on marketplaces</c:v>
                </c:pt>
              </c:strCache>
            </c:strRef>
          </c:tx>
          <c:spPr>
            <a:ln w="19050" cap="rnd">
              <a:solidFill>
                <a:srgbClr val="99CEB0"/>
              </a:solidFill>
              <a:round/>
            </a:ln>
            <a:effectLst/>
          </c:spPr>
          <c:marker>
            <c:symbol val="circle"/>
            <c:size val="4"/>
            <c:spPr>
              <a:solidFill>
                <a:schemeClr val="bg1"/>
              </a:solidFill>
              <a:ln w="15875">
                <a:solidFill>
                  <a:srgbClr val="99CEB0"/>
                </a:solidFill>
              </a:ln>
              <a:effectLst/>
            </c:spPr>
          </c:marker>
          <c:cat>
            <c:strRef>
              <c:f>'bydło_trzoda 5'!$A$4:$A$28</c:f>
              <c:strCache>
                <c:ptCount val="25"/>
                <c:pt idx="0">
                  <c:v>II 2018   </c:v>
                </c:pt>
                <c:pt idx="1">
                  <c:v>III  </c:v>
                </c:pt>
                <c:pt idx="2">
                  <c:v>IV </c:v>
                </c:pt>
                <c:pt idx="3">
                  <c:v>V </c:v>
                </c:pt>
                <c:pt idx="4">
                  <c:v>VI</c:v>
                </c:pt>
                <c:pt idx="5">
                  <c:v>VII </c:v>
                </c:pt>
                <c:pt idx="6">
                  <c:v>VIII </c:v>
                </c:pt>
                <c:pt idx="7">
                  <c:v>IX </c:v>
                </c:pt>
                <c:pt idx="8">
                  <c:v>X </c:v>
                </c:pt>
                <c:pt idx="9">
                  <c:v>XI </c:v>
                </c:pt>
                <c:pt idx="10">
                  <c:v>XII </c:v>
                </c:pt>
                <c:pt idx="11">
                  <c:v>I </c:v>
                </c:pt>
                <c:pt idx="12">
                  <c:v>II 2019</c:v>
                </c:pt>
                <c:pt idx="13">
                  <c:v>III </c:v>
                </c:pt>
                <c:pt idx="14">
                  <c:v>IV </c:v>
                </c:pt>
                <c:pt idx="15">
                  <c:v>V </c:v>
                </c:pt>
                <c:pt idx="16">
                  <c:v>VI</c:v>
                </c:pt>
                <c:pt idx="17">
                  <c:v>VII </c:v>
                </c:pt>
                <c:pt idx="18">
                  <c:v>VIIII </c:v>
                </c:pt>
                <c:pt idx="19">
                  <c:v>IX </c:v>
                </c:pt>
                <c:pt idx="20">
                  <c:v>X </c:v>
                </c:pt>
                <c:pt idx="21">
                  <c:v>XI </c:v>
                </c:pt>
                <c:pt idx="22">
                  <c:v>XII </c:v>
                </c:pt>
                <c:pt idx="23">
                  <c:v>I </c:v>
                </c:pt>
                <c:pt idx="24">
                  <c:v>II 2020</c:v>
                </c:pt>
              </c:strCache>
            </c:strRef>
          </c:cat>
          <c:val>
            <c:numRef>
              <c:f>'bydło_trzoda 5'!$E$4:$E$28</c:f>
              <c:numCache>
                <c:formatCode>0.00</c:formatCode>
                <c:ptCount val="25"/>
                <c:pt idx="0">
                  <c:v>4.74</c:v>
                </c:pt>
                <c:pt idx="1">
                  <c:v>4.9400000000000004</c:v>
                </c:pt>
                <c:pt idx="2">
                  <c:v>5.08</c:v>
                </c:pt>
                <c:pt idx="3">
                  <c:v>4.8899999999999997</c:v>
                </c:pt>
                <c:pt idx="4">
                  <c:v>5.09</c:v>
                </c:pt>
                <c:pt idx="5">
                  <c:v>5.1099999999999985</c:v>
                </c:pt>
                <c:pt idx="6">
                  <c:v>5.08</c:v>
                </c:pt>
                <c:pt idx="7">
                  <c:v>5.21</c:v>
                </c:pt>
                <c:pt idx="8">
                  <c:v>4.9700000000000024</c:v>
                </c:pt>
                <c:pt idx="9">
                  <c:v>4.84</c:v>
                </c:pt>
                <c:pt idx="10">
                  <c:v>4.68</c:v>
                </c:pt>
                <c:pt idx="11">
                  <c:v>4.87</c:v>
                </c:pt>
                <c:pt idx="12">
                  <c:v>5.1199999999999966</c:v>
                </c:pt>
                <c:pt idx="13">
                  <c:v>4.79</c:v>
                </c:pt>
                <c:pt idx="14">
                  <c:v>5.5</c:v>
                </c:pt>
                <c:pt idx="15">
                  <c:v>5.78</c:v>
                </c:pt>
                <c:pt idx="16">
                  <c:v>5.85</c:v>
                </c:pt>
                <c:pt idx="17">
                  <c:v>5.85</c:v>
                </c:pt>
                <c:pt idx="18">
                  <c:v>5.99</c:v>
                </c:pt>
                <c:pt idx="19">
                  <c:v>6.03</c:v>
                </c:pt>
                <c:pt idx="20">
                  <c:v>5.96</c:v>
                </c:pt>
                <c:pt idx="21">
                  <c:v>6.01</c:v>
                </c:pt>
                <c:pt idx="22">
                  <c:v>6.56</c:v>
                </c:pt>
                <c:pt idx="23">
                  <c:v>6.26</c:v>
                </c:pt>
                <c:pt idx="24">
                  <c:v>6.14</c:v>
                </c:pt>
              </c:numCache>
            </c:numRef>
          </c:val>
        </c:ser>
        <c:marker val="1"/>
        <c:axId val="149127552"/>
        <c:axId val="149129472"/>
      </c:lineChart>
      <c:catAx>
        <c:axId val="1491275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4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9129472"/>
        <c:crosses val="autoZero"/>
        <c:auto val="1"/>
        <c:lblAlgn val="ctr"/>
        <c:lblOffset val="100"/>
      </c:catAx>
      <c:valAx>
        <c:axId val="149129472"/>
        <c:scaling>
          <c:orientation val="minMax"/>
          <c:max val="8"/>
          <c:min val="0"/>
        </c:scaling>
        <c:axPos val="l"/>
        <c:majorGridlines>
          <c:spPr>
            <a:ln w="6350" cap="flat" cmpd="sng" algn="ctr">
              <a:solidFill>
                <a:schemeClr val="bg1">
                  <a:lumMod val="85000"/>
                </a:schemeClr>
              </a:solidFill>
              <a:prstDash val="sysDash"/>
              <a:round/>
            </a:ln>
            <a:effectLst/>
          </c:spPr>
        </c:majorGridlines>
        <c:title>
          <c:tx>
            <c:rich>
              <a:bodyPr rot="0" spcFirstLastPara="1" vertOverflow="ellipsis" wrap="square" anchor="ctr" anchorCtr="1"/>
              <a:lstStyle/>
              <a:p>
                <a:pPr>
                  <a:defRPr sz="750" b="0" i="0" u="none" strike="noStrike" kern="1200" baseline="0">
                    <a:solidFill>
                      <a:schemeClr val="tx1">
                        <a:lumMod val="65000"/>
                        <a:lumOff val="35000"/>
                      </a:schemeClr>
                    </a:solidFill>
                    <a:latin typeface="+mn-lt"/>
                    <a:ea typeface="+mn-ea"/>
                    <a:cs typeface="+mn-cs"/>
                  </a:defRPr>
                </a:pPr>
                <a:r>
                  <a:rPr lang="pl-PL" sz="750">
                    <a:solidFill>
                      <a:sysClr val="windowText" lastClr="000000"/>
                    </a:solidFill>
                    <a:latin typeface="Fira Sans" panose="020B0503050000020004" pitchFamily="34" charset="0"/>
                    <a:ea typeface="Fira Sans" panose="020B0503050000020004" pitchFamily="34" charset="0"/>
                  </a:rPr>
                  <a:t>PLN/kg</a:t>
                </a:r>
              </a:p>
            </c:rich>
          </c:tx>
          <c:layout>
            <c:manualLayout>
              <c:xMode val="edge"/>
              <c:yMode val="edge"/>
              <c:x val="1.4545675017982444E-3"/>
              <c:y val="1.2617035362089581E-2"/>
            </c:manualLayout>
          </c:layout>
          <c:spPr>
            <a:noFill/>
            <a:ln>
              <a:noFill/>
            </a:ln>
            <a:effectLst/>
          </c:spPr>
        </c:title>
        <c:numFmt formatCode="0" sourceLinked="0"/>
        <c:maj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149127552"/>
        <c:crosses val="autoZero"/>
        <c:crossBetween val="between"/>
        <c:majorUnit val="1"/>
      </c:valAx>
      <c:spPr>
        <a:noFill/>
        <a:ln>
          <a:noFill/>
        </a:ln>
        <a:effectLst/>
      </c:spPr>
    </c:plotArea>
    <c:legend>
      <c:legendPos val="b"/>
      <c:layout>
        <c:manualLayout>
          <c:xMode val="edge"/>
          <c:yMode val="edge"/>
          <c:x val="0.11384594754260006"/>
          <c:y val="0.86139975401868385"/>
          <c:w val="0.78235956559143049"/>
          <c:h val="0.13860024598132206"/>
        </c:manualLayout>
      </c:layout>
      <c:spPr>
        <a:noFill/>
        <a:ln>
          <a:noFill/>
        </a:ln>
        <a:effectLst/>
      </c:spPr>
      <c:txPr>
        <a:bodyPr rot="0" spcFirstLastPara="1" vertOverflow="ellipsis" vert="horz" wrap="square" anchor="ctr" anchorCtr="1"/>
        <a:lstStyle/>
        <a:p>
          <a:pPr>
            <a:defRPr sz="68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chart>
  <c:spPr>
    <a:solidFill>
      <a:schemeClr val="bg1"/>
    </a:solidFill>
    <a:ln w="9525" cap="flat" cmpd="sng" algn="ctr">
      <a:noFill/>
      <a:round/>
    </a:ln>
    <a:effectLst/>
  </c:spPr>
  <c:txPr>
    <a:bodyPr/>
    <a:lstStyle/>
    <a:p>
      <a:pPr>
        <a:defRPr/>
      </a:pPr>
      <a:endParaRPr lang="pl-PL"/>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l-PL"/>
  <c:chart>
    <c:autoTitleDeleted val="1"/>
    <c:plotArea>
      <c:layout>
        <c:manualLayout>
          <c:layoutTarget val="inner"/>
          <c:xMode val="edge"/>
          <c:yMode val="edge"/>
          <c:x val="4.0545352459571055E-2"/>
          <c:y val="6.3173692143903823E-2"/>
          <c:w val="0.90604818371150742"/>
          <c:h val="0.70664289508015865"/>
        </c:manualLayout>
      </c:layout>
      <c:lineChart>
        <c:grouping val="standard"/>
        <c:ser>
          <c:idx val="1"/>
          <c:order val="1"/>
          <c:tx>
            <c:strRef>
              <c:f>'relacje 6'!$B$3</c:f>
              <c:strCache>
                <c:ptCount val="1"/>
                <c:pt idx="0">
                  <c:v>Relations of procurement prices of pigs for slaughter to  marketplaces prices of rye</c:v>
                </c:pt>
              </c:strCache>
            </c:strRef>
          </c:tx>
          <c:spPr>
            <a:ln w="19050">
              <a:solidFill>
                <a:srgbClr val="001D77"/>
              </a:solidFill>
              <a:prstDash val="solid"/>
            </a:ln>
          </c:spPr>
          <c:marker>
            <c:symbol val="circle"/>
            <c:size val="4"/>
            <c:spPr>
              <a:solidFill>
                <a:schemeClr val="bg1"/>
              </a:solidFill>
              <a:ln w="15875">
                <a:solidFill>
                  <a:srgbClr val="001D77"/>
                </a:solidFill>
                <a:prstDash val="solid"/>
              </a:ln>
            </c:spPr>
          </c:marker>
          <c:cat>
            <c:strRef>
              <c:f>'relacje 6'!$A$4:$A$28</c:f>
              <c:strCache>
                <c:ptCount val="25"/>
                <c:pt idx="0">
                  <c:v>II 2018  </c:v>
                </c:pt>
                <c:pt idx="1">
                  <c:v>III  </c:v>
                </c:pt>
                <c:pt idx="2">
                  <c:v>IV </c:v>
                </c:pt>
                <c:pt idx="3">
                  <c:v>V </c:v>
                </c:pt>
                <c:pt idx="4">
                  <c:v>VI</c:v>
                </c:pt>
                <c:pt idx="5">
                  <c:v>VII </c:v>
                </c:pt>
                <c:pt idx="6">
                  <c:v>VIII</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'relacje 6'!$B$4:$B$28</c:f>
              <c:numCache>
                <c:formatCode>0.0</c:formatCode>
                <c:ptCount val="25"/>
                <c:pt idx="0">
                  <c:v>6.8</c:v>
                </c:pt>
                <c:pt idx="1">
                  <c:v>7.1</c:v>
                </c:pt>
                <c:pt idx="2">
                  <c:v>6.9</c:v>
                </c:pt>
                <c:pt idx="3">
                  <c:v>6.8</c:v>
                </c:pt>
                <c:pt idx="4">
                  <c:v>7.3</c:v>
                </c:pt>
                <c:pt idx="5">
                  <c:v>7.2</c:v>
                </c:pt>
                <c:pt idx="6">
                  <c:v>7.3</c:v>
                </c:pt>
                <c:pt idx="7">
                  <c:v>6.7</c:v>
                </c:pt>
                <c:pt idx="8">
                  <c:v>6.2</c:v>
                </c:pt>
                <c:pt idx="9">
                  <c:v>5.9</c:v>
                </c:pt>
                <c:pt idx="10" formatCode="General">
                  <c:v>5.9</c:v>
                </c:pt>
                <c:pt idx="11" formatCode="General">
                  <c:v>5.5</c:v>
                </c:pt>
                <c:pt idx="12" formatCode="General">
                  <c:v>5.6</c:v>
                </c:pt>
                <c:pt idx="13">
                  <c:v>6</c:v>
                </c:pt>
                <c:pt idx="14">
                  <c:v>7.5</c:v>
                </c:pt>
                <c:pt idx="15">
                  <c:v>7.7</c:v>
                </c:pt>
                <c:pt idx="16">
                  <c:v>7.5</c:v>
                </c:pt>
                <c:pt idx="17">
                  <c:v>7.5</c:v>
                </c:pt>
                <c:pt idx="18">
                  <c:v>8</c:v>
                </c:pt>
                <c:pt idx="19">
                  <c:v>8.2000000000000011</c:v>
                </c:pt>
                <c:pt idx="20">
                  <c:v>8.2000000000000011</c:v>
                </c:pt>
                <c:pt idx="21">
                  <c:v>8.6</c:v>
                </c:pt>
                <c:pt idx="22">
                  <c:v>8.9</c:v>
                </c:pt>
                <c:pt idx="23">
                  <c:v>8.6</c:v>
                </c:pt>
                <c:pt idx="24">
                  <c:v>9.1</c:v>
                </c:pt>
              </c:numCache>
            </c:numRef>
          </c:val>
        </c:ser>
        <c:ser>
          <c:idx val="4"/>
          <c:order val="2"/>
          <c:tx>
            <c:strRef>
              <c:f>'relacje 6'!$D$3</c:f>
              <c:strCache>
                <c:ptCount val="1"/>
                <c:pt idx="0">
                  <c:v>Relations of procurement prices of pigs for slaughter to marketplaces prices of barley</c:v>
                </c:pt>
              </c:strCache>
            </c:strRef>
          </c:tx>
          <c:spPr>
            <a:ln w="19050">
              <a:solidFill>
                <a:srgbClr val="008542"/>
              </a:solidFill>
              <a:prstDash val="solid"/>
            </a:ln>
          </c:spPr>
          <c:marker>
            <c:symbol val="circle"/>
            <c:size val="4"/>
            <c:spPr>
              <a:solidFill>
                <a:schemeClr val="bg1"/>
              </a:solidFill>
              <a:ln w="15875">
                <a:solidFill>
                  <a:srgbClr val="008542"/>
                </a:solidFill>
              </a:ln>
            </c:spPr>
          </c:marker>
          <c:cat>
            <c:strRef>
              <c:f>'relacje 6'!$A$4:$A$28</c:f>
              <c:strCache>
                <c:ptCount val="25"/>
                <c:pt idx="0">
                  <c:v>II 2018  </c:v>
                </c:pt>
                <c:pt idx="1">
                  <c:v>III  </c:v>
                </c:pt>
                <c:pt idx="2">
                  <c:v>IV </c:v>
                </c:pt>
                <c:pt idx="3">
                  <c:v>V </c:v>
                </c:pt>
                <c:pt idx="4">
                  <c:v>VI</c:v>
                </c:pt>
                <c:pt idx="5">
                  <c:v>VII </c:v>
                </c:pt>
                <c:pt idx="6">
                  <c:v>VIII</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'relacje 6'!$D$4:$D$28</c:f>
              <c:numCache>
                <c:formatCode>General</c:formatCode>
                <c:ptCount val="25"/>
                <c:pt idx="0">
                  <c:v>5.9</c:v>
                </c:pt>
                <c:pt idx="1">
                  <c:v>6.1</c:v>
                </c:pt>
                <c:pt idx="2">
                  <c:v>5.8</c:v>
                </c:pt>
                <c:pt idx="3">
                  <c:v>5.9</c:v>
                </c:pt>
                <c:pt idx="4">
                  <c:v>6.2</c:v>
                </c:pt>
                <c:pt idx="5">
                  <c:v>6.2</c:v>
                </c:pt>
                <c:pt idx="6">
                  <c:v>6.3</c:v>
                </c:pt>
                <c:pt idx="7">
                  <c:v>5.9</c:v>
                </c:pt>
                <c:pt idx="8">
                  <c:v>5.5</c:v>
                </c:pt>
                <c:pt idx="9">
                  <c:v>5.0999999999999996</c:v>
                </c:pt>
                <c:pt idx="10" formatCode="0.0">
                  <c:v>5</c:v>
                </c:pt>
                <c:pt idx="11" formatCode="0.0">
                  <c:v>4.7</c:v>
                </c:pt>
                <c:pt idx="12" formatCode="0.0">
                  <c:v>4.7</c:v>
                </c:pt>
                <c:pt idx="13" formatCode="0.0">
                  <c:v>5</c:v>
                </c:pt>
                <c:pt idx="14" formatCode="0.0">
                  <c:v>6.3</c:v>
                </c:pt>
                <c:pt idx="15" formatCode="0.0">
                  <c:v>6.5</c:v>
                </c:pt>
                <c:pt idx="16" formatCode="0.0">
                  <c:v>6.5</c:v>
                </c:pt>
                <c:pt idx="17" formatCode="0.0">
                  <c:v>6.5</c:v>
                </c:pt>
                <c:pt idx="18" formatCode="0.0">
                  <c:v>6.9</c:v>
                </c:pt>
                <c:pt idx="19" formatCode="0.0">
                  <c:v>7.2</c:v>
                </c:pt>
                <c:pt idx="20" formatCode="0.0">
                  <c:v>7.1</c:v>
                </c:pt>
                <c:pt idx="21" formatCode="0.0">
                  <c:v>7.1</c:v>
                </c:pt>
                <c:pt idx="22" formatCode="0.0">
                  <c:v>7.6</c:v>
                </c:pt>
                <c:pt idx="23" formatCode="0.0">
                  <c:v>7.3</c:v>
                </c:pt>
                <c:pt idx="24" formatCode="0.0">
                  <c:v>7.6</c:v>
                </c:pt>
              </c:numCache>
            </c:numRef>
          </c:val>
        </c:ser>
        <c:marker val="1"/>
        <c:axId val="149733760"/>
        <c:axId val="149735680"/>
      </c:lineChart>
      <c:lineChart>
        <c:grouping val="standard"/>
        <c:ser>
          <c:idx val="0"/>
          <c:order val="0"/>
          <c:tx>
            <c:strRef>
              <c:f>'relacje 6'!$C$3</c:f>
              <c:strCache>
                <c:ptCount val="1"/>
                <c:pt idx="0">
                  <c:v>Piglet marketplaces prices per pc (the right axis)</c:v>
                </c:pt>
              </c:strCache>
            </c:strRef>
          </c:tx>
          <c:spPr>
            <a:ln w="19050">
              <a:solidFill>
                <a:srgbClr val="6677AD"/>
              </a:solidFill>
              <a:prstDash val="solid"/>
            </a:ln>
          </c:spPr>
          <c:marker>
            <c:symbol val="circle"/>
            <c:size val="4"/>
            <c:spPr>
              <a:solidFill>
                <a:schemeClr val="bg1"/>
              </a:solidFill>
              <a:ln w="15875">
                <a:solidFill>
                  <a:srgbClr val="6677AD"/>
                </a:solidFill>
                <a:prstDash val="solid"/>
              </a:ln>
            </c:spPr>
          </c:marker>
          <c:cat>
            <c:strRef>
              <c:f>'relacje 6'!$A$4:$A$28</c:f>
              <c:strCache>
                <c:ptCount val="25"/>
                <c:pt idx="0">
                  <c:v>II 2018  </c:v>
                </c:pt>
                <c:pt idx="1">
                  <c:v>III  </c:v>
                </c:pt>
                <c:pt idx="2">
                  <c:v>IV </c:v>
                </c:pt>
                <c:pt idx="3">
                  <c:v>V </c:v>
                </c:pt>
                <c:pt idx="4">
                  <c:v>VI</c:v>
                </c:pt>
                <c:pt idx="5">
                  <c:v>VII </c:v>
                </c:pt>
                <c:pt idx="6">
                  <c:v>VIII</c:v>
                </c:pt>
                <c:pt idx="7">
                  <c:v>IX </c:v>
                </c:pt>
                <c:pt idx="8">
                  <c:v>X </c:v>
                </c:pt>
                <c:pt idx="9">
                  <c:v>XI </c:v>
                </c:pt>
                <c:pt idx="10">
                  <c:v>XII  </c:v>
                </c:pt>
                <c:pt idx="11">
                  <c:v>I </c:v>
                </c:pt>
                <c:pt idx="12">
                  <c:v>II 2019</c:v>
                </c:pt>
                <c:pt idx="13">
                  <c:v>III </c:v>
                </c:pt>
                <c:pt idx="14">
                  <c:v>IV </c:v>
                </c:pt>
                <c:pt idx="15">
                  <c:v>V </c:v>
                </c:pt>
                <c:pt idx="16">
                  <c:v>VI</c:v>
                </c:pt>
                <c:pt idx="17">
                  <c:v>VII </c:v>
                </c:pt>
                <c:pt idx="18">
                  <c:v>VIII </c:v>
                </c:pt>
                <c:pt idx="19">
                  <c:v>IX </c:v>
                </c:pt>
                <c:pt idx="20">
                  <c:v>X </c:v>
                </c:pt>
                <c:pt idx="21">
                  <c:v>XI </c:v>
                </c:pt>
                <c:pt idx="22">
                  <c:v>XII </c:v>
                </c:pt>
                <c:pt idx="23">
                  <c:v>I </c:v>
                </c:pt>
                <c:pt idx="24">
                  <c:v>II 2020</c:v>
                </c:pt>
              </c:strCache>
            </c:strRef>
          </c:cat>
          <c:val>
            <c:numRef>
              <c:f>'relacje 6'!$C$4:$C$28</c:f>
              <c:numCache>
                <c:formatCode>0.00</c:formatCode>
                <c:ptCount val="25"/>
                <c:pt idx="0">
                  <c:v>185.5</c:v>
                </c:pt>
                <c:pt idx="1">
                  <c:v>185.43</c:v>
                </c:pt>
                <c:pt idx="2">
                  <c:v>188.2</c:v>
                </c:pt>
                <c:pt idx="3">
                  <c:v>181.2</c:v>
                </c:pt>
                <c:pt idx="4">
                  <c:v>181.37</c:v>
                </c:pt>
                <c:pt idx="5">
                  <c:v>182.9</c:v>
                </c:pt>
                <c:pt idx="6">
                  <c:v>187.10999999999999</c:v>
                </c:pt>
                <c:pt idx="7">
                  <c:v>175.7</c:v>
                </c:pt>
                <c:pt idx="8">
                  <c:v>172</c:v>
                </c:pt>
                <c:pt idx="9">
                  <c:v>181.2</c:v>
                </c:pt>
                <c:pt idx="10">
                  <c:v>169.13</c:v>
                </c:pt>
                <c:pt idx="11">
                  <c:v>171.20999999999998</c:v>
                </c:pt>
                <c:pt idx="12">
                  <c:v>168.94</c:v>
                </c:pt>
                <c:pt idx="13">
                  <c:v>179.87</c:v>
                </c:pt>
                <c:pt idx="14">
                  <c:v>195.13</c:v>
                </c:pt>
                <c:pt idx="15">
                  <c:v>216.5</c:v>
                </c:pt>
                <c:pt idx="16">
                  <c:v>197.69</c:v>
                </c:pt>
                <c:pt idx="17">
                  <c:v>203.41</c:v>
                </c:pt>
                <c:pt idx="18">
                  <c:v>215</c:v>
                </c:pt>
                <c:pt idx="19">
                  <c:v>197.60999999999999</c:v>
                </c:pt>
                <c:pt idx="20">
                  <c:v>212.5</c:v>
                </c:pt>
                <c:pt idx="21">
                  <c:v>215.25</c:v>
                </c:pt>
                <c:pt idx="22">
                  <c:v>230.79</c:v>
                </c:pt>
                <c:pt idx="23">
                  <c:v>248.8200000000007</c:v>
                </c:pt>
                <c:pt idx="24">
                  <c:v>253.33</c:v>
                </c:pt>
              </c:numCache>
            </c:numRef>
          </c:val>
        </c:ser>
        <c:marker val="1"/>
        <c:axId val="149737472"/>
        <c:axId val="149739008"/>
      </c:lineChart>
      <c:catAx>
        <c:axId val="149733760"/>
        <c:scaling>
          <c:orientation val="minMax"/>
        </c:scaling>
        <c:axPos val="b"/>
        <c:numFmt formatCode="General" sourceLinked="1"/>
        <c:majorTickMark val="none"/>
        <c:tickLblPos val="nextTo"/>
        <c:spPr>
          <a:ln w="6350">
            <a:solidFill>
              <a:schemeClr val="bg1">
                <a:lumMod val="75000"/>
              </a:schemeClr>
            </a:solidFill>
            <a:prstDash val="sysDash"/>
          </a:ln>
        </c:spPr>
        <c:txPr>
          <a:bodyPr rot="0" vert="horz"/>
          <a:lstStyle/>
          <a:p>
            <a:pPr>
              <a:defRPr sz="630" baseline="0"/>
            </a:pPr>
            <a:endParaRPr lang="pl-PL"/>
          </a:p>
        </c:txPr>
        <c:crossAx val="149735680"/>
        <c:crosses val="autoZero"/>
        <c:lblAlgn val="ctr"/>
        <c:lblOffset val="100"/>
        <c:tickLblSkip val="1"/>
        <c:tickMarkSkip val="1"/>
      </c:catAx>
      <c:valAx>
        <c:axId val="149735680"/>
        <c:scaling>
          <c:orientation val="minMax"/>
          <c:max val="18"/>
        </c:scaling>
        <c:axPos val="l"/>
        <c:majorGridlines>
          <c:spPr>
            <a:ln w="3175">
              <a:solidFill>
                <a:schemeClr val="bg1">
                  <a:lumMod val="75000"/>
                </a:schemeClr>
              </a:solidFill>
              <a:prstDash val="sysDash"/>
            </a:ln>
          </c:spPr>
        </c:majorGridlines>
        <c:numFmt formatCode="0" sourceLinked="0"/>
        <c:tickLblPos val="nextTo"/>
        <c:spPr>
          <a:ln w="3175">
            <a:noFill/>
            <a:prstDash val="solid"/>
          </a:ln>
        </c:spPr>
        <c:txPr>
          <a:bodyPr rot="0" vert="horz"/>
          <a:lstStyle/>
          <a:p>
            <a:pPr>
              <a:defRPr/>
            </a:pPr>
            <a:endParaRPr lang="pl-PL"/>
          </a:p>
        </c:txPr>
        <c:crossAx val="149733760"/>
        <c:crosses val="autoZero"/>
        <c:crossBetween val="between"/>
      </c:valAx>
      <c:catAx>
        <c:axId val="149737472"/>
        <c:scaling>
          <c:orientation val="minMax"/>
        </c:scaling>
        <c:delete val="1"/>
        <c:axPos val="b"/>
        <c:numFmt formatCode="General" sourceLinked="1"/>
        <c:tickLblPos val="none"/>
        <c:crossAx val="149739008"/>
        <c:crosses val="autoZero"/>
        <c:lblAlgn val="ctr"/>
        <c:lblOffset val="100"/>
      </c:catAx>
      <c:valAx>
        <c:axId val="149739008"/>
        <c:scaling>
          <c:orientation val="minMax"/>
          <c:max val="260"/>
          <c:min val="130"/>
        </c:scaling>
        <c:axPos val="r"/>
        <c:title>
          <c:tx>
            <c:rich>
              <a:bodyPr rot="0" vert="horz"/>
              <a:lstStyle/>
              <a:p>
                <a:pPr>
                  <a:defRPr/>
                </a:pPr>
                <a:r>
                  <a:rPr lang="en-US"/>
                  <a:t>PLN</a:t>
                </a:r>
              </a:p>
            </c:rich>
          </c:tx>
          <c:layout>
            <c:manualLayout>
              <c:xMode val="edge"/>
              <c:yMode val="edge"/>
              <c:x val="0.93888301988772449"/>
              <c:y val="8.8543148973848945E-4"/>
            </c:manualLayout>
          </c:layout>
        </c:title>
        <c:numFmt formatCode="General" sourceLinked="0"/>
        <c:tickLblPos val="nextTo"/>
        <c:spPr>
          <a:ln w="3175">
            <a:noFill/>
            <a:prstDash val="solid"/>
          </a:ln>
        </c:spPr>
        <c:txPr>
          <a:bodyPr rot="0" vert="horz"/>
          <a:lstStyle/>
          <a:p>
            <a:pPr>
              <a:defRPr/>
            </a:pPr>
            <a:endParaRPr lang="pl-PL"/>
          </a:p>
        </c:txPr>
        <c:crossAx val="149737472"/>
        <c:crosses val="max"/>
        <c:crossBetween val="between"/>
        <c:majorUnit val="10"/>
      </c:valAx>
      <c:spPr>
        <a:solidFill>
          <a:srgbClr val="FFFFFF"/>
        </a:solidFill>
        <a:ln w="12700">
          <a:noFill/>
          <a:prstDash val="solid"/>
        </a:ln>
      </c:spPr>
    </c:plotArea>
    <c:legend>
      <c:legendPos val="r"/>
      <c:layout>
        <c:manualLayout>
          <c:xMode val="edge"/>
          <c:yMode val="edge"/>
          <c:x val="6.4789629473645124E-2"/>
          <c:y val="0.84683157968085865"/>
          <c:w val="0.83465233575311992"/>
          <c:h val="0.12500487084504508"/>
        </c:manualLayout>
      </c:layout>
      <c:spPr>
        <a:solidFill>
          <a:srgbClr val="FFFFFF"/>
        </a:solidFill>
        <a:ln w="25400">
          <a:noFill/>
        </a:ln>
      </c:spPr>
    </c:legend>
    <c:plotVisOnly val="1"/>
    <c:dispBlanksAs val="gap"/>
  </c:chart>
  <c:spPr>
    <a:ln w="12700">
      <a:noFill/>
      <a:prstDash val="solid"/>
    </a:ln>
  </c:spPr>
  <c:txPr>
    <a:bodyPr/>
    <a:lstStyle/>
    <a:p>
      <a:pPr>
        <a:defRPr sz="700" b="0" i="0" u="none" strike="noStrike" baseline="0">
          <a:solidFill>
            <a:srgbClr val="000000"/>
          </a:solidFill>
          <a:latin typeface="Fira Sans" pitchFamily="34" charset="0"/>
          <a:ea typeface="Arial CE"/>
          <a:cs typeface="Arial CE"/>
        </a:defRPr>
      </a:pPr>
      <a:endParaRPr lang="pl-PL"/>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0.94618</cdr:x>
      <cdr:y>0.88511</cdr:y>
    </cdr:from>
    <cdr:to>
      <cdr:x>1</cdr:x>
      <cdr:y>0.96553</cdr:y>
    </cdr:to>
    <cdr:sp macro="" textlink="">
      <cdr:nvSpPr>
        <cdr:cNvPr id="4112" name="Tekst 7"/>
        <cdr:cNvSpPr txBox="1">
          <a:spLocks xmlns:a="http://schemas.openxmlformats.org/drawingml/2006/main" noChangeArrowheads="1"/>
        </cdr:cNvSpPr>
      </cdr:nvSpPr>
      <cdr:spPr bwMode="auto">
        <a:xfrm xmlns:a="http://schemas.openxmlformats.org/drawingml/2006/main">
          <a:off x="4904009" y="2620733"/>
          <a:ext cx="278947" cy="238126"/>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pl-PL" sz="650" b="0" i="0" strike="noStrike">
            <a:solidFill>
              <a:srgbClr val="000000"/>
            </a:solidFill>
            <a:latin typeface="Fira Sans" panose="020B0503050000020004" pitchFamily="34" charset="0"/>
            <a:ea typeface="Fira Sans" panose="020B05030500000200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0.94618</cdr:x>
      <cdr:y>0.88511</cdr:y>
    </cdr:from>
    <cdr:to>
      <cdr:x>1</cdr:x>
      <cdr:y>0.96553</cdr:y>
    </cdr:to>
    <cdr:sp macro="" textlink="">
      <cdr:nvSpPr>
        <cdr:cNvPr id="4112" name="Tekst 7"/>
        <cdr:cNvSpPr txBox="1">
          <a:spLocks xmlns:a="http://schemas.openxmlformats.org/drawingml/2006/main" noChangeArrowheads="1"/>
        </cdr:cNvSpPr>
      </cdr:nvSpPr>
      <cdr:spPr bwMode="auto">
        <a:xfrm xmlns:a="http://schemas.openxmlformats.org/drawingml/2006/main">
          <a:off x="4904009" y="2620733"/>
          <a:ext cx="278947" cy="238126"/>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pl-PL" sz="650" b="0" i="0" strike="noStrike">
            <a:solidFill>
              <a:srgbClr val="000000"/>
            </a:solidFill>
            <a:latin typeface="Fira Sans" panose="020B0503050000020004" pitchFamily="34" charset="0"/>
            <a:ea typeface="Fira Sans" panose="020B05030500000200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0.13067</cdr:x>
      <cdr:y>0.75376</cdr:y>
    </cdr:from>
    <cdr:to>
      <cdr:x>0.23648</cdr:x>
      <cdr:y>0.77782</cdr:y>
    </cdr:to>
    <cdr:sp macro="" textlink="">
      <cdr:nvSpPr>
        <cdr:cNvPr id="61441" name="Tekst 1"/>
        <cdr:cNvSpPr txBox="1">
          <a:spLocks xmlns:a="http://schemas.openxmlformats.org/drawingml/2006/main" noChangeArrowheads="1"/>
        </cdr:cNvSpPr>
      </cdr:nvSpPr>
      <cdr:spPr bwMode="auto">
        <a:xfrm xmlns:a="http://schemas.openxmlformats.org/drawingml/2006/main">
          <a:off x="1023322" y="3934733"/>
          <a:ext cx="943051" cy="151886"/>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dr:relSizeAnchor xmlns:cdr="http://schemas.openxmlformats.org/drawingml/2006/chartDrawing">
    <cdr:from>
      <cdr:x>0.59716</cdr:x>
      <cdr:y>0.75376</cdr:y>
    </cdr:from>
    <cdr:to>
      <cdr:x>0.75043</cdr:x>
      <cdr:y>0.77782</cdr:y>
    </cdr:to>
    <cdr:sp macro="" textlink="">
      <cdr:nvSpPr>
        <cdr:cNvPr id="61444" name="Tekst 4"/>
        <cdr:cNvSpPr txBox="1">
          <a:spLocks xmlns:a="http://schemas.openxmlformats.org/drawingml/2006/main" noChangeArrowheads="1"/>
        </cdr:cNvSpPr>
      </cdr:nvSpPr>
      <cdr:spPr bwMode="auto">
        <a:xfrm xmlns:a="http://schemas.openxmlformats.org/drawingml/2006/main">
          <a:off x="5176536" y="3934733"/>
          <a:ext cx="1361951" cy="151886"/>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dr:relSizeAnchor xmlns:cdr="http://schemas.openxmlformats.org/drawingml/2006/chartDrawing">
    <cdr:from>
      <cdr:x>0.13067</cdr:x>
      <cdr:y>0.75376</cdr:y>
    </cdr:from>
    <cdr:to>
      <cdr:x>0.23648</cdr:x>
      <cdr:y>0.77782</cdr:y>
    </cdr:to>
    <cdr:sp macro="" textlink="">
      <cdr:nvSpPr>
        <cdr:cNvPr id="2" name="Tekst 1"/>
        <cdr:cNvSpPr txBox="1">
          <a:spLocks xmlns:a="http://schemas.openxmlformats.org/drawingml/2006/main" noChangeArrowheads="1"/>
        </cdr:cNvSpPr>
      </cdr:nvSpPr>
      <cdr:spPr bwMode="auto">
        <a:xfrm xmlns:a="http://schemas.openxmlformats.org/drawingml/2006/main">
          <a:off x="1023322" y="3934733"/>
          <a:ext cx="943051" cy="151886"/>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dr:relSizeAnchor xmlns:cdr="http://schemas.openxmlformats.org/drawingml/2006/chartDrawing">
    <cdr:from>
      <cdr:x>0.59716</cdr:x>
      <cdr:y>0.75376</cdr:y>
    </cdr:from>
    <cdr:to>
      <cdr:x>0.75043</cdr:x>
      <cdr:y>0.77782</cdr:y>
    </cdr:to>
    <cdr:sp macro="" textlink="">
      <cdr:nvSpPr>
        <cdr:cNvPr id="3" name="Tekst 4"/>
        <cdr:cNvSpPr txBox="1">
          <a:spLocks xmlns:a="http://schemas.openxmlformats.org/drawingml/2006/main" noChangeArrowheads="1"/>
        </cdr:cNvSpPr>
      </cdr:nvSpPr>
      <cdr:spPr bwMode="auto">
        <a:xfrm xmlns:a="http://schemas.openxmlformats.org/drawingml/2006/main">
          <a:off x="5176536" y="3934733"/>
          <a:ext cx="1361951" cy="151886"/>
        </a:xfrm>
        <a:prstGeom xmlns:a="http://schemas.openxmlformats.org/drawingml/2006/main" prst="rect">
          <a:avLst/>
        </a:prstGeom>
        <a:noFill xmlns:a="http://schemas.openxmlformats.org/drawingml/2006/main"/>
        <a:ln xmlns:a="http://schemas.openxmlformats.org/drawingml/2006/main" w="1">
          <a:noFill/>
          <a:miter lim="800000"/>
          <a:headEnd/>
          <a:tailEnd/>
        </a:ln>
      </cdr:spPr>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E523-B53D-4E9A-95F1-A429B167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775</Words>
  <Characters>4651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Kotowska Joanna</dc:creator>
  <cp:lastModifiedBy>KotowskaJ</cp:lastModifiedBy>
  <cp:revision>10</cp:revision>
  <cp:lastPrinted>2020-02-21T08:34:00Z</cp:lastPrinted>
  <dcterms:created xsi:type="dcterms:W3CDTF">2020-03-19T13:02:00Z</dcterms:created>
  <dcterms:modified xsi:type="dcterms:W3CDTF">2020-03-19T13:19:00Z</dcterms:modified>
</cp:coreProperties>
</file>