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A07DA" w:rsidRDefault="00FA07DA" w:rsidP="00685123">
      <w:pPr>
        <w:pStyle w:val="tytuinformacji"/>
        <w:rPr>
          <w:lang w:val="en-GB"/>
        </w:rPr>
      </w:pPr>
      <w:r w:rsidRPr="00893F24">
        <w:rPr>
          <w:lang w:val="en-GB"/>
        </w:rPr>
        <w:t>Consumer price indices in</w:t>
      </w:r>
      <w:r>
        <w:rPr>
          <w:lang w:val="en-GB"/>
        </w:rPr>
        <w:t xml:space="preserve"> November</w:t>
      </w:r>
      <w:r w:rsidR="00B37F5A" w:rsidRPr="00FA07DA">
        <w:rPr>
          <w:lang w:val="en-GB"/>
        </w:rPr>
        <w:t xml:space="preserve"> 2020</w:t>
      </w:r>
    </w:p>
    <w:p w:rsidR="00AD4947" w:rsidRPr="00FA07DA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97252A" w:rsidRDefault="009E3F12" w:rsidP="00B37F5A">
      <w:pPr>
        <w:pStyle w:val="LID"/>
        <w:spacing w:after="0"/>
        <w:rPr>
          <w:noProof w:val="0"/>
          <w:lang w:val="en-GB" w:eastAsia="en-GB"/>
        </w:rPr>
      </w:pPr>
      <w:r w:rsidRPr="000536E3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9CE77F6" wp14:editId="10DD034B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7DA" w:rsidRPr="0097252A" w:rsidRDefault="00FA07DA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0A53593" wp14:editId="2D05094B">
                                  <wp:extent cx="334645" cy="334645"/>
                                  <wp:effectExtent l="19050" t="0" r="8255" b="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7252A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97252A" w:rsidRPr="0097252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3.</w:t>
                            </w:r>
                            <w:r w:rsidRPr="0097252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0%</w:t>
                            </w:r>
                          </w:p>
                          <w:p w:rsidR="00FA07DA" w:rsidRPr="0097252A" w:rsidRDefault="0097252A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CC5F03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CC5F03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E77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FA07DA" w:rsidRPr="0097252A" w:rsidRDefault="00FA07DA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0A53593" wp14:editId="2D05094B">
                            <wp:extent cx="334645" cy="334645"/>
                            <wp:effectExtent l="19050" t="0" r="8255" b="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7252A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97252A" w:rsidRPr="0097252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3.</w:t>
                      </w:r>
                      <w:r w:rsidRPr="0097252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0%</w:t>
                      </w:r>
                    </w:p>
                    <w:p w:rsidR="00FA07DA" w:rsidRPr="0097252A" w:rsidRDefault="0097252A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CC5F03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CC5F03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52A" w:rsidRPr="0097252A">
        <w:rPr>
          <w:noProof w:val="0"/>
          <w:lang w:val="en-GB" w:eastAsia="en-GB"/>
        </w:rPr>
        <w:t>Consumer prices in November</w:t>
      </w:r>
      <w:r w:rsidR="00771DC8" w:rsidRPr="0097252A">
        <w:rPr>
          <w:noProof w:val="0"/>
          <w:lang w:val="en-GB" w:eastAsia="en-GB"/>
        </w:rPr>
        <w:t xml:space="preserve"> </w:t>
      </w:r>
      <w:r w:rsidR="00B37F5A" w:rsidRPr="0097252A">
        <w:rPr>
          <w:noProof w:val="0"/>
          <w:lang w:val="en-GB" w:eastAsia="en-GB"/>
        </w:rPr>
        <w:t>2020</w:t>
      </w:r>
      <w:r w:rsidR="0097252A">
        <w:rPr>
          <w:noProof w:val="0"/>
          <w:lang w:val="en-GB" w:eastAsia="en-GB"/>
        </w:rPr>
        <w:t>,</w:t>
      </w:r>
      <w:r w:rsidR="00B37F5A" w:rsidRPr="0097252A">
        <w:rPr>
          <w:noProof w:val="0"/>
          <w:lang w:val="en-GB" w:eastAsia="en-GB"/>
        </w:rPr>
        <w:t xml:space="preserve"> </w:t>
      </w:r>
      <w:r w:rsidR="0097252A">
        <w:rPr>
          <w:noProof w:val="0"/>
          <w:lang w:val="en-GB" w:eastAsia="en-GB"/>
        </w:rPr>
        <w:t xml:space="preserve">compared with </w:t>
      </w:r>
      <w:r w:rsidR="0097252A" w:rsidRPr="00893F24">
        <w:rPr>
          <w:noProof w:val="0"/>
          <w:lang w:val="en-GB" w:eastAsia="en-GB"/>
        </w:rPr>
        <w:t>the corresponding month of the previous year</w:t>
      </w:r>
      <w:r w:rsidR="0097252A">
        <w:rPr>
          <w:noProof w:val="0"/>
          <w:lang w:val="en-GB" w:eastAsia="en-GB"/>
        </w:rPr>
        <w:t>,</w:t>
      </w:r>
      <w:r w:rsidR="0097252A" w:rsidRPr="00893F24">
        <w:rPr>
          <w:noProof w:val="0"/>
          <w:lang w:val="en-GB" w:eastAsia="en-GB"/>
        </w:rPr>
        <w:t xml:space="preserve"> increased by</w:t>
      </w:r>
      <w:r w:rsidR="000C27D2" w:rsidRPr="0097252A">
        <w:rPr>
          <w:noProof w:val="0"/>
          <w:lang w:val="en-GB" w:eastAsia="en-GB"/>
        </w:rPr>
        <w:t xml:space="preserve"> 3,0</w:t>
      </w:r>
      <w:r w:rsidR="00B37F5A" w:rsidRPr="0097252A">
        <w:rPr>
          <w:noProof w:val="0"/>
          <w:lang w:val="en-GB" w:eastAsia="en-GB"/>
        </w:rPr>
        <w:t>% (</w:t>
      </w:r>
      <w:r w:rsidR="002836D6" w:rsidRPr="00893F24">
        <w:rPr>
          <w:noProof w:val="0"/>
          <w:lang w:val="en-GB"/>
        </w:rPr>
        <w:t>with an increase of prices of services</w:t>
      </w:r>
      <w:r w:rsidR="002836D6" w:rsidRPr="00893F24">
        <w:rPr>
          <w:noProof w:val="0"/>
          <w:lang w:val="en-GB" w:eastAsia="en-GB"/>
        </w:rPr>
        <w:t xml:space="preserve"> – by</w:t>
      </w:r>
      <w:r w:rsidR="002836D6" w:rsidRPr="00893F24">
        <w:rPr>
          <w:noProof w:val="0"/>
          <w:lang w:val="en-GB"/>
        </w:rPr>
        <w:t xml:space="preserve"> </w:t>
      </w:r>
      <w:r w:rsidR="00653DEA" w:rsidRPr="0097252A">
        <w:rPr>
          <w:noProof w:val="0"/>
          <w:lang w:val="en-GB" w:eastAsia="en-GB"/>
        </w:rPr>
        <w:t>7</w:t>
      </w:r>
      <w:r w:rsidR="00DC71A8" w:rsidRPr="0097252A">
        <w:rPr>
          <w:noProof w:val="0"/>
          <w:lang w:val="en-GB" w:eastAsia="en-GB"/>
        </w:rPr>
        <w:t>,</w:t>
      </w:r>
      <w:r w:rsidR="000C27D2" w:rsidRPr="0097252A">
        <w:rPr>
          <w:noProof w:val="0"/>
          <w:lang w:val="en-GB" w:eastAsia="en-GB"/>
        </w:rPr>
        <w:t>8</w:t>
      </w:r>
      <w:r w:rsidR="009826C9" w:rsidRPr="0097252A">
        <w:rPr>
          <w:noProof w:val="0"/>
          <w:lang w:val="en-GB" w:eastAsia="en-GB"/>
        </w:rPr>
        <w:t xml:space="preserve">% </w:t>
      </w:r>
      <w:r w:rsidR="002836D6">
        <w:rPr>
          <w:noProof w:val="0"/>
          <w:lang w:val="en-GB" w:eastAsia="en-GB"/>
        </w:rPr>
        <w:t>and goods – by</w:t>
      </w:r>
      <w:r w:rsidR="00DC71A8" w:rsidRPr="0097252A">
        <w:rPr>
          <w:noProof w:val="0"/>
          <w:lang w:val="en-GB" w:eastAsia="en-GB"/>
        </w:rPr>
        <w:t xml:space="preserve"> 1,</w:t>
      </w:r>
      <w:r w:rsidR="000C27D2" w:rsidRPr="0097252A">
        <w:rPr>
          <w:noProof w:val="0"/>
          <w:lang w:val="en-GB" w:eastAsia="en-GB"/>
        </w:rPr>
        <w:t>3</w:t>
      </w:r>
      <w:r w:rsidR="00B37F5A" w:rsidRPr="0097252A">
        <w:rPr>
          <w:noProof w:val="0"/>
          <w:lang w:val="en-GB" w:eastAsia="en-GB"/>
        </w:rPr>
        <w:t>%).</w:t>
      </w:r>
    </w:p>
    <w:p w:rsidR="00370D51" w:rsidRPr="002836D6" w:rsidRDefault="002836D6" w:rsidP="00653DEA">
      <w:pPr>
        <w:pStyle w:val="LID"/>
        <w:spacing w:before="0" w:after="0"/>
        <w:jc w:val="both"/>
        <w:rPr>
          <w:noProof w:val="0"/>
          <w:spacing w:val="-2"/>
          <w:lang w:val="en-GB" w:eastAsia="en-GB"/>
        </w:rPr>
      </w:pPr>
      <w:r w:rsidRPr="00102AFC">
        <w:rPr>
          <w:noProof w:val="0"/>
          <w:spacing w:val="-4"/>
          <w:lang w:val="en-GB" w:eastAsia="en-GB"/>
        </w:rPr>
        <w:t>As related to the previous month consumer prices increased by</w:t>
      </w:r>
      <w:r w:rsidR="0073156D" w:rsidRPr="002836D6">
        <w:rPr>
          <w:noProof w:val="0"/>
          <w:spacing w:val="-2"/>
          <w:lang w:val="en-GB" w:eastAsia="en-GB"/>
        </w:rPr>
        <w:t xml:space="preserve"> 0,1</w:t>
      </w:r>
      <w:r w:rsidR="00B37F5A" w:rsidRPr="002836D6">
        <w:rPr>
          <w:noProof w:val="0"/>
          <w:spacing w:val="-2"/>
          <w:lang w:val="en-GB" w:eastAsia="en-GB"/>
        </w:rPr>
        <w:t>% (</w:t>
      </w:r>
      <w:r w:rsidRPr="00102AFC">
        <w:rPr>
          <w:noProof w:val="0"/>
          <w:spacing w:val="-4"/>
          <w:lang w:val="en-GB"/>
        </w:rPr>
        <w:t xml:space="preserve">with an increase of prices of </w:t>
      </w:r>
      <w:r>
        <w:rPr>
          <w:noProof w:val="0"/>
          <w:spacing w:val="-4"/>
          <w:lang w:val="en-GB"/>
        </w:rPr>
        <w:t>services</w:t>
      </w:r>
      <w:r w:rsidR="0085006E" w:rsidRPr="002836D6">
        <w:rPr>
          <w:noProof w:val="0"/>
          <w:spacing w:val="-2"/>
          <w:lang w:val="en-GB" w:eastAsia="en-GB"/>
        </w:rPr>
        <w:t xml:space="preserve"> </w:t>
      </w:r>
      <w:r w:rsidR="00D34BD4" w:rsidRPr="002836D6">
        <w:rPr>
          <w:noProof w:val="0"/>
          <w:spacing w:val="-2"/>
          <w:lang w:val="en-GB" w:eastAsia="en-GB"/>
        </w:rPr>
        <w:t>–</w:t>
      </w:r>
      <w:r w:rsidR="000B3354" w:rsidRPr="002836D6">
        <w:rPr>
          <w:noProof w:val="0"/>
          <w:spacing w:val="-2"/>
          <w:lang w:val="en-GB" w:eastAsia="en-GB"/>
        </w:rPr>
        <w:t xml:space="preserve"> </w:t>
      </w:r>
      <w:r>
        <w:rPr>
          <w:noProof w:val="0"/>
          <w:spacing w:val="-2"/>
          <w:lang w:val="en-GB" w:eastAsia="en-GB"/>
        </w:rPr>
        <w:t>by</w:t>
      </w:r>
      <w:r w:rsidR="000C27D2" w:rsidRPr="002836D6">
        <w:rPr>
          <w:noProof w:val="0"/>
          <w:spacing w:val="-2"/>
          <w:lang w:val="en-GB" w:eastAsia="en-GB"/>
        </w:rPr>
        <w:t> 0,5</w:t>
      </w:r>
      <w:r w:rsidR="0085006E" w:rsidRPr="002836D6">
        <w:rPr>
          <w:noProof w:val="0"/>
          <w:spacing w:val="-2"/>
          <w:lang w:val="en-GB" w:eastAsia="en-GB"/>
        </w:rPr>
        <w:t>%</w:t>
      </w:r>
      <w:r w:rsidR="00DC71A8" w:rsidRPr="002836D6">
        <w:rPr>
          <w:noProof w:val="0"/>
          <w:spacing w:val="-2"/>
          <w:lang w:val="en-GB" w:eastAsia="en-GB"/>
        </w:rPr>
        <w:t xml:space="preserve"> </w:t>
      </w:r>
      <w:r>
        <w:rPr>
          <w:noProof w:val="0"/>
          <w:spacing w:val="-2"/>
          <w:lang w:val="en-GB" w:eastAsia="en-GB"/>
        </w:rPr>
        <w:t>and a decrease of prices of goods</w:t>
      </w:r>
      <w:r w:rsidR="0085006E" w:rsidRPr="002836D6">
        <w:rPr>
          <w:noProof w:val="0"/>
          <w:spacing w:val="-2"/>
          <w:lang w:val="en-GB" w:eastAsia="en-GB"/>
        </w:rPr>
        <w:t xml:space="preserve"> – </w:t>
      </w:r>
      <w:r>
        <w:rPr>
          <w:noProof w:val="0"/>
          <w:spacing w:val="-2"/>
          <w:lang w:val="en-GB" w:eastAsia="en-GB"/>
        </w:rPr>
        <w:t>by</w:t>
      </w:r>
      <w:r w:rsidR="00DC71A8" w:rsidRPr="002836D6">
        <w:rPr>
          <w:noProof w:val="0"/>
          <w:spacing w:val="-2"/>
          <w:lang w:val="en-GB" w:eastAsia="en-GB"/>
        </w:rPr>
        <w:t xml:space="preserve"> 0,</w:t>
      </w:r>
      <w:r w:rsidR="000C27D2" w:rsidRPr="002836D6">
        <w:rPr>
          <w:noProof w:val="0"/>
          <w:spacing w:val="-2"/>
          <w:lang w:val="en-GB" w:eastAsia="en-GB"/>
        </w:rPr>
        <w:t>1</w:t>
      </w:r>
      <w:r w:rsidR="00BC50F0" w:rsidRPr="002836D6">
        <w:rPr>
          <w:noProof w:val="0"/>
          <w:spacing w:val="-2"/>
          <w:lang w:val="en-GB" w:eastAsia="en-GB"/>
        </w:rPr>
        <w:t>%).</w:t>
      </w:r>
    </w:p>
    <w:p w:rsidR="00370D51" w:rsidRPr="002836D6" w:rsidRDefault="00370D51" w:rsidP="00370D51">
      <w:pPr>
        <w:pStyle w:val="LID"/>
        <w:spacing w:before="0" w:after="0"/>
        <w:rPr>
          <w:noProof w:val="0"/>
          <w:lang w:val="en-GB"/>
        </w:rPr>
      </w:pPr>
    </w:p>
    <w:p w:rsidR="00370D51" w:rsidRPr="002836D6" w:rsidRDefault="00370D51" w:rsidP="00370D51">
      <w:pPr>
        <w:pStyle w:val="LID"/>
        <w:spacing w:before="0" w:after="0"/>
        <w:rPr>
          <w:noProof w:val="0"/>
          <w:lang w:val="en-GB"/>
        </w:rPr>
      </w:pPr>
    </w:p>
    <w:p w:rsidR="009E3F12" w:rsidRPr="002836D6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2836D6" w:rsidRDefault="002836D6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893F24">
        <w:rPr>
          <w:lang w:val="en-GB"/>
        </w:rPr>
        <w:t>Table 1. Consumer price indices</w:t>
      </w:r>
      <w:r w:rsidRPr="00893F24">
        <w:rPr>
          <w:bCs/>
          <w:shd w:val="clear" w:color="auto" w:fill="FFFFFF"/>
          <w:lang w:val="en-GB"/>
        </w:rPr>
        <w:t xml:space="preserve"> </w:t>
      </w:r>
      <w:r>
        <w:rPr>
          <w:bCs/>
          <w:shd w:val="clear" w:color="auto" w:fill="FFFFFF"/>
          <w:lang w:val="en-GB"/>
        </w:rPr>
        <w:t xml:space="preserve">in November </w:t>
      </w:r>
      <w:r w:rsidR="00B37F5A" w:rsidRPr="002836D6">
        <w:rPr>
          <w:lang w:val="en-GB"/>
        </w:rPr>
        <w:t>2020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91"/>
        <w:gridCol w:w="997"/>
        <w:gridCol w:w="997"/>
        <w:gridCol w:w="1001"/>
        <w:gridCol w:w="1027"/>
        <w:gridCol w:w="1170"/>
      </w:tblGrid>
      <w:tr w:rsidR="00260F39" w:rsidRPr="000536E3" w:rsidTr="002836D6">
        <w:trPr>
          <w:cantSplit/>
          <w:trHeight w:val="367"/>
        </w:trPr>
        <w:tc>
          <w:tcPr>
            <w:tcW w:w="3091" w:type="dxa"/>
            <w:vMerge w:val="restart"/>
            <w:vAlign w:val="center"/>
          </w:tcPr>
          <w:p w:rsidR="00260F39" w:rsidRPr="000536E3" w:rsidRDefault="002836D6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995" w:type="dxa"/>
            <w:gridSpan w:val="3"/>
            <w:vAlign w:val="center"/>
          </w:tcPr>
          <w:p w:rsidR="00260F39" w:rsidRPr="000536E3" w:rsidRDefault="007164D0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536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</w:t>
            </w:r>
            <w:r w:rsidR="000C27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="00260F39" w:rsidRPr="000536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1027" w:type="dxa"/>
          </w:tcPr>
          <w:p w:rsidR="00260F39" w:rsidRPr="000536E3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536E3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</w:t>
            </w:r>
            <w:r w:rsidR="007164D0" w:rsidRPr="000536E3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X</w:t>
            </w:r>
            <w:r w:rsidR="000C27D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260F39" w:rsidRPr="000536E3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170" w:type="dxa"/>
            <w:vMerge w:val="restart"/>
            <w:vAlign w:val="center"/>
          </w:tcPr>
          <w:p w:rsidR="00260F39" w:rsidRPr="000536E3" w:rsidRDefault="002836D6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93F24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CONTRIBUTION OF CHANGES</w:t>
            </w:r>
          </w:p>
          <w:p w:rsidR="00260F39" w:rsidRPr="000536E3" w:rsidRDefault="007164D0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536E3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X</w:t>
            </w:r>
            <w:r w:rsidR="00260F39" w:rsidRPr="000536E3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2020=</w:t>
            </w:r>
            <w:r w:rsidR="00260F39" w:rsidRPr="000536E3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0536E3" w:rsidTr="002836D6">
        <w:trPr>
          <w:cantSplit/>
          <w:trHeight w:val="578"/>
        </w:trPr>
        <w:tc>
          <w:tcPr>
            <w:tcW w:w="3091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0536E3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0536E3" w:rsidRDefault="007164D0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536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</w:t>
            </w:r>
            <w:r w:rsidR="000C27D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="00260F39" w:rsidRPr="000536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2019=</w:t>
            </w:r>
            <w:r w:rsidR="00260F39" w:rsidRPr="000536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0536E3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536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 2019=</w:t>
            </w:r>
            <w:r w:rsidRPr="000536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01" w:type="dxa"/>
            <w:tcBorders>
              <w:bottom w:val="single" w:sz="12" w:space="0" w:color="212492"/>
            </w:tcBorders>
            <w:vAlign w:val="center"/>
          </w:tcPr>
          <w:p w:rsidR="00260F39" w:rsidRPr="000536E3" w:rsidRDefault="007164D0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536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</w:t>
            </w:r>
            <w:r w:rsidR="00260F39" w:rsidRPr="000536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2020=</w:t>
            </w:r>
            <w:r w:rsidR="00260F39" w:rsidRPr="000536E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7" w:type="dxa"/>
            <w:tcBorders>
              <w:bottom w:val="single" w:sz="12" w:space="0" w:color="212492"/>
            </w:tcBorders>
          </w:tcPr>
          <w:p w:rsidR="00260F39" w:rsidRPr="000536E3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536E3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</w:t>
            </w:r>
            <w:r w:rsidR="007164D0" w:rsidRPr="000536E3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X</w:t>
            </w:r>
            <w:r w:rsidR="000C27D2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260F39" w:rsidRPr="000536E3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2019=</w:t>
            </w:r>
            <w:r w:rsidR="00260F39" w:rsidRPr="000536E3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0536E3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C27D2" w:rsidRPr="000536E3" w:rsidTr="002836D6">
        <w:trPr>
          <w:cantSplit/>
          <w:trHeight w:val="57"/>
        </w:trPr>
        <w:tc>
          <w:tcPr>
            <w:tcW w:w="309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C27D2" w:rsidRPr="000536E3" w:rsidRDefault="002836D6" w:rsidP="000C27D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93F24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C27D2" w:rsidRPr="000C27D2" w:rsidRDefault="000C27D2" w:rsidP="000C27D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b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C27D2" w:rsidRPr="000C27D2" w:rsidRDefault="000C27D2" w:rsidP="000C27D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C27D2" w:rsidRPr="000C27D2" w:rsidRDefault="000C27D2" w:rsidP="000C27D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C27D2" w:rsidRPr="000C27D2" w:rsidRDefault="000C27D2" w:rsidP="000C27D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b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C27D2" w:rsidRPr="000536E3" w:rsidRDefault="000C27D2" w:rsidP="000C27D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536E3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2836D6" w:rsidRPr="000C27D2" w:rsidTr="002836D6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836D6" w:rsidRPr="00893F24" w:rsidRDefault="002836D6" w:rsidP="002836D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893F2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2836D6" w:rsidRPr="000C27D2" w:rsidTr="002836D6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836D6" w:rsidRPr="00893F24" w:rsidRDefault="002836D6" w:rsidP="002836D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893F2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836D6" w:rsidRPr="000C27D2" w:rsidTr="002836D6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836D6" w:rsidRPr="00893F24" w:rsidRDefault="002836D6" w:rsidP="002836D6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-0,06</w:t>
            </w:r>
          </w:p>
        </w:tc>
      </w:tr>
      <w:tr w:rsidR="002836D6" w:rsidRPr="000C27D2" w:rsidTr="002836D6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836D6" w:rsidRPr="00893F24" w:rsidRDefault="002836D6" w:rsidP="002836D6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107,4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107,3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107,3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2836D6" w:rsidRPr="000C27D2" w:rsidTr="002836D6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836D6" w:rsidRPr="00893F24" w:rsidRDefault="002836D6" w:rsidP="002836D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2836D6" w:rsidRPr="000C27D2" w:rsidTr="002836D6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836D6" w:rsidRPr="00893F24" w:rsidRDefault="002836D6" w:rsidP="002836D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2836D6" w:rsidRPr="000C27D2" w:rsidTr="002836D6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836D6" w:rsidRPr="00893F24" w:rsidRDefault="002836D6" w:rsidP="002836D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94,4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2836D6" w:rsidRPr="000C27D2" w:rsidTr="002836D6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836D6" w:rsidRPr="00893F24" w:rsidRDefault="002836D6" w:rsidP="002836D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2836D6" w:rsidRPr="000C27D2" w:rsidTr="002836D6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836D6" w:rsidRPr="00893F24" w:rsidRDefault="002836D6" w:rsidP="002836D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2836D6" w:rsidRPr="000C27D2" w:rsidTr="002836D6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836D6" w:rsidRPr="00893F24" w:rsidRDefault="002836D6" w:rsidP="002836D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2836D6" w:rsidRPr="000C27D2" w:rsidTr="002836D6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2836D6" w:rsidRPr="00893F24" w:rsidRDefault="002836D6" w:rsidP="002836D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105,8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105,9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0,06</w:t>
            </w:r>
          </w:p>
        </w:tc>
      </w:tr>
      <w:tr w:rsidR="002836D6" w:rsidRPr="000C27D2" w:rsidTr="002836D6">
        <w:trPr>
          <w:cantSplit/>
          <w:trHeight w:val="445"/>
        </w:trPr>
        <w:tc>
          <w:tcPr>
            <w:tcW w:w="3091" w:type="dxa"/>
            <w:tcBorders>
              <w:top w:val="single" w:sz="4" w:space="0" w:color="212492"/>
              <w:bottom w:val="nil"/>
            </w:tcBorders>
            <w:vAlign w:val="center"/>
          </w:tcPr>
          <w:p w:rsidR="002836D6" w:rsidRPr="00893F24" w:rsidRDefault="002836D6" w:rsidP="002836D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01" w:type="dxa"/>
            <w:tcBorders>
              <w:top w:val="single" w:sz="4" w:space="0" w:color="212492"/>
              <w:bottom w:val="nil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7" w:type="dxa"/>
            <w:tcBorders>
              <w:top w:val="single" w:sz="4" w:space="0" w:color="212492"/>
              <w:bottom w:val="nil"/>
            </w:tcBorders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2836D6" w:rsidRPr="000C27D2" w:rsidRDefault="002836D6" w:rsidP="00283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27D2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</w:tbl>
    <w:p w:rsidR="00A07F00" w:rsidRPr="0026646A" w:rsidRDefault="0026646A" w:rsidP="00E37F13">
      <w:pPr>
        <w:pStyle w:val="Nagwek1"/>
        <w:spacing w:before="480" w:line="240" w:lineRule="exact"/>
        <w:rPr>
          <w:lang w:val="en-GB"/>
        </w:rPr>
      </w:pPr>
      <w:r w:rsidRPr="0026646A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C23F3B" w:rsidRPr="006E168B" w:rsidRDefault="0026646A" w:rsidP="005809CC">
      <w:pPr>
        <w:spacing w:before="0" w:after="0"/>
        <w:jc w:val="both"/>
        <w:rPr>
          <w:lang w:val="en-GB"/>
        </w:rPr>
      </w:pPr>
      <w:r w:rsidRPr="001040E6">
        <w:rPr>
          <w:lang w:val="en-GB"/>
        </w:rPr>
        <w:t>In November</w:t>
      </w:r>
      <w:r w:rsidR="005809CC" w:rsidRPr="001040E6">
        <w:rPr>
          <w:lang w:val="en-GB"/>
        </w:rPr>
        <w:t xml:space="preserve"> </w:t>
      </w:r>
      <w:r w:rsidR="001040E6" w:rsidRPr="00893F24">
        <w:rPr>
          <w:lang w:val="en-GB"/>
        </w:rPr>
        <w:t>of the current year, compared with the previous month, the highest contribution to the total consumer price i</w:t>
      </w:r>
      <w:r w:rsidR="001040E6">
        <w:rPr>
          <w:lang w:val="en-GB"/>
        </w:rPr>
        <w:t xml:space="preserve">ndex came from higher prices related to </w:t>
      </w:r>
      <w:r w:rsidR="00D66AFE">
        <w:rPr>
          <w:lang w:val="en-GB"/>
        </w:rPr>
        <w:t>Restaurants</w:t>
      </w:r>
      <w:r w:rsidR="001040E6">
        <w:rPr>
          <w:lang w:val="en-GB"/>
        </w:rPr>
        <w:t xml:space="preserve"> and hotels </w:t>
      </w:r>
      <w:r w:rsidR="00C662A5" w:rsidRPr="001040E6">
        <w:rPr>
          <w:lang w:val="en-GB"/>
        </w:rPr>
        <w:t>(</w:t>
      </w:r>
      <w:r w:rsidR="001040E6">
        <w:rPr>
          <w:lang w:val="en-GB"/>
        </w:rPr>
        <w:t>by</w:t>
      </w:r>
      <w:r w:rsidR="009826C9" w:rsidRPr="001040E6">
        <w:rPr>
          <w:lang w:val="en-GB"/>
        </w:rPr>
        <w:t> </w:t>
      </w:r>
      <w:r w:rsidR="00DD2587" w:rsidRPr="001040E6">
        <w:rPr>
          <w:lang w:val="en-GB"/>
        </w:rPr>
        <w:t>1</w:t>
      </w:r>
      <w:r w:rsidR="005809CC" w:rsidRPr="001040E6">
        <w:rPr>
          <w:lang w:val="en-GB"/>
        </w:rPr>
        <w:t>,0</w:t>
      </w:r>
      <w:r w:rsidR="0022312E" w:rsidRPr="001040E6">
        <w:rPr>
          <w:lang w:val="en-GB"/>
        </w:rPr>
        <w:t>%)</w:t>
      </w:r>
      <w:r w:rsidR="00DD2587" w:rsidRPr="001040E6">
        <w:rPr>
          <w:lang w:val="en-GB"/>
        </w:rPr>
        <w:t>,</w:t>
      </w:r>
      <w:r w:rsidR="001040E6">
        <w:rPr>
          <w:lang w:val="en-GB"/>
        </w:rPr>
        <w:t xml:space="preserve"> Dwelling (by</w:t>
      </w:r>
      <w:r w:rsidR="00A76D9E" w:rsidRPr="001040E6">
        <w:rPr>
          <w:lang w:val="en-GB"/>
        </w:rPr>
        <w:t xml:space="preserve"> </w:t>
      </w:r>
      <w:r w:rsidR="00DD2587" w:rsidRPr="001040E6">
        <w:rPr>
          <w:lang w:val="en-GB"/>
        </w:rPr>
        <w:t>0,2</w:t>
      </w:r>
      <w:r w:rsidR="000805C9" w:rsidRPr="001040E6">
        <w:rPr>
          <w:lang w:val="en-GB"/>
        </w:rPr>
        <w:t>%)</w:t>
      </w:r>
      <w:r w:rsidR="00DD2587" w:rsidRPr="001040E6">
        <w:rPr>
          <w:lang w:val="en-GB"/>
        </w:rPr>
        <w:t xml:space="preserve"> </w:t>
      </w:r>
      <w:r w:rsidR="001040E6">
        <w:rPr>
          <w:lang w:val="en-GB"/>
        </w:rPr>
        <w:t>and Communication (by</w:t>
      </w:r>
      <w:r w:rsidR="00DD2587" w:rsidRPr="001040E6">
        <w:rPr>
          <w:lang w:val="en-GB"/>
        </w:rPr>
        <w:t xml:space="preserve"> </w:t>
      </w:r>
      <w:r w:rsidR="00BF34A4" w:rsidRPr="001040E6">
        <w:rPr>
          <w:lang w:val="en-GB"/>
        </w:rPr>
        <w:t>1,0</w:t>
      </w:r>
      <w:r w:rsidR="00DD2587" w:rsidRPr="001040E6">
        <w:rPr>
          <w:lang w:val="en-GB"/>
        </w:rPr>
        <w:t>%)</w:t>
      </w:r>
      <w:r w:rsidR="00A07F00" w:rsidRPr="001040E6">
        <w:rPr>
          <w:lang w:val="en-GB"/>
        </w:rPr>
        <w:t xml:space="preserve">, </w:t>
      </w:r>
      <w:r w:rsidR="001040E6" w:rsidRPr="00893F24">
        <w:rPr>
          <w:lang w:val="en-GB"/>
        </w:rPr>
        <w:t>which increased the index by</w:t>
      </w:r>
      <w:r w:rsidR="002133F1" w:rsidRPr="001040E6">
        <w:rPr>
          <w:lang w:val="en-GB"/>
        </w:rPr>
        <w:t xml:space="preserve"> </w:t>
      </w:r>
      <w:r w:rsidR="00DD2587" w:rsidRPr="001040E6">
        <w:rPr>
          <w:lang w:val="en-GB"/>
        </w:rPr>
        <w:t>0,06</w:t>
      </w:r>
      <w:r w:rsidR="00A07F00" w:rsidRPr="001040E6">
        <w:rPr>
          <w:lang w:val="en-GB"/>
        </w:rPr>
        <w:t xml:space="preserve"> p</w:t>
      </w:r>
      <w:r w:rsidR="006E168B">
        <w:rPr>
          <w:lang w:val="en-GB"/>
        </w:rPr>
        <w:t xml:space="preserve">p and </w:t>
      </w:r>
      <w:r w:rsidR="00DD2587" w:rsidRPr="001040E6">
        <w:rPr>
          <w:lang w:val="en-GB"/>
        </w:rPr>
        <w:t>0,04</w:t>
      </w:r>
      <w:r w:rsidR="000805C9" w:rsidRPr="001040E6">
        <w:rPr>
          <w:lang w:val="en-GB"/>
        </w:rPr>
        <w:t xml:space="preserve"> p</w:t>
      </w:r>
      <w:r w:rsidR="006E168B">
        <w:rPr>
          <w:lang w:val="en-GB"/>
        </w:rPr>
        <w:t>p each, respectively</w:t>
      </w:r>
      <w:r w:rsidR="00A07F00" w:rsidRPr="001040E6">
        <w:rPr>
          <w:lang w:val="en-GB"/>
        </w:rPr>
        <w:t>.</w:t>
      </w:r>
      <w:r w:rsidR="00ED63E8" w:rsidRPr="001040E6">
        <w:rPr>
          <w:lang w:val="en-GB"/>
        </w:rPr>
        <w:t xml:space="preserve"> </w:t>
      </w:r>
      <w:r w:rsidR="006E168B" w:rsidRPr="006E168B">
        <w:rPr>
          <w:lang w:val="en-GB"/>
        </w:rPr>
        <w:t>Lower prices related to Clothing and footwear (by </w:t>
      </w:r>
      <w:r w:rsidR="00B67DFB" w:rsidRPr="006E168B">
        <w:rPr>
          <w:lang w:val="en-GB"/>
        </w:rPr>
        <w:t xml:space="preserve">1,2%), </w:t>
      </w:r>
      <w:r w:rsidR="006E168B" w:rsidRPr="006E168B">
        <w:rPr>
          <w:lang w:val="en-GB"/>
        </w:rPr>
        <w:t>Food (by</w:t>
      </w:r>
      <w:r w:rsidR="00B67DFB" w:rsidRPr="006E168B">
        <w:rPr>
          <w:lang w:val="en-GB"/>
        </w:rPr>
        <w:t xml:space="preserve"> 0,1%) </w:t>
      </w:r>
      <w:r w:rsidR="006E168B" w:rsidRPr="006E168B">
        <w:rPr>
          <w:lang w:val="en-GB"/>
        </w:rPr>
        <w:t>and Transport</w:t>
      </w:r>
      <w:r w:rsidR="006E168B">
        <w:rPr>
          <w:lang w:val="en-GB"/>
        </w:rPr>
        <w:t xml:space="preserve"> (by</w:t>
      </w:r>
      <w:r w:rsidR="005809CC" w:rsidRPr="006E168B">
        <w:rPr>
          <w:lang w:val="en-GB"/>
        </w:rPr>
        <w:t xml:space="preserve"> 0</w:t>
      </w:r>
      <w:r w:rsidR="00D23F61" w:rsidRPr="006E168B">
        <w:rPr>
          <w:lang w:val="en-GB"/>
        </w:rPr>
        <w:t>,</w:t>
      </w:r>
      <w:r w:rsidR="00DD2587" w:rsidRPr="006E168B">
        <w:rPr>
          <w:lang w:val="en-GB"/>
        </w:rPr>
        <w:t>2</w:t>
      </w:r>
      <w:r w:rsidR="00ED63E8" w:rsidRPr="006E168B">
        <w:rPr>
          <w:lang w:val="en-GB"/>
        </w:rPr>
        <w:t>%)</w:t>
      </w:r>
      <w:r w:rsidR="00DD2587" w:rsidRPr="006E168B">
        <w:rPr>
          <w:lang w:val="en-GB"/>
        </w:rPr>
        <w:t xml:space="preserve"> </w:t>
      </w:r>
      <w:r w:rsidR="006E168B" w:rsidRPr="00893F24">
        <w:rPr>
          <w:lang w:val="en-GB"/>
        </w:rPr>
        <w:t xml:space="preserve">decreased the index by </w:t>
      </w:r>
      <w:r w:rsidR="009826C9" w:rsidRPr="006E168B">
        <w:rPr>
          <w:lang w:val="en-GB"/>
        </w:rPr>
        <w:t>0,06 p</w:t>
      </w:r>
      <w:r w:rsidR="006E168B">
        <w:rPr>
          <w:lang w:val="en-GB"/>
        </w:rPr>
        <w:t xml:space="preserve">p and </w:t>
      </w:r>
      <w:r w:rsidR="00DD2587" w:rsidRPr="006E168B">
        <w:rPr>
          <w:lang w:val="en-GB"/>
        </w:rPr>
        <w:t>0,02</w:t>
      </w:r>
      <w:r w:rsidR="001918EB" w:rsidRPr="006E168B">
        <w:rPr>
          <w:lang w:val="en-GB"/>
        </w:rPr>
        <w:t xml:space="preserve"> p</w:t>
      </w:r>
      <w:r w:rsidR="006E168B">
        <w:rPr>
          <w:lang w:val="en-GB"/>
        </w:rPr>
        <w:t>p each, respectively</w:t>
      </w:r>
      <w:r w:rsidR="001918EB" w:rsidRPr="006E168B">
        <w:rPr>
          <w:lang w:val="en-GB"/>
        </w:rPr>
        <w:t>.</w:t>
      </w:r>
    </w:p>
    <w:p w:rsidR="00A55B73" w:rsidRPr="00527717" w:rsidRDefault="006E168B" w:rsidP="00934246">
      <w:pPr>
        <w:spacing w:before="0" w:after="0"/>
        <w:rPr>
          <w:lang w:val="en-GB"/>
        </w:rPr>
      </w:pPr>
      <w:r w:rsidRPr="00B67016">
        <w:rPr>
          <w:color w:val="000000" w:themeColor="text1"/>
          <w:spacing w:val="-2"/>
          <w:lang w:val="en-GB"/>
        </w:rPr>
        <w:t xml:space="preserve">Compared with the corresponding month of the previous year, higher prices related </w:t>
      </w:r>
      <w:r>
        <w:rPr>
          <w:color w:val="000000" w:themeColor="text1"/>
          <w:spacing w:val="-2"/>
          <w:lang w:val="en-GB"/>
        </w:rPr>
        <w:t xml:space="preserve">to </w:t>
      </w:r>
      <w:r w:rsidRPr="00B67016">
        <w:rPr>
          <w:color w:val="000000" w:themeColor="text1"/>
          <w:spacing w:val="-2"/>
          <w:lang w:val="en-GB"/>
        </w:rPr>
        <w:t>Dwelling</w:t>
      </w:r>
      <w:r w:rsidR="001918EB" w:rsidRPr="006E168B">
        <w:rPr>
          <w:lang w:val="en-GB"/>
        </w:rPr>
        <w:t xml:space="preserve"> (</w:t>
      </w:r>
      <w:r>
        <w:rPr>
          <w:lang w:val="en-GB"/>
        </w:rPr>
        <w:t>by</w:t>
      </w:r>
      <w:r w:rsidR="00DD2587" w:rsidRPr="006E168B">
        <w:rPr>
          <w:lang w:val="en-GB"/>
        </w:rPr>
        <w:t xml:space="preserve"> 6,1</w:t>
      </w:r>
      <w:r w:rsidR="004A56F4" w:rsidRPr="006E168B">
        <w:rPr>
          <w:lang w:val="en-GB"/>
        </w:rPr>
        <w:t xml:space="preserve">%), </w:t>
      </w:r>
      <w:r>
        <w:rPr>
          <w:lang w:val="en-GB"/>
        </w:rPr>
        <w:t>Food (by</w:t>
      </w:r>
      <w:r w:rsidR="00A07F00" w:rsidRPr="006E168B">
        <w:rPr>
          <w:lang w:val="en-GB"/>
        </w:rPr>
        <w:t> </w:t>
      </w:r>
      <w:r w:rsidR="00DD2587" w:rsidRPr="006E168B">
        <w:rPr>
          <w:lang w:val="en-GB"/>
        </w:rPr>
        <w:t>2,0</w:t>
      </w:r>
      <w:r w:rsidR="00674A8B" w:rsidRPr="006E168B">
        <w:rPr>
          <w:lang w:val="en-GB"/>
        </w:rPr>
        <w:t xml:space="preserve">%) </w:t>
      </w:r>
      <w:r>
        <w:rPr>
          <w:lang w:val="en-GB"/>
        </w:rPr>
        <w:t xml:space="preserve">and </w:t>
      </w:r>
      <w:r w:rsidR="00D66AFE">
        <w:rPr>
          <w:lang w:val="en-GB"/>
        </w:rPr>
        <w:t>Restaurants</w:t>
      </w:r>
      <w:r>
        <w:rPr>
          <w:lang w:val="en-GB"/>
        </w:rPr>
        <w:t xml:space="preserve"> and hotels (by</w:t>
      </w:r>
      <w:r w:rsidR="00DD2587" w:rsidRPr="006E168B">
        <w:rPr>
          <w:lang w:val="en-GB"/>
        </w:rPr>
        <w:t xml:space="preserve"> 5,8</w:t>
      </w:r>
      <w:r w:rsidR="003A0271" w:rsidRPr="006E168B">
        <w:rPr>
          <w:lang w:val="en-GB"/>
        </w:rPr>
        <w:t xml:space="preserve">%) </w:t>
      </w:r>
      <w:r>
        <w:rPr>
          <w:spacing w:val="-2"/>
          <w:lang w:val="en-GB"/>
        </w:rPr>
        <w:t>increased the index by</w:t>
      </w:r>
      <w:r w:rsidR="00D66AFE">
        <w:rPr>
          <w:lang w:val="en-GB"/>
        </w:rPr>
        <w:t> </w:t>
      </w:r>
      <w:r w:rsidR="00DD2587" w:rsidRPr="006E168B">
        <w:rPr>
          <w:lang w:val="en-GB"/>
        </w:rPr>
        <w:t>1,48</w:t>
      </w:r>
      <w:r w:rsidR="00D66AFE">
        <w:rPr>
          <w:lang w:val="en-GB"/>
        </w:rPr>
        <w:t> </w:t>
      </w:r>
      <w:r w:rsidR="00A07F00" w:rsidRPr="006E168B">
        <w:rPr>
          <w:lang w:val="en-GB"/>
        </w:rPr>
        <w:t>p</w:t>
      </w:r>
      <w:r w:rsidR="00527717">
        <w:rPr>
          <w:lang w:val="en-GB"/>
        </w:rPr>
        <w:t>p</w:t>
      </w:r>
      <w:r w:rsidR="0082618C" w:rsidRPr="006E168B">
        <w:rPr>
          <w:lang w:val="en-GB"/>
        </w:rPr>
        <w:t>, 0,</w:t>
      </w:r>
      <w:r w:rsidR="00DD2587" w:rsidRPr="006E168B">
        <w:rPr>
          <w:lang w:val="en-GB"/>
        </w:rPr>
        <w:t>47</w:t>
      </w:r>
      <w:r w:rsidR="00B76CF1" w:rsidRPr="006E168B">
        <w:rPr>
          <w:lang w:val="en-GB"/>
        </w:rPr>
        <w:t xml:space="preserve"> </w:t>
      </w:r>
      <w:r w:rsidR="00896DFA" w:rsidRPr="006E168B">
        <w:rPr>
          <w:lang w:val="en-GB"/>
        </w:rPr>
        <w:t>p</w:t>
      </w:r>
      <w:r w:rsidR="00527717">
        <w:rPr>
          <w:lang w:val="en-GB"/>
        </w:rPr>
        <w:t xml:space="preserve">p and </w:t>
      </w:r>
      <w:r w:rsidR="00896DFA" w:rsidRPr="006E168B">
        <w:rPr>
          <w:lang w:val="en-GB"/>
        </w:rPr>
        <w:t>0,36</w:t>
      </w:r>
      <w:r w:rsidR="007E57DA" w:rsidRPr="006E168B">
        <w:rPr>
          <w:lang w:val="en-GB"/>
        </w:rPr>
        <w:t xml:space="preserve"> </w:t>
      </w:r>
      <w:r w:rsidR="003A0271" w:rsidRPr="006E168B">
        <w:rPr>
          <w:lang w:val="en-GB"/>
        </w:rPr>
        <w:t>p</w:t>
      </w:r>
      <w:r w:rsidR="00527717">
        <w:rPr>
          <w:lang w:val="en-GB"/>
        </w:rPr>
        <w:t>p, respectively</w:t>
      </w:r>
      <w:r w:rsidR="003A0271" w:rsidRPr="006E168B">
        <w:rPr>
          <w:lang w:val="en-GB"/>
        </w:rPr>
        <w:t>.</w:t>
      </w:r>
      <w:r w:rsidR="00A07F00" w:rsidRPr="006E168B">
        <w:rPr>
          <w:lang w:val="en-GB"/>
        </w:rPr>
        <w:t xml:space="preserve"> </w:t>
      </w:r>
      <w:r w:rsidR="00527717" w:rsidRPr="00527717">
        <w:rPr>
          <w:spacing w:val="-2"/>
          <w:lang w:val="en-GB"/>
        </w:rPr>
        <w:t xml:space="preserve">Lower prices related to Transport </w:t>
      </w:r>
      <w:r w:rsidR="00527717" w:rsidRPr="00527717">
        <w:rPr>
          <w:lang w:val="en-GB"/>
        </w:rPr>
        <w:t>(by</w:t>
      </w:r>
      <w:r w:rsidR="002802BB" w:rsidRPr="00527717">
        <w:rPr>
          <w:lang w:val="en-GB"/>
        </w:rPr>
        <w:t xml:space="preserve"> </w:t>
      </w:r>
      <w:r w:rsidR="00C64A6B" w:rsidRPr="00527717">
        <w:rPr>
          <w:lang w:val="en-GB"/>
        </w:rPr>
        <w:t>4</w:t>
      </w:r>
      <w:r w:rsidR="007E57DA" w:rsidRPr="00527717">
        <w:rPr>
          <w:lang w:val="en-GB"/>
        </w:rPr>
        <w:t>,</w:t>
      </w:r>
      <w:r w:rsidR="00DD2587" w:rsidRPr="00527717">
        <w:rPr>
          <w:lang w:val="en-GB"/>
        </w:rPr>
        <w:t>4</w:t>
      </w:r>
      <w:r w:rsidR="00674A8B" w:rsidRPr="00527717">
        <w:rPr>
          <w:lang w:val="en-GB"/>
        </w:rPr>
        <w:t xml:space="preserve">%) </w:t>
      </w:r>
      <w:r w:rsidR="00D66AFE">
        <w:rPr>
          <w:lang w:val="en-GB"/>
        </w:rPr>
        <w:t>and </w:t>
      </w:r>
      <w:r w:rsidR="00527717" w:rsidRPr="00527717">
        <w:rPr>
          <w:lang w:val="en-GB"/>
        </w:rPr>
        <w:t>Clothing and footwear</w:t>
      </w:r>
      <w:r w:rsidR="00854143" w:rsidRPr="00527717">
        <w:rPr>
          <w:lang w:val="en-GB"/>
        </w:rPr>
        <w:t xml:space="preserve"> </w:t>
      </w:r>
      <w:r w:rsidR="00527717" w:rsidRPr="00527717">
        <w:rPr>
          <w:lang w:val="en-GB"/>
        </w:rPr>
        <w:t>(by</w:t>
      </w:r>
      <w:r w:rsidR="00A07F00" w:rsidRPr="00527717">
        <w:rPr>
          <w:lang w:val="en-GB"/>
        </w:rPr>
        <w:t xml:space="preserve"> </w:t>
      </w:r>
      <w:r w:rsidR="00DD2587" w:rsidRPr="00527717">
        <w:rPr>
          <w:lang w:val="en-GB"/>
        </w:rPr>
        <w:t>3</w:t>
      </w:r>
      <w:r w:rsidR="00C64A6B" w:rsidRPr="00527717">
        <w:rPr>
          <w:lang w:val="en-GB"/>
        </w:rPr>
        <w:t>,</w:t>
      </w:r>
      <w:r w:rsidR="00CF4474" w:rsidRPr="00527717">
        <w:rPr>
          <w:lang w:val="en-GB"/>
        </w:rPr>
        <w:t>4</w:t>
      </w:r>
      <w:r w:rsidR="00A07F00" w:rsidRPr="00527717">
        <w:rPr>
          <w:lang w:val="en-GB"/>
        </w:rPr>
        <w:t xml:space="preserve">%) </w:t>
      </w:r>
      <w:r w:rsidR="00527717" w:rsidRPr="00B67016">
        <w:rPr>
          <w:spacing w:val="-2"/>
          <w:lang w:val="en-GB"/>
        </w:rPr>
        <w:t xml:space="preserve">decreased the index by </w:t>
      </w:r>
      <w:r w:rsidR="00DD2587" w:rsidRPr="00527717">
        <w:rPr>
          <w:lang w:val="en-GB"/>
        </w:rPr>
        <w:t>0,42</w:t>
      </w:r>
      <w:r w:rsidR="00674A8B" w:rsidRPr="00527717">
        <w:rPr>
          <w:lang w:val="en-GB"/>
        </w:rPr>
        <w:t xml:space="preserve"> </w:t>
      </w:r>
      <w:r w:rsidR="00527717">
        <w:rPr>
          <w:lang w:val="en-GB"/>
        </w:rPr>
        <w:t>p</w:t>
      </w:r>
      <w:r w:rsidR="00674A8B" w:rsidRPr="00527717">
        <w:rPr>
          <w:lang w:val="en-GB"/>
        </w:rPr>
        <w:t>p</w:t>
      </w:r>
      <w:r w:rsidR="00527717">
        <w:rPr>
          <w:lang w:val="en-GB"/>
        </w:rPr>
        <w:t xml:space="preserve"> and </w:t>
      </w:r>
      <w:r w:rsidR="00A07F00" w:rsidRPr="00527717">
        <w:rPr>
          <w:lang w:val="en-GB"/>
        </w:rPr>
        <w:t>0,</w:t>
      </w:r>
      <w:r w:rsidR="00DD2587" w:rsidRPr="00527717">
        <w:rPr>
          <w:lang w:val="en-GB"/>
        </w:rPr>
        <w:t>17</w:t>
      </w:r>
      <w:r w:rsidR="002F0E3A" w:rsidRPr="00527717">
        <w:rPr>
          <w:lang w:val="en-GB"/>
        </w:rPr>
        <w:t> </w:t>
      </w:r>
      <w:r w:rsidR="007E57DA" w:rsidRPr="00527717">
        <w:rPr>
          <w:lang w:val="en-GB"/>
        </w:rPr>
        <w:t>p</w:t>
      </w:r>
      <w:r w:rsidR="00527717">
        <w:rPr>
          <w:lang w:val="en-GB"/>
        </w:rPr>
        <w:t>p, respectively</w:t>
      </w:r>
      <w:r w:rsidR="00A07F00" w:rsidRPr="00527717">
        <w:rPr>
          <w:lang w:val="en-GB"/>
        </w:rPr>
        <w:t>.</w:t>
      </w:r>
    </w:p>
    <w:p w:rsidR="00934246" w:rsidRPr="00527717" w:rsidRDefault="00934246" w:rsidP="00934246">
      <w:pPr>
        <w:spacing w:before="0" w:after="0"/>
        <w:rPr>
          <w:b/>
          <w:spacing w:val="-2"/>
          <w:sz w:val="18"/>
          <w:lang w:val="en-GB"/>
        </w:rPr>
      </w:pPr>
    </w:p>
    <w:p w:rsidR="00A07F00" w:rsidRPr="00D66AFE" w:rsidRDefault="0077212E" w:rsidP="00D66AFE">
      <w:pPr>
        <w:pStyle w:val="tytuwykresu"/>
        <w:ind w:left="680" w:hanging="680"/>
        <w:rPr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7024" behindDoc="0" locked="0" layoutInCell="1" allowOverlap="1" wp14:anchorId="3CF12D37" wp14:editId="0B6074B8">
            <wp:simplePos x="0" y="0"/>
            <wp:positionH relativeFrom="column">
              <wp:posOffset>-635</wp:posOffset>
            </wp:positionH>
            <wp:positionV relativeFrom="paragraph">
              <wp:posOffset>480695</wp:posOffset>
            </wp:positionV>
            <wp:extent cx="5122545" cy="277241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AFE" w:rsidRPr="00893F24">
        <w:rPr>
          <w:lang w:val="en-GB"/>
        </w:rPr>
        <w:t>Chart 1. Contribution of price changes of selected groups of consume</w:t>
      </w:r>
      <w:r w:rsidR="00D66AFE">
        <w:rPr>
          <w:lang w:val="en-GB"/>
        </w:rPr>
        <w:t xml:space="preserve">r goods and services </w:t>
      </w:r>
      <w:r w:rsidR="00D66AFE">
        <w:rPr>
          <w:lang w:val="en-GB"/>
        </w:rPr>
        <w:br/>
        <w:t xml:space="preserve">in November </w:t>
      </w:r>
      <w:r w:rsidR="00D66AFE" w:rsidRPr="00893F24">
        <w:rPr>
          <w:shd w:val="clear" w:color="auto" w:fill="FFFFFF"/>
          <w:lang w:val="en-GB"/>
        </w:rPr>
        <w:t xml:space="preserve">2020 </w:t>
      </w:r>
      <w:r w:rsidR="00D66AFE" w:rsidRPr="00893F24">
        <w:rPr>
          <w:shd w:val="clear" w:color="auto" w:fill="FFFFFF"/>
          <w:lang w:val="en-GB" w:eastAsia="pl-PL"/>
        </w:rPr>
        <w:t>(</w:t>
      </w:r>
      <w:r w:rsidR="00D66AFE" w:rsidRPr="00893F24">
        <w:rPr>
          <w:lang w:val="en-GB" w:eastAsia="pl-PL"/>
        </w:rPr>
        <w:t>change in pp compared with the previous period</w:t>
      </w:r>
    </w:p>
    <w:p w:rsidR="00A55B73" w:rsidRPr="00D66AFE" w:rsidRDefault="005A6EFE" w:rsidP="00081966">
      <w:pPr>
        <w:spacing w:before="0" w:after="160" w:line="259" w:lineRule="auto"/>
        <w:ind w:left="794" w:hanging="794"/>
        <w:jc w:val="both"/>
        <w:rPr>
          <w:b/>
          <w:spacing w:val="-2"/>
          <w:sz w:val="18"/>
          <w:lang w:val="en-GB"/>
        </w:rPr>
      </w:pPr>
      <w:r w:rsidRPr="00893F24"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4108B77A" wp14:editId="0673A5C8">
            <wp:simplePos x="0" y="0"/>
            <wp:positionH relativeFrom="column">
              <wp:posOffset>-55880</wp:posOffset>
            </wp:positionH>
            <wp:positionV relativeFrom="paragraph">
              <wp:posOffset>3336925</wp:posOffset>
            </wp:positionV>
            <wp:extent cx="5122545" cy="359981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ED7" w:rsidRPr="00240ED7">
        <w:rPr>
          <w:noProof/>
          <w:lang w:val="en-GB" w:eastAsia="en-GB"/>
        </w:rPr>
        <w:t xml:space="preserve"> </w:t>
      </w:r>
    </w:p>
    <w:p w:rsidR="00D11CF3" w:rsidRPr="00494C34" w:rsidRDefault="00494C34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893F24">
        <w:rPr>
          <w:b/>
          <w:spacing w:val="-2"/>
          <w:sz w:val="18"/>
          <w:lang w:val="en-GB"/>
        </w:rPr>
        <w:t>Chart 2. Weighting system used in the compilations of consumer price indices in 2020</w:t>
      </w:r>
    </w:p>
    <w:p w:rsidR="00A55B73" w:rsidRPr="000536E3" w:rsidRDefault="00A55B73">
      <w:pPr>
        <w:spacing w:before="0" w:after="160" w:line="259" w:lineRule="auto"/>
        <w:rPr>
          <w:b/>
          <w:spacing w:val="-2"/>
          <w:sz w:val="18"/>
        </w:rPr>
      </w:pPr>
    </w:p>
    <w:p w:rsidR="003A440F" w:rsidRPr="00494C34" w:rsidRDefault="00896DFA" w:rsidP="00C27D75">
      <w:pPr>
        <w:pStyle w:val="tytuwykresu"/>
        <w:rPr>
          <w:b w:val="0"/>
          <w:shd w:val="clear" w:color="auto" w:fill="FFFFFF"/>
          <w:lang w:val="en-GB"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48A79B42" wp14:editId="60FC053F">
            <wp:simplePos x="0" y="0"/>
            <wp:positionH relativeFrom="column">
              <wp:posOffset>-95044</wp:posOffset>
            </wp:positionH>
            <wp:positionV relativeFrom="paragraph">
              <wp:posOffset>259561</wp:posOffset>
            </wp:positionV>
            <wp:extent cx="5122800" cy="2545200"/>
            <wp:effectExtent l="0" t="0" r="1905" b="2667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C34" w:rsidRPr="00494C34">
        <w:rPr>
          <w:lang w:val="en-GB"/>
        </w:rPr>
        <w:t xml:space="preserve"> </w:t>
      </w:r>
      <w:r w:rsidR="00494C34" w:rsidRPr="00893F24">
        <w:rPr>
          <w:lang w:val="en-GB"/>
        </w:rPr>
        <w:t>Chart 3. Consumer prices (change in % compared with the previous period)</w:t>
      </w:r>
      <w:r w:rsidR="003A440F" w:rsidRPr="00494C34">
        <w:rPr>
          <w:b w:val="0"/>
          <w:shd w:val="clear" w:color="auto" w:fill="FFFFFF"/>
          <w:lang w:val="en-GB" w:eastAsia="pl-PL"/>
        </w:rPr>
        <w:t xml:space="preserve"> </w:t>
      </w:r>
    </w:p>
    <w:p w:rsidR="00DA0243" w:rsidRPr="00494C34" w:rsidRDefault="00DA0243" w:rsidP="0026302B">
      <w:pPr>
        <w:pStyle w:val="LID"/>
        <w:rPr>
          <w:b w:val="0"/>
          <w:noProof w:val="0"/>
          <w:spacing w:val="-2"/>
          <w:sz w:val="18"/>
          <w:lang w:val="en-GB"/>
        </w:rPr>
      </w:pPr>
    </w:p>
    <w:p w:rsidR="00034160" w:rsidRPr="00494C34" w:rsidRDefault="009E3F12" w:rsidP="003038A1">
      <w:pPr>
        <w:pStyle w:val="tytuwykresu"/>
        <w:ind w:left="822" w:hanging="822"/>
        <w:rPr>
          <w:shd w:val="clear" w:color="auto" w:fill="FFFFFF"/>
          <w:lang w:val="en-GB"/>
        </w:rPr>
      </w:pPr>
      <w:r w:rsidRPr="000536E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543CC559" wp14:editId="3A6BBFD3">
                <wp:simplePos x="0" y="0"/>
                <wp:positionH relativeFrom="column">
                  <wp:posOffset>5267325</wp:posOffset>
                </wp:positionH>
                <wp:positionV relativeFrom="page">
                  <wp:posOffset>4067175</wp:posOffset>
                </wp:positionV>
                <wp:extent cx="1725295" cy="1209675"/>
                <wp:effectExtent l="0" t="0" r="0" b="9525"/>
                <wp:wrapTight wrapText="bothSides">
                  <wp:wrapPolygon edited="0">
                    <wp:start x="477" y="0"/>
                    <wp:lineTo x="477" y="21430"/>
                    <wp:lineTo x="20749" y="21430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7DA" w:rsidRPr="00494C34" w:rsidRDefault="00494C34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D374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November </w:t>
                            </w:r>
                            <w:r w:rsidRPr="00D374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2020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</w:t>
                            </w:r>
                            <w:r w:rsidRPr="004A78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consumer price index was within the deviations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CC559" id="Text Box 25" o:spid="_x0000_s1027" type="#_x0000_t202" style="position:absolute;left:0;text-align:left;margin-left:414.75pt;margin-top:320.25pt;width:135.85pt;height:95.25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V1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" filled="f" stroked="f">
                <v:textbox>
                  <w:txbxContent>
                    <w:p w:rsidR="00FA07DA" w:rsidRPr="00494C34" w:rsidRDefault="00494C34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D374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November </w:t>
                      </w:r>
                      <w:r w:rsidRPr="00D374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2020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</w:t>
                      </w:r>
                      <w:r w:rsidRPr="004A78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consumer price index was within the deviations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94C34" w:rsidRPr="00494C34">
        <w:rPr>
          <w:lang w:val="en-GB"/>
        </w:rPr>
        <w:t xml:space="preserve"> </w:t>
      </w:r>
      <w:r w:rsidR="00494C34" w:rsidRPr="00893F24">
        <w:rPr>
          <w:lang w:val="en-GB"/>
        </w:rPr>
        <w:t xml:space="preserve">Chart 4. </w:t>
      </w:r>
      <w:r w:rsidR="00494C34" w:rsidRPr="00893F24">
        <w:rPr>
          <w:spacing w:val="-4"/>
          <w:lang w:val="en-GB"/>
        </w:rPr>
        <w:t>Consumer prices</w:t>
      </w:r>
      <w:r w:rsidR="00494C34" w:rsidRPr="00893F24">
        <w:rPr>
          <w:spacing w:val="-4"/>
          <w:shd w:val="clear" w:color="auto" w:fill="FFFFFF"/>
          <w:lang w:val="en-GB"/>
        </w:rPr>
        <w:t xml:space="preserve"> (</w:t>
      </w:r>
      <w:r w:rsidR="00494C34" w:rsidRPr="00893F24">
        <w:rPr>
          <w:spacing w:val="-4"/>
          <w:lang w:val="en-GB"/>
        </w:rPr>
        <w:t>change in % compared with the corresponding period of the previous year</w:t>
      </w:r>
      <w:r w:rsidR="00494C34" w:rsidRPr="00893F24">
        <w:rPr>
          <w:spacing w:val="-4"/>
          <w:shd w:val="clear" w:color="auto" w:fill="FFFFFF"/>
          <w:lang w:val="en-GB"/>
        </w:rPr>
        <w:t>)</w:t>
      </w:r>
    </w:p>
    <w:p w:rsidR="00A55B73" w:rsidRPr="00494C34" w:rsidRDefault="00494C34" w:rsidP="00DE775D">
      <w:pPr>
        <w:pStyle w:val="tytuwykresu"/>
        <w:ind w:left="794" w:hanging="794"/>
        <w:rPr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49023" behindDoc="0" locked="0" layoutInCell="1" allowOverlap="1" wp14:anchorId="29F1A5A4" wp14:editId="366C434B">
            <wp:simplePos x="0" y="0"/>
            <wp:positionH relativeFrom="column">
              <wp:posOffset>-62230</wp:posOffset>
            </wp:positionH>
            <wp:positionV relativeFrom="paragraph">
              <wp:posOffset>85725</wp:posOffset>
            </wp:positionV>
            <wp:extent cx="5122545" cy="2584450"/>
            <wp:effectExtent l="0" t="0" r="0" b="2540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2324" w:rsidRPr="00494C34" w:rsidRDefault="00A52324" w:rsidP="00DE775D">
      <w:pPr>
        <w:pStyle w:val="tytuwykresu"/>
        <w:ind w:left="794" w:hanging="794"/>
        <w:rPr>
          <w:lang w:val="en-GB"/>
        </w:rPr>
      </w:pPr>
    </w:p>
    <w:p w:rsidR="00F61FF9" w:rsidRPr="00494C34" w:rsidRDefault="00896DFA" w:rsidP="00494C34">
      <w:pPr>
        <w:pStyle w:val="tytuwykresu"/>
        <w:ind w:left="680" w:hanging="680"/>
        <w:rPr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33213ED8" wp14:editId="1D74C43B">
            <wp:simplePos x="0" y="0"/>
            <wp:positionH relativeFrom="column">
              <wp:posOffset>-95044</wp:posOffset>
            </wp:positionH>
            <wp:positionV relativeFrom="paragraph">
              <wp:posOffset>428608</wp:posOffset>
            </wp:positionV>
            <wp:extent cx="5122800" cy="2520000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C34" w:rsidRPr="00494C34">
        <w:rPr>
          <w:lang w:val="en-GB"/>
        </w:rPr>
        <w:t xml:space="preserve"> </w:t>
      </w:r>
      <w:r w:rsidR="00494C34" w:rsidRPr="00893F24">
        <w:rPr>
          <w:lang w:val="en-GB"/>
        </w:rPr>
        <w:t>Chart 5.</w:t>
      </w:r>
      <w:r w:rsidR="00494C34" w:rsidRPr="00893F24">
        <w:rPr>
          <w:shd w:val="clear" w:color="auto" w:fill="FFFFFF"/>
          <w:lang w:val="en-GB"/>
        </w:rPr>
        <w:t xml:space="preserve"> </w:t>
      </w:r>
      <w:r w:rsidR="00494C34" w:rsidRPr="00893F24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="00494C34" w:rsidRPr="00893F24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516A50" w:rsidRPr="00494C34" w:rsidRDefault="00494C34" w:rsidP="00516A50">
      <w:pPr>
        <w:pStyle w:val="LID"/>
        <w:rPr>
          <w:bCs/>
          <w:noProof w:val="0"/>
          <w:sz w:val="18"/>
          <w:shd w:val="clear" w:color="auto" w:fill="FFFFFF"/>
          <w:lang w:val="en-GB"/>
        </w:rPr>
      </w:pPr>
      <w:r w:rsidRPr="00893F24">
        <w:rPr>
          <w:noProof w:val="0"/>
          <w:sz w:val="18"/>
          <w:lang w:val="en-GB"/>
        </w:rPr>
        <w:lastRenderedPageBreak/>
        <w:t>Table 2.</w:t>
      </w:r>
      <w:r w:rsidRPr="00893F24">
        <w:rPr>
          <w:noProof w:val="0"/>
          <w:sz w:val="18"/>
          <w:shd w:val="clear" w:color="auto" w:fill="FFFFFF"/>
          <w:lang w:val="en-GB"/>
        </w:rPr>
        <w:t xml:space="preserve"> </w:t>
      </w:r>
      <w:r>
        <w:rPr>
          <w:bCs/>
          <w:noProof w:val="0"/>
          <w:sz w:val="18"/>
          <w:shd w:val="clear" w:color="auto" w:fill="FFFFFF"/>
          <w:lang w:val="en-GB"/>
        </w:rPr>
        <w:t>Consum</w:t>
      </w:r>
      <w:r w:rsidRPr="00893F24">
        <w:rPr>
          <w:bCs/>
          <w:noProof w:val="0"/>
          <w:sz w:val="18"/>
          <w:shd w:val="clear" w:color="auto" w:fill="FFFFFF"/>
          <w:lang w:val="en-GB"/>
        </w:rPr>
        <w:t xml:space="preserve">er price indices </w:t>
      </w:r>
      <w:r>
        <w:rPr>
          <w:bCs/>
          <w:noProof w:val="0"/>
          <w:sz w:val="18"/>
          <w:shd w:val="clear" w:color="auto" w:fill="FFFFFF"/>
          <w:lang w:val="en-GB"/>
        </w:rPr>
        <w:t xml:space="preserve">in November </w:t>
      </w:r>
      <w:r w:rsidR="007364D7" w:rsidRPr="00494C34">
        <w:rPr>
          <w:noProof w:val="0"/>
          <w:sz w:val="18"/>
          <w:lang w:val="en-GB"/>
        </w:rPr>
        <w:t>2020</w:t>
      </w:r>
    </w:p>
    <w:p w:rsidR="00DE775D" w:rsidRPr="00494C34" w:rsidRDefault="00DE775D" w:rsidP="00516A50">
      <w:pPr>
        <w:pStyle w:val="LID"/>
        <w:rPr>
          <w:bCs/>
          <w:noProof w:val="0"/>
          <w:sz w:val="18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0536E3" w:rsidTr="001E2B61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0536E3" w:rsidRDefault="00494C34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93F24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0536E3" w:rsidRDefault="00CE5BD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536E3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9826C9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B86E2F" w:rsidRPr="000536E3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0536E3" w:rsidRDefault="00C3618E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536E3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CE5BDA" w:rsidRPr="000536E3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9826C9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B86E2F" w:rsidRPr="000536E3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B86E2F" w:rsidRPr="000536E3" w:rsidTr="001E2B61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0536E3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0536E3" w:rsidRDefault="00CE5BD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536E3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9826C9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B86E2F" w:rsidRPr="000536E3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2019=</w:t>
            </w:r>
            <w:r w:rsidR="00B86E2F" w:rsidRPr="000536E3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0536E3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536E3">
              <w:rPr>
                <w:rFonts w:eastAsia="Times New Roman" w:cs="Calibri"/>
                <w:sz w:val="16"/>
                <w:szCs w:val="16"/>
                <w:lang w:eastAsia="pl-PL"/>
              </w:rPr>
              <w:t>XII 2019=</w:t>
            </w:r>
            <w:r w:rsidRPr="000536E3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0536E3" w:rsidRDefault="00CE5BD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536E3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B86E2F" w:rsidRPr="000536E3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2020=</w:t>
            </w:r>
            <w:r w:rsidR="00B86E2F" w:rsidRPr="000536E3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0536E3" w:rsidRDefault="00CE5BD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536E3">
              <w:rPr>
                <w:rFonts w:eastAsia="Times New Roman" w:cs="Calibri"/>
                <w:sz w:val="16"/>
                <w:szCs w:val="16"/>
                <w:lang w:eastAsia="pl-PL"/>
              </w:rPr>
              <w:t>I-X</w:t>
            </w:r>
            <w:r w:rsidR="009826C9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B86E2F" w:rsidRPr="000536E3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2019= </w:t>
            </w:r>
            <w:r w:rsidR="00B86E2F" w:rsidRPr="000536E3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4C1EF7" w:rsidRPr="000536E3" w:rsidTr="002B694C">
        <w:trPr>
          <w:trHeight w:val="39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C1EF7" w:rsidRPr="000536E3" w:rsidRDefault="00494C34" w:rsidP="004C1EF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F24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C1EF7" w:rsidRPr="000536E3" w:rsidRDefault="004C1EF7" w:rsidP="004C1EF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C1EF7" w:rsidRPr="000536E3" w:rsidRDefault="004C1EF7" w:rsidP="004C1EF7">
            <w:pPr>
              <w:spacing w:before="0" w:after="0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C1EF7" w:rsidRPr="000536E3" w:rsidRDefault="004C1EF7" w:rsidP="004C1EF7">
            <w:pPr>
              <w:spacing w:before="0" w:after="0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C1EF7" w:rsidRPr="000536E3" w:rsidRDefault="004C1EF7" w:rsidP="004C1EF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103,5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</w:tr>
      <w:tr w:rsidR="00494C34" w:rsidRPr="000536E3" w:rsidTr="00370AEA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494C34" w:rsidRPr="00893F24" w:rsidRDefault="00494C34" w:rsidP="009E60C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</w:tr>
      <w:tr w:rsidR="00494C34" w:rsidRPr="000536E3" w:rsidTr="00F532DF">
        <w:trPr>
          <w:trHeight w:val="2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</w:tr>
      <w:tr w:rsidR="00494C34" w:rsidRPr="000536E3" w:rsidTr="00F532DF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110,2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</w:tr>
      <w:tr w:rsidR="00494C34" w:rsidRPr="000536E3" w:rsidTr="00F532DF">
        <w:trPr>
          <w:trHeight w:val="18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</w:tr>
      <w:tr w:rsidR="00494C34" w:rsidRPr="000536E3" w:rsidTr="00E97679">
        <w:trPr>
          <w:trHeight w:val="3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118,5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</w:tr>
      <w:tr w:rsidR="00494C34" w:rsidRPr="000536E3" w:rsidTr="00F532DF">
        <w:trPr>
          <w:trHeight w:val="1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20" w:after="2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</w:tr>
      <w:tr w:rsidR="00494C34" w:rsidRPr="000536E3" w:rsidTr="00276612">
        <w:trPr>
          <w:trHeight w:val="33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</w:tr>
      <w:tr w:rsidR="00494C34" w:rsidRPr="000536E3" w:rsidTr="00276612">
        <w:trPr>
          <w:trHeight w:val="27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151,8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</w:tr>
      <w:tr w:rsidR="00494C34" w:rsidRPr="000536E3" w:rsidTr="00B73BE9">
        <w:trPr>
          <w:trHeight w:val="22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B73BE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</w:tr>
      <w:tr w:rsidR="00494C34" w:rsidRPr="000536E3" w:rsidTr="00370AEA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</w:tr>
      <w:tr w:rsidR="00494C34" w:rsidRPr="000536E3" w:rsidTr="00370AEA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</w:tr>
      <w:tr w:rsidR="00494C34" w:rsidRPr="000536E3" w:rsidTr="00370AE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</w:tr>
      <w:tr w:rsidR="00494C34" w:rsidRPr="000536E3" w:rsidTr="000C2F47">
        <w:trPr>
          <w:trHeight w:val="21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B73BE9">
        <w:trPr>
          <w:trHeight w:val="34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</w:tr>
      <w:tr w:rsidR="00494C34" w:rsidRPr="000536E3" w:rsidTr="000C2F47">
        <w:trPr>
          <w:trHeight w:val="23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</w:tr>
      <w:tr w:rsidR="00494C34" w:rsidRPr="000536E3" w:rsidTr="00B73BE9">
        <w:trPr>
          <w:trHeight w:val="36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</w:tr>
      <w:tr w:rsidR="00494C34" w:rsidRPr="000536E3" w:rsidTr="00370AEA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  <w:r w:rsidR="0082635D" w:rsidRPr="00893F24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val="en-GB"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</w:tr>
      <w:tr w:rsidR="00494C34" w:rsidRPr="000536E3" w:rsidTr="000C2F47">
        <w:trPr>
          <w:trHeight w:val="2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88,6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</w:tr>
      <w:tr w:rsidR="00494C34" w:rsidRPr="000536E3" w:rsidTr="00370AE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89,2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</w:tr>
      <w:tr w:rsidR="00494C34" w:rsidRPr="000536E3" w:rsidTr="00370AEA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  <w:r w:rsidR="0082635D" w:rsidRPr="00893F24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val="en-GB" w:eastAsia="pl-PL"/>
              </w:rPr>
              <w:t>u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  <w:r w:rsidR="0082635D" w:rsidRPr="00893F24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val="en-GB"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</w:tr>
      <w:tr w:rsidR="00494C34" w:rsidRPr="000536E3" w:rsidTr="00370AE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  <w:r w:rsidR="0082635D" w:rsidRPr="00893F24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val="en-GB"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2635D" w:rsidRDefault="00494C34" w:rsidP="009E60C1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  <w:r w:rsidR="0082635D" w:rsidRPr="00893F24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val="en-GB"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  <w:r w:rsidRPr="00893F24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val="en-GB"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494C34" w:rsidRPr="000536E3" w:rsidTr="00370AEA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111,0</w:t>
            </w:r>
          </w:p>
        </w:tc>
      </w:tr>
      <w:tr w:rsidR="00494C34" w:rsidRPr="000536E3" w:rsidTr="00370AEA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</w:tr>
      <w:tr w:rsidR="00494C34" w:rsidRPr="000536E3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</w:tr>
      <w:tr w:rsidR="00494C34" w:rsidRPr="000536E3" w:rsidTr="00CF40D2">
        <w:trPr>
          <w:trHeight w:val="33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4C34" w:rsidRPr="00893F24" w:rsidRDefault="00494C34" w:rsidP="009E60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93F24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C34" w:rsidRPr="000536E3" w:rsidRDefault="00494C34" w:rsidP="004C1E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126,4</w:t>
            </w:r>
          </w:p>
        </w:tc>
      </w:tr>
    </w:tbl>
    <w:p w:rsidR="00965DC5" w:rsidRPr="000536E3" w:rsidRDefault="00965DC5" w:rsidP="00060B5E">
      <w:pPr>
        <w:pStyle w:val="NormalnyWeb"/>
        <w:spacing w:before="0" w:beforeAutospacing="0" w:after="12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EC1A7B" w:rsidRPr="00494C34" w:rsidRDefault="005C123B" w:rsidP="00060B5E">
      <w:pPr>
        <w:pStyle w:val="NormalnyWeb"/>
        <w:spacing w:before="0" w:beforeAutospacing="0" w:after="120" w:afterAutospacing="0"/>
        <w:rPr>
          <w:rFonts w:ascii="Fira Sans" w:hAnsi="Fira Sans"/>
          <w:color w:val="222222"/>
          <w:sz w:val="16"/>
          <w:szCs w:val="16"/>
        </w:rPr>
      </w:pPr>
      <w:r w:rsidRPr="00494C34">
        <w:rPr>
          <w:rFonts w:ascii="Fira Sans" w:hAnsi="Fira Sans"/>
          <w:color w:val="222222"/>
          <w:sz w:val="16"/>
          <w:szCs w:val="16"/>
        </w:rPr>
        <w:t xml:space="preserve">u  </w:t>
      </w:r>
      <w:r w:rsidR="00494C34" w:rsidRPr="00893F24">
        <w:rPr>
          <w:rFonts w:ascii="Fira Sans" w:hAnsi="Fira Sans"/>
          <w:color w:val="222222"/>
          <w:sz w:val="16"/>
          <w:szCs w:val="16"/>
        </w:rPr>
        <w:t>The share of estimated data for an aggregate more than 50%</w:t>
      </w:r>
    </w:p>
    <w:p w:rsidR="00060B5E" w:rsidRPr="00494C34" w:rsidRDefault="00060B5E" w:rsidP="002975D1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494C34" w:rsidRPr="00893F24" w:rsidRDefault="00494C34" w:rsidP="00494C34">
      <w:pPr>
        <w:spacing w:before="0" w:after="160" w:line="259" w:lineRule="auto"/>
        <w:rPr>
          <w:color w:val="222222"/>
          <w:sz w:val="16"/>
          <w:szCs w:val="16"/>
          <w:lang w:val="en-GB"/>
        </w:rPr>
      </w:pPr>
      <w:r w:rsidRPr="00893F24">
        <w:rPr>
          <w:sz w:val="16"/>
          <w:szCs w:val="16"/>
          <w:lang w:val="en-GB"/>
        </w:rPr>
        <w:t xml:space="preserve">Documents </w:t>
      </w:r>
      <w:r w:rsidRPr="00893F24">
        <w:rPr>
          <w:color w:val="222222"/>
          <w:sz w:val="16"/>
          <w:szCs w:val="16"/>
          <w:lang w:val="en-GB"/>
        </w:rPr>
        <w:t>‘</w:t>
      </w:r>
      <w:r w:rsidRPr="00893F24">
        <w:rPr>
          <w:i/>
          <w:color w:val="222222"/>
          <w:sz w:val="16"/>
          <w:szCs w:val="16"/>
          <w:lang w:val="en-GB"/>
        </w:rPr>
        <w:t>Guidance on the compilation of the HICP in the context of the COVID-19 crisis</w:t>
      </w:r>
      <w:r w:rsidRPr="00893F24">
        <w:rPr>
          <w:color w:val="222222"/>
          <w:sz w:val="16"/>
          <w:szCs w:val="16"/>
          <w:lang w:val="en-GB"/>
        </w:rPr>
        <w:t>’ and ‘</w:t>
      </w:r>
      <w:r w:rsidRPr="00893F24">
        <w:rPr>
          <w:i/>
          <w:color w:val="222222"/>
          <w:sz w:val="16"/>
          <w:szCs w:val="16"/>
          <w:lang w:val="en-GB"/>
        </w:rPr>
        <w:t>Guidance note on HICP issues emerging from the lifting of lockdown measures</w:t>
      </w:r>
      <w:r w:rsidRPr="00893F24">
        <w:rPr>
          <w:color w:val="222222"/>
          <w:sz w:val="16"/>
          <w:szCs w:val="16"/>
          <w:lang w:val="en-GB"/>
        </w:rPr>
        <w:t xml:space="preserve">’ were published by Eurostat under the following links </w:t>
      </w:r>
      <w:hyperlink r:id="rId16" w:history="1">
        <w:r w:rsidRPr="00F612DB">
          <w:rPr>
            <w:rStyle w:val="Hipercze"/>
            <w:color w:val="002060"/>
            <w:sz w:val="16"/>
            <w:szCs w:val="16"/>
            <w:lang w:val="en-GB"/>
          </w:rPr>
          <w:t>https://ec.europa.eu/eurostat/documents/10186/10693286/HICP_guidance.pdf</w:t>
        </w:r>
      </w:hyperlink>
      <w:r w:rsidRPr="00F612DB">
        <w:rPr>
          <w:color w:val="002060"/>
          <w:sz w:val="16"/>
          <w:szCs w:val="16"/>
          <w:lang w:val="en-GB"/>
        </w:rPr>
        <w:t xml:space="preserve">, </w:t>
      </w:r>
      <w:hyperlink r:id="rId17" w:history="1">
        <w:r w:rsidRPr="00F612DB">
          <w:rPr>
            <w:rStyle w:val="Hipercze"/>
            <w:color w:val="002060"/>
            <w:sz w:val="16"/>
            <w:szCs w:val="16"/>
            <w:lang w:val="en-GB"/>
          </w:rPr>
          <w:t>https://ec.europa.eu/eurostat/documents/10186/10693286/HICP_lifting_lockdown_measures_guidance.pdf</w:t>
        </w:r>
      </w:hyperlink>
    </w:p>
    <w:p w:rsidR="00494C34" w:rsidRPr="00893F24" w:rsidRDefault="00494C34" w:rsidP="00494C34">
      <w:pPr>
        <w:spacing w:before="0" w:after="240" w:line="259" w:lineRule="auto"/>
        <w:rPr>
          <w:color w:val="222222"/>
          <w:sz w:val="16"/>
          <w:szCs w:val="16"/>
          <w:lang w:val="en-GB"/>
        </w:rPr>
      </w:pPr>
      <w:r w:rsidRPr="00893F24">
        <w:rPr>
          <w:color w:val="222222"/>
          <w:sz w:val="16"/>
          <w:szCs w:val="16"/>
          <w:lang w:val="en-GB"/>
        </w:rPr>
        <w:t xml:space="preserve">The guidelines recommended by Eurostat concerning consumer price indices are also presented in Polish under the link </w:t>
      </w:r>
      <w:hyperlink r:id="rId18" w:history="1">
        <w:r w:rsidRPr="00F612DB">
          <w:rPr>
            <w:rStyle w:val="Hipercze"/>
            <w:color w:val="002060"/>
            <w:sz w:val="16"/>
            <w:szCs w:val="16"/>
            <w:lang w:val="en-GB"/>
          </w:rPr>
          <w:t>https://stat.gov.pl/obszary-tematyczne/ceny-handel/wskazniki-cen/wytyczne-dotyczace-opracowania-hicp-w-kontekscie-kryzysu-zwiazanego-z-covid-19,19,1.html</w:t>
        </w:r>
      </w:hyperlink>
    </w:p>
    <w:p w:rsidR="00F64207" w:rsidRPr="00494C34" w:rsidRDefault="00494C34" w:rsidP="00494C34">
      <w:pPr>
        <w:spacing w:before="360" w:after="160" w:line="259" w:lineRule="auto"/>
        <w:rPr>
          <w:szCs w:val="19"/>
          <w:highlight w:val="yellow"/>
          <w:lang w:val="en-GB" w:eastAsia="pl-PL"/>
        </w:rPr>
        <w:sectPr w:rsidR="00F64207" w:rsidRPr="00494C34" w:rsidSect="00EF7B3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893F24">
        <w:rPr>
          <w:color w:val="222222"/>
          <w:lang w:val="en-GB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0470AA" w:rsidRPr="00494C34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0536E3" w:rsidTr="00EE696D">
        <w:trPr>
          <w:trHeight w:val="1912"/>
        </w:trPr>
        <w:tc>
          <w:tcPr>
            <w:tcW w:w="4379" w:type="dxa"/>
          </w:tcPr>
          <w:p w:rsidR="00494C34" w:rsidRPr="00893F24" w:rsidRDefault="00494C34" w:rsidP="00494C34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494C34" w:rsidRPr="00893F24" w:rsidRDefault="00494C34" w:rsidP="00494C3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93F2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494C34" w:rsidRPr="00893F24" w:rsidRDefault="00494C34" w:rsidP="00494C3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93F24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83763" w:rsidRPr="000536E3" w:rsidRDefault="00494C34" w:rsidP="00494C3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893F2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42" w:type="dxa"/>
          </w:tcPr>
          <w:p w:rsidR="00494C34" w:rsidRPr="00893F24" w:rsidRDefault="00494C34" w:rsidP="00494C3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893F24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893F24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494C34" w:rsidRPr="00893F24" w:rsidRDefault="00494C34" w:rsidP="00494C3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93F24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494C34" w:rsidRPr="00893F24" w:rsidRDefault="00494C34" w:rsidP="00494C3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93F2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93F24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BA0B97" w:rsidRPr="000536E3" w:rsidRDefault="00494C34" w:rsidP="00494C34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893F2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83763" w:rsidRPr="000536E3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0536E3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94C3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494C34" w:rsidRPr="00893F24" w:rsidRDefault="00494C34" w:rsidP="00494C34">
            <w:pPr>
              <w:spacing w:before="0"/>
              <w:rPr>
                <w:b/>
                <w:sz w:val="20"/>
                <w:lang w:val="en-GB"/>
              </w:rPr>
            </w:pPr>
            <w:r w:rsidRPr="00893F24">
              <w:rPr>
                <w:b/>
                <w:sz w:val="20"/>
                <w:lang w:val="en-GB"/>
              </w:rPr>
              <w:t>Press Office</w:t>
            </w:r>
          </w:p>
          <w:p w:rsidR="00494C34" w:rsidRPr="00893F24" w:rsidRDefault="00494C34" w:rsidP="00494C34">
            <w:pPr>
              <w:rPr>
                <w:sz w:val="20"/>
                <w:lang w:val="en-GB"/>
              </w:rPr>
            </w:pPr>
            <w:r w:rsidRPr="00893F24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893F24">
              <w:rPr>
                <w:sz w:val="20"/>
                <w:lang w:val="en-GB"/>
              </w:rPr>
              <w:t xml:space="preserve">608 34 91, 608 38 04 </w:t>
            </w:r>
          </w:p>
          <w:p w:rsidR="000470AA" w:rsidRPr="009826C9" w:rsidRDefault="00494C34" w:rsidP="00494C34">
            <w:pPr>
              <w:rPr>
                <w:sz w:val="18"/>
                <w:lang w:val="en-GB"/>
              </w:rPr>
            </w:pPr>
            <w:r w:rsidRPr="00893F24">
              <w:rPr>
                <w:b/>
                <w:sz w:val="20"/>
                <w:lang w:val="en-GB"/>
              </w:rPr>
              <w:t>e-mail:</w:t>
            </w:r>
            <w:r w:rsidRPr="00893F24">
              <w:rPr>
                <w:sz w:val="20"/>
                <w:lang w:val="en-GB"/>
              </w:rPr>
              <w:t xml:space="preserve"> </w:t>
            </w:r>
            <w:hyperlink r:id="rId23" w:history="1">
              <w:r w:rsidRPr="00893F24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826C9" w:rsidRDefault="000470AA" w:rsidP="000470AA">
            <w:pPr>
              <w:rPr>
                <w:sz w:val="18"/>
                <w:lang w:val="en-GB"/>
              </w:rPr>
            </w:pPr>
            <w:r w:rsidRPr="000536E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A157FF0" wp14:editId="75D9E03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94C34" w:rsidRDefault="00DE50C7" w:rsidP="000470AA">
            <w:pPr>
              <w:rPr>
                <w:sz w:val="18"/>
                <w:lang w:val="en-GB"/>
              </w:rPr>
            </w:pPr>
            <w:hyperlink r:id="rId25" w:history="1">
              <w:r w:rsidR="00494C34" w:rsidRPr="00893F2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0536E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94C34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94C34" w:rsidRDefault="000470AA" w:rsidP="000470AA">
            <w:pPr>
              <w:rPr>
                <w:sz w:val="18"/>
                <w:lang w:val="en-GB"/>
              </w:rPr>
            </w:pPr>
            <w:r w:rsidRPr="000536E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27CA45B" wp14:editId="42BA1E3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536E3" w:rsidRDefault="00DE50C7" w:rsidP="000470AA">
            <w:pPr>
              <w:rPr>
                <w:sz w:val="18"/>
              </w:rPr>
            </w:pPr>
            <w:hyperlink r:id="rId27" w:history="1">
              <w:r w:rsidR="00494C34" w:rsidRPr="00893F2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0470AA" w:rsidRPr="000536E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536E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536E3" w:rsidRDefault="000470AA" w:rsidP="000470AA">
            <w:pPr>
              <w:rPr>
                <w:sz w:val="18"/>
              </w:rPr>
            </w:pPr>
            <w:r w:rsidRPr="000536E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926C234" wp14:editId="5EF53F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536E3" w:rsidRDefault="000470AA" w:rsidP="000470AA">
            <w:pPr>
              <w:rPr>
                <w:sz w:val="20"/>
              </w:rPr>
            </w:pPr>
            <w:r w:rsidRPr="000536E3">
              <w:rPr>
                <w:sz w:val="20"/>
              </w:rPr>
              <w:t>@GlownyUrzadStatystyczny</w:t>
            </w:r>
          </w:p>
        </w:tc>
      </w:tr>
    </w:tbl>
    <w:p w:rsidR="00D261A2" w:rsidRPr="000536E3" w:rsidRDefault="009E3F12" w:rsidP="00E76D26">
      <w:pPr>
        <w:rPr>
          <w:sz w:val="18"/>
        </w:rPr>
      </w:pPr>
      <w:r w:rsidRPr="000536E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1A50444" wp14:editId="32A14406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7DA" w:rsidRDefault="00FA07DA" w:rsidP="00883763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94C34" w:rsidRPr="00941435" w:rsidRDefault="00494C34" w:rsidP="00494C34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494C34" w:rsidRPr="00941435" w:rsidRDefault="00DE50C7" w:rsidP="00494C3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494C3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</w:t>
                              </w:r>
                              <w:r w:rsidR="00494C34" w:rsidRPr="00F612DB">
                                <w:rPr>
                                  <w:rStyle w:val="Hipercze"/>
                                  <w:rFonts w:cs="Arial"/>
                                  <w:color w:val="002060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nouncements</w:t>
                              </w:r>
                            </w:hyperlink>
                          </w:p>
                          <w:p w:rsidR="00494C34" w:rsidRPr="00941435" w:rsidRDefault="00DE50C7" w:rsidP="00494C3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494C3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494C34" w:rsidRPr="00941435" w:rsidRDefault="00494C34" w:rsidP="00494C3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94C34" w:rsidRPr="00941435" w:rsidRDefault="00494C34" w:rsidP="00494C3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494C34" w:rsidRPr="00941435" w:rsidRDefault="00DE50C7" w:rsidP="00494C3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494C3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494C34" w:rsidRPr="00941435" w:rsidRDefault="00DE50C7" w:rsidP="00494C3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494C3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494C34" w:rsidRPr="00941435" w:rsidRDefault="00DE50C7" w:rsidP="00494C3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494C3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494C34" w:rsidRPr="00941435" w:rsidRDefault="00DE50C7" w:rsidP="00494C3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494C3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494C34" w:rsidRPr="00941435" w:rsidRDefault="00DE50C7" w:rsidP="00494C3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494C3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494C34" w:rsidRPr="00941435" w:rsidRDefault="00494C34" w:rsidP="00494C3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94C34" w:rsidRPr="00941435" w:rsidRDefault="00494C34" w:rsidP="00494C3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494C34" w:rsidRPr="00941435" w:rsidRDefault="00DE50C7" w:rsidP="00494C3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494C3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FA07DA" w:rsidRPr="00566A43" w:rsidRDefault="00DE50C7" w:rsidP="00494C3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494C34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50444"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FA07DA" w:rsidRDefault="00FA07DA" w:rsidP="00883763">
                      <w:pPr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  <w:p w:rsidR="00494C34" w:rsidRPr="00941435" w:rsidRDefault="00494C34" w:rsidP="00494C34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494C34" w:rsidRPr="00941435" w:rsidRDefault="00DE50C7" w:rsidP="00494C3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494C3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</w:t>
                        </w:r>
                        <w:r w:rsidR="00494C34" w:rsidRPr="00F612DB">
                          <w:rPr>
                            <w:rStyle w:val="Hipercze"/>
                            <w:rFonts w:cs="Arial"/>
                            <w:color w:val="002060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nouncements</w:t>
                        </w:r>
                      </w:hyperlink>
                    </w:p>
                    <w:p w:rsidR="00494C34" w:rsidRPr="00941435" w:rsidRDefault="00DE50C7" w:rsidP="00494C3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494C3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494C34" w:rsidRPr="00941435" w:rsidRDefault="00494C34" w:rsidP="00494C3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94C34" w:rsidRPr="00941435" w:rsidRDefault="00494C34" w:rsidP="00494C3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494C34" w:rsidRPr="00941435" w:rsidRDefault="00DE50C7" w:rsidP="00494C3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494C3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494C34" w:rsidRPr="00941435" w:rsidRDefault="00DE50C7" w:rsidP="00494C3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494C3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494C34" w:rsidRPr="00941435" w:rsidRDefault="00DE50C7" w:rsidP="00494C3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494C3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494C34" w:rsidRPr="00941435" w:rsidRDefault="00DE50C7" w:rsidP="00494C3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494C3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494C34" w:rsidRPr="00941435" w:rsidRDefault="00DE50C7" w:rsidP="00494C3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="00494C3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494C34" w:rsidRPr="00941435" w:rsidRDefault="00494C34" w:rsidP="00494C3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94C34" w:rsidRPr="00941435" w:rsidRDefault="00494C34" w:rsidP="00494C3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494C34" w:rsidRPr="00941435" w:rsidRDefault="00DE50C7" w:rsidP="00494C3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="00494C3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FA07DA" w:rsidRPr="00566A43" w:rsidRDefault="00DE50C7" w:rsidP="00494C3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494C34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536E3" w:rsidSect="00EF7B36">
      <w:headerReference w:type="default" r:id="rId47"/>
      <w:footerReference w:type="default" r:id="rId4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0C7" w:rsidRDefault="00DE50C7" w:rsidP="000662E2">
      <w:pPr>
        <w:spacing w:after="0" w:line="240" w:lineRule="auto"/>
      </w:pPr>
      <w:r>
        <w:separator/>
      </w:r>
    </w:p>
  </w:endnote>
  <w:endnote w:type="continuationSeparator" w:id="0">
    <w:p w:rsidR="00DE50C7" w:rsidRDefault="00DE50C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917055"/>
      <w:docPartObj>
        <w:docPartGallery w:val="Page Numbers (Bottom of Page)"/>
        <w:docPartUnique/>
      </w:docPartObj>
    </w:sdtPr>
    <w:sdtEndPr/>
    <w:sdtContent>
      <w:p w:rsidR="00FA07DA" w:rsidRDefault="00FA07D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2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176907"/>
      <w:docPartObj>
        <w:docPartGallery w:val="Page Numbers (Bottom of Page)"/>
        <w:docPartUnique/>
      </w:docPartObj>
    </w:sdtPr>
    <w:sdtEndPr/>
    <w:sdtContent>
      <w:p w:rsidR="00FA07DA" w:rsidRDefault="00FA07D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2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A07DA" w:rsidRDefault="00FA07D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2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0C7" w:rsidRDefault="00DE50C7" w:rsidP="000662E2">
      <w:pPr>
        <w:spacing w:after="0" w:line="240" w:lineRule="auto"/>
      </w:pPr>
      <w:r>
        <w:separator/>
      </w:r>
    </w:p>
  </w:footnote>
  <w:footnote w:type="continuationSeparator" w:id="0">
    <w:p w:rsidR="00DE50C7" w:rsidRDefault="00DE50C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7DA" w:rsidRDefault="00FA07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EAC2549" wp14:editId="6D1F40C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EFDE0" id="Prostokąt 24" o:spid="_x0000_s1026" style="position:absolute;margin-left:410.6pt;margin-top:-14.05pt;width:147.6pt;height:1785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FA07DA" w:rsidRDefault="00FA07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7DA" w:rsidRDefault="00FA07DA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30400C8" wp14:editId="2B9EDC3D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5DE5E7" id="Prostokąt 10" o:spid="_x0000_s1026" style="position:absolute;margin-left:409.95pt;margin-top:39.05pt;width:147.4pt;height:78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3D300" wp14:editId="5E725B6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A07DA" w:rsidRPr="003C6C8D" w:rsidRDefault="00FA07D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73D300" id="Schemat blokowy: opóźnienie 6" o:spid="_x0000_s1029" style="position:absolute;margin-left:396.6pt;margin-top:15.6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A07DA" w:rsidRPr="003C6C8D" w:rsidRDefault="00FA07D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64284A70" wp14:editId="78BC9F59">
          <wp:extent cx="1865630" cy="709295"/>
          <wp:effectExtent l="0" t="0" r="0" b="0"/>
          <wp:docPr id="5" name="Obraz 5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FA07DA" w:rsidRDefault="00FA07D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3A126A" wp14:editId="09E15AB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07DA" w:rsidRPr="00C97596" w:rsidRDefault="00FA07D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15.12.2020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A126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A07DA" w:rsidRPr="00C97596" w:rsidRDefault="00FA07D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15.12.2020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7DA" w:rsidRDefault="00FA07DA">
    <w:pPr>
      <w:pStyle w:val="Nagwek"/>
    </w:pPr>
  </w:p>
  <w:p w:rsidR="00FA07DA" w:rsidRDefault="00FA07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95pt;height:125pt;visibility:visible" o:bullet="t">
        <v:imagedata r:id="rId1" o:title=""/>
      </v:shape>
    </w:pict>
  </w:numPicBullet>
  <w:numPicBullet w:numPicBulletId="1">
    <w:pict>
      <v:shape id="_x0000_i1037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268DB"/>
    <w:rsid w:val="00034160"/>
    <w:rsid w:val="00035BA5"/>
    <w:rsid w:val="0004015D"/>
    <w:rsid w:val="0004582E"/>
    <w:rsid w:val="0004646A"/>
    <w:rsid w:val="000470AA"/>
    <w:rsid w:val="00052F9E"/>
    <w:rsid w:val="000536E3"/>
    <w:rsid w:val="000539AA"/>
    <w:rsid w:val="000555FC"/>
    <w:rsid w:val="00057CA1"/>
    <w:rsid w:val="00060091"/>
    <w:rsid w:val="00060B5E"/>
    <w:rsid w:val="000662E2"/>
    <w:rsid w:val="00066883"/>
    <w:rsid w:val="00066C18"/>
    <w:rsid w:val="00074DD8"/>
    <w:rsid w:val="000800B4"/>
    <w:rsid w:val="000805C9"/>
    <w:rsid w:val="000806F7"/>
    <w:rsid w:val="00081966"/>
    <w:rsid w:val="00095882"/>
    <w:rsid w:val="00097840"/>
    <w:rsid w:val="000A4BF7"/>
    <w:rsid w:val="000A6963"/>
    <w:rsid w:val="000A7F1A"/>
    <w:rsid w:val="000B0727"/>
    <w:rsid w:val="000B1008"/>
    <w:rsid w:val="000B3354"/>
    <w:rsid w:val="000B5951"/>
    <w:rsid w:val="000B6497"/>
    <w:rsid w:val="000C135D"/>
    <w:rsid w:val="000C27D2"/>
    <w:rsid w:val="000C2F47"/>
    <w:rsid w:val="000D0E2A"/>
    <w:rsid w:val="000D1D43"/>
    <w:rsid w:val="000D225C"/>
    <w:rsid w:val="000D2A5C"/>
    <w:rsid w:val="000E0918"/>
    <w:rsid w:val="000F0AF2"/>
    <w:rsid w:val="001011C3"/>
    <w:rsid w:val="00103EC7"/>
    <w:rsid w:val="001040E6"/>
    <w:rsid w:val="00110D87"/>
    <w:rsid w:val="001149A1"/>
    <w:rsid w:val="00114DB9"/>
    <w:rsid w:val="00116087"/>
    <w:rsid w:val="001179CF"/>
    <w:rsid w:val="001244C0"/>
    <w:rsid w:val="00130296"/>
    <w:rsid w:val="001317AE"/>
    <w:rsid w:val="00132297"/>
    <w:rsid w:val="001335DA"/>
    <w:rsid w:val="00135B65"/>
    <w:rsid w:val="001365CA"/>
    <w:rsid w:val="001414DE"/>
    <w:rsid w:val="00142037"/>
    <w:rsid w:val="001423B6"/>
    <w:rsid w:val="0014462E"/>
    <w:rsid w:val="001448A7"/>
    <w:rsid w:val="00146621"/>
    <w:rsid w:val="001539C9"/>
    <w:rsid w:val="001600F9"/>
    <w:rsid w:val="00162325"/>
    <w:rsid w:val="00164CEA"/>
    <w:rsid w:val="001660CA"/>
    <w:rsid w:val="00167E06"/>
    <w:rsid w:val="00170D13"/>
    <w:rsid w:val="001718E9"/>
    <w:rsid w:val="00182CE9"/>
    <w:rsid w:val="00184590"/>
    <w:rsid w:val="001918EB"/>
    <w:rsid w:val="00193FFA"/>
    <w:rsid w:val="001951DA"/>
    <w:rsid w:val="001A4B7F"/>
    <w:rsid w:val="001A78D0"/>
    <w:rsid w:val="001B0E45"/>
    <w:rsid w:val="001B3CA7"/>
    <w:rsid w:val="001C0980"/>
    <w:rsid w:val="001C3269"/>
    <w:rsid w:val="001D1DB4"/>
    <w:rsid w:val="001D5C9E"/>
    <w:rsid w:val="001E1D94"/>
    <w:rsid w:val="001E2B61"/>
    <w:rsid w:val="001E7DBB"/>
    <w:rsid w:val="001F25B6"/>
    <w:rsid w:val="001F60D1"/>
    <w:rsid w:val="0020009D"/>
    <w:rsid w:val="00201740"/>
    <w:rsid w:val="002069C0"/>
    <w:rsid w:val="00212FB6"/>
    <w:rsid w:val="002133F1"/>
    <w:rsid w:val="002147B5"/>
    <w:rsid w:val="00220482"/>
    <w:rsid w:val="0022272D"/>
    <w:rsid w:val="0022312E"/>
    <w:rsid w:val="002307BF"/>
    <w:rsid w:val="00240ED7"/>
    <w:rsid w:val="002412BC"/>
    <w:rsid w:val="00247B43"/>
    <w:rsid w:val="00255081"/>
    <w:rsid w:val="002574F9"/>
    <w:rsid w:val="00260F39"/>
    <w:rsid w:val="00262B61"/>
    <w:rsid w:val="0026302B"/>
    <w:rsid w:val="002640B7"/>
    <w:rsid w:val="0026646A"/>
    <w:rsid w:val="002724FF"/>
    <w:rsid w:val="00275FA6"/>
    <w:rsid w:val="00276612"/>
    <w:rsid w:val="00276811"/>
    <w:rsid w:val="00276C9A"/>
    <w:rsid w:val="002802BB"/>
    <w:rsid w:val="00280A78"/>
    <w:rsid w:val="00282699"/>
    <w:rsid w:val="002836D6"/>
    <w:rsid w:val="00284859"/>
    <w:rsid w:val="00286FC8"/>
    <w:rsid w:val="0028766A"/>
    <w:rsid w:val="00290CB6"/>
    <w:rsid w:val="002926DF"/>
    <w:rsid w:val="00292DBF"/>
    <w:rsid w:val="00296697"/>
    <w:rsid w:val="002975D1"/>
    <w:rsid w:val="002A2C38"/>
    <w:rsid w:val="002A36C0"/>
    <w:rsid w:val="002A4D80"/>
    <w:rsid w:val="002A7E9B"/>
    <w:rsid w:val="002B0472"/>
    <w:rsid w:val="002B694C"/>
    <w:rsid w:val="002B6B12"/>
    <w:rsid w:val="002D0020"/>
    <w:rsid w:val="002D24A5"/>
    <w:rsid w:val="002E6140"/>
    <w:rsid w:val="002E6985"/>
    <w:rsid w:val="002E71B6"/>
    <w:rsid w:val="002F0E3A"/>
    <w:rsid w:val="002F77C8"/>
    <w:rsid w:val="003012B5"/>
    <w:rsid w:val="003038A1"/>
    <w:rsid w:val="00303BFA"/>
    <w:rsid w:val="00304F22"/>
    <w:rsid w:val="00305162"/>
    <w:rsid w:val="00305F44"/>
    <w:rsid w:val="00306C7C"/>
    <w:rsid w:val="00311E43"/>
    <w:rsid w:val="003160F6"/>
    <w:rsid w:val="00317B04"/>
    <w:rsid w:val="00322EDD"/>
    <w:rsid w:val="00326408"/>
    <w:rsid w:val="00331616"/>
    <w:rsid w:val="00332320"/>
    <w:rsid w:val="00347D72"/>
    <w:rsid w:val="00357611"/>
    <w:rsid w:val="0036186D"/>
    <w:rsid w:val="00367237"/>
    <w:rsid w:val="0037077F"/>
    <w:rsid w:val="00370AEA"/>
    <w:rsid w:val="00370D51"/>
    <w:rsid w:val="00372411"/>
    <w:rsid w:val="00373882"/>
    <w:rsid w:val="003751B5"/>
    <w:rsid w:val="00376DF7"/>
    <w:rsid w:val="003843DB"/>
    <w:rsid w:val="00384BFA"/>
    <w:rsid w:val="003901AC"/>
    <w:rsid w:val="00392E81"/>
    <w:rsid w:val="00393761"/>
    <w:rsid w:val="00394B48"/>
    <w:rsid w:val="00397D18"/>
    <w:rsid w:val="003A0271"/>
    <w:rsid w:val="003A1B36"/>
    <w:rsid w:val="003A440F"/>
    <w:rsid w:val="003A4977"/>
    <w:rsid w:val="003B131F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D6B86"/>
    <w:rsid w:val="003E3D36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7FC"/>
    <w:rsid w:val="004733F6"/>
    <w:rsid w:val="00474E69"/>
    <w:rsid w:val="00477F80"/>
    <w:rsid w:val="00485D09"/>
    <w:rsid w:val="00490EC4"/>
    <w:rsid w:val="00493217"/>
    <w:rsid w:val="00494C34"/>
    <w:rsid w:val="004957AB"/>
    <w:rsid w:val="0049621B"/>
    <w:rsid w:val="0049705B"/>
    <w:rsid w:val="004A56F4"/>
    <w:rsid w:val="004B2EAB"/>
    <w:rsid w:val="004C1895"/>
    <w:rsid w:val="004C1EF7"/>
    <w:rsid w:val="004C4610"/>
    <w:rsid w:val="004C6D40"/>
    <w:rsid w:val="004F0C3C"/>
    <w:rsid w:val="004F63FC"/>
    <w:rsid w:val="00501F76"/>
    <w:rsid w:val="00502E6F"/>
    <w:rsid w:val="00502F8C"/>
    <w:rsid w:val="00505A92"/>
    <w:rsid w:val="00505C25"/>
    <w:rsid w:val="005112CE"/>
    <w:rsid w:val="00511F19"/>
    <w:rsid w:val="005130F1"/>
    <w:rsid w:val="00514030"/>
    <w:rsid w:val="0051519E"/>
    <w:rsid w:val="0051646A"/>
    <w:rsid w:val="00516A50"/>
    <w:rsid w:val="005203F1"/>
    <w:rsid w:val="0052058B"/>
    <w:rsid w:val="00521BC3"/>
    <w:rsid w:val="00526A58"/>
    <w:rsid w:val="00527717"/>
    <w:rsid w:val="00533632"/>
    <w:rsid w:val="0053648F"/>
    <w:rsid w:val="00541C0F"/>
    <w:rsid w:val="00541E6E"/>
    <w:rsid w:val="0054251F"/>
    <w:rsid w:val="00543CD7"/>
    <w:rsid w:val="00550055"/>
    <w:rsid w:val="00550653"/>
    <w:rsid w:val="005520D8"/>
    <w:rsid w:val="00556CF1"/>
    <w:rsid w:val="00564C34"/>
    <w:rsid w:val="00565E96"/>
    <w:rsid w:val="00566A43"/>
    <w:rsid w:val="00571BA5"/>
    <w:rsid w:val="005762A7"/>
    <w:rsid w:val="005809CC"/>
    <w:rsid w:val="00582DBB"/>
    <w:rsid w:val="0058676C"/>
    <w:rsid w:val="005877DE"/>
    <w:rsid w:val="005916D7"/>
    <w:rsid w:val="00593CF4"/>
    <w:rsid w:val="005A047A"/>
    <w:rsid w:val="005A2784"/>
    <w:rsid w:val="005A3F55"/>
    <w:rsid w:val="005A698C"/>
    <w:rsid w:val="005A6EFE"/>
    <w:rsid w:val="005B7189"/>
    <w:rsid w:val="005C123B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5F6A78"/>
    <w:rsid w:val="005F6EA7"/>
    <w:rsid w:val="006044FF"/>
    <w:rsid w:val="00607CC5"/>
    <w:rsid w:val="00607FD5"/>
    <w:rsid w:val="00612A16"/>
    <w:rsid w:val="006149F0"/>
    <w:rsid w:val="00615A26"/>
    <w:rsid w:val="00622FBB"/>
    <w:rsid w:val="006263B7"/>
    <w:rsid w:val="00632C00"/>
    <w:rsid w:val="00633014"/>
    <w:rsid w:val="0063437B"/>
    <w:rsid w:val="006476FF"/>
    <w:rsid w:val="00647EAF"/>
    <w:rsid w:val="006528E0"/>
    <w:rsid w:val="00653DEA"/>
    <w:rsid w:val="0066542B"/>
    <w:rsid w:val="0066616C"/>
    <w:rsid w:val="006673CA"/>
    <w:rsid w:val="00673C26"/>
    <w:rsid w:val="0067430E"/>
    <w:rsid w:val="00674A8B"/>
    <w:rsid w:val="006812AF"/>
    <w:rsid w:val="00682B23"/>
    <w:rsid w:val="0068327D"/>
    <w:rsid w:val="00683EDE"/>
    <w:rsid w:val="00685123"/>
    <w:rsid w:val="00690156"/>
    <w:rsid w:val="00691225"/>
    <w:rsid w:val="00694AF0"/>
    <w:rsid w:val="0069687E"/>
    <w:rsid w:val="0069693F"/>
    <w:rsid w:val="0069739D"/>
    <w:rsid w:val="006A4686"/>
    <w:rsid w:val="006B0E9E"/>
    <w:rsid w:val="006B10E1"/>
    <w:rsid w:val="006B208D"/>
    <w:rsid w:val="006B20B4"/>
    <w:rsid w:val="006B5AE4"/>
    <w:rsid w:val="006B65E2"/>
    <w:rsid w:val="006C1539"/>
    <w:rsid w:val="006C7E1B"/>
    <w:rsid w:val="006D086E"/>
    <w:rsid w:val="006D1507"/>
    <w:rsid w:val="006D4054"/>
    <w:rsid w:val="006D6B72"/>
    <w:rsid w:val="006E02EC"/>
    <w:rsid w:val="006E168B"/>
    <w:rsid w:val="006F0317"/>
    <w:rsid w:val="00701C5E"/>
    <w:rsid w:val="00701F14"/>
    <w:rsid w:val="007034D7"/>
    <w:rsid w:val="00704477"/>
    <w:rsid w:val="007059D5"/>
    <w:rsid w:val="00707951"/>
    <w:rsid w:val="007161DF"/>
    <w:rsid w:val="007162EB"/>
    <w:rsid w:val="007164D0"/>
    <w:rsid w:val="007211B1"/>
    <w:rsid w:val="0072400B"/>
    <w:rsid w:val="00724250"/>
    <w:rsid w:val="0073156D"/>
    <w:rsid w:val="007324DB"/>
    <w:rsid w:val="00733D55"/>
    <w:rsid w:val="007364D7"/>
    <w:rsid w:val="00745511"/>
    <w:rsid w:val="00746187"/>
    <w:rsid w:val="00746AEB"/>
    <w:rsid w:val="00752A67"/>
    <w:rsid w:val="00757B1B"/>
    <w:rsid w:val="00761070"/>
    <w:rsid w:val="0076254F"/>
    <w:rsid w:val="0077078B"/>
    <w:rsid w:val="00771DC8"/>
    <w:rsid w:val="0077212E"/>
    <w:rsid w:val="00773977"/>
    <w:rsid w:val="007801F5"/>
    <w:rsid w:val="00783CA4"/>
    <w:rsid w:val="007842FB"/>
    <w:rsid w:val="00786124"/>
    <w:rsid w:val="0078756B"/>
    <w:rsid w:val="00792E24"/>
    <w:rsid w:val="0079514B"/>
    <w:rsid w:val="007A2DC1"/>
    <w:rsid w:val="007B73A7"/>
    <w:rsid w:val="007B74D8"/>
    <w:rsid w:val="007D318C"/>
    <w:rsid w:val="007D3319"/>
    <w:rsid w:val="007D335D"/>
    <w:rsid w:val="007E3314"/>
    <w:rsid w:val="007E4B03"/>
    <w:rsid w:val="007E57DA"/>
    <w:rsid w:val="007E5E01"/>
    <w:rsid w:val="007F1706"/>
    <w:rsid w:val="007F324B"/>
    <w:rsid w:val="007F4D36"/>
    <w:rsid w:val="00802A9A"/>
    <w:rsid w:val="0080551D"/>
    <w:rsid w:val="0080553C"/>
    <w:rsid w:val="00805B46"/>
    <w:rsid w:val="00820461"/>
    <w:rsid w:val="00820B10"/>
    <w:rsid w:val="0082498D"/>
    <w:rsid w:val="00825DC2"/>
    <w:rsid w:val="0082618C"/>
    <w:rsid w:val="0082635D"/>
    <w:rsid w:val="00831172"/>
    <w:rsid w:val="00834AD3"/>
    <w:rsid w:val="008362A4"/>
    <w:rsid w:val="00842C2D"/>
    <w:rsid w:val="00843795"/>
    <w:rsid w:val="0084421C"/>
    <w:rsid w:val="00847F0F"/>
    <w:rsid w:val="0085006E"/>
    <w:rsid w:val="00852448"/>
    <w:rsid w:val="00854143"/>
    <w:rsid w:val="008628F4"/>
    <w:rsid w:val="0088258A"/>
    <w:rsid w:val="008832C4"/>
    <w:rsid w:val="00883763"/>
    <w:rsid w:val="00886332"/>
    <w:rsid w:val="00891A48"/>
    <w:rsid w:val="00892812"/>
    <w:rsid w:val="00896DFA"/>
    <w:rsid w:val="008A26D9"/>
    <w:rsid w:val="008A7FA1"/>
    <w:rsid w:val="008B0AF7"/>
    <w:rsid w:val="008B22DF"/>
    <w:rsid w:val="008B2EEF"/>
    <w:rsid w:val="008B4AE0"/>
    <w:rsid w:val="008B6E50"/>
    <w:rsid w:val="008C0C29"/>
    <w:rsid w:val="008C7A01"/>
    <w:rsid w:val="008D368B"/>
    <w:rsid w:val="008E287E"/>
    <w:rsid w:val="008E5CBF"/>
    <w:rsid w:val="008F07F6"/>
    <w:rsid w:val="008F3638"/>
    <w:rsid w:val="008F4441"/>
    <w:rsid w:val="008F6F31"/>
    <w:rsid w:val="008F74DF"/>
    <w:rsid w:val="00900A56"/>
    <w:rsid w:val="009127BA"/>
    <w:rsid w:val="009143FB"/>
    <w:rsid w:val="00916782"/>
    <w:rsid w:val="00917CCF"/>
    <w:rsid w:val="009227A6"/>
    <w:rsid w:val="009230D8"/>
    <w:rsid w:val="00930E40"/>
    <w:rsid w:val="00930ED9"/>
    <w:rsid w:val="00932DDA"/>
    <w:rsid w:val="00933B26"/>
    <w:rsid w:val="00933EC1"/>
    <w:rsid w:val="00934246"/>
    <w:rsid w:val="00935C4F"/>
    <w:rsid w:val="00942DCA"/>
    <w:rsid w:val="0094377F"/>
    <w:rsid w:val="009530DB"/>
    <w:rsid w:val="00953676"/>
    <w:rsid w:val="009555D4"/>
    <w:rsid w:val="00964D8C"/>
    <w:rsid w:val="00965DC5"/>
    <w:rsid w:val="009705EE"/>
    <w:rsid w:val="00971217"/>
    <w:rsid w:val="0097252A"/>
    <w:rsid w:val="00977927"/>
    <w:rsid w:val="0098135C"/>
    <w:rsid w:val="0098156A"/>
    <w:rsid w:val="009826C9"/>
    <w:rsid w:val="00990133"/>
    <w:rsid w:val="00991BAC"/>
    <w:rsid w:val="009963D7"/>
    <w:rsid w:val="009A177D"/>
    <w:rsid w:val="009A347C"/>
    <w:rsid w:val="009A5A82"/>
    <w:rsid w:val="009A6EA0"/>
    <w:rsid w:val="009B1399"/>
    <w:rsid w:val="009B746F"/>
    <w:rsid w:val="009B76FA"/>
    <w:rsid w:val="009C1335"/>
    <w:rsid w:val="009C1AB2"/>
    <w:rsid w:val="009C375D"/>
    <w:rsid w:val="009C5407"/>
    <w:rsid w:val="009C7251"/>
    <w:rsid w:val="009D2DC8"/>
    <w:rsid w:val="009D44F0"/>
    <w:rsid w:val="009E1FE1"/>
    <w:rsid w:val="009E2E91"/>
    <w:rsid w:val="009E3BF4"/>
    <w:rsid w:val="009E3F12"/>
    <w:rsid w:val="009E3FA7"/>
    <w:rsid w:val="009E410D"/>
    <w:rsid w:val="009E57BB"/>
    <w:rsid w:val="009F5815"/>
    <w:rsid w:val="00A013DD"/>
    <w:rsid w:val="00A02F5D"/>
    <w:rsid w:val="00A076DA"/>
    <w:rsid w:val="00A07F00"/>
    <w:rsid w:val="00A12435"/>
    <w:rsid w:val="00A12AC7"/>
    <w:rsid w:val="00A139F5"/>
    <w:rsid w:val="00A16126"/>
    <w:rsid w:val="00A16290"/>
    <w:rsid w:val="00A2136A"/>
    <w:rsid w:val="00A34A25"/>
    <w:rsid w:val="00A34C24"/>
    <w:rsid w:val="00A365F4"/>
    <w:rsid w:val="00A37CE0"/>
    <w:rsid w:val="00A4119C"/>
    <w:rsid w:val="00A43CB4"/>
    <w:rsid w:val="00A459FF"/>
    <w:rsid w:val="00A460E6"/>
    <w:rsid w:val="00A46BD5"/>
    <w:rsid w:val="00A47937"/>
    <w:rsid w:val="00A47D80"/>
    <w:rsid w:val="00A51BB2"/>
    <w:rsid w:val="00A52324"/>
    <w:rsid w:val="00A53132"/>
    <w:rsid w:val="00A55B73"/>
    <w:rsid w:val="00A55B85"/>
    <w:rsid w:val="00A563F2"/>
    <w:rsid w:val="00A566E8"/>
    <w:rsid w:val="00A76D9E"/>
    <w:rsid w:val="00A810F9"/>
    <w:rsid w:val="00A86ECC"/>
    <w:rsid w:val="00A86FCC"/>
    <w:rsid w:val="00A93892"/>
    <w:rsid w:val="00AA13BD"/>
    <w:rsid w:val="00AA710D"/>
    <w:rsid w:val="00AB5702"/>
    <w:rsid w:val="00AB6D25"/>
    <w:rsid w:val="00AD0B46"/>
    <w:rsid w:val="00AD4947"/>
    <w:rsid w:val="00AD5C9C"/>
    <w:rsid w:val="00AE20FD"/>
    <w:rsid w:val="00AE2D4B"/>
    <w:rsid w:val="00AE3075"/>
    <w:rsid w:val="00AE4F99"/>
    <w:rsid w:val="00AE6B84"/>
    <w:rsid w:val="00AE751C"/>
    <w:rsid w:val="00AF22FA"/>
    <w:rsid w:val="00B05BC8"/>
    <w:rsid w:val="00B06265"/>
    <w:rsid w:val="00B11B69"/>
    <w:rsid w:val="00B14697"/>
    <w:rsid w:val="00B14952"/>
    <w:rsid w:val="00B210CA"/>
    <w:rsid w:val="00B228E3"/>
    <w:rsid w:val="00B31E5A"/>
    <w:rsid w:val="00B322EC"/>
    <w:rsid w:val="00B37F5A"/>
    <w:rsid w:val="00B40DD0"/>
    <w:rsid w:val="00B50208"/>
    <w:rsid w:val="00B5056F"/>
    <w:rsid w:val="00B50A80"/>
    <w:rsid w:val="00B546EF"/>
    <w:rsid w:val="00B609CE"/>
    <w:rsid w:val="00B653AB"/>
    <w:rsid w:val="00B65F9E"/>
    <w:rsid w:val="00B663CB"/>
    <w:rsid w:val="00B66B19"/>
    <w:rsid w:val="00B67DFB"/>
    <w:rsid w:val="00B71481"/>
    <w:rsid w:val="00B73BE9"/>
    <w:rsid w:val="00B75715"/>
    <w:rsid w:val="00B76CF1"/>
    <w:rsid w:val="00B85CAB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49C5"/>
    <w:rsid w:val="00BA5A42"/>
    <w:rsid w:val="00BB281B"/>
    <w:rsid w:val="00BB2F90"/>
    <w:rsid w:val="00BB4773"/>
    <w:rsid w:val="00BB4F09"/>
    <w:rsid w:val="00BC1505"/>
    <w:rsid w:val="00BC17C7"/>
    <w:rsid w:val="00BC50F0"/>
    <w:rsid w:val="00BD4CA6"/>
    <w:rsid w:val="00BD4E33"/>
    <w:rsid w:val="00BD71BA"/>
    <w:rsid w:val="00BE1617"/>
    <w:rsid w:val="00BE2252"/>
    <w:rsid w:val="00BE4B65"/>
    <w:rsid w:val="00BF34A4"/>
    <w:rsid w:val="00C00EDA"/>
    <w:rsid w:val="00C030DE"/>
    <w:rsid w:val="00C22105"/>
    <w:rsid w:val="00C23F3B"/>
    <w:rsid w:val="00C244B6"/>
    <w:rsid w:val="00C27D75"/>
    <w:rsid w:val="00C30363"/>
    <w:rsid w:val="00C3618E"/>
    <w:rsid w:val="00C3702F"/>
    <w:rsid w:val="00C43A8A"/>
    <w:rsid w:val="00C4500A"/>
    <w:rsid w:val="00C55C91"/>
    <w:rsid w:val="00C62E44"/>
    <w:rsid w:val="00C64A37"/>
    <w:rsid w:val="00C64A6B"/>
    <w:rsid w:val="00C662A5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A7EF7"/>
    <w:rsid w:val="00CB0A69"/>
    <w:rsid w:val="00CB565C"/>
    <w:rsid w:val="00CB56CB"/>
    <w:rsid w:val="00CC0401"/>
    <w:rsid w:val="00CC2505"/>
    <w:rsid w:val="00CC739E"/>
    <w:rsid w:val="00CD1E2E"/>
    <w:rsid w:val="00CD2371"/>
    <w:rsid w:val="00CD58B7"/>
    <w:rsid w:val="00CE019A"/>
    <w:rsid w:val="00CE4E3A"/>
    <w:rsid w:val="00CE52F0"/>
    <w:rsid w:val="00CE5BDA"/>
    <w:rsid w:val="00CF031B"/>
    <w:rsid w:val="00CF08EF"/>
    <w:rsid w:val="00CF4099"/>
    <w:rsid w:val="00CF40D2"/>
    <w:rsid w:val="00CF4349"/>
    <w:rsid w:val="00CF4474"/>
    <w:rsid w:val="00CF4C96"/>
    <w:rsid w:val="00D00796"/>
    <w:rsid w:val="00D01E8A"/>
    <w:rsid w:val="00D02D2C"/>
    <w:rsid w:val="00D071EB"/>
    <w:rsid w:val="00D11091"/>
    <w:rsid w:val="00D11CF3"/>
    <w:rsid w:val="00D23F61"/>
    <w:rsid w:val="00D261A2"/>
    <w:rsid w:val="00D34BD4"/>
    <w:rsid w:val="00D37A41"/>
    <w:rsid w:val="00D538E4"/>
    <w:rsid w:val="00D616D2"/>
    <w:rsid w:val="00D63688"/>
    <w:rsid w:val="00D63B5F"/>
    <w:rsid w:val="00D66AFE"/>
    <w:rsid w:val="00D70272"/>
    <w:rsid w:val="00D70350"/>
    <w:rsid w:val="00D7066F"/>
    <w:rsid w:val="00D70EF7"/>
    <w:rsid w:val="00D80596"/>
    <w:rsid w:val="00D815F5"/>
    <w:rsid w:val="00D8397C"/>
    <w:rsid w:val="00D83F2F"/>
    <w:rsid w:val="00D84DE7"/>
    <w:rsid w:val="00D918B4"/>
    <w:rsid w:val="00D92A0A"/>
    <w:rsid w:val="00D94EED"/>
    <w:rsid w:val="00D950B4"/>
    <w:rsid w:val="00D96026"/>
    <w:rsid w:val="00DA0243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572F"/>
    <w:rsid w:val="00DC5A91"/>
    <w:rsid w:val="00DC6708"/>
    <w:rsid w:val="00DC71A8"/>
    <w:rsid w:val="00DC7CFA"/>
    <w:rsid w:val="00DD2587"/>
    <w:rsid w:val="00DD4A41"/>
    <w:rsid w:val="00DD5707"/>
    <w:rsid w:val="00DE0AFD"/>
    <w:rsid w:val="00DE4C9A"/>
    <w:rsid w:val="00DE50C7"/>
    <w:rsid w:val="00DE775D"/>
    <w:rsid w:val="00DE7955"/>
    <w:rsid w:val="00DF1C78"/>
    <w:rsid w:val="00DF712D"/>
    <w:rsid w:val="00DF74A6"/>
    <w:rsid w:val="00E01436"/>
    <w:rsid w:val="00E045BD"/>
    <w:rsid w:val="00E137FD"/>
    <w:rsid w:val="00E161B7"/>
    <w:rsid w:val="00E17A9F"/>
    <w:rsid w:val="00E17B77"/>
    <w:rsid w:val="00E23337"/>
    <w:rsid w:val="00E259EA"/>
    <w:rsid w:val="00E27E85"/>
    <w:rsid w:val="00E30793"/>
    <w:rsid w:val="00E32061"/>
    <w:rsid w:val="00E37F13"/>
    <w:rsid w:val="00E41FCF"/>
    <w:rsid w:val="00E42FF9"/>
    <w:rsid w:val="00E4714C"/>
    <w:rsid w:val="00E507D9"/>
    <w:rsid w:val="00E51AEB"/>
    <w:rsid w:val="00E522A7"/>
    <w:rsid w:val="00E54452"/>
    <w:rsid w:val="00E616DF"/>
    <w:rsid w:val="00E61F84"/>
    <w:rsid w:val="00E6255A"/>
    <w:rsid w:val="00E664C5"/>
    <w:rsid w:val="00E6711A"/>
    <w:rsid w:val="00E671A2"/>
    <w:rsid w:val="00E67C66"/>
    <w:rsid w:val="00E70563"/>
    <w:rsid w:val="00E76D26"/>
    <w:rsid w:val="00E77429"/>
    <w:rsid w:val="00E829CC"/>
    <w:rsid w:val="00E95BE5"/>
    <w:rsid w:val="00E97679"/>
    <w:rsid w:val="00EA5D88"/>
    <w:rsid w:val="00EB02C9"/>
    <w:rsid w:val="00EB1390"/>
    <w:rsid w:val="00EB2C71"/>
    <w:rsid w:val="00EB3867"/>
    <w:rsid w:val="00EB4340"/>
    <w:rsid w:val="00EB556D"/>
    <w:rsid w:val="00EB5A7D"/>
    <w:rsid w:val="00EC1A7B"/>
    <w:rsid w:val="00EC5934"/>
    <w:rsid w:val="00ED55C0"/>
    <w:rsid w:val="00ED63E8"/>
    <w:rsid w:val="00ED682B"/>
    <w:rsid w:val="00EE2E38"/>
    <w:rsid w:val="00EE41D5"/>
    <w:rsid w:val="00EE696D"/>
    <w:rsid w:val="00EF4CEE"/>
    <w:rsid w:val="00EF7B36"/>
    <w:rsid w:val="00F037A4"/>
    <w:rsid w:val="00F04C11"/>
    <w:rsid w:val="00F05A62"/>
    <w:rsid w:val="00F12FEC"/>
    <w:rsid w:val="00F24ECF"/>
    <w:rsid w:val="00F26013"/>
    <w:rsid w:val="00F27C8F"/>
    <w:rsid w:val="00F30A0C"/>
    <w:rsid w:val="00F32749"/>
    <w:rsid w:val="00F3314D"/>
    <w:rsid w:val="00F37172"/>
    <w:rsid w:val="00F4477E"/>
    <w:rsid w:val="00F455A2"/>
    <w:rsid w:val="00F45717"/>
    <w:rsid w:val="00F467C3"/>
    <w:rsid w:val="00F479EB"/>
    <w:rsid w:val="00F52335"/>
    <w:rsid w:val="00F532DF"/>
    <w:rsid w:val="00F612DB"/>
    <w:rsid w:val="00F61FF9"/>
    <w:rsid w:val="00F64207"/>
    <w:rsid w:val="00F65EEC"/>
    <w:rsid w:val="00F6637E"/>
    <w:rsid w:val="00F66E38"/>
    <w:rsid w:val="00F67D8F"/>
    <w:rsid w:val="00F739B3"/>
    <w:rsid w:val="00F74897"/>
    <w:rsid w:val="00F74B10"/>
    <w:rsid w:val="00F75C6D"/>
    <w:rsid w:val="00F80247"/>
    <w:rsid w:val="00F802BE"/>
    <w:rsid w:val="00F80E93"/>
    <w:rsid w:val="00F86024"/>
    <w:rsid w:val="00F8611A"/>
    <w:rsid w:val="00F86C02"/>
    <w:rsid w:val="00F90BB1"/>
    <w:rsid w:val="00F92824"/>
    <w:rsid w:val="00F93CA3"/>
    <w:rsid w:val="00FA07DA"/>
    <w:rsid w:val="00FA4685"/>
    <w:rsid w:val="00FA5128"/>
    <w:rsid w:val="00FB42D4"/>
    <w:rsid w:val="00FB5906"/>
    <w:rsid w:val="00FB762F"/>
    <w:rsid w:val="00FC143D"/>
    <w:rsid w:val="00FC2AED"/>
    <w:rsid w:val="00FC303F"/>
    <w:rsid w:val="00FD5EA7"/>
    <w:rsid w:val="00FD6659"/>
    <w:rsid w:val="00FE06CE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5B1BF1-46C5-431C-86E8-3B3DE931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://stat.gov.pl/en/latest-statistical-news/news-releases/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en/topics/prices-trade/price-indices/" TargetMode="External"/><Relationship Id="rId42" Type="http://schemas.openxmlformats.org/officeDocument/2006/relationships/hyperlink" Target="https://bdl.stat.gov.pl/BDL/start?lang=en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documents/10186/10693286/HICP_guidance.pdf" TargetMode="External"/><Relationship Id="rId29" Type="http://schemas.openxmlformats.org/officeDocument/2006/relationships/hyperlink" Target="http://stat.gov.pl/en/latest-statistical-news/communications-and-announcements/" TargetMode="External"/><Relationship Id="rId11" Type="http://schemas.openxmlformats.org/officeDocument/2006/relationships/chart" Target="charts/chart1.xml"/><Relationship Id="rId24" Type="http://schemas.openxmlformats.org/officeDocument/2006/relationships/image" Target="media/image5.png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hyperlink" Target="http://swaid.stat.gov.pl/EN/SitePagesDBW/Ceny.aspx" TargetMode="External"/><Relationship Id="rId45" Type="http://schemas.openxmlformats.org/officeDocument/2006/relationships/hyperlink" Target="http://stat.gov.pl/en/metainformations/glossary/terms-used-in-official-statistics/711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metainformations/glossary/terms-used-in-official-statistics/711,term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31" Type="http://schemas.openxmlformats.org/officeDocument/2006/relationships/hyperlink" Target="http://swaid.stat.gov.pl/EN/SitePagesDBW/Ceny.aspx" TargetMode="External"/><Relationship Id="rId44" Type="http://schemas.openxmlformats.org/officeDocument/2006/relationships/hyperlink" Target="http://stat.gov.pl/en/topics/prices-trade/pri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footer" Target="footer2.xm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Relationship Id="rId43" Type="http://schemas.openxmlformats.org/officeDocument/2006/relationships/hyperlink" Target="http://stat.gov.pl/en/topics/prices-trade/price-indices/" TargetMode="External"/><Relationship Id="rId48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yperlink" Target="https://ec.europa.eu/eurostat/documents/10186/10693286/HICP_lifting_lockdown_measures_guidance.pdf" TargetMode="Externa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yperlink" Target="http://stat.gov.pl/en/latest-statistical-news/communications-and-announcements/" TargetMode="External"/><Relationship Id="rId46" Type="http://schemas.openxmlformats.org/officeDocument/2006/relationships/hyperlink" Target="http://stat.gov.pl/en/metainformations/glossary/terms-used-in-official-statistics/32,term.html" TargetMode="External"/><Relationship Id="rId20" Type="http://schemas.openxmlformats.org/officeDocument/2006/relationships/footer" Target="footer1.xm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20\WYKRESY\11_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2.4869900470757596E-2"/>
          <c:w val="0.52658061332077077"/>
          <c:h val="0.891235830312342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WPŁYWY!$A$35:$A$44</c:f>
              <c:strCache>
                <c:ptCount val="10"/>
                <c:pt idx="0">
                  <c:v>Fruit</c:v>
                </c:pt>
                <c:pt idx="1">
                  <c:v>Garments</c:v>
                </c:pt>
                <c:pt idx="2">
                  <c:v>Meat</c:v>
                </c:pt>
                <c:pt idx="3">
                  <c:v>Transport services</c:v>
                </c:pt>
                <c:pt idx="4">
                  <c:v>Footwear</c:v>
                </c:pt>
                <c:pt idx="5">
                  <c:v>Articles for personal hygiene and wellness, 
esoteric products and beauty products</c:v>
                </c:pt>
                <c:pt idx="6">
                  <c:v>Refuse collection</c:v>
                </c:pt>
                <c:pt idx="7">
                  <c:v>Telephone and telefax services</c:v>
                </c:pt>
                <c:pt idx="8">
                  <c:v>Catering services</c:v>
                </c:pt>
                <c:pt idx="9">
                  <c:v>Vegetables</c:v>
                </c:pt>
              </c:strCache>
            </c:strRef>
          </c:cat>
          <c:val>
            <c:numRef>
              <c:f>WPŁYWY!$C$35:$C$44</c:f>
              <c:numCache>
                <c:formatCode>0.00</c:formatCode>
                <c:ptCount val="10"/>
                <c:pt idx="0">
                  <c:v>-0.09</c:v>
                </c:pt>
                <c:pt idx="1">
                  <c:v>-0.04</c:v>
                </c:pt>
                <c:pt idx="2">
                  <c:v>-0.04</c:v>
                </c:pt>
                <c:pt idx="3">
                  <c:v>-0.03</c:v>
                </c:pt>
                <c:pt idx="4">
                  <c:v>-0.02</c:v>
                </c:pt>
                <c:pt idx="5">
                  <c:v>0.02</c:v>
                </c:pt>
                <c:pt idx="6">
                  <c:v>0.03</c:v>
                </c:pt>
                <c:pt idx="7">
                  <c:v>0.05</c:v>
                </c:pt>
                <c:pt idx="8">
                  <c:v>7.0000000000000007E-2</c:v>
                </c:pt>
                <c:pt idx="9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6215104"/>
        <c:axId val="1996226528"/>
      </c:barChart>
      <c:catAx>
        <c:axId val="199621510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 algn="r"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996226528"/>
        <c:crossesAt val="0"/>
        <c:auto val="1"/>
        <c:lblAlgn val="ctr"/>
        <c:lblOffset val="400"/>
        <c:tickMarkSkip val="1"/>
        <c:noMultiLvlLbl val="0"/>
      </c:catAx>
      <c:valAx>
        <c:axId val="1996226528"/>
        <c:scaling>
          <c:orientation val="minMax"/>
          <c:max val="0.15000000000000002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996215104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96220544"/>
        <c:axId val="1996218368"/>
      </c:barChart>
      <c:catAx>
        <c:axId val="1996220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1996218368"/>
        <c:crosses val="autoZero"/>
        <c:auto val="0"/>
        <c:lblAlgn val="ctr"/>
        <c:lblOffset val="100"/>
        <c:noMultiLvlLbl val="0"/>
      </c:catAx>
      <c:valAx>
        <c:axId val="1996218368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9962205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4.1462322130901709E-2"/>
                  <c:y val="4.1864066666407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082859766814122E-2"/>
                  <c:y val="2.542452482330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599079354789142E-2"/>
                  <c:y val="3.0088453984149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145085820135E-2"/>
                  <c:y val="-2.7279937179459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227975323367521E-2"/>
                  <c:y val="4.154535793643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867348435223836E-2"/>
                  <c:y val="3.9887160660805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29501773629281E-2"/>
                  <c:y val="2.5589322579096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771994710827676E-2"/>
                  <c:y val="9.64078928417110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65913138518742E-2"/>
                  <c:y val="-4.3477459311536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44456371647304E-2"/>
                  <c:y val="-2.346075183638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73249047039556E-2"/>
                  <c:y val="-2.1987571853858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036273874512248E-2"/>
                  <c:y val="1.8926723619299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201748768329E-2"/>
                  <c:y val="-3.46455036830170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0323374515875006E-2"/>
                  <c:y val="-3.8968890886319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614452386460248E-2"/>
                  <c:y val="-3.6943828877677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6.4792085838631178E-2"/>
                  <c:y val="-3.5300522264281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4959735156323769E-2"/>
                  <c:y val="-3.129865018084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'M-1'!$B$38:$B$60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'M-1'!$C$38:$C$60</c:f>
              <c:numCache>
                <c:formatCode>0.0</c:formatCode>
                <c:ptCount val="23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  <c:pt idx="18">
                  <c:v>-0.2</c:v>
                </c:pt>
                <c:pt idx="19">
                  <c:v>-0.1</c:v>
                </c:pt>
                <c:pt idx="20">
                  <c:v>0.2</c:v>
                </c:pt>
                <c:pt idx="21">
                  <c:v>0.1</c:v>
                </c:pt>
                <c:pt idx="22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6228704"/>
        <c:axId val="1996229248"/>
      </c:lineChart>
      <c:dateAx>
        <c:axId val="199622870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996229248"/>
        <c:crossesAt val="0"/>
        <c:auto val="0"/>
        <c:lblOffset val="100"/>
        <c:baseTimeUnit val="days"/>
      </c:dateAx>
      <c:valAx>
        <c:axId val="1996229248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99622870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722914833453E-2"/>
                  <c:y val="-4.1308898139890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473125520600358E-2"/>
                  <c:y val="-3.5819128760706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484229051433112E-2"/>
                  <c:y val="1.7395938664863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7786713153240278E-2"/>
                  <c:y val="-2.5901657031163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220935206238491E-2"/>
                  <c:y val="-4.1155862544958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683374165693573E-2"/>
                  <c:y val="-2.977804865078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6.0258009975220017E-2"/>
                  <c:y val="1.53364968717165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5.5651720489323611E-2"/>
                  <c:y val="2.7510873293597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6.1634783925525016E-2"/>
                  <c:y val="1.216586882130674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54040935460724E-2"/>
                  <c:y val="3.3194185718641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7877391205585625E-2"/>
                  <c:y val="-1.4945147245296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79522229191199E-2"/>
                  <c:y val="-3.0105691468771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0334949791819741E-2"/>
                  <c:y val="1.6596513729376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6433994611805E-2"/>
                  <c:y val="1.3887949629802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(+FE)'!$B$38:$B$60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'M-12 (+FE)'!$C$38:$C$60</c:f>
              <c:numCache>
                <c:formatCode>0.0</c:formatCode>
                <c:ptCount val="23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6227072"/>
        <c:axId val="1996214016"/>
      </c:lineChart>
      <c:dateAx>
        <c:axId val="19962270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996214016"/>
        <c:crossesAt val="0"/>
        <c:auto val="0"/>
        <c:lblOffset val="100"/>
        <c:baseTimeUnit val="days"/>
      </c:dateAx>
      <c:valAx>
        <c:axId val="1996214016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99622707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m-12'!$B$39:$B$61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'CPI_HICP m-12'!$C$39:$C$61</c:f>
              <c:numCache>
                <c:formatCode>0.0</c:formatCode>
                <c:ptCount val="23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m-12'!$B$39:$B$61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'CPI_HICP m-12'!$E$39:$E$60</c:f>
              <c:numCache>
                <c:formatCode>0.0</c:formatCode>
                <c:ptCount val="22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  <c:pt idx="15">
                  <c:v>2.9</c:v>
                </c:pt>
                <c:pt idx="16">
                  <c:v>3.4</c:v>
                </c:pt>
                <c:pt idx="17">
                  <c:v>3.8</c:v>
                </c:pt>
                <c:pt idx="18">
                  <c:v>3.7</c:v>
                </c:pt>
                <c:pt idx="19">
                  <c:v>3.7</c:v>
                </c:pt>
                <c:pt idx="20">
                  <c:v>3.8</c:v>
                </c:pt>
                <c:pt idx="21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6221632"/>
        <c:axId val="1996216736"/>
      </c:lineChart>
      <c:catAx>
        <c:axId val="199622163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99621673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996216736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996221632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41323705275"/>
          <c:y val="0.623940322056346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0.51664</cdr:x>
      <cdr:y>0.86379</cdr:y>
    </cdr:from>
    <cdr:to>
      <cdr:x>0.51707</cdr:x>
      <cdr:y>0.94026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646512" y="2198418"/>
          <a:ext cx="2202" cy="194623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0.09153</cdr:x>
      <cdr:y>0.93666</cdr:y>
    </cdr:from>
    <cdr:to>
      <cdr:x>0.51777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70454" y="2379635"/>
          <a:ext cx="2190804" cy="160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0.52027</cdr:x>
      <cdr:y>0.93033</cdr:y>
    </cdr:from>
    <cdr:to>
      <cdr:x>0.9152</cdr:x>
      <cdr:y>0.99362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2674131" y="2363554"/>
          <a:ext cx="2029900" cy="160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3211" y="1608768"/>
          <a:ext cx="4410664" cy="72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0.06986</cdr:x>
      <cdr:y>0.29115</cdr:y>
    </cdr:from>
    <cdr:to>
      <cdr:x>0.92444</cdr:x>
      <cdr:y>0.29664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7861" y="752463"/>
          <a:ext cx="4377624" cy="1418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0.93413</cdr:y>
    </cdr:from>
    <cdr:to>
      <cdr:x>0.51577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46488" y="2470668"/>
          <a:ext cx="2306906" cy="1613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0.51954</cdr:x>
      <cdr:y>0.93413</cdr:y>
    </cdr:from>
    <cdr:to>
      <cdr:x>0.9278</cdr:x>
      <cdr:y>0.99582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672833" y="2470669"/>
          <a:ext cx="2100302" cy="1631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0.51667</cdr:x>
      <cdr:y>0.86607</cdr:y>
    </cdr:from>
    <cdr:to>
      <cdr:x>0.5169</cdr:x>
      <cdr:y>0.96275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V="1">
          <a:off x="2646640" y="2238316"/>
          <a:ext cx="1193" cy="24987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0.18145</cdr:x>
      <cdr:y>0.21251</cdr:y>
    </cdr:from>
    <cdr:to>
      <cdr:x>0.48149</cdr:x>
      <cdr:y>0.29141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929470" y="549221"/>
          <a:ext cx="1536969" cy="2039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0.18377</cdr:x>
      <cdr:y>0.62333</cdr:y>
    </cdr:from>
    <cdr:to>
      <cdr:x>0.46496</cdr:x>
      <cdr:y>0.70222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941345" y="1610965"/>
          <a:ext cx="1440409" cy="2038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0.47826</cdr:x>
      <cdr:y>0.45049</cdr:y>
    </cdr:from>
    <cdr:to>
      <cdr:x>0.66743</cdr:x>
      <cdr:y>0.53729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49926" y="1164273"/>
          <a:ext cx="969032" cy="2243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0.07505</cdr:x>
      <cdr:y>0.91859</cdr:y>
    </cdr:from>
    <cdr:to>
      <cdr:x>0.92506</cdr:x>
      <cdr:y>0.98915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86393" y="2325131"/>
          <a:ext cx="4376108" cy="1785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2019                                                                               2020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0.51553</cdr:x>
      <cdr:y>0.85038</cdr:y>
    </cdr:from>
    <cdr:to>
      <cdr:x>0.51595</cdr:x>
      <cdr:y>0.94113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H="1" flipV="1">
          <a:off x="2640842" y="2142698"/>
          <a:ext cx="2136" cy="22864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CPI_05_2020.docx</NazwaPliku>
    <Odbiorcy2 xmlns="8C029B3F-2CC4-4A59-AF0D-A90575FA3373" xsi:nil="true"/>
    <Osoba xmlns="8C029B3F-2CC4-4A59-AF0D-A90575FA3373">STAT\TurekD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CE1DF0-24CE-4224-8C49-4BB908AE9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3D688-8AFA-40AE-98BD-4B6434AF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7</Pages>
  <Words>1359</Words>
  <Characters>8157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2020-06-12T14:03:00Z</cp:lastPrinted>
  <dcterms:created xsi:type="dcterms:W3CDTF">2020-06-15T05:12:00Z</dcterms:created>
  <dcterms:modified xsi:type="dcterms:W3CDTF">2020-12-15T07:36:00Z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