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6B44F3" w:rsidRDefault="006B44F3" w:rsidP="003047EF">
      <w:pPr>
        <w:pStyle w:val="tytuinformacji"/>
        <w:rPr>
          <w:lang w:val="en-GB"/>
        </w:rPr>
      </w:pPr>
      <w:r w:rsidRPr="005D729A">
        <w:rPr>
          <w:lang w:val="en-GB"/>
        </w:rPr>
        <w:t>Consumer price indices in</w:t>
      </w:r>
      <w:r>
        <w:rPr>
          <w:lang w:val="en-GB"/>
        </w:rPr>
        <w:t xml:space="preserve"> September </w:t>
      </w:r>
      <w:r w:rsidR="00481D83" w:rsidRPr="006B44F3">
        <w:rPr>
          <w:lang w:val="en-GB"/>
        </w:rPr>
        <w:t>2020</w:t>
      </w:r>
    </w:p>
    <w:p w:rsidR="00AD4947" w:rsidRPr="006B44F3" w:rsidRDefault="00AD4947" w:rsidP="00AD4947">
      <w:pPr>
        <w:pStyle w:val="tytuinformacji"/>
        <w:rPr>
          <w:sz w:val="32"/>
          <w:highlight w:val="yellow"/>
          <w:lang w:val="en-GB"/>
        </w:rPr>
      </w:pPr>
    </w:p>
    <w:p w:rsidR="00E52010" w:rsidRPr="006B44F3" w:rsidRDefault="00DB7510" w:rsidP="00E52010">
      <w:pPr>
        <w:pStyle w:val="LID"/>
        <w:spacing w:before="0" w:after="0"/>
        <w:rPr>
          <w:lang w:val="en-GB"/>
        </w:rPr>
      </w:pPr>
      <w:r>
        <w:rPr>
          <w:lang w:val="en-GB" w:eastAsia="en-GB"/>
        </w:rPr>
        <w:pict w14:anchorId="5708073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.95pt;width:2in;height:96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210DAC" w:rsidRPr="006B44F3" w:rsidRDefault="00210DAC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4F2262C9" wp14:editId="7534A7FC">
                        <wp:extent cx="334645" cy="334645"/>
                        <wp:effectExtent l="0" t="0" r="8255" b="8255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44F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6B44F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3.2%</w:t>
                  </w:r>
                </w:p>
                <w:p w:rsidR="00210DAC" w:rsidRPr="006B44F3" w:rsidRDefault="00210DAC" w:rsidP="00E52010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CC5F03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CC5F03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6B44F3" w:rsidRPr="006B44F3">
        <w:rPr>
          <w:lang w:val="en-GB" w:eastAsia="en-GB"/>
        </w:rPr>
        <w:t>Consumer prices in</w:t>
      </w:r>
      <w:r w:rsidR="00D538E4" w:rsidRPr="006B44F3">
        <w:rPr>
          <w:lang w:val="en-GB"/>
        </w:rPr>
        <w:t xml:space="preserve"> </w:t>
      </w:r>
      <w:r w:rsidR="006B44F3" w:rsidRPr="006B44F3">
        <w:rPr>
          <w:lang w:val="en-GB"/>
        </w:rPr>
        <w:t xml:space="preserve">September </w:t>
      </w:r>
      <w:r w:rsidR="00D518F8" w:rsidRPr="006B44F3">
        <w:rPr>
          <w:lang w:val="en-GB"/>
        </w:rPr>
        <w:t>2020</w:t>
      </w:r>
      <w:r w:rsidR="00E52010" w:rsidRPr="006B44F3">
        <w:rPr>
          <w:lang w:val="en-GB"/>
        </w:rPr>
        <w:t xml:space="preserve"> </w:t>
      </w:r>
      <w:r w:rsidR="00210DAC">
        <w:rPr>
          <w:lang w:val="en-GB" w:eastAsia="en-GB"/>
        </w:rPr>
        <w:t>compared with the </w:t>
      </w:r>
      <w:r w:rsidR="006B44F3" w:rsidRPr="005D729A">
        <w:rPr>
          <w:lang w:val="en-GB" w:eastAsia="en-GB"/>
        </w:rPr>
        <w:t>corresponding month of</w:t>
      </w:r>
      <w:r w:rsidR="006B44F3">
        <w:rPr>
          <w:lang w:val="en-GB" w:eastAsia="en-GB"/>
        </w:rPr>
        <w:t xml:space="preserve"> the previous year increased by </w:t>
      </w:r>
      <w:r w:rsidR="00EB7815" w:rsidRPr="006B44F3">
        <w:rPr>
          <w:lang w:val="en-GB"/>
        </w:rPr>
        <w:t>3,2</w:t>
      </w:r>
      <w:r w:rsidR="00E52010" w:rsidRPr="006B44F3">
        <w:rPr>
          <w:lang w:val="en-GB"/>
        </w:rPr>
        <w:t xml:space="preserve">% </w:t>
      </w:r>
      <w:r w:rsidR="004C732A" w:rsidRPr="006B44F3">
        <w:rPr>
          <w:lang w:val="en-GB"/>
        </w:rPr>
        <w:t>(</w:t>
      </w:r>
      <w:r w:rsidR="009C7B4C">
        <w:rPr>
          <w:lang w:val="en-GB"/>
        </w:rPr>
        <w:t>with an increase of prices of services</w:t>
      </w:r>
      <w:r w:rsidR="009C7B4C">
        <w:rPr>
          <w:lang w:val="en-GB" w:eastAsia="en-GB"/>
        </w:rPr>
        <w:t xml:space="preserve"> – by</w:t>
      </w:r>
      <w:r w:rsidR="00EB7815" w:rsidRPr="006B44F3">
        <w:rPr>
          <w:lang w:val="en-GB"/>
        </w:rPr>
        <w:t xml:space="preserve"> 7,2</w:t>
      </w:r>
      <w:r w:rsidR="00D8427E" w:rsidRPr="006B44F3">
        <w:rPr>
          <w:lang w:val="en-GB"/>
        </w:rPr>
        <w:t xml:space="preserve">% </w:t>
      </w:r>
      <w:r w:rsidR="009C7B4C">
        <w:rPr>
          <w:lang w:val="en-GB" w:eastAsia="en-GB"/>
        </w:rPr>
        <w:t>and goods – by</w:t>
      </w:r>
      <w:r w:rsidR="009C7B4C" w:rsidRPr="005D729A">
        <w:rPr>
          <w:lang w:val="en-GB" w:eastAsia="en-GB"/>
        </w:rPr>
        <w:t xml:space="preserve"> </w:t>
      </w:r>
      <w:r w:rsidR="00EB7815" w:rsidRPr="006B44F3">
        <w:rPr>
          <w:lang w:val="en-GB"/>
        </w:rPr>
        <w:t>1,7</w:t>
      </w:r>
      <w:r w:rsidR="00E52010" w:rsidRPr="006B44F3">
        <w:rPr>
          <w:lang w:val="en-GB"/>
        </w:rPr>
        <w:t>%).</w:t>
      </w:r>
    </w:p>
    <w:p w:rsidR="00EB7815" w:rsidRPr="009C7B4C" w:rsidRDefault="009C7B4C" w:rsidP="0009633C">
      <w:pPr>
        <w:pStyle w:val="LID"/>
        <w:spacing w:before="0" w:after="0"/>
        <w:rPr>
          <w:lang w:val="en-GB"/>
        </w:rPr>
      </w:pPr>
      <w:r w:rsidRPr="00F80232">
        <w:rPr>
          <w:lang w:val="en-GB" w:eastAsia="en-GB"/>
        </w:rPr>
        <w:t xml:space="preserve">As related to the previous month consumer prices </w:t>
      </w:r>
      <w:r>
        <w:rPr>
          <w:lang w:val="en-GB" w:eastAsia="en-GB"/>
        </w:rPr>
        <w:t xml:space="preserve">increased by </w:t>
      </w:r>
      <w:r w:rsidR="00EB7815" w:rsidRPr="009C7B4C">
        <w:rPr>
          <w:lang w:val="en-GB"/>
        </w:rPr>
        <w:t>0,2</w:t>
      </w:r>
      <w:r w:rsidR="00E52010" w:rsidRPr="009C7B4C">
        <w:rPr>
          <w:lang w:val="en-GB"/>
        </w:rPr>
        <w:t>% (</w:t>
      </w:r>
      <w:r>
        <w:rPr>
          <w:lang w:val="en-GB"/>
        </w:rPr>
        <w:t>with an increase of prices of services</w:t>
      </w:r>
      <w:r>
        <w:rPr>
          <w:lang w:val="en-GB" w:eastAsia="en-GB"/>
        </w:rPr>
        <w:t xml:space="preserve"> – by</w:t>
      </w:r>
      <w:r w:rsidRPr="000F1357">
        <w:rPr>
          <w:lang w:val="en-GB" w:eastAsia="en-GB"/>
        </w:rPr>
        <w:t xml:space="preserve"> </w:t>
      </w:r>
      <w:r w:rsidR="00EB7815" w:rsidRPr="009C7B4C">
        <w:rPr>
          <w:lang w:val="en-GB"/>
        </w:rPr>
        <w:t>0,4</w:t>
      </w:r>
      <w:r w:rsidR="00D8427E" w:rsidRPr="009C7B4C">
        <w:rPr>
          <w:lang w:val="en-GB"/>
        </w:rPr>
        <w:t xml:space="preserve">% </w:t>
      </w:r>
      <w:r w:rsidR="008D1B55">
        <w:rPr>
          <w:lang w:val="en-GB"/>
        </w:rPr>
        <w:t>and goods – by</w:t>
      </w:r>
      <w:r w:rsidR="004C732A" w:rsidRPr="009C7B4C">
        <w:rPr>
          <w:lang w:val="en-GB"/>
        </w:rPr>
        <w:t xml:space="preserve"> 0,</w:t>
      </w:r>
      <w:r w:rsidR="00EB7815" w:rsidRPr="009C7B4C">
        <w:rPr>
          <w:lang w:val="en-GB"/>
        </w:rPr>
        <w:t>2</w:t>
      </w:r>
      <w:r w:rsidR="004C732A" w:rsidRPr="009C7B4C">
        <w:rPr>
          <w:lang w:val="en-GB"/>
        </w:rPr>
        <w:t>%).</w:t>
      </w:r>
    </w:p>
    <w:p w:rsidR="00EB7815" w:rsidRPr="009C7B4C" w:rsidRDefault="00EB7815" w:rsidP="0009633C">
      <w:pPr>
        <w:pStyle w:val="tytuwykresu"/>
        <w:spacing w:after="80"/>
        <w:rPr>
          <w:lang w:val="en-GB"/>
        </w:rPr>
      </w:pPr>
    </w:p>
    <w:p w:rsidR="0028113C" w:rsidRPr="009C7B4C" w:rsidRDefault="0028113C" w:rsidP="00D83359">
      <w:pPr>
        <w:pStyle w:val="tytuwykresu"/>
        <w:spacing w:before="0"/>
        <w:rPr>
          <w:lang w:val="en-GB"/>
        </w:rPr>
      </w:pPr>
    </w:p>
    <w:p w:rsidR="00EB7815" w:rsidRPr="008D1B55" w:rsidRDefault="008D1B55" w:rsidP="0028113C">
      <w:pPr>
        <w:pStyle w:val="tytuwykresu"/>
        <w:spacing w:before="80" w:after="0"/>
        <w:rPr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045CC0">
        <w:rPr>
          <w:bCs/>
          <w:shd w:val="clear" w:color="auto" w:fill="FFFFFF"/>
          <w:lang w:val="en-GB"/>
        </w:rPr>
        <w:t xml:space="preserve"> </w:t>
      </w:r>
      <w:r>
        <w:rPr>
          <w:bCs/>
          <w:shd w:val="clear" w:color="auto" w:fill="FFFFFF"/>
          <w:lang w:val="en-GB"/>
        </w:rPr>
        <w:t xml:space="preserve">in September </w:t>
      </w:r>
      <w:r w:rsidR="00EB7815" w:rsidRPr="008D1B55">
        <w:rPr>
          <w:lang w:val="en-GB"/>
        </w:rPr>
        <w:t>2020</w:t>
      </w:r>
    </w:p>
    <w:tbl>
      <w:tblPr>
        <w:tblStyle w:val="Siatkatabelijasna11"/>
        <w:tblpPr w:leftFromText="141" w:rightFromText="141" w:vertAnchor="text" w:horzAnchor="margin" w:tblpY="365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850"/>
        <w:gridCol w:w="851"/>
        <w:gridCol w:w="850"/>
        <w:gridCol w:w="851"/>
        <w:gridCol w:w="945"/>
      </w:tblGrid>
      <w:tr w:rsidR="00FC7489" w:rsidRPr="00876337" w:rsidTr="00FC7489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EB7815" w:rsidRPr="008D1B55" w:rsidRDefault="008D1B55" w:rsidP="00EB78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8D1B5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551" w:type="dxa"/>
            <w:gridSpan w:val="3"/>
            <w:vAlign w:val="center"/>
          </w:tcPr>
          <w:p w:rsidR="00EB7815" w:rsidRPr="00C522A5" w:rsidRDefault="00EB7815" w:rsidP="00EB781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IX 2020</w:t>
            </w:r>
          </w:p>
        </w:tc>
        <w:tc>
          <w:tcPr>
            <w:tcW w:w="1701" w:type="dxa"/>
            <w:gridSpan w:val="2"/>
          </w:tcPr>
          <w:p w:rsidR="00EB7815" w:rsidRPr="00C522A5" w:rsidRDefault="00EB7815" w:rsidP="00EB781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E77AF">
              <w:rPr>
                <w:rFonts w:ascii="Fira Sans" w:hAnsi="Fira Sans"/>
                <w:color w:val="000000" w:themeColor="text1"/>
                <w:sz w:val="16"/>
                <w:szCs w:val="16"/>
              </w:rPr>
              <w:t>VI</w:t>
            </w:r>
            <w:r w:rsidR="003D3F59" w:rsidRPr="009E77A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9E77AF">
              <w:rPr>
                <w:rFonts w:ascii="Fira Sans" w:hAnsi="Fira Sans"/>
                <w:color w:val="000000" w:themeColor="text1"/>
                <w:sz w:val="16"/>
                <w:szCs w:val="16"/>
              </w:rPr>
              <w:t>-IX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851" w:type="dxa"/>
          </w:tcPr>
          <w:p w:rsidR="00EB7815" w:rsidRPr="00C522A5" w:rsidRDefault="00EB7815" w:rsidP="00EB781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I-IX 2020</w:t>
            </w:r>
          </w:p>
        </w:tc>
        <w:tc>
          <w:tcPr>
            <w:tcW w:w="945" w:type="dxa"/>
            <w:vMerge w:val="restart"/>
            <w:vAlign w:val="center"/>
          </w:tcPr>
          <w:p w:rsidR="00EB7815" w:rsidRPr="00C522A5" w:rsidRDefault="00FA1B51" w:rsidP="00EB781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DF16FA">
              <w:rPr>
                <w:rFonts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EB7815" w:rsidRPr="00C522A5" w:rsidRDefault="00EB7815" w:rsidP="00EB781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210DAC">
              <w:rPr>
                <w:rFonts w:ascii="Fira Sans" w:hAnsi="Fira Sans"/>
                <w:color w:val="000000" w:themeColor="text1"/>
                <w:sz w:val="14"/>
                <w:szCs w:val="14"/>
              </w:rPr>
              <w:t>VIII 2020=</w:t>
            </w:r>
            <w:r w:rsidRPr="00210DAC">
              <w:rPr>
                <w:rFonts w:ascii="Fira Sans" w:hAnsi="Fira Sans"/>
                <w:color w:val="000000" w:themeColor="text1"/>
                <w:sz w:val="14"/>
                <w:szCs w:val="14"/>
              </w:rPr>
              <w:br/>
              <w:t>=100</w:t>
            </w:r>
          </w:p>
        </w:tc>
      </w:tr>
      <w:tr w:rsidR="00FC7489" w:rsidRPr="00876337" w:rsidTr="00E517CA">
        <w:trPr>
          <w:cantSplit/>
          <w:trHeight w:val="608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EB7815" w:rsidRPr="00876337" w:rsidRDefault="00EB7815" w:rsidP="00EB78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EB7815" w:rsidRPr="00FC7489" w:rsidRDefault="00EB7815" w:rsidP="008D05F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4"/>
              </w:rPr>
            </w:pP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IX 2019=</w:t>
            </w: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EB7815" w:rsidRPr="00FC7489" w:rsidRDefault="00EB7815" w:rsidP="008D05F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4"/>
              </w:rPr>
            </w:pP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XII 2019=</w:t>
            </w: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EB7815" w:rsidRPr="00FC7489" w:rsidRDefault="00EB7815" w:rsidP="008D05F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4"/>
              </w:rPr>
            </w:pP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VIII 2020=</w:t>
            </w: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EB7815" w:rsidRPr="00FC7489" w:rsidRDefault="00EB7815" w:rsidP="008D05F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4"/>
              </w:rPr>
            </w:pPr>
            <w:r w:rsidRPr="009E77AF">
              <w:rPr>
                <w:rFonts w:ascii="Fira Sans" w:hAnsi="Fira Sans"/>
                <w:color w:val="000000" w:themeColor="text1"/>
                <w:sz w:val="14"/>
                <w:szCs w:val="14"/>
              </w:rPr>
              <w:t>V</w:t>
            </w:r>
            <w:r w:rsidR="003D3F59" w:rsidRPr="009E77AF">
              <w:rPr>
                <w:rFonts w:ascii="Fira Sans" w:hAnsi="Fira Sans"/>
                <w:color w:val="000000" w:themeColor="text1"/>
                <w:sz w:val="14"/>
                <w:szCs w:val="14"/>
              </w:rPr>
              <w:t>I</w:t>
            </w:r>
            <w:r w:rsidRPr="009E77AF">
              <w:rPr>
                <w:rFonts w:ascii="Fira Sans" w:hAnsi="Fira Sans"/>
                <w:color w:val="000000" w:themeColor="text1"/>
                <w:sz w:val="14"/>
                <w:szCs w:val="14"/>
              </w:rPr>
              <w:t>I-</w:t>
            </w: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IX 2019=100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EB7815" w:rsidRPr="00FC7489" w:rsidRDefault="00EB7815" w:rsidP="008D05F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4"/>
              </w:rPr>
            </w:pP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IV-VI 2020=100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</w:tcPr>
          <w:p w:rsidR="00EB7815" w:rsidRPr="00FC7489" w:rsidRDefault="00EB7815" w:rsidP="00CA27EA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4"/>
                <w:szCs w:val="14"/>
              </w:rPr>
            </w:pPr>
            <w:r w:rsidRPr="00FC7489">
              <w:rPr>
                <w:rFonts w:ascii="Fira Sans" w:hAnsi="Fira Sans"/>
                <w:color w:val="000000" w:themeColor="text1"/>
                <w:sz w:val="14"/>
                <w:szCs w:val="14"/>
              </w:rPr>
              <w:t>I-IX 2019=100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B7815" w:rsidRPr="00876337" w:rsidRDefault="00EB7815" w:rsidP="00EB781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C7489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0B5393" w:rsidRDefault="008D1B55" w:rsidP="00EB781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EB7815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B7815" w:rsidRPr="00876337" w:rsidRDefault="00EB7815" w:rsidP="00E517C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C9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-0,10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93,2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D1B55" w:rsidRPr="00EB7815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7815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8D1B55" w:rsidRPr="00876337" w:rsidTr="00E517C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D45A29" w:rsidRDefault="008D1B55" w:rsidP="008D1B5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8C63C0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center"/>
          </w:tcPr>
          <w:p w:rsidR="008D1B55" w:rsidRPr="004052B4" w:rsidRDefault="008D1B55" w:rsidP="008D1B5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</w:tbl>
    <w:p w:rsidR="00486EE6" w:rsidRPr="00876337" w:rsidRDefault="00486EE6" w:rsidP="00E52010">
      <w:pPr>
        <w:pStyle w:val="LID"/>
        <w:spacing w:before="0" w:after="0"/>
        <w:rPr>
          <w:highlight w:val="yellow"/>
        </w:rPr>
      </w:pPr>
    </w:p>
    <w:p w:rsidR="00A07F00" w:rsidRPr="00FA1B51" w:rsidRDefault="00FA1B51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FA1B51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406CE0" w:rsidRDefault="00FA1B51" w:rsidP="00285768">
      <w:pPr>
        <w:rPr>
          <w:highlight w:val="yellow"/>
          <w:lang w:val="en-GB"/>
        </w:rPr>
      </w:pPr>
      <w:r w:rsidRPr="00FA1B51">
        <w:rPr>
          <w:lang w:val="en-GB"/>
        </w:rPr>
        <w:t xml:space="preserve">In September </w:t>
      </w:r>
      <w:r w:rsidRPr="004F5B01">
        <w:rPr>
          <w:lang w:val="en-GB"/>
        </w:rPr>
        <w:t>of the current year, compared with the previous mon</w:t>
      </w:r>
      <w:r>
        <w:rPr>
          <w:lang w:val="en-GB"/>
        </w:rPr>
        <w:t>th, the highest contribution to </w:t>
      </w:r>
      <w:r w:rsidRPr="004F5B01">
        <w:rPr>
          <w:lang w:val="en-GB"/>
        </w:rPr>
        <w:t xml:space="preserve">the total consumer price index came from </w:t>
      </w:r>
      <w:r>
        <w:rPr>
          <w:lang w:val="en-GB"/>
        </w:rPr>
        <w:t>higher</w:t>
      </w:r>
      <w:r w:rsidR="0094313B">
        <w:rPr>
          <w:lang w:val="en-GB"/>
        </w:rPr>
        <w:t xml:space="preserve"> prices of Clothing and footwear</w:t>
      </w:r>
      <w:r w:rsidR="00A07F00" w:rsidRPr="00FA1B51">
        <w:rPr>
          <w:lang w:val="en-GB"/>
        </w:rPr>
        <w:t xml:space="preserve"> </w:t>
      </w:r>
      <w:r w:rsidR="0094313B">
        <w:rPr>
          <w:lang w:val="en-GB"/>
        </w:rPr>
        <w:t>(by</w:t>
      </w:r>
      <w:r w:rsidR="00FA0677" w:rsidRPr="00FA1B51">
        <w:rPr>
          <w:lang w:val="en-GB"/>
        </w:rPr>
        <w:t> </w:t>
      </w:r>
      <w:r w:rsidR="009F66BC" w:rsidRPr="00FA1B51">
        <w:rPr>
          <w:lang w:val="en-GB"/>
        </w:rPr>
        <w:t>2,6</w:t>
      </w:r>
      <w:r w:rsidR="006920EA" w:rsidRPr="00FA1B51">
        <w:rPr>
          <w:lang w:val="en-GB"/>
        </w:rPr>
        <w:t>%)</w:t>
      </w:r>
      <w:r w:rsidR="00E517CA" w:rsidRPr="00FA1B51">
        <w:rPr>
          <w:lang w:val="en-GB"/>
        </w:rPr>
        <w:t xml:space="preserve"> </w:t>
      </w:r>
      <w:r w:rsidR="0094313B">
        <w:rPr>
          <w:lang w:val="en-GB"/>
        </w:rPr>
        <w:t xml:space="preserve">and related to Dwelling </w:t>
      </w:r>
      <w:r w:rsidR="000522BA" w:rsidRPr="00FA1B51">
        <w:rPr>
          <w:lang w:val="en-GB"/>
        </w:rPr>
        <w:t>(</w:t>
      </w:r>
      <w:r w:rsidR="0094313B">
        <w:rPr>
          <w:lang w:val="en-GB"/>
        </w:rPr>
        <w:t>by</w:t>
      </w:r>
      <w:r w:rsidR="000522BA" w:rsidRPr="00FA1B51">
        <w:rPr>
          <w:lang w:val="en-GB"/>
        </w:rPr>
        <w:t xml:space="preserve"> </w:t>
      </w:r>
      <w:r w:rsidR="009F66BC" w:rsidRPr="00FA1B51">
        <w:rPr>
          <w:lang w:val="en-GB"/>
        </w:rPr>
        <w:t>0,4</w:t>
      </w:r>
      <w:r w:rsidR="000522BA" w:rsidRPr="00FA1B51">
        <w:rPr>
          <w:lang w:val="en-GB"/>
        </w:rPr>
        <w:t>%)</w:t>
      </w:r>
      <w:r w:rsidR="0094313B">
        <w:rPr>
          <w:lang w:val="en-GB"/>
        </w:rPr>
        <w:t xml:space="preserve"> and Communication (by</w:t>
      </w:r>
      <w:r w:rsidR="009F66BC" w:rsidRPr="00FA1B51">
        <w:rPr>
          <w:lang w:val="en-GB"/>
        </w:rPr>
        <w:t xml:space="preserve"> 1,3%)</w:t>
      </w:r>
      <w:r w:rsidR="00D636A8" w:rsidRPr="00FA1B51">
        <w:rPr>
          <w:lang w:val="en-GB"/>
        </w:rPr>
        <w:t>,</w:t>
      </w:r>
      <w:r w:rsidR="00B611C1" w:rsidRPr="00FA1B51">
        <w:rPr>
          <w:lang w:val="en-GB"/>
        </w:rPr>
        <w:t xml:space="preserve"> </w:t>
      </w:r>
      <w:r w:rsidR="00830940">
        <w:rPr>
          <w:lang w:val="en-GB"/>
        </w:rPr>
        <w:t xml:space="preserve">which increased the index by </w:t>
      </w:r>
      <w:r w:rsidR="00ED02EA" w:rsidRPr="00FA1B51">
        <w:rPr>
          <w:lang w:val="en-GB"/>
        </w:rPr>
        <w:t>0,12</w:t>
      </w:r>
      <w:r w:rsidR="00DE64C5" w:rsidRPr="00FA1B51">
        <w:rPr>
          <w:lang w:val="en-GB"/>
        </w:rPr>
        <w:t xml:space="preserve"> p</w:t>
      </w:r>
      <w:r w:rsidR="00830940">
        <w:rPr>
          <w:lang w:val="en-GB"/>
        </w:rPr>
        <w:t>p</w:t>
      </w:r>
      <w:r w:rsidR="00061DB5" w:rsidRPr="00FA1B51">
        <w:rPr>
          <w:lang w:val="en-GB"/>
        </w:rPr>
        <w:t xml:space="preserve">, </w:t>
      </w:r>
      <w:r w:rsidR="009F66BC" w:rsidRPr="00FA1B51">
        <w:rPr>
          <w:lang w:val="en-GB"/>
        </w:rPr>
        <w:t>0,09</w:t>
      </w:r>
      <w:r w:rsidR="00061DB5" w:rsidRPr="00FA1B51">
        <w:rPr>
          <w:lang w:val="en-GB"/>
        </w:rPr>
        <w:t xml:space="preserve"> p</w:t>
      </w:r>
      <w:r w:rsidR="00830940">
        <w:rPr>
          <w:lang w:val="en-GB"/>
        </w:rPr>
        <w:t xml:space="preserve">p and </w:t>
      </w:r>
      <w:r w:rsidR="000522BA" w:rsidRPr="00FA1B51">
        <w:rPr>
          <w:lang w:val="en-GB"/>
        </w:rPr>
        <w:t>0,06 p</w:t>
      </w:r>
      <w:r w:rsidR="00830940">
        <w:rPr>
          <w:lang w:val="en-GB"/>
        </w:rPr>
        <w:t>p, respectively.</w:t>
      </w:r>
      <w:r w:rsidR="000522BA" w:rsidRPr="00FA1B51">
        <w:rPr>
          <w:lang w:val="en-GB"/>
        </w:rPr>
        <w:t xml:space="preserve"> </w:t>
      </w:r>
      <w:r w:rsidR="00830940" w:rsidRPr="00574422">
        <w:rPr>
          <w:lang w:val="en-GB"/>
        </w:rPr>
        <w:t xml:space="preserve">Lower </w:t>
      </w:r>
      <w:r w:rsidR="00574422" w:rsidRPr="00574422">
        <w:rPr>
          <w:lang w:val="en-GB"/>
        </w:rPr>
        <w:t>prices of Food (by</w:t>
      </w:r>
      <w:r w:rsidR="000522BA" w:rsidRPr="00574422">
        <w:rPr>
          <w:lang w:val="en-GB"/>
        </w:rPr>
        <w:t xml:space="preserve"> </w:t>
      </w:r>
      <w:r w:rsidR="009F66BC" w:rsidRPr="00574422">
        <w:rPr>
          <w:lang w:val="en-GB"/>
        </w:rPr>
        <w:t>0,4</w:t>
      </w:r>
      <w:r w:rsidR="000522BA" w:rsidRPr="00574422">
        <w:rPr>
          <w:lang w:val="en-GB"/>
        </w:rPr>
        <w:t xml:space="preserve">%) </w:t>
      </w:r>
      <w:r w:rsidR="007D7F30">
        <w:rPr>
          <w:lang w:val="en-GB"/>
        </w:rPr>
        <w:t>and </w:t>
      </w:r>
      <w:r w:rsidR="00574422" w:rsidRPr="00574422">
        <w:rPr>
          <w:lang w:val="en-GB"/>
        </w:rPr>
        <w:t>related to Transport (by</w:t>
      </w:r>
      <w:r w:rsidR="00486EE6" w:rsidRPr="00574422">
        <w:rPr>
          <w:lang w:val="en-GB"/>
        </w:rPr>
        <w:t xml:space="preserve"> </w:t>
      </w:r>
      <w:r w:rsidR="000522BA" w:rsidRPr="00574422">
        <w:rPr>
          <w:lang w:val="en-GB"/>
        </w:rPr>
        <w:t>0</w:t>
      </w:r>
      <w:r w:rsidR="0091008E" w:rsidRPr="00574422">
        <w:rPr>
          <w:lang w:val="en-GB"/>
        </w:rPr>
        <w:t>,2</w:t>
      </w:r>
      <w:r w:rsidR="00486EE6" w:rsidRPr="00574422">
        <w:rPr>
          <w:lang w:val="en-GB"/>
        </w:rPr>
        <w:t xml:space="preserve">%) </w:t>
      </w:r>
      <w:r w:rsidR="00574422" w:rsidRPr="00574422">
        <w:rPr>
          <w:lang w:val="en-GB"/>
        </w:rPr>
        <w:t xml:space="preserve">decreased the index by </w:t>
      </w:r>
      <w:r w:rsidR="00ED02EA" w:rsidRPr="00574422">
        <w:rPr>
          <w:lang w:val="en-GB"/>
        </w:rPr>
        <w:t>0,10</w:t>
      </w:r>
      <w:r w:rsidR="00287261" w:rsidRPr="00574422">
        <w:rPr>
          <w:lang w:val="en-GB"/>
        </w:rPr>
        <w:t> </w:t>
      </w:r>
      <w:r w:rsidR="00B611C1" w:rsidRPr="00574422">
        <w:rPr>
          <w:lang w:val="en-GB"/>
        </w:rPr>
        <w:t>p</w:t>
      </w:r>
      <w:r w:rsidR="00574422" w:rsidRPr="00574422">
        <w:rPr>
          <w:lang w:val="en-GB"/>
        </w:rPr>
        <w:t xml:space="preserve">p and </w:t>
      </w:r>
      <w:r w:rsidR="009F66BC" w:rsidRPr="00574422">
        <w:rPr>
          <w:lang w:val="en-GB"/>
        </w:rPr>
        <w:t>0,02</w:t>
      </w:r>
      <w:r w:rsidR="000522BA" w:rsidRPr="00574422">
        <w:rPr>
          <w:lang w:val="en-GB"/>
        </w:rPr>
        <w:t xml:space="preserve"> p</w:t>
      </w:r>
      <w:r w:rsidR="00574422" w:rsidRPr="00574422">
        <w:rPr>
          <w:lang w:val="en-GB"/>
        </w:rPr>
        <w:t>p, respectively.</w:t>
      </w:r>
      <w:r w:rsidR="00917CCF" w:rsidRPr="00574422">
        <w:rPr>
          <w:b/>
          <w:highlight w:val="yellow"/>
          <w:lang w:val="en-GB"/>
        </w:rPr>
        <w:br/>
      </w:r>
      <w:r w:rsidR="00C85766" w:rsidRPr="00C85766">
        <w:rPr>
          <w:color w:val="000000" w:themeColor="text1"/>
          <w:lang w:val="en-GB"/>
        </w:rPr>
        <w:t>Compared with the corresponding month of the previous year, higher prices related to Dwelling</w:t>
      </w:r>
      <w:r w:rsidR="005762F6" w:rsidRPr="00C85766">
        <w:rPr>
          <w:lang w:val="en-GB"/>
        </w:rPr>
        <w:t xml:space="preserve"> </w:t>
      </w:r>
      <w:r w:rsidR="00C85766" w:rsidRPr="00C85766">
        <w:rPr>
          <w:lang w:val="en-GB"/>
        </w:rPr>
        <w:t>(by</w:t>
      </w:r>
      <w:r w:rsidR="00A07F00" w:rsidRPr="00C85766">
        <w:rPr>
          <w:lang w:val="en-GB"/>
        </w:rPr>
        <w:t> </w:t>
      </w:r>
      <w:r w:rsidR="00F8407A" w:rsidRPr="00C85766">
        <w:rPr>
          <w:lang w:val="en-GB"/>
        </w:rPr>
        <w:t>5,9</w:t>
      </w:r>
      <w:r w:rsidR="00674A8B" w:rsidRPr="00C85766">
        <w:rPr>
          <w:lang w:val="en-GB"/>
        </w:rPr>
        <w:t>%)</w:t>
      </w:r>
      <w:r w:rsidR="00EC2274" w:rsidRPr="00C85766">
        <w:rPr>
          <w:lang w:val="en-GB"/>
        </w:rPr>
        <w:t xml:space="preserve">, </w:t>
      </w:r>
      <w:r w:rsidR="00C85766">
        <w:rPr>
          <w:lang w:val="en-GB"/>
        </w:rPr>
        <w:t>Food</w:t>
      </w:r>
      <w:r w:rsidR="00F8407A" w:rsidRPr="00C85766">
        <w:rPr>
          <w:lang w:val="en-GB"/>
        </w:rPr>
        <w:t xml:space="preserve"> </w:t>
      </w:r>
      <w:r w:rsidR="00C85766">
        <w:rPr>
          <w:lang w:val="en-GB"/>
        </w:rPr>
        <w:t>(by</w:t>
      </w:r>
      <w:r w:rsidR="009F66BC" w:rsidRPr="00C85766">
        <w:rPr>
          <w:lang w:val="en-GB"/>
        </w:rPr>
        <w:t xml:space="preserve"> 2,9</w:t>
      </w:r>
      <w:r w:rsidR="0094622C" w:rsidRPr="00C85766">
        <w:rPr>
          <w:lang w:val="en-GB"/>
        </w:rPr>
        <w:t>%)</w:t>
      </w:r>
      <w:r w:rsidR="00497A02" w:rsidRPr="00C85766">
        <w:rPr>
          <w:lang w:val="en-GB"/>
        </w:rPr>
        <w:t xml:space="preserve"> </w:t>
      </w:r>
      <w:r w:rsidR="00C85766">
        <w:rPr>
          <w:lang w:val="en-GB"/>
        </w:rPr>
        <w:t>and Restaurants and hotels (by</w:t>
      </w:r>
      <w:r w:rsidR="009F66BC" w:rsidRPr="00C85766">
        <w:rPr>
          <w:lang w:val="en-GB"/>
        </w:rPr>
        <w:t xml:space="preserve"> 5,3</w:t>
      </w:r>
      <w:r w:rsidR="00310F90" w:rsidRPr="00C85766">
        <w:rPr>
          <w:lang w:val="en-GB"/>
        </w:rPr>
        <w:t>%)</w:t>
      </w:r>
      <w:r w:rsidR="007D7F30">
        <w:rPr>
          <w:lang w:val="en-GB"/>
        </w:rPr>
        <w:t xml:space="preserve"> increased</w:t>
      </w:r>
      <w:r w:rsidR="00310F90" w:rsidRPr="00C85766">
        <w:rPr>
          <w:lang w:val="en-GB"/>
        </w:rPr>
        <w:t xml:space="preserve"> </w:t>
      </w:r>
      <w:r w:rsidR="00C85766">
        <w:rPr>
          <w:lang w:val="en-GB"/>
        </w:rPr>
        <w:t xml:space="preserve">the index by </w:t>
      </w:r>
      <w:r w:rsidR="005B06A5" w:rsidRPr="00C85766">
        <w:rPr>
          <w:lang w:val="en-GB"/>
        </w:rPr>
        <w:t>1,43</w:t>
      </w:r>
      <w:r w:rsidR="00A07F00" w:rsidRPr="00C85766">
        <w:rPr>
          <w:lang w:val="en-GB"/>
        </w:rPr>
        <w:t xml:space="preserve"> p</w:t>
      </w:r>
      <w:r w:rsidR="00C85766">
        <w:rPr>
          <w:lang w:val="en-GB"/>
        </w:rPr>
        <w:t>p</w:t>
      </w:r>
      <w:r w:rsidR="009F66BC" w:rsidRPr="00C85766">
        <w:rPr>
          <w:lang w:val="en-GB"/>
        </w:rPr>
        <w:t>, 0</w:t>
      </w:r>
      <w:r w:rsidR="009D1423" w:rsidRPr="00C85766">
        <w:rPr>
          <w:lang w:val="en-GB"/>
        </w:rPr>
        <w:t>,</w:t>
      </w:r>
      <w:r w:rsidR="009F66BC" w:rsidRPr="00C85766">
        <w:rPr>
          <w:lang w:val="en-GB"/>
        </w:rPr>
        <w:t>67</w:t>
      </w:r>
      <w:r w:rsidR="00FA0677" w:rsidRPr="00C85766">
        <w:rPr>
          <w:lang w:val="en-GB"/>
        </w:rPr>
        <w:t> </w:t>
      </w:r>
      <w:r w:rsidR="009D1423" w:rsidRPr="00C85766">
        <w:rPr>
          <w:lang w:val="en-GB"/>
        </w:rPr>
        <w:t>p</w:t>
      </w:r>
      <w:r w:rsidR="00C85766">
        <w:rPr>
          <w:lang w:val="en-GB"/>
        </w:rPr>
        <w:t xml:space="preserve">p and </w:t>
      </w:r>
      <w:r w:rsidR="005B06A5" w:rsidRPr="00C85766">
        <w:rPr>
          <w:lang w:val="en-GB"/>
        </w:rPr>
        <w:t>0,3</w:t>
      </w:r>
      <w:r w:rsidR="009F66BC" w:rsidRPr="00C85766">
        <w:rPr>
          <w:lang w:val="en-GB"/>
        </w:rPr>
        <w:t>3</w:t>
      </w:r>
      <w:r w:rsidR="00497A02" w:rsidRPr="00C85766">
        <w:rPr>
          <w:lang w:val="en-GB"/>
        </w:rPr>
        <w:t xml:space="preserve"> p</w:t>
      </w:r>
      <w:r w:rsidR="00C85766">
        <w:rPr>
          <w:lang w:val="en-GB"/>
        </w:rPr>
        <w:t xml:space="preserve">p, respectively. </w:t>
      </w:r>
      <w:r w:rsidR="00C85766" w:rsidRPr="00406CE0">
        <w:rPr>
          <w:lang w:val="en-GB"/>
        </w:rPr>
        <w:t>Lower prices related to Transport (by</w:t>
      </w:r>
      <w:r w:rsidR="007D7F30">
        <w:rPr>
          <w:lang w:val="en-GB"/>
        </w:rPr>
        <w:t> </w:t>
      </w:r>
      <w:r w:rsidR="009F66BC" w:rsidRPr="00406CE0">
        <w:rPr>
          <w:lang w:val="en-GB"/>
        </w:rPr>
        <w:t>4</w:t>
      </w:r>
      <w:r w:rsidR="003405A4" w:rsidRPr="00406CE0">
        <w:rPr>
          <w:lang w:val="en-GB"/>
        </w:rPr>
        <w:t>,</w:t>
      </w:r>
      <w:r w:rsidR="009F66BC" w:rsidRPr="00406CE0">
        <w:rPr>
          <w:lang w:val="en-GB"/>
        </w:rPr>
        <w:t>9</w:t>
      </w:r>
      <w:r w:rsidR="003405A4" w:rsidRPr="00406CE0">
        <w:rPr>
          <w:lang w:val="en-GB"/>
        </w:rPr>
        <w:t>%)</w:t>
      </w:r>
      <w:r w:rsidR="009F66BC" w:rsidRPr="00406CE0">
        <w:rPr>
          <w:lang w:val="en-GB"/>
        </w:rPr>
        <w:t xml:space="preserve"> </w:t>
      </w:r>
      <w:r w:rsidR="00C85766" w:rsidRPr="00406CE0">
        <w:rPr>
          <w:lang w:val="en-GB"/>
        </w:rPr>
        <w:t xml:space="preserve">and Clothing and footwear </w:t>
      </w:r>
      <w:r w:rsidR="00406CE0" w:rsidRPr="00406CE0">
        <w:rPr>
          <w:lang w:val="en-GB"/>
        </w:rPr>
        <w:t>(by</w:t>
      </w:r>
      <w:r w:rsidR="009F66BC" w:rsidRPr="00406CE0">
        <w:rPr>
          <w:lang w:val="en-GB"/>
        </w:rPr>
        <w:t xml:space="preserve"> 2,0%)</w:t>
      </w:r>
      <w:r w:rsidR="00674A8B" w:rsidRPr="00406CE0">
        <w:rPr>
          <w:lang w:val="en-GB"/>
        </w:rPr>
        <w:t xml:space="preserve"> </w:t>
      </w:r>
      <w:r w:rsidR="00406CE0">
        <w:rPr>
          <w:lang w:val="en-GB"/>
        </w:rPr>
        <w:t xml:space="preserve">decreased the index by </w:t>
      </w:r>
      <w:r w:rsidR="009F66BC" w:rsidRPr="00406CE0">
        <w:rPr>
          <w:lang w:val="en-GB"/>
        </w:rPr>
        <w:t>0,48</w:t>
      </w:r>
      <w:r w:rsidR="00CC6180" w:rsidRPr="00406CE0">
        <w:rPr>
          <w:lang w:val="en-GB"/>
        </w:rPr>
        <w:t xml:space="preserve"> p</w:t>
      </w:r>
      <w:r w:rsidR="00406CE0">
        <w:rPr>
          <w:lang w:val="en-GB"/>
        </w:rPr>
        <w:t xml:space="preserve">p and </w:t>
      </w:r>
      <w:r w:rsidR="009F66BC" w:rsidRPr="00406CE0">
        <w:rPr>
          <w:lang w:val="en-GB"/>
        </w:rPr>
        <w:t>0,10 p</w:t>
      </w:r>
      <w:r w:rsidR="00406CE0">
        <w:rPr>
          <w:lang w:val="en-GB"/>
        </w:rPr>
        <w:t>p, respectively</w:t>
      </w:r>
      <w:r w:rsidR="009F66BC" w:rsidRPr="00406CE0">
        <w:rPr>
          <w:lang w:val="en-GB"/>
        </w:rPr>
        <w:t>.</w:t>
      </w:r>
    </w:p>
    <w:p w:rsidR="00A07F00" w:rsidRPr="00406CE0" w:rsidRDefault="00A07F00" w:rsidP="00C27D75">
      <w:pPr>
        <w:rPr>
          <w:highlight w:val="yellow"/>
          <w:lang w:val="en-GB"/>
        </w:rPr>
      </w:pPr>
    </w:p>
    <w:p w:rsidR="00A07F00" w:rsidRPr="00406CE0" w:rsidRDefault="00E95A2C" w:rsidP="00406CE0">
      <w:pPr>
        <w:pStyle w:val="tytuwykresu"/>
        <w:ind w:left="709" w:hanging="709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6EEE33B9" wp14:editId="434330F9">
            <wp:simplePos x="0" y="0"/>
            <wp:positionH relativeFrom="column">
              <wp:posOffset>3810</wp:posOffset>
            </wp:positionH>
            <wp:positionV relativeFrom="paragraph">
              <wp:posOffset>412750</wp:posOffset>
            </wp:positionV>
            <wp:extent cx="5120640" cy="275082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CE0" w:rsidRPr="00406CE0">
        <w:rPr>
          <w:noProof/>
          <w:lang w:val="en-GB" w:eastAsia="pl-PL"/>
        </w:rPr>
        <w:t xml:space="preserve"> </w:t>
      </w:r>
      <w:r w:rsidR="00406CE0" w:rsidRPr="00547404">
        <w:rPr>
          <w:noProof/>
          <w:lang w:val="en-GB" w:eastAsia="pl-PL"/>
        </w:rPr>
        <w:t>Chart 1</w:t>
      </w:r>
      <w:r w:rsidR="00406CE0" w:rsidRPr="00547404">
        <w:rPr>
          <w:noProof/>
          <w:spacing w:val="-4"/>
          <w:lang w:val="en-GB" w:eastAsia="pl-PL"/>
        </w:rPr>
        <w:t>. Contribution</w:t>
      </w:r>
      <w:r w:rsidR="00406CE0"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 w:rsidR="00406CE0">
        <w:rPr>
          <w:noProof/>
          <w:spacing w:val="-4"/>
          <w:lang w:val="en-GB" w:eastAsia="pl-PL"/>
        </w:rPr>
        <w:t>ods and services</w:t>
      </w:r>
      <w:r w:rsidR="00406CE0">
        <w:rPr>
          <w:noProof/>
          <w:spacing w:val="-4"/>
          <w:lang w:val="en-GB" w:eastAsia="pl-PL"/>
        </w:rPr>
        <w:br/>
        <w:t>in</w:t>
      </w:r>
      <w:r w:rsidR="0008281B">
        <w:rPr>
          <w:noProof/>
          <w:spacing w:val="-4"/>
          <w:lang w:val="en-GB" w:eastAsia="pl-PL"/>
        </w:rPr>
        <w:t xml:space="preserve"> September </w:t>
      </w:r>
      <w:r w:rsidR="00406CE0" w:rsidRPr="00945BAC">
        <w:rPr>
          <w:shd w:val="clear" w:color="auto" w:fill="FFFFFF"/>
          <w:lang w:val="en-GB"/>
        </w:rPr>
        <w:t>2020</w:t>
      </w:r>
      <w:r w:rsidR="00406CE0" w:rsidRPr="00945BAC">
        <w:rPr>
          <w:noProof/>
          <w:shd w:val="clear" w:color="auto" w:fill="FFFFFF"/>
          <w:lang w:val="en-GB" w:eastAsia="pl-PL"/>
        </w:rPr>
        <w:t xml:space="preserve"> </w:t>
      </w:r>
      <w:r w:rsidR="00406CE0" w:rsidRPr="00134C53">
        <w:rPr>
          <w:noProof/>
          <w:shd w:val="clear" w:color="auto" w:fill="FFFFFF"/>
          <w:lang w:val="en-GB" w:eastAsia="pl-PL"/>
        </w:rPr>
        <w:t>(</w:t>
      </w:r>
      <w:r w:rsidR="00406CE0" w:rsidRPr="003420FE">
        <w:rPr>
          <w:noProof/>
          <w:lang w:val="en-GB" w:eastAsia="pl-PL"/>
        </w:rPr>
        <w:t>change in pp compared with the previous period</w:t>
      </w:r>
      <w:r w:rsidR="00406CE0" w:rsidRPr="00134C53">
        <w:rPr>
          <w:shd w:val="clear" w:color="auto" w:fill="FFFFFF"/>
          <w:lang w:val="en-GB"/>
        </w:rPr>
        <w:t>)</w:t>
      </w:r>
    </w:p>
    <w:p w:rsidR="00F60B5D" w:rsidRPr="00406CE0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DB20BC" w:rsidRPr="0008281B" w:rsidRDefault="0008281B" w:rsidP="00B617A5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C73B5E" w:rsidRPr="002C195D" w:rsidRDefault="0008281B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03BAA889" wp14:editId="2AE04EB6">
            <wp:simplePos x="0" y="0"/>
            <wp:positionH relativeFrom="column">
              <wp:posOffset>2540</wp:posOffset>
            </wp:positionH>
            <wp:positionV relativeFrom="paragraph">
              <wp:posOffset>20955</wp:posOffset>
            </wp:positionV>
            <wp:extent cx="5122545" cy="3599815"/>
            <wp:effectExtent l="0" t="0" r="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B5E" w:rsidRPr="002C195D">
        <w:rPr>
          <w:highlight w:val="yellow"/>
          <w:lang w:val="en-GB"/>
        </w:rPr>
        <w:br w:type="page"/>
      </w:r>
    </w:p>
    <w:p w:rsidR="003A440F" w:rsidRPr="0008281B" w:rsidRDefault="009A08F7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7A3865C5" wp14:editId="60A5259C">
            <wp:simplePos x="0" y="0"/>
            <wp:positionH relativeFrom="column">
              <wp:posOffset>0</wp:posOffset>
            </wp:positionH>
            <wp:positionV relativeFrom="paragraph">
              <wp:posOffset>300893</wp:posOffset>
            </wp:positionV>
            <wp:extent cx="5112000" cy="2527200"/>
            <wp:effectExtent l="0" t="0" r="0" b="698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81B" w:rsidRPr="0008281B">
        <w:rPr>
          <w:lang w:val="en-GB"/>
        </w:rPr>
        <w:t xml:space="preserve"> </w:t>
      </w:r>
      <w:r w:rsidR="0008281B" w:rsidRPr="00C63D3F">
        <w:rPr>
          <w:lang w:val="en-GB"/>
        </w:rPr>
        <w:t>Chart 3. Consumer prices (change in % compared with the previous period)</w:t>
      </w:r>
    </w:p>
    <w:p w:rsidR="00DA0243" w:rsidRPr="0008281B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08281B" w:rsidRDefault="00DB7510" w:rsidP="000609C1">
      <w:pPr>
        <w:pStyle w:val="tytuwykresu"/>
        <w:ind w:left="822" w:hanging="822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 w14:anchorId="04BB03F5"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210DAC" w:rsidRPr="002C195D" w:rsidRDefault="00210DAC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D3745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September </w:t>
                  </w:r>
                  <w:r w:rsidRPr="00D3745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2020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08281B" w:rsidRPr="0008281B">
        <w:rPr>
          <w:lang w:val="en-GB"/>
        </w:rPr>
        <w:t xml:space="preserve"> </w:t>
      </w:r>
      <w:r w:rsidR="0008281B" w:rsidRPr="00945BAC">
        <w:rPr>
          <w:lang w:val="en-GB"/>
        </w:rPr>
        <w:t xml:space="preserve">Chart 4. </w:t>
      </w:r>
      <w:r w:rsidR="0008281B" w:rsidRPr="000D10CD">
        <w:rPr>
          <w:spacing w:val="-4"/>
          <w:lang w:val="en-GB"/>
        </w:rPr>
        <w:t>Consumer prices</w:t>
      </w:r>
      <w:r w:rsidR="0008281B" w:rsidRPr="000D10CD">
        <w:rPr>
          <w:spacing w:val="-4"/>
          <w:shd w:val="clear" w:color="auto" w:fill="FFFFFF"/>
          <w:lang w:val="en-GB"/>
        </w:rPr>
        <w:t xml:space="preserve"> (</w:t>
      </w:r>
      <w:r w:rsidR="0008281B" w:rsidRPr="000D10CD">
        <w:rPr>
          <w:spacing w:val="-4"/>
          <w:lang w:val="en-GB"/>
        </w:rPr>
        <w:t>change in % compared with the corresponding period of the previous year</w:t>
      </w:r>
      <w:r w:rsidR="0008281B" w:rsidRPr="000D10CD">
        <w:rPr>
          <w:spacing w:val="-4"/>
          <w:shd w:val="clear" w:color="auto" w:fill="FFFFFF"/>
          <w:lang w:val="en-GB"/>
        </w:rPr>
        <w:t>)</w:t>
      </w:r>
    </w:p>
    <w:p w:rsidR="00034160" w:rsidRPr="00876337" w:rsidRDefault="00C4216E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inline distT="0" distB="0" distL="0" distR="0" wp14:anchorId="3AA0B2DB" wp14:editId="41FA4597">
            <wp:extent cx="5122545" cy="259143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57AF4" w:rsidRDefault="00E57AF4" w:rsidP="000609C1">
      <w:pPr>
        <w:pStyle w:val="tytuwykresu"/>
        <w:ind w:left="822" w:hanging="822"/>
      </w:pPr>
    </w:p>
    <w:p w:rsidR="001E7DBB" w:rsidRPr="00756517" w:rsidRDefault="00756517" w:rsidP="00756517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C63D3F">
        <w:rPr>
          <w:lang w:val="en-GB"/>
        </w:rPr>
        <w:t>Chart 5.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210DAC" w:rsidRDefault="00743B8C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>
        <w:rPr>
          <w:noProof/>
          <w:lang w:eastAsia="pl-PL"/>
        </w:rPr>
        <w:drawing>
          <wp:inline distT="0" distB="0" distL="0" distR="0" wp14:anchorId="394C7704" wp14:editId="457EA108">
            <wp:extent cx="5122545" cy="256222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0FD3" w:rsidRPr="00210DAC">
        <w:rPr>
          <w:sz w:val="18"/>
          <w:highlight w:val="yellow"/>
          <w:lang w:val="en-GB"/>
        </w:rPr>
        <w:t xml:space="preserve"> </w:t>
      </w:r>
      <w:r w:rsidR="00820461" w:rsidRPr="00210DAC">
        <w:rPr>
          <w:sz w:val="18"/>
          <w:highlight w:val="yellow"/>
          <w:lang w:val="en-GB"/>
        </w:rPr>
        <w:br w:type="page"/>
      </w:r>
    </w:p>
    <w:p w:rsidR="00516A50" w:rsidRPr="00F6566B" w:rsidRDefault="00F6566B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>in September</w:t>
      </w:r>
      <w:r w:rsidRPr="00D3745A">
        <w:rPr>
          <w:bCs/>
          <w:sz w:val="18"/>
          <w:shd w:val="clear" w:color="auto" w:fill="FFFFFF"/>
          <w:lang w:val="en-GB"/>
        </w:rPr>
        <w:t xml:space="preserve"> </w:t>
      </w:r>
      <w:r w:rsidRPr="00D3745A">
        <w:rPr>
          <w:sz w:val="18"/>
          <w:lang w:val="en-GB"/>
        </w:rPr>
        <w:t>2020</w:t>
      </w:r>
    </w:p>
    <w:p w:rsidR="009E3FA7" w:rsidRPr="00F6566B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39"/>
        <w:gridCol w:w="865"/>
        <w:gridCol w:w="870"/>
        <w:gridCol w:w="867"/>
        <w:gridCol w:w="867"/>
        <w:gridCol w:w="937"/>
      </w:tblGrid>
      <w:tr w:rsidR="00F10D63" w:rsidRPr="009E77AF" w:rsidTr="004858EB">
        <w:trPr>
          <w:trHeight w:val="315"/>
          <w:tblHeader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F6566B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5875EB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3381A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24032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0D63" w:rsidRPr="009E77AF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3381A" w:rsidRPr="009E77A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D07D16" w:rsidRPr="009E77AF">
              <w:rPr>
                <w:rFonts w:eastAsia="Times New Roman" w:cs="Calibri"/>
                <w:sz w:val="16"/>
                <w:szCs w:val="16"/>
                <w:lang w:eastAsia="pl-PL"/>
              </w:rPr>
              <w:t>I-IX</w:t>
            </w: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0D63" w:rsidRPr="009E77AF" w:rsidRDefault="0023381A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5875EB" w:rsidRPr="009E77A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24032F" w:rsidRPr="009E77A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5875EB" w:rsidRPr="009E77AF" w:rsidTr="004858EB">
        <w:trPr>
          <w:trHeight w:val="465"/>
          <w:tblHeader/>
        </w:trPr>
        <w:tc>
          <w:tcPr>
            <w:tcW w:w="2835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875EB" w:rsidRPr="00CD352D" w:rsidRDefault="005875EB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3381A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5875EB" w:rsidP="00CD352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24032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3381A">
              <w:rPr>
                <w:rFonts w:eastAsia="Times New Roman" w:cs="Calibri"/>
                <w:sz w:val="16"/>
                <w:szCs w:val="16"/>
                <w:lang w:eastAsia="pl-PL"/>
              </w:rPr>
              <w:t>III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61DB5" w:rsidRPr="009E77AF" w:rsidRDefault="00061DB5" w:rsidP="00061DB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3381A" w:rsidRPr="009E77A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D07D16" w:rsidRPr="009E77AF">
              <w:rPr>
                <w:rFonts w:eastAsia="Times New Roman" w:cs="Calibri"/>
                <w:sz w:val="16"/>
                <w:szCs w:val="16"/>
                <w:lang w:eastAsia="pl-PL"/>
              </w:rPr>
              <w:t>I-IX</w:t>
            </w:r>
          </w:p>
          <w:p w:rsidR="005875EB" w:rsidRPr="009E77AF" w:rsidRDefault="0024032F" w:rsidP="00061DB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  <w:r w:rsidR="005875EB" w:rsidRPr="009E77AF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61DB5" w:rsidRPr="009E77AF" w:rsidRDefault="00D07D16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IV-</w:t>
            </w:r>
            <w:r w:rsidR="0023381A" w:rsidRPr="009E77AF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</w:p>
          <w:p w:rsidR="005875EB" w:rsidRPr="009E77AF" w:rsidRDefault="0024032F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2020</w:t>
            </w:r>
            <w:r w:rsidR="005875EB" w:rsidRPr="009E77AF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9E77AF" w:rsidRDefault="0023381A" w:rsidP="004009D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CD352D" w:rsidRPr="009E77A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9E77AF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CD352D" w:rsidRPr="009E77AF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4009D2" w:rsidRPr="009E77A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="0024032F" w:rsidRPr="009E77AF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  <w:r w:rsidR="004009D2" w:rsidRPr="009E77AF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9E77AF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</w:tr>
      <w:tr w:rsidR="00392DAC" w:rsidRPr="009E77AF" w:rsidTr="00F90974">
        <w:trPr>
          <w:trHeight w:val="314"/>
        </w:trPr>
        <w:tc>
          <w:tcPr>
            <w:tcW w:w="283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92DAC" w:rsidRPr="00E23CD2" w:rsidRDefault="00F6566B" w:rsidP="00392DAC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92DAC" w:rsidRDefault="00392DAC" w:rsidP="00392DAC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92DAC" w:rsidRDefault="00392DAC" w:rsidP="00392DAC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92DAC" w:rsidRDefault="00392DAC" w:rsidP="00392DA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392DAC" w:rsidRPr="009E77AF" w:rsidRDefault="00392DAC" w:rsidP="00392DA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392DAC" w:rsidRPr="009E77AF" w:rsidRDefault="00392DAC" w:rsidP="00392DA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3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92DAC" w:rsidRPr="009E77AF" w:rsidRDefault="00392DAC" w:rsidP="00392DAC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/>
                <w:bCs/>
                <w:color w:val="000000"/>
                <w:sz w:val="16"/>
                <w:szCs w:val="16"/>
              </w:rPr>
              <w:t>103,6</w:t>
            </w:r>
          </w:p>
        </w:tc>
      </w:tr>
      <w:tr w:rsidR="00F6566B" w:rsidRPr="009E77AF" w:rsidTr="00F90974">
        <w:trPr>
          <w:trHeight w:val="2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F9097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66B" w:rsidRPr="00EA45E9" w:rsidRDefault="00F6566B" w:rsidP="00392DAC">
            <w:pPr>
              <w:spacing w:before="0"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EA45E9">
              <w:rPr>
                <w:rFonts w:cs="Calibri"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EA45E9" w:rsidRDefault="00F6566B" w:rsidP="00392DAC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EA45E9">
              <w:rPr>
                <w:rFonts w:cs="Calibri"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Cs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bCs/>
                <w:color w:val="000000"/>
                <w:sz w:val="16"/>
                <w:szCs w:val="16"/>
              </w:rPr>
              <w:t>102,4</w:t>
            </w:r>
          </w:p>
        </w:tc>
      </w:tr>
      <w:tr w:rsidR="00F6566B" w:rsidRPr="009E77AF" w:rsidTr="00F90974">
        <w:trPr>
          <w:trHeight w:val="30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F9097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</w:tr>
      <w:tr w:rsidR="00F6566B" w:rsidRPr="009E77AF" w:rsidTr="00F71AB9">
        <w:trPr>
          <w:trHeight w:val="49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F71AB9" w:rsidRDefault="00F6566B" w:rsidP="00210DAC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F71AB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F6566B" w:rsidRPr="00C63D3F" w:rsidRDefault="00F6566B" w:rsidP="00210DA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F71AB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714F7" w:rsidRDefault="00F6566B" w:rsidP="00210DAC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C714F7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</w:tr>
      <w:tr w:rsidR="00F6566B" w:rsidRPr="009E77AF" w:rsidTr="00F71AB9">
        <w:trPr>
          <w:trHeight w:val="289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</w:tr>
      <w:tr w:rsidR="00F6566B" w:rsidRPr="009E77AF" w:rsidTr="00F71AB9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F6566B" w:rsidRPr="009E77AF" w:rsidTr="00F71AB9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F6566B" w:rsidRPr="009E77AF" w:rsidTr="004858E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</w:tr>
      <w:tr w:rsidR="00F6566B" w:rsidRPr="009E77AF" w:rsidTr="004858EB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</w:tr>
      <w:tr w:rsidR="00F6566B" w:rsidRPr="009E77AF" w:rsidTr="00DB20BC">
        <w:trPr>
          <w:trHeight w:val="21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120,9</w:t>
            </w:r>
          </w:p>
        </w:tc>
      </w:tr>
      <w:tr w:rsidR="00F6566B" w:rsidRPr="009E77AF" w:rsidTr="00DB20BC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</w:tr>
      <w:tr w:rsidR="00F6566B" w:rsidRPr="009E77AF" w:rsidTr="004858EB">
        <w:trPr>
          <w:trHeight w:val="25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F6566B" w:rsidRPr="009E77AF" w:rsidTr="00F71AB9">
        <w:trPr>
          <w:trHeight w:val="16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</w:tr>
      <w:tr w:rsidR="00F6566B" w:rsidRPr="009E77AF" w:rsidTr="004858EB">
        <w:trPr>
          <w:trHeight w:val="2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AA13BD" w:rsidRDefault="00F6566B" w:rsidP="00210DAC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714F7" w:rsidRDefault="00F6566B" w:rsidP="00210DAC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C714F7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</w:tr>
      <w:tr w:rsidR="00F6566B" w:rsidRPr="009E77AF" w:rsidTr="00032DEF">
        <w:trPr>
          <w:trHeight w:val="31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</w:tr>
      <w:tr w:rsidR="00F6566B" w:rsidRPr="009E77AF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</w:tr>
      <w:tr w:rsidR="00F6566B" w:rsidRPr="009E77AF" w:rsidTr="004858EB">
        <w:trPr>
          <w:trHeight w:val="28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</w:tr>
      <w:tr w:rsidR="00F6566B" w:rsidRPr="009E77AF" w:rsidTr="004858EB">
        <w:trPr>
          <w:trHeight w:val="26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</w:tr>
      <w:tr w:rsidR="00F6566B" w:rsidRPr="009E77AF" w:rsidTr="004858EB">
        <w:trPr>
          <w:trHeight w:val="46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F6566B" w:rsidRPr="009E77AF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F6566B" w:rsidRPr="009E77AF" w:rsidTr="004858EB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F6566B" w:rsidRPr="009E77AF" w:rsidTr="004858EB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151,7</w:t>
            </w:r>
          </w:p>
        </w:tc>
      </w:tr>
      <w:tr w:rsidR="00F6566B" w:rsidRPr="009E77AF" w:rsidTr="004858EB">
        <w:trPr>
          <w:trHeight w:val="27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</w:tr>
      <w:tr w:rsidR="00F6566B" w:rsidRPr="009E77AF" w:rsidTr="004858EB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</w:tr>
      <w:tr w:rsidR="00F6566B" w:rsidRPr="009E77AF" w:rsidTr="004858EB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</w:tr>
      <w:tr w:rsidR="00F6566B" w:rsidRPr="009E77AF" w:rsidTr="004858EB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</w:tr>
      <w:tr w:rsidR="00F6566B" w:rsidRPr="009E77AF" w:rsidTr="004858E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</w:tr>
      <w:tr w:rsidR="00F6566B" w:rsidRPr="009E77AF" w:rsidTr="00032DEF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</w:tr>
      <w:tr w:rsidR="00F6566B" w:rsidRPr="009E77AF" w:rsidTr="00032DEF">
        <w:trPr>
          <w:trHeight w:val="68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SHINGS, HOUSEHOLD EQUIPMENT AND 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ROUTINE HOUSEHOLD MAINTENANCE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</w:tr>
      <w:tr w:rsidR="00F6566B" w:rsidRPr="009E77AF" w:rsidTr="00032DEF">
        <w:trPr>
          <w:trHeight w:val="226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190485">
        <w:trPr>
          <w:trHeight w:val="24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</w:tr>
      <w:tr w:rsidR="00F6566B" w:rsidRPr="009E77AF" w:rsidTr="00032DEF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032DEF" w:rsidRDefault="00F6566B" w:rsidP="00210DAC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032DEF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</w:tr>
      <w:tr w:rsidR="00F6566B" w:rsidRPr="009E77AF" w:rsidTr="00190485">
        <w:trPr>
          <w:trHeight w:val="389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</w:tr>
      <w:tr w:rsidR="00F6566B" w:rsidRPr="009E77AF" w:rsidTr="004858EB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</w:tr>
      <w:tr w:rsidR="00F6566B" w:rsidRPr="009E77AF" w:rsidTr="004858EB">
        <w:trPr>
          <w:trHeight w:val="243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</w:tr>
      <w:tr w:rsidR="00F6566B" w:rsidRPr="009E77AF" w:rsidTr="004D2434">
        <w:trPr>
          <w:trHeight w:val="17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</w:tr>
      <w:tr w:rsidR="00F6566B" w:rsidRPr="009E77AF" w:rsidTr="004858EB">
        <w:trPr>
          <w:trHeight w:val="26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</w:tr>
      <w:tr w:rsidR="00F6566B" w:rsidRPr="009E77AF" w:rsidTr="004858EB">
        <w:trPr>
          <w:trHeight w:val="471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</w:tr>
      <w:tr w:rsidR="00F6566B" w:rsidRPr="009E77AF" w:rsidTr="004858EB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</w:tr>
      <w:tr w:rsidR="00F6566B" w:rsidRPr="009E77AF" w:rsidTr="004858EB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</w:tr>
      <w:tr w:rsidR="00F6566B" w:rsidRPr="009E77AF" w:rsidTr="004858EB">
        <w:trPr>
          <w:trHeight w:val="5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1B547B" w:rsidRDefault="00F6566B" w:rsidP="00210DAC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troleum gas and other fuels for 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transport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AE751C" w:rsidRDefault="00F6566B" w:rsidP="00210DA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</w:tr>
      <w:tr w:rsidR="00F6566B" w:rsidRPr="009E77AF" w:rsidTr="004858EB">
        <w:trPr>
          <w:trHeight w:val="300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458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</w:tr>
      <w:tr w:rsidR="00F6566B" w:rsidRPr="009E77AF" w:rsidTr="004858E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F6566B" w:rsidRPr="009E77AF" w:rsidTr="000B2CB6">
        <w:trPr>
          <w:trHeight w:val="260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0B2CB6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</w:tr>
      <w:tr w:rsidR="00F6566B" w:rsidRPr="009E77AF" w:rsidTr="000B2CB6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F6566B" w:rsidRPr="009E77AF" w:rsidTr="00DB20BC">
        <w:trPr>
          <w:trHeight w:val="451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7E1150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</w:tr>
      <w:tr w:rsidR="00F6566B" w:rsidRPr="009E77AF" w:rsidTr="00DB20BC">
        <w:trPr>
          <w:trHeight w:val="416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</w:tr>
      <w:tr w:rsidR="00F6566B" w:rsidRPr="009E77AF" w:rsidTr="004858E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</w:tr>
      <w:tr w:rsidR="00F6566B" w:rsidRPr="009E77AF" w:rsidTr="000B2CB6">
        <w:trPr>
          <w:trHeight w:val="34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6566B" w:rsidRPr="00C63D3F" w:rsidRDefault="00F6566B" w:rsidP="00210DA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6566B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140,9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6566B" w:rsidRPr="009E77AF" w:rsidRDefault="00F6566B" w:rsidP="00392DA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E77AF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</w:tr>
    </w:tbl>
    <w:p w:rsidR="00190485" w:rsidRDefault="00190485" w:rsidP="00190485">
      <w:pPr>
        <w:spacing w:before="0" w:after="160" w:line="259" w:lineRule="auto"/>
        <w:rPr>
          <w:sz w:val="16"/>
          <w:szCs w:val="16"/>
          <w:lang w:val="en-GB"/>
        </w:rPr>
      </w:pPr>
    </w:p>
    <w:p w:rsidR="00190485" w:rsidRPr="00550055" w:rsidRDefault="00190485" w:rsidP="00190485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>Document</w:t>
      </w:r>
      <w:r>
        <w:rPr>
          <w:sz w:val="16"/>
          <w:szCs w:val="16"/>
          <w:lang w:val="en-GB"/>
        </w:rPr>
        <w:t>s</w:t>
      </w:r>
      <w:r w:rsidRPr="004701BC">
        <w:rPr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‘</w:t>
      </w:r>
      <w:r w:rsidRPr="00550055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>
        <w:rPr>
          <w:color w:val="222222"/>
          <w:sz w:val="16"/>
          <w:szCs w:val="16"/>
          <w:lang w:val="en-GB"/>
        </w:rPr>
        <w:t>’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and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‘</w:t>
      </w:r>
      <w:r w:rsidRPr="00550055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>
        <w:rPr>
          <w:color w:val="222222"/>
          <w:sz w:val="16"/>
          <w:szCs w:val="16"/>
          <w:lang w:val="en-GB"/>
        </w:rPr>
        <w:t>’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were published by Eurostat under the following links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hyperlink r:id="rId17" w:history="1">
        <w:r w:rsidRPr="00E00CFD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https://ec.europa.eu/eurostat/documents/10186/10693286/HICP_guidance.pdf</w:t>
        </w:r>
      </w:hyperlink>
      <w:r w:rsidRPr="00E00CFD">
        <w:rPr>
          <w:color w:val="001D77"/>
          <w:sz w:val="16"/>
          <w:szCs w:val="16"/>
          <w:lang w:val="en-GB"/>
        </w:rPr>
        <w:t xml:space="preserve">, </w:t>
      </w:r>
      <w:hyperlink r:id="rId18" w:history="1">
        <w:r w:rsidRPr="00E00CFD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044EB2" w:rsidRPr="00D65AD9" w:rsidRDefault="00190485" w:rsidP="00190485">
      <w:pPr>
        <w:spacing w:before="0" w:after="240" w:line="259" w:lineRule="auto"/>
        <w:rPr>
          <w:color w:val="222222"/>
          <w:sz w:val="16"/>
          <w:szCs w:val="16"/>
          <w:lang w:val="en-GB"/>
        </w:rPr>
      </w:pPr>
      <w:r w:rsidRPr="00190485">
        <w:rPr>
          <w:color w:val="222222"/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9" w:history="1">
        <w:r w:rsidRPr="00E00CFD">
          <w:rPr>
            <w:rStyle w:val="Hipercze"/>
            <w:color w:val="001D77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685123" w:rsidRPr="00190485" w:rsidRDefault="00190485" w:rsidP="00D65AD9">
      <w:pPr>
        <w:pStyle w:val="LID"/>
        <w:spacing w:after="0"/>
        <w:rPr>
          <w:highlight w:val="yellow"/>
          <w:lang w:val="en-GB"/>
        </w:rPr>
        <w:sectPr w:rsidR="00685123" w:rsidRPr="00190485" w:rsidSect="00EF7B36">
          <w:headerReference w:type="default" r:id="rId20"/>
          <w:footerReference w:type="default" r:id="rId21"/>
          <w:headerReference w:type="first" r:id="rId22"/>
          <w:footerReference w:type="first" r:id="rId23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0485">
        <w:rPr>
          <w:b w:val="0"/>
          <w:color w:val="222222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  <w:bookmarkStart w:id="0" w:name="_GoBack"/>
      <w:bookmarkEnd w:id="0"/>
    </w:p>
    <w:p w:rsidR="000470AA" w:rsidRPr="00190485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210DAC" w:rsidTr="00EE696D">
        <w:trPr>
          <w:trHeight w:val="1912"/>
        </w:trPr>
        <w:tc>
          <w:tcPr>
            <w:tcW w:w="4379" w:type="dxa"/>
          </w:tcPr>
          <w:p w:rsidR="000B2CB6" w:rsidRPr="00D45A29" w:rsidRDefault="000B2CB6" w:rsidP="000B2CB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0B2CB6" w:rsidRPr="00AE1B58" w:rsidRDefault="000B2CB6" w:rsidP="000B2CB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0B2CB6" w:rsidRPr="00AE1B58" w:rsidRDefault="000B2CB6" w:rsidP="000B2CB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CA3165" w:rsidRDefault="000B2CB6" w:rsidP="000B2CB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</w:rPr>
            </w:pPr>
            <w:r w:rsidRPr="000F2F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0B2CB6" w:rsidRPr="00D45A29" w:rsidRDefault="000B2CB6" w:rsidP="000B2CB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0B2CB6" w:rsidRPr="00D45A29" w:rsidRDefault="000B2CB6" w:rsidP="000B2CB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0B2CB6" w:rsidRPr="00D45A29" w:rsidRDefault="000B2CB6" w:rsidP="000B2CB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83763" w:rsidRPr="00115458" w:rsidRDefault="000B2CB6" w:rsidP="000B2CB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</w:tc>
      </w:tr>
    </w:tbl>
    <w:p w:rsidR="000470AA" w:rsidRPr="00876337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10DAC" w:rsidTr="00C057E5">
        <w:trPr>
          <w:trHeight w:val="610"/>
        </w:trPr>
        <w:tc>
          <w:tcPr>
            <w:tcW w:w="2721" w:type="pct"/>
            <w:vMerge w:val="restart"/>
          </w:tcPr>
          <w:p w:rsidR="000B2CB6" w:rsidRPr="00D45A29" w:rsidRDefault="000B2CB6" w:rsidP="000B2CB6">
            <w:pPr>
              <w:spacing w:before="200"/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0B2CB6" w:rsidRPr="00D45A29" w:rsidRDefault="000B2CB6" w:rsidP="000B2CB6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876337" w:rsidRDefault="000B2CB6" w:rsidP="000B2CB6">
            <w:pPr>
              <w:rPr>
                <w:sz w:val="18"/>
                <w:highlight w:val="yellow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4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5F47BCF" wp14:editId="2F3E8E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B2CB6" w:rsidRDefault="00DB7510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0B2CB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B2CB6" w:rsidRDefault="000470AA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0B2CB6" w:rsidRDefault="000470AA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DDEC72E" wp14:editId="368BDE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DB7510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B2CB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76337" w:rsidRDefault="000470AA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EE82200" wp14:editId="1A6D22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DB7510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65E4D" w:rsidRDefault="00DB7510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 w14:anchorId="718789BC"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210DAC" w:rsidRDefault="00210DAC" w:rsidP="00883763">
                  <w:pPr>
                    <w:rPr>
                      <w:b/>
                    </w:rPr>
                  </w:pPr>
                </w:p>
                <w:p w:rsidR="00210DAC" w:rsidRPr="00941435" w:rsidRDefault="00210DAC" w:rsidP="000B2CB6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210DAC" w:rsidRPr="00941435" w:rsidRDefault="00210DAC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210DAC" w:rsidRPr="00941435" w:rsidRDefault="00210DAC" w:rsidP="000B2CB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210DAC" w:rsidRPr="00941435" w:rsidRDefault="00210DAC" w:rsidP="000B2CB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210DAC" w:rsidRPr="00941435" w:rsidRDefault="00210DAC" w:rsidP="000B2CB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210DAC" w:rsidRPr="00941435" w:rsidRDefault="00210DAC" w:rsidP="000B2CB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210DAC" w:rsidRPr="00941435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210DAC" w:rsidRPr="00065E4D" w:rsidRDefault="00DB7510" w:rsidP="000B2CB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210DAC"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10" w:rsidRDefault="00DB7510" w:rsidP="000662E2">
      <w:pPr>
        <w:spacing w:after="0" w:line="240" w:lineRule="auto"/>
      </w:pPr>
      <w:r>
        <w:separator/>
      </w:r>
    </w:p>
  </w:endnote>
  <w:endnote w:type="continuationSeparator" w:id="0">
    <w:p w:rsidR="00DB7510" w:rsidRDefault="00DB75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210DAC" w:rsidRDefault="00210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210DAC" w:rsidRDefault="00210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210DAC" w:rsidRDefault="00210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10" w:rsidRDefault="00DB7510" w:rsidP="000662E2">
      <w:pPr>
        <w:spacing w:after="0" w:line="240" w:lineRule="auto"/>
      </w:pPr>
      <w:r>
        <w:separator/>
      </w:r>
    </w:p>
  </w:footnote>
  <w:footnote w:type="continuationSeparator" w:id="0">
    <w:p w:rsidR="00DB7510" w:rsidRDefault="00DB751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AC" w:rsidRDefault="00DB7510">
    <w:pPr>
      <w:pStyle w:val="Nagwek"/>
    </w:pPr>
    <w:r>
      <w:rPr>
        <w:noProof/>
        <w:lang w:val="en-GB" w:eastAsia="en-GB"/>
      </w:rPr>
      <w:pict w14:anchorId="638A61E8"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210DAC" w:rsidRDefault="00210D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AC" w:rsidRDefault="00DB7510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4EDAE024"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210DAC">
      <w:rPr>
        <w:noProof/>
        <w:lang w:eastAsia="pl-PL"/>
      </w:rPr>
      <w:drawing>
        <wp:inline distT="0" distB="0" distL="0" distR="0" wp14:anchorId="7B2B9E11" wp14:editId="535BF8E5">
          <wp:extent cx="1865630" cy="709295"/>
          <wp:effectExtent l="0" t="0" r="0" b="0"/>
          <wp:docPr id="8" name="Obraz 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 w14:anchorId="4729B8CA"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210DAC" w:rsidRPr="003C6C8D" w:rsidRDefault="00210DAC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1D7F33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210DAC" w:rsidRDefault="00DB7510">
    <w:pPr>
      <w:pStyle w:val="Nagwek"/>
      <w:rPr>
        <w:noProof/>
        <w:lang w:eastAsia="pl-PL"/>
      </w:rPr>
    </w:pPr>
    <w:r>
      <w:rPr>
        <w:noProof/>
        <w:lang w:val="en-GB" w:eastAsia="en-GB"/>
      </w:rPr>
      <w:pict w14:anchorId="26A309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210DAC" w:rsidRPr="00C97596" w:rsidRDefault="00210DA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15.10.2020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AC" w:rsidRDefault="00210DAC">
    <w:pPr>
      <w:pStyle w:val="Nagwek"/>
    </w:pPr>
  </w:p>
  <w:p w:rsidR="00210DAC" w:rsidRDefault="00210D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4.8pt;visibility:visible" o:bullet="t">
        <v:imagedata r:id="rId1" o:title=""/>
      </v:shape>
    </w:pict>
  </w:numPicBullet>
  <w:numPicBullet w:numPicBulletId="1">
    <w:pict>
      <v:shape id="_x0000_i1035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078C9"/>
    <w:rsid w:val="000108B8"/>
    <w:rsid w:val="000152F5"/>
    <w:rsid w:val="0001700C"/>
    <w:rsid w:val="000201FC"/>
    <w:rsid w:val="00024B66"/>
    <w:rsid w:val="00032DEF"/>
    <w:rsid w:val="00034160"/>
    <w:rsid w:val="0004015D"/>
    <w:rsid w:val="00044EB2"/>
    <w:rsid w:val="0004582E"/>
    <w:rsid w:val="0004646A"/>
    <w:rsid w:val="000470AA"/>
    <w:rsid w:val="000522BA"/>
    <w:rsid w:val="000531EB"/>
    <w:rsid w:val="00057CA1"/>
    <w:rsid w:val="000609C1"/>
    <w:rsid w:val="00061DB5"/>
    <w:rsid w:val="00065E4D"/>
    <w:rsid w:val="000662E2"/>
    <w:rsid w:val="00066883"/>
    <w:rsid w:val="00074DD8"/>
    <w:rsid w:val="000800B4"/>
    <w:rsid w:val="000806F7"/>
    <w:rsid w:val="0008281B"/>
    <w:rsid w:val="0009633C"/>
    <w:rsid w:val="00097840"/>
    <w:rsid w:val="000A014D"/>
    <w:rsid w:val="000A0FD3"/>
    <w:rsid w:val="000A350D"/>
    <w:rsid w:val="000A6963"/>
    <w:rsid w:val="000A7F1A"/>
    <w:rsid w:val="000B0727"/>
    <w:rsid w:val="000B2CB6"/>
    <w:rsid w:val="000B5393"/>
    <w:rsid w:val="000C135D"/>
    <w:rsid w:val="000D1D43"/>
    <w:rsid w:val="000D225C"/>
    <w:rsid w:val="000D2465"/>
    <w:rsid w:val="000D2A5C"/>
    <w:rsid w:val="000E0918"/>
    <w:rsid w:val="000F2650"/>
    <w:rsid w:val="000F5B00"/>
    <w:rsid w:val="001011C3"/>
    <w:rsid w:val="00110D87"/>
    <w:rsid w:val="001149A1"/>
    <w:rsid w:val="00114DB9"/>
    <w:rsid w:val="00115458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90485"/>
    <w:rsid w:val="00194845"/>
    <w:rsid w:val="001951DA"/>
    <w:rsid w:val="001A3A7F"/>
    <w:rsid w:val="001A7573"/>
    <w:rsid w:val="001A78D0"/>
    <w:rsid w:val="001B7E7B"/>
    <w:rsid w:val="001C1375"/>
    <w:rsid w:val="001C3269"/>
    <w:rsid w:val="001D1DB4"/>
    <w:rsid w:val="001D70C1"/>
    <w:rsid w:val="001E1D94"/>
    <w:rsid w:val="001E7DBB"/>
    <w:rsid w:val="001F439C"/>
    <w:rsid w:val="001F60D1"/>
    <w:rsid w:val="00210DAC"/>
    <w:rsid w:val="002219F4"/>
    <w:rsid w:val="002268BB"/>
    <w:rsid w:val="00231607"/>
    <w:rsid w:val="0023381A"/>
    <w:rsid w:val="0024032F"/>
    <w:rsid w:val="002574F9"/>
    <w:rsid w:val="002576EE"/>
    <w:rsid w:val="00257A17"/>
    <w:rsid w:val="002621B1"/>
    <w:rsid w:val="00262B61"/>
    <w:rsid w:val="0026302B"/>
    <w:rsid w:val="002724FF"/>
    <w:rsid w:val="00275FA6"/>
    <w:rsid w:val="00276811"/>
    <w:rsid w:val="00276C9A"/>
    <w:rsid w:val="00280D7C"/>
    <w:rsid w:val="0028113C"/>
    <w:rsid w:val="00282699"/>
    <w:rsid w:val="00285768"/>
    <w:rsid w:val="00287261"/>
    <w:rsid w:val="00290CB6"/>
    <w:rsid w:val="002926DF"/>
    <w:rsid w:val="00296697"/>
    <w:rsid w:val="00296EB3"/>
    <w:rsid w:val="002A4D80"/>
    <w:rsid w:val="002B0472"/>
    <w:rsid w:val="002B5049"/>
    <w:rsid w:val="002B6B12"/>
    <w:rsid w:val="002B6EDF"/>
    <w:rsid w:val="002C195D"/>
    <w:rsid w:val="002C5DB9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54A4"/>
    <w:rsid w:val="00317C90"/>
    <w:rsid w:val="00321506"/>
    <w:rsid w:val="00322EDD"/>
    <w:rsid w:val="00332320"/>
    <w:rsid w:val="00336B88"/>
    <w:rsid w:val="003405A4"/>
    <w:rsid w:val="00341C29"/>
    <w:rsid w:val="00345893"/>
    <w:rsid w:val="00347D72"/>
    <w:rsid w:val="00357611"/>
    <w:rsid w:val="00367237"/>
    <w:rsid w:val="0037077F"/>
    <w:rsid w:val="00372411"/>
    <w:rsid w:val="0037258A"/>
    <w:rsid w:val="00373882"/>
    <w:rsid w:val="003843DB"/>
    <w:rsid w:val="003901AC"/>
    <w:rsid w:val="00392DAC"/>
    <w:rsid w:val="00393761"/>
    <w:rsid w:val="00395E87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3F59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143"/>
    <w:rsid w:val="003F7FE6"/>
    <w:rsid w:val="00400193"/>
    <w:rsid w:val="004002CD"/>
    <w:rsid w:val="004009D2"/>
    <w:rsid w:val="004052B4"/>
    <w:rsid w:val="00406CE0"/>
    <w:rsid w:val="004212E7"/>
    <w:rsid w:val="0042446D"/>
    <w:rsid w:val="004276B0"/>
    <w:rsid w:val="00427BF8"/>
    <w:rsid w:val="00431C02"/>
    <w:rsid w:val="00435CFE"/>
    <w:rsid w:val="00437395"/>
    <w:rsid w:val="00445047"/>
    <w:rsid w:val="00450CDA"/>
    <w:rsid w:val="00452976"/>
    <w:rsid w:val="00453304"/>
    <w:rsid w:val="00454E14"/>
    <w:rsid w:val="004566AB"/>
    <w:rsid w:val="0045762F"/>
    <w:rsid w:val="004601AC"/>
    <w:rsid w:val="00463E39"/>
    <w:rsid w:val="004657FC"/>
    <w:rsid w:val="0047107B"/>
    <w:rsid w:val="004733F6"/>
    <w:rsid w:val="00474E69"/>
    <w:rsid w:val="00481D83"/>
    <w:rsid w:val="0048486C"/>
    <w:rsid w:val="004858EB"/>
    <w:rsid w:val="00486EE6"/>
    <w:rsid w:val="0049189D"/>
    <w:rsid w:val="00493217"/>
    <w:rsid w:val="0049621B"/>
    <w:rsid w:val="00497A02"/>
    <w:rsid w:val="004C1895"/>
    <w:rsid w:val="004C6D40"/>
    <w:rsid w:val="004C732A"/>
    <w:rsid w:val="004D119F"/>
    <w:rsid w:val="004D2434"/>
    <w:rsid w:val="004D3ABE"/>
    <w:rsid w:val="004E21A3"/>
    <w:rsid w:val="004F0C3C"/>
    <w:rsid w:val="004F63FC"/>
    <w:rsid w:val="00501254"/>
    <w:rsid w:val="00501F76"/>
    <w:rsid w:val="00502E6F"/>
    <w:rsid w:val="00505447"/>
    <w:rsid w:val="005054E1"/>
    <w:rsid w:val="00505A92"/>
    <w:rsid w:val="00511F19"/>
    <w:rsid w:val="00516071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572E4"/>
    <w:rsid w:val="00573DFA"/>
    <w:rsid w:val="00574422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B06A5"/>
    <w:rsid w:val="005B7E80"/>
    <w:rsid w:val="005C1AF8"/>
    <w:rsid w:val="005C209B"/>
    <w:rsid w:val="005D0389"/>
    <w:rsid w:val="005D1C04"/>
    <w:rsid w:val="005D470D"/>
    <w:rsid w:val="005E0799"/>
    <w:rsid w:val="005E2757"/>
    <w:rsid w:val="005E418C"/>
    <w:rsid w:val="005E7100"/>
    <w:rsid w:val="005F4399"/>
    <w:rsid w:val="005F5A80"/>
    <w:rsid w:val="005F71F7"/>
    <w:rsid w:val="006044FF"/>
    <w:rsid w:val="00604FF5"/>
    <w:rsid w:val="00606613"/>
    <w:rsid w:val="00607CC5"/>
    <w:rsid w:val="006149F0"/>
    <w:rsid w:val="0061655B"/>
    <w:rsid w:val="0062307C"/>
    <w:rsid w:val="006321A2"/>
    <w:rsid w:val="00632F88"/>
    <w:rsid w:val="00633014"/>
    <w:rsid w:val="0063437B"/>
    <w:rsid w:val="006346A9"/>
    <w:rsid w:val="00634C42"/>
    <w:rsid w:val="0063525D"/>
    <w:rsid w:val="00636A57"/>
    <w:rsid w:val="00644254"/>
    <w:rsid w:val="0064598C"/>
    <w:rsid w:val="0064773F"/>
    <w:rsid w:val="006534BE"/>
    <w:rsid w:val="0065796F"/>
    <w:rsid w:val="00660778"/>
    <w:rsid w:val="006673CA"/>
    <w:rsid w:val="0067044C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1CA"/>
    <w:rsid w:val="00696814"/>
    <w:rsid w:val="006A4686"/>
    <w:rsid w:val="006B0B72"/>
    <w:rsid w:val="006B0E9E"/>
    <w:rsid w:val="006B208D"/>
    <w:rsid w:val="006B20B4"/>
    <w:rsid w:val="006B44F3"/>
    <w:rsid w:val="006B5AE4"/>
    <w:rsid w:val="006C1396"/>
    <w:rsid w:val="006C42C9"/>
    <w:rsid w:val="006D1507"/>
    <w:rsid w:val="006D4054"/>
    <w:rsid w:val="006D5C42"/>
    <w:rsid w:val="006D6B72"/>
    <w:rsid w:val="006E02EC"/>
    <w:rsid w:val="006E3324"/>
    <w:rsid w:val="006F145E"/>
    <w:rsid w:val="006F6B1F"/>
    <w:rsid w:val="007059D5"/>
    <w:rsid w:val="007063C3"/>
    <w:rsid w:val="00712AE9"/>
    <w:rsid w:val="007162EB"/>
    <w:rsid w:val="007211B1"/>
    <w:rsid w:val="0072400B"/>
    <w:rsid w:val="00733D55"/>
    <w:rsid w:val="00740107"/>
    <w:rsid w:val="007408FF"/>
    <w:rsid w:val="00743B8C"/>
    <w:rsid w:val="0074537D"/>
    <w:rsid w:val="00746187"/>
    <w:rsid w:val="00752A67"/>
    <w:rsid w:val="0075651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C0C"/>
    <w:rsid w:val="007A2DC1"/>
    <w:rsid w:val="007B74D8"/>
    <w:rsid w:val="007D3319"/>
    <w:rsid w:val="007D335D"/>
    <w:rsid w:val="007D440C"/>
    <w:rsid w:val="007D7F30"/>
    <w:rsid w:val="007E3314"/>
    <w:rsid w:val="007E4B03"/>
    <w:rsid w:val="007F045B"/>
    <w:rsid w:val="007F324B"/>
    <w:rsid w:val="007F3983"/>
    <w:rsid w:val="007F6195"/>
    <w:rsid w:val="0080139C"/>
    <w:rsid w:val="00802A9A"/>
    <w:rsid w:val="0080553C"/>
    <w:rsid w:val="00805B46"/>
    <w:rsid w:val="00817790"/>
    <w:rsid w:val="00820461"/>
    <w:rsid w:val="008207B1"/>
    <w:rsid w:val="00820B10"/>
    <w:rsid w:val="0082498D"/>
    <w:rsid w:val="00825DC2"/>
    <w:rsid w:val="00830940"/>
    <w:rsid w:val="00831172"/>
    <w:rsid w:val="00834AD3"/>
    <w:rsid w:val="0084200F"/>
    <w:rsid w:val="00843795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26D9"/>
    <w:rsid w:val="008A4C58"/>
    <w:rsid w:val="008B4996"/>
    <w:rsid w:val="008B4AE0"/>
    <w:rsid w:val="008C0C29"/>
    <w:rsid w:val="008C63C0"/>
    <w:rsid w:val="008C7A01"/>
    <w:rsid w:val="008D05FC"/>
    <w:rsid w:val="008D1B55"/>
    <w:rsid w:val="008F3638"/>
    <w:rsid w:val="008F4441"/>
    <w:rsid w:val="008F6F31"/>
    <w:rsid w:val="008F74DF"/>
    <w:rsid w:val="009056A6"/>
    <w:rsid w:val="0091008E"/>
    <w:rsid w:val="009127BA"/>
    <w:rsid w:val="00912EB7"/>
    <w:rsid w:val="00913FBA"/>
    <w:rsid w:val="00916782"/>
    <w:rsid w:val="00917CCF"/>
    <w:rsid w:val="009227A6"/>
    <w:rsid w:val="00927AD2"/>
    <w:rsid w:val="00933B26"/>
    <w:rsid w:val="00933EC1"/>
    <w:rsid w:val="00942DCA"/>
    <w:rsid w:val="0094313B"/>
    <w:rsid w:val="0094622C"/>
    <w:rsid w:val="009530DB"/>
    <w:rsid w:val="00953676"/>
    <w:rsid w:val="009668F9"/>
    <w:rsid w:val="0097002A"/>
    <w:rsid w:val="009705EE"/>
    <w:rsid w:val="00971217"/>
    <w:rsid w:val="0097339D"/>
    <w:rsid w:val="00973EBC"/>
    <w:rsid w:val="00977927"/>
    <w:rsid w:val="0098135C"/>
    <w:rsid w:val="0098156A"/>
    <w:rsid w:val="0098469A"/>
    <w:rsid w:val="00984980"/>
    <w:rsid w:val="00984F8C"/>
    <w:rsid w:val="00986C0E"/>
    <w:rsid w:val="00990133"/>
    <w:rsid w:val="00991BAC"/>
    <w:rsid w:val="009A08F7"/>
    <w:rsid w:val="009A6EA0"/>
    <w:rsid w:val="009B1399"/>
    <w:rsid w:val="009B6D11"/>
    <w:rsid w:val="009B746F"/>
    <w:rsid w:val="009C1335"/>
    <w:rsid w:val="009C1AB2"/>
    <w:rsid w:val="009C5407"/>
    <w:rsid w:val="009C7251"/>
    <w:rsid w:val="009C7B4C"/>
    <w:rsid w:val="009D0FBC"/>
    <w:rsid w:val="009D1423"/>
    <w:rsid w:val="009E2E91"/>
    <w:rsid w:val="009E3BF4"/>
    <w:rsid w:val="009E3FA7"/>
    <w:rsid w:val="009E410D"/>
    <w:rsid w:val="009E77AF"/>
    <w:rsid w:val="009F4D4A"/>
    <w:rsid w:val="009F5815"/>
    <w:rsid w:val="009F5AB7"/>
    <w:rsid w:val="009F66BC"/>
    <w:rsid w:val="00A07F00"/>
    <w:rsid w:val="00A12435"/>
    <w:rsid w:val="00A139F5"/>
    <w:rsid w:val="00A15A51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16C6"/>
    <w:rsid w:val="00A6676F"/>
    <w:rsid w:val="00A70953"/>
    <w:rsid w:val="00A7152F"/>
    <w:rsid w:val="00A74937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C489E"/>
    <w:rsid w:val="00AD4947"/>
    <w:rsid w:val="00AD5F17"/>
    <w:rsid w:val="00AE20FD"/>
    <w:rsid w:val="00AE2D4B"/>
    <w:rsid w:val="00AE3075"/>
    <w:rsid w:val="00AE4F99"/>
    <w:rsid w:val="00B00836"/>
    <w:rsid w:val="00B06265"/>
    <w:rsid w:val="00B11B69"/>
    <w:rsid w:val="00B14952"/>
    <w:rsid w:val="00B26993"/>
    <w:rsid w:val="00B31E5A"/>
    <w:rsid w:val="00B322EC"/>
    <w:rsid w:val="00B609CE"/>
    <w:rsid w:val="00B611C1"/>
    <w:rsid w:val="00B617A5"/>
    <w:rsid w:val="00B653AB"/>
    <w:rsid w:val="00B65F9E"/>
    <w:rsid w:val="00B66B19"/>
    <w:rsid w:val="00B67683"/>
    <w:rsid w:val="00B678FF"/>
    <w:rsid w:val="00B81B60"/>
    <w:rsid w:val="00B84277"/>
    <w:rsid w:val="00B86545"/>
    <w:rsid w:val="00B86A71"/>
    <w:rsid w:val="00B914E9"/>
    <w:rsid w:val="00B91831"/>
    <w:rsid w:val="00B94737"/>
    <w:rsid w:val="00B956EE"/>
    <w:rsid w:val="00B97152"/>
    <w:rsid w:val="00BA1AD0"/>
    <w:rsid w:val="00BA2BA1"/>
    <w:rsid w:val="00BA3562"/>
    <w:rsid w:val="00BA4C86"/>
    <w:rsid w:val="00BA5A42"/>
    <w:rsid w:val="00BA5CDA"/>
    <w:rsid w:val="00BB32AC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47D"/>
    <w:rsid w:val="00C00EDA"/>
    <w:rsid w:val="00C030DE"/>
    <w:rsid w:val="00C057E5"/>
    <w:rsid w:val="00C11C07"/>
    <w:rsid w:val="00C1766A"/>
    <w:rsid w:val="00C22105"/>
    <w:rsid w:val="00C244B6"/>
    <w:rsid w:val="00C27D75"/>
    <w:rsid w:val="00C3702F"/>
    <w:rsid w:val="00C37388"/>
    <w:rsid w:val="00C4216E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67F67"/>
    <w:rsid w:val="00C714F7"/>
    <w:rsid w:val="00C7158E"/>
    <w:rsid w:val="00C7250B"/>
    <w:rsid w:val="00C7346B"/>
    <w:rsid w:val="00C73B5E"/>
    <w:rsid w:val="00C77C0E"/>
    <w:rsid w:val="00C8000E"/>
    <w:rsid w:val="00C85766"/>
    <w:rsid w:val="00C91687"/>
    <w:rsid w:val="00C920B2"/>
    <w:rsid w:val="00C924A8"/>
    <w:rsid w:val="00C945FE"/>
    <w:rsid w:val="00C946D8"/>
    <w:rsid w:val="00C950B4"/>
    <w:rsid w:val="00C95320"/>
    <w:rsid w:val="00C96FAA"/>
    <w:rsid w:val="00C97A04"/>
    <w:rsid w:val="00CA107B"/>
    <w:rsid w:val="00CA228A"/>
    <w:rsid w:val="00CA27EA"/>
    <w:rsid w:val="00CA3165"/>
    <w:rsid w:val="00CA484D"/>
    <w:rsid w:val="00CA4FB6"/>
    <w:rsid w:val="00CC6180"/>
    <w:rsid w:val="00CC72FC"/>
    <w:rsid w:val="00CC739E"/>
    <w:rsid w:val="00CC75D3"/>
    <w:rsid w:val="00CD1E2E"/>
    <w:rsid w:val="00CD352D"/>
    <w:rsid w:val="00CD58B7"/>
    <w:rsid w:val="00CE2545"/>
    <w:rsid w:val="00CF08EF"/>
    <w:rsid w:val="00CF4099"/>
    <w:rsid w:val="00D00796"/>
    <w:rsid w:val="00D02D2C"/>
    <w:rsid w:val="00D07D16"/>
    <w:rsid w:val="00D14C59"/>
    <w:rsid w:val="00D1564D"/>
    <w:rsid w:val="00D261A2"/>
    <w:rsid w:val="00D3440A"/>
    <w:rsid w:val="00D401C9"/>
    <w:rsid w:val="00D43419"/>
    <w:rsid w:val="00D47B8D"/>
    <w:rsid w:val="00D518F8"/>
    <w:rsid w:val="00D538E4"/>
    <w:rsid w:val="00D54B01"/>
    <w:rsid w:val="00D616D2"/>
    <w:rsid w:val="00D636A8"/>
    <w:rsid w:val="00D63B5F"/>
    <w:rsid w:val="00D65AD9"/>
    <w:rsid w:val="00D7066F"/>
    <w:rsid w:val="00D70EF7"/>
    <w:rsid w:val="00D7217D"/>
    <w:rsid w:val="00D7664A"/>
    <w:rsid w:val="00D76A0A"/>
    <w:rsid w:val="00D815F5"/>
    <w:rsid w:val="00D83359"/>
    <w:rsid w:val="00D8397C"/>
    <w:rsid w:val="00D8427E"/>
    <w:rsid w:val="00D94EED"/>
    <w:rsid w:val="00D96026"/>
    <w:rsid w:val="00DA0243"/>
    <w:rsid w:val="00DA2A8B"/>
    <w:rsid w:val="00DA433C"/>
    <w:rsid w:val="00DA52A7"/>
    <w:rsid w:val="00DA7C1C"/>
    <w:rsid w:val="00DB147A"/>
    <w:rsid w:val="00DB1B7A"/>
    <w:rsid w:val="00DB20BC"/>
    <w:rsid w:val="00DB7510"/>
    <w:rsid w:val="00DC6708"/>
    <w:rsid w:val="00DC7CFA"/>
    <w:rsid w:val="00DE64C5"/>
    <w:rsid w:val="00DF712D"/>
    <w:rsid w:val="00E00CFD"/>
    <w:rsid w:val="00E01436"/>
    <w:rsid w:val="00E045BD"/>
    <w:rsid w:val="00E07218"/>
    <w:rsid w:val="00E17A9F"/>
    <w:rsid w:val="00E17B77"/>
    <w:rsid w:val="00E23337"/>
    <w:rsid w:val="00E23CD2"/>
    <w:rsid w:val="00E259EA"/>
    <w:rsid w:val="00E27E85"/>
    <w:rsid w:val="00E30793"/>
    <w:rsid w:val="00E32061"/>
    <w:rsid w:val="00E41FCF"/>
    <w:rsid w:val="00E42FF9"/>
    <w:rsid w:val="00E435E4"/>
    <w:rsid w:val="00E4714C"/>
    <w:rsid w:val="00E517CA"/>
    <w:rsid w:val="00E51AEB"/>
    <w:rsid w:val="00E52010"/>
    <w:rsid w:val="00E522A7"/>
    <w:rsid w:val="00E54452"/>
    <w:rsid w:val="00E57AF4"/>
    <w:rsid w:val="00E63312"/>
    <w:rsid w:val="00E664C5"/>
    <w:rsid w:val="00E671A2"/>
    <w:rsid w:val="00E70C90"/>
    <w:rsid w:val="00E76D26"/>
    <w:rsid w:val="00E82C7E"/>
    <w:rsid w:val="00E93CDB"/>
    <w:rsid w:val="00E95A2C"/>
    <w:rsid w:val="00E963C8"/>
    <w:rsid w:val="00EA45E9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B7815"/>
    <w:rsid w:val="00EC2274"/>
    <w:rsid w:val="00ED02EA"/>
    <w:rsid w:val="00ED55C0"/>
    <w:rsid w:val="00ED682B"/>
    <w:rsid w:val="00EE41D5"/>
    <w:rsid w:val="00EE4A70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3CEB"/>
    <w:rsid w:val="00F570CA"/>
    <w:rsid w:val="00F57391"/>
    <w:rsid w:val="00F60B5D"/>
    <w:rsid w:val="00F6566B"/>
    <w:rsid w:val="00F65EEC"/>
    <w:rsid w:val="00F6637E"/>
    <w:rsid w:val="00F67D8F"/>
    <w:rsid w:val="00F71AB9"/>
    <w:rsid w:val="00F739B3"/>
    <w:rsid w:val="00F74B10"/>
    <w:rsid w:val="00F80247"/>
    <w:rsid w:val="00F802BE"/>
    <w:rsid w:val="00F80E93"/>
    <w:rsid w:val="00F8407A"/>
    <w:rsid w:val="00F86024"/>
    <w:rsid w:val="00F8611A"/>
    <w:rsid w:val="00F86C02"/>
    <w:rsid w:val="00F90974"/>
    <w:rsid w:val="00F90BB1"/>
    <w:rsid w:val="00F93CA3"/>
    <w:rsid w:val="00F97A68"/>
    <w:rsid w:val="00FA0677"/>
    <w:rsid w:val="00FA1B51"/>
    <w:rsid w:val="00FA5128"/>
    <w:rsid w:val="00FB2D00"/>
    <w:rsid w:val="00FB42D4"/>
    <w:rsid w:val="00FB5906"/>
    <w:rsid w:val="00FB762F"/>
    <w:rsid w:val="00FC1516"/>
    <w:rsid w:val="00FC2AED"/>
    <w:rsid w:val="00FC7489"/>
    <w:rsid w:val="00FD5EA7"/>
    <w:rsid w:val="00FF0F23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1750EAB-4412-4E5C-A7AD-A374F17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23CD2"/>
  </w:style>
  <w:style w:type="table" w:customStyle="1" w:styleId="Tabelasiatki1jasnaakcent111">
    <w:name w:val="Tabela siatki 1 — jasna — akcent 111"/>
    <w:basedOn w:val="Standardowy"/>
    <w:uiPriority w:val="46"/>
    <w:rsid w:val="00E23C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E23C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E2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E23C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044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ec.europa.eu/eurostat/documents/10186/10693286/HICP_lifting_lockdown_measures_guidance.pdf" TargetMode="Externa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1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footer" Target="footer2.xm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eader" Target="header2.xm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10186/10693286/HICP_guidance.pdf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0851690413698292"/>
          <c:y val="2.3607142597480025E-2"/>
          <c:w val="0.52658061332077077"/>
          <c:h val="0.8939098159821434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WPŁYWY!$A$52:$A$61</c:f>
              <c:strCache>
                <c:ptCount val="10"/>
                <c:pt idx="0">
                  <c:v>Fruit</c:v>
                </c:pt>
                <c:pt idx="1">
                  <c:v>Transport services</c:v>
                </c:pt>
                <c:pt idx="2">
                  <c:v>Package holidays</c:v>
                </c:pt>
                <c:pt idx="3">
                  <c:v>Articles for personal hygiene and wellness, esoteric products and beauty products</c:v>
                </c:pt>
                <c:pt idx="4">
                  <c:v>Refuse collection</c:v>
                </c:pt>
                <c:pt idx="5">
                  <c:v>Footwear</c:v>
                </c:pt>
                <c:pt idx="6">
                  <c:v>Catering services</c:v>
                </c:pt>
                <c:pt idx="7">
                  <c:v>Telephone and telefax services</c:v>
                </c:pt>
                <c:pt idx="8">
                  <c:v>Garments</c:v>
                </c:pt>
                <c:pt idx="9">
                  <c:v>Fuels for personal transport equipment</c:v>
                </c:pt>
              </c:strCache>
            </c:strRef>
          </c:cat>
          <c:val>
            <c:numRef>
              <c:f>WPŁYWY!$C$52:$C$61</c:f>
              <c:numCache>
                <c:formatCode>0.00</c:formatCode>
                <c:ptCount val="10"/>
                <c:pt idx="0">
                  <c:v>-0.09</c:v>
                </c:pt>
                <c:pt idx="1">
                  <c:v>-0.09</c:v>
                </c:pt>
                <c:pt idx="2">
                  <c:v>-0.03</c:v>
                </c:pt>
                <c:pt idx="3">
                  <c:v>-0.02</c:v>
                </c:pt>
                <c:pt idx="4">
                  <c:v>0.03</c:v>
                </c:pt>
                <c:pt idx="5">
                  <c:v>0.03</c:v>
                </c:pt>
                <c:pt idx="6">
                  <c:v>0.04</c:v>
                </c:pt>
                <c:pt idx="7">
                  <c:v>0.06</c:v>
                </c:pt>
                <c:pt idx="8">
                  <c:v>0.08</c:v>
                </c:pt>
                <c:pt idx="9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085712"/>
        <c:axId val="423092240"/>
      </c:barChart>
      <c:catAx>
        <c:axId val="4230857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 algn="r"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23092240"/>
        <c:crossesAt val="0"/>
        <c:auto val="1"/>
        <c:lblAlgn val="ctr"/>
        <c:lblOffset val="400"/>
        <c:tickMarkSkip val="1"/>
        <c:noMultiLvlLbl val="0"/>
      </c:catAx>
      <c:valAx>
        <c:axId val="423092240"/>
        <c:scaling>
          <c:orientation val="minMax"/>
          <c:max val="0.1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23085712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23092784"/>
        <c:axId val="423086256"/>
      </c:barChart>
      <c:catAx>
        <c:axId val="423092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423086256"/>
        <c:crosses val="autoZero"/>
        <c:auto val="0"/>
        <c:lblAlgn val="ctr"/>
        <c:lblOffset val="100"/>
        <c:noMultiLvlLbl val="0"/>
      </c:catAx>
      <c:valAx>
        <c:axId val="4230862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423092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3170049395999413E-2"/>
                  <c:y val="-1.9588667274846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'M-1'!$C$38:$C$58</c:f>
              <c:numCache>
                <c:formatCode>0.0</c:formatCode>
                <c:ptCount val="21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093872"/>
        <c:axId val="423088432"/>
      </c:lineChart>
      <c:dateAx>
        <c:axId val="4230938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23088432"/>
        <c:crossesAt val="0"/>
        <c:auto val="0"/>
        <c:lblOffset val="100"/>
        <c:baseTimeUnit val="days"/>
      </c:dateAx>
      <c:valAx>
        <c:axId val="423088432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2309387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73125520600358E-2"/>
                  <c:y val="-3.5819128760706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295661851286683E-2"/>
                  <c:y val="2.009051290262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8475672363621059E-2"/>
                  <c:y val="2.75108263118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0953363017137849E-3"/>
                  <c:y val="-8.315571639596583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54040935460724E-2"/>
                  <c:y val="3.3194185718641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3255128439790518E-2"/>
                  <c:y val="-5.4434030142704612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(+FE)'!$C$38:$C$58</c:f>
              <c:numCache>
                <c:formatCode>0.0</c:formatCode>
                <c:ptCount val="21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094416"/>
        <c:axId val="414165168"/>
      </c:lineChart>
      <c:dateAx>
        <c:axId val="4230944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14165168"/>
        <c:crossesAt val="0"/>
        <c:auto val="0"/>
        <c:lblOffset val="100"/>
        <c:baseTimeUnit val="days"/>
      </c:dateAx>
      <c:valAx>
        <c:axId val="41416516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4230944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m-12'!$B$39:$B$59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m-12'!$C$39:$C$59</c:f>
              <c:numCache>
                <c:formatCode>0.0</c:formatCode>
                <c:ptCount val="21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m-12'!$B$39:$B$59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m-12'!$E$39:$E$58</c:f>
              <c:numCache>
                <c:formatCode>0.0</c:formatCode>
                <c:ptCount val="20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5008736"/>
        <c:axId val="269868480"/>
      </c:lineChart>
      <c:catAx>
        <c:axId val="52500873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98684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6986848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2500873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1323705275"/>
          <c:y val="0.623940322056346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0.56418</cdr:x>
      <cdr:y>0.8682</cdr:y>
    </cdr:from>
    <cdr:to>
      <cdr:x>0.56461</cdr:x>
      <cdr:y>0.94467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884194" y="2195145"/>
          <a:ext cx="2198" cy="19334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0.93666</cdr:y>
    </cdr:from>
    <cdr:to>
      <cdr:x>0.58919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70278" y="2349500"/>
          <a:ext cx="2556963" cy="158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0.57779</cdr:x>
      <cdr:y>0.93033</cdr:y>
    </cdr:from>
    <cdr:to>
      <cdr:x>0.9152</cdr:x>
      <cdr:y>0.99362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953737" y="2352233"/>
          <a:ext cx="1724904" cy="1600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3211" y="1613116"/>
          <a:ext cx="4410664" cy="72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0.06469</cdr:x>
      <cdr:y>0.29385</cdr:y>
    </cdr:from>
    <cdr:to>
      <cdr:x>0.92846</cdr:x>
      <cdr:y>0.29476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30459" y="768056"/>
          <a:ext cx="4412379" cy="23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0.93162</cdr:y>
    </cdr:from>
    <cdr:to>
      <cdr:x>0.58678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066" y="2435030"/>
          <a:ext cx="2653393" cy="166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0.56137</cdr:x>
      <cdr:y>0.93049</cdr:y>
    </cdr:from>
    <cdr:to>
      <cdr:x>0.9278</cdr:x>
      <cdr:y>0.99582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876821" y="2422206"/>
          <a:ext cx="1877838" cy="170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0.56034</cdr:x>
      <cdr:y>0.86553</cdr:y>
    </cdr:from>
    <cdr:to>
      <cdr:x>0.56068</cdr:x>
      <cdr:y>0.94924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871551" y="2253105"/>
          <a:ext cx="1742" cy="2179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0.20918</cdr:x>
      <cdr:y>0.21986</cdr:y>
    </cdr:from>
    <cdr:to>
      <cdr:x>0.50922</cdr:x>
      <cdr:y>0.29876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071556" y="569753"/>
          <a:ext cx="1536969" cy="204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0.21661</cdr:x>
      <cdr:y>0.62333</cdr:y>
    </cdr:from>
    <cdr:to>
      <cdr:x>0.4978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109594" y="1615319"/>
          <a:ext cx="1440409" cy="2044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0.5332</cdr:x>
      <cdr:y>0.38708</cdr:y>
    </cdr:from>
    <cdr:to>
      <cdr:x>0.72237</cdr:x>
      <cdr:y>0.47388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1328" y="1003093"/>
          <a:ext cx="969031" cy="2249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0.22597</cdr:x>
      <cdr:y>0.92017</cdr:y>
    </cdr:from>
    <cdr:to>
      <cdr:x>0.88532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158875" y="2360823"/>
          <a:ext cx="3381375" cy="176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0.55836</cdr:x>
      <cdr:y>0.8528</cdr:y>
    </cdr:from>
    <cdr:to>
      <cdr:x>0.5587</cdr:x>
      <cdr:y>0.93359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2860242" y="2185065"/>
          <a:ext cx="1723" cy="207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6D5EA-D043-48D0-BDCE-6F6B8FA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7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2018-07-12T07:13:00Z</cp:lastPrinted>
  <dcterms:created xsi:type="dcterms:W3CDTF">2018-07-11T11:36:00Z</dcterms:created>
  <dcterms:modified xsi:type="dcterms:W3CDTF">2020-10-15T08:58:00Z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