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4F4476" w:rsidRDefault="004F4476" w:rsidP="00685123">
      <w:pPr>
        <w:pStyle w:val="tytuinformacji"/>
        <w:rPr>
          <w:lang w:val="en-GB"/>
        </w:rPr>
      </w:pPr>
      <w:r w:rsidRPr="00D45A29">
        <w:rPr>
          <w:lang w:val="en-GB"/>
        </w:rPr>
        <w:t>Consumer price indices in</w:t>
      </w:r>
      <w:r>
        <w:rPr>
          <w:lang w:val="en-GB"/>
        </w:rPr>
        <w:t xml:space="preserve"> April </w:t>
      </w:r>
      <w:r w:rsidR="00B37F5A" w:rsidRPr="004F4476">
        <w:rPr>
          <w:lang w:val="en-GB"/>
        </w:rPr>
        <w:t>2020</w:t>
      </w:r>
    </w:p>
    <w:p w:rsidR="00AD4947" w:rsidRPr="004F4476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014AC7" w:rsidRDefault="009E3F12" w:rsidP="00B37F5A">
      <w:pPr>
        <w:pStyle w:val="LID"/>
        <w:spacing w:after="0"/>
        <w:rPr>
          <w:lang w:val="en-GB" w:eastAsia="en-GB"/>
        </w:rPr>
      </w:pPr>
      <w:r w:rsidRPr="00AE751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74287482" wp14:editId="4F0AA6B2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51E" w:rsidRPr="00CC5F03" w:rsidRDefault="0040651E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69F10591" wp14:editId="5E6F6F07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C5F0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CC5F0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3.4%</w:t>
                            </w:r>
                          </w:p>
                          <w:p w:rsidR="0040651E" w:rsidRPr="00CC5F03" w:rsidRDefault="0040651E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C5F03">
                              <w:rPr>
                                <w:lang w:val="en-GB"/>
                              </w:rPr>
                              <w:t>an increase compared with the corresponding month of 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40651E" w:rsidRPr="00CC5F03" w:rsidRDefault="0040651E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69F10591" wp14:editId="5E6F6F07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C5F0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CC5F0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3.4%</w:t>
                      </w:r>
                    </w:p>
                    <w:p w:rsidR="0040651E" w:rsidRPr="00CC5F03" w:rsidRDefault="0040651E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CC5F03">
                        <w:rPr>
                          <w:lang w:val="en-GB"/>
                        </w:rPr>
                        <w:t>an increase compared with the corresponding month of 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5F03" w:rsidRPr="00014AC7">
        <w:rPr>
          <w:lang w:val="en-GB" w:eastAsia="en-GB"/>
        </w:rPr>
        <w:t>Consumer prices in April</w:t>
      </w:r>
      <w:r w:rsidR="00014AC7" w:rsidRPr="00014AC7">
        <w:rPr>
          <w:lang w:val="en-GB" w:eastAsia="en-GB"/>
        </w:rPr>
        <w:t xml:space="preserve"> </w:t>
      </w:r>
      <w:r w:rsidR="00B37F5A" w:rsidRPr="00014AC7">
        <w:rPr>
          <w:lang w:val="en-GB" w:eastAsia="en-GB"/>
        </w:rPr>
        <w:t xml:space="preserve">2020 </w:t>
      </w:r>
      <w:r w:rsidR="00014AC7">
        <w:rPr>
          <w:lang w:val="en-GB"/>
        </w:rPr>
        <w:t xml:space="preserve">compared with the </w:t>
      </w:r>
      <w:r w:rsidR="00014AC7" w:rsidRPr="00362B78">
        <w:rPr>
          <w:lang w:val="en-GB"/>
        </w:rPr>
        <w:t>corresponding month of the previous year</w:t>
      </w:r>
      <w:r w:rsidR="00014AC7" w:rsidRPr="00D61BC5">
        <w:rPr>
          <w:lang w:val="en-GB"/>
        </w:rPr>
        <w:t xml:space="preserve"> </w:t>
      </w:r>
      <w:r w:rsidR="00014AC7">
        <w:rPr>
          <w:lang w:val="en-GB"/>
        </w:rPr>
        <w:t>increased by</w:t>
      </w:r>
      <w:r w:rsidR="00014AC7">
        <w:rPr>
          <w:lang w:val="en-GB" w:eastAsia="en-GB"/>
        </w:rPr>
        <w:t> </w:t>
      </w:r>
      <w:r w:rsidR="00BC50F0" w:rsidRPr="00014AC7">
        <w:rPr>
          <w:lang w:val="en-GB" w:eastAsia="en-GB"/>
        </w:rPr>
        <w:t>3,4</w:t>
      </w:r>
      <w:r w:rsidR="00B37F5A" w:rsidRPr="00014AC7">
        <w:rPr>
          <w:lang w:val="en-GB" w:eastAsia="en-GB"/>
        </w:rPr>
        <w:t>% (</w:t>
      </w:r>
      <w:r w:rsidR="00014AC7">
        <w:rPr>
          <w:lang w:val="en-GB"/>
        </w:rPr>
        <w:t>with an increase of prices of services</w:t>
      </w:r>
      <w:r w:rsidR="00014AC7" w:rsidRPr="00014AC7">
        <w:rPr>
          <w:lang w:val="en-GB" w:eastAsia="en-GB"/>
        </w:rPr>
        <w:t xml:space="preserve"> </w:t>
      </w:r>
      <w:r w:rsidR="00014AC7">
        <w:rPr>
          <w:lang w:val="en-GB" w:eastAsia="en-GB"/>
        </w:rPr>
        <w:t>– by</w:t>
      </w:r>
      <w:r w:rsidR="005C5EF8" w:rsidRPr="00014AC7">
        <w:rPr>
          <w:lang w:val="en-GB" w:eastAsia="en-GB"/>
        </w:rPr>
        <w:t xml:space="preserve"> 6,5% </w:t>
      </w:r>
      <w:r w:rsidR="00AB5AC5">
        <w:rPr>
          <w:lang w:val="en-GB" w:eastAsia="en-GB"/>
        </w:rPr>
        <w:t>and goods</w:t>
      </w:r>
      <w:r w:rsidR="00BC50F0" w:rsidRPr="00014AC7">
        <w:rPr>
          <w:lang w:val="en-GB" w:eastAsia="en-GB"/>
        </w:rPr>
        <w:t xml:space="preserve"> – </w:t>
      </w:r>
      <w:r w:rsidR="00AB5AC5">
        <w:rPr>
          <w:lang w:val="en-GB" w:eastAsia="en-GB"/>
        </w:rPr>
        <w:t>by</w:t>
      </w:r>
      <w:r w:rsidR="00BC50F0" w:rsidRPr="00014AC7">
        <w:rPr>
          <w:lang w:val="en-GB" w:eastAsia="en-GB"/>
        </w:rPr>
        <w:t xml:space="preserve"> 2,3</w:t>
      </w:r>
      <w:r w:rsidR="00B37F5A" w:rsidRPr="00014AC7">
        <w:rPr>
          <w:lang w:val="en-GB" w:eastAsia="en-GB"/>
        </w:rPr>
        <w:t>%).</w:t>
      </w:r>
    </w:p>
    <w:p w:rsidR="00370D51" w:rsidRPr="00EF4459" w:rsidRDefault="00AB5AC5" w:rsidP="00B37F5A">
      <w:pPr>
        <w:pStyle w:val="LID"/>
        <w:spacing w:before="0" w:after="0"/>
        <w:rPr>
          <w:lang w:val="en-GB" w:eastAsia="en-GB"/>
        </w:rPr>
      </w:pPr>
      <w:r w:rsidRPr="00362B78">
        <w:rPr>
          <w:lang w:val="en-GB"/>
        </w:rPr>
        <w:t>As related to the previous month consumer prices</w:t>
      </w:r>
      <w:r>
        <w:rPr>
          <w:lang w:val="en-GB"/>
        </w:rPr>
        <w:t xml:space="preserve"> decreased by </w:t>
      </w:r>
      <w:r w:rsidR="00BC50F0" w:rsidRPr="00AB5AC5">
        <w:rPr>
          <w:lang w:val="en-GB" w:eastAsia="en-GB"/>
        </w:rPr>
        <w:t>0,1</w:t>
      </w:r>
      <w:r w:rsidR="00B37F5A" w:rsidRPr="00AB5AC5">
        <w:rPr>
          <w:lang w:val="en-GB" w:eastAsia="en-GB"/>
        </w:rPr>
        <w:t>% (</w:t>
      </w:r>
      <w:r>
        <w:rPr>
          <w:lang w:val="en-GB" w:eastAsia="en-GB"/>
        </w:rPr>
        <w:t>of which goods</w:t>
      </w:r>
      <w:r w:rsidR="00BC50F0" w:rsidRPr="00AB5AC5">
        <w:rPr>
          <w:lang w:val="en-GB" w:eastAsia="en-GB"/>
        </w:rPr>
        <w:t xml:space="preserve"> </w:t>
      </w:r>
      <w:r w:rsidRPr="00EF4459">
        <w:rPr>
          <w:lang w:val="en-GB" w:eastAsia="en-GB"/>
        </w:rPr>
        <w:t>– by</w:t>
      </w:r>
      <w:r w:rsidR="00B37F5A" w:rsidRPr="00EF4459">
        <w:rPr>
          <w:lang w:val="en-GB" w:eastAsia="en-GB"/>
        </w:rPr>
        <w:t xml:space="preserve"> </w:t>
      </w:r>
      <w:r w:rsidR="00BC50F0" w:rsidRPr="00EF4459">
        <w:rPr>
          <w:lang w:val="en-GB" w:eastAsia="en-GB"/>
        </w:rPr>
        <w:t>0,6</w:t>
      </w:r>
      <w:r w:rsidR="00B37F5A" w:rsidRPr="00EF4459">
        <w:rPr>
          <w:lang w:val="en-GB" w:eastAsia="en-GB"/>
        </w:rPr>
        <w:t xml:space="preserve">% </w:t>
      </w:r>
      <w:r w:rsidR="00EF4459">
        <w:rPr>
          <w:lang w:val="en-GB"/>
        </w:rPr>
        <w:t>with an </w:t>
      </w:r>
      <w:r>
        <w:rPr>
          <w:lang w:val="en-GB"/>
        </w:rPr>
        <w:t xml:space="preserve">increase of </w:t>
      </w:r>
      <w:r w:rsidRPr="00EE1D26">
        <w:rPr>
          <w:lang w:val="en-GB"/>
        </w:rPr>
        <w:t>p</w:t>
      </w:r>
      <w:r>
        <w:rPr>
          <w:lang w:val="en-GB"/>
        </w:rPr>
        <w:t>r</w:t>
      </w:r>
      <w:r w:rsidRPr="00EE1D26">
        <w:rPr>
          <w:lang w:val="en-GB"/>
        </w:rPr>
        <w:t xml:space="preserve">ices of services </w:t>
      </w:r>
      <w:r w:rsidR="00EF4459" w:rsidRPr="00EF4459">
        <w:rPr>
          <w:lang w:val="en-GB" w:eastAsia="en-GB"/>
        </w:rPr>
        <w:t>by</w:t>
      </w:r>
      <w:r w:rsidR="00BC50F0" w:rsidRPr="00EF4459">
        <w:rPr>
          <w:lang w:val="en-GB" w:eastAsia="en-GB"/>
        </w:rPr>
        <w:t xml:space="preserve"> 1,4%).</w:t>
      </w:r>
    </w:p>
    <w:p w:rsidR="00370D51" w:rsidRPr="00EF4459" w:rsidRDefault="00370D51" w:rsidP="00370D51">
      <w:pPr>
        <w:pStyle w:val="LID"/>
        <w:spacing w:before="0" w:after="0"/>
        <w:rPr>
          <w:lang w:val="en-GB"/>
        </w:rPr>
      </w:pPr>
    </w:p>
    <w:p w:rsidR="00370D51" w:rsidRPr="00EF4459" w:rsidRDefault="00370D51" w:rsidP="00370D51">
      <w:pPr>
        <w:pStyle w:val="LID"/>
        <w:spacing w:before="0" w:after="0"/>
        <w:rPr>
          <w:lang w:val="en-GB"/>
        </w:rPr>
      </w:pPr>
    </w:p>
    <w:p w:rsidR="009E3F12" w:rsidRPr="00EF4459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D33497" w:rsidRDefault="00D33497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</w:t>
      </w:r>
      <w:r w:rsidRPr="00D33497">
        <w:rPr>
          <w:bCs/>
          <w:shd w:val="clear" w:color="auto" w:fill="FFFFFF"/>
          <w:lang w:val="en-GB"/>
        </w:rPr>
        <w:t xml:space="preserve"> in April </w:t>
      </w:r>
      <w:r w:rsidR="00B37F5A" w:rsidRPr="00D33497">
        <w:rPr>
          <w:lang w:val="en-GB"/>
        </w:rPr>
        <w:t>2020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91"/>
        <w:gridCol w:w="997"/>
        <w:gridCol w:w="997"/>
        <w:gridCol w:w="1001"/>
        <w:gridCol w:w="1027"/>
        <w:gridCol w:w="1170"/>
      </w:tblGrid>
      <w:tr w:rsidR="00260F39" w:rsidRPr="00AE751C" w:rsidTr="00D33497">
        <w:trPr>
          <w:cantSplit/>
          <w:trHeight w:val="367"/>
        </w:trPr>
        <w:tc>
          <w:tcPr>
            <w:tcW w:w="3091" w:type="dxa"/>
            <w:vMerge w:val="restart"/>
            <w:vAlign w:val="center"/>
          </w:tcPr>
          <w:p w:rsidR="00260F39" w:rsidRPr="00AE751C" w:rsidRDefault="00D33497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50D6"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95" w:type="dxa"/>
            <w:gridSpan w:val="3"/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 2020</w:t>
            </w:r>
          </w:p>
        </w:tc>
        <w:tc>
          <w:tcPr>
            <w:tcW w:w="1027" w:type="dxa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I-IV 2020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AE751C" w:rsidRDefault="00D33497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F16FA">
              <w:rPr>
                <w:rFonts w:cs="Arial"/>
                <w:color w:val="000000" w:themeColor="text1"/>
                <w:sz w:val="14"/>
                <w:szCs w:val="14"/>
              </w:rPr>
              <w:t>CONTRIBUTION OF CHANGES</w:t>
            </w:r>
          </w:p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III 2020=</w:t>
            </w:r>
            <w:r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AE751C" w:rsidTr="00D33497">
        <w:trPr>
          <w:cantSplit/>
          <w:trHeight w:val="57"/>
        </w:trPr>
        <w:tc>
          <w:tcPr>
            <w:tcW w:w="309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01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III 2020=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7" w:type="dxa"/>
            <w:tcBorders>
              <w:bottom w:val="single" w:sz="12" w:space="0" w:color="212492"/>
            </w:tcBorders>
          </w:tcPr>
          <w:p w:rsidR="00260F39" w:rsidRPr="00AE751C" w:rsidRDefault="00260F39" w:rsidP="00BA56ED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</w:t>
            </w:r>
            <w:r w:rsidRPr="00BA56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-IV 2019=</w:t>
            </w:r>
            <w:r w:rsidRPr="00BA56ED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D33497" w:rsidRPr="00502F8C" w:rsidRDefault="00D33497" w:rsidP="00D33497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b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1001" w:type="dxa"/>
            <w:tcBorders>
              <w:top w:val="single" w:sz="12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b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1027" w:type="dxa"/>
            <w:tcBorders>
              <w:top w:val="single" w:sz="12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b/>
                <w:color w:val="000000" w:themeColor="text1"/>
                <w:sz w:val="16"/>
                <w:szCs w:val="16"/>
              </w:rPr>
              <w:t>104,2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D33497" w:rsidRPr="00AE751C" w:rsidRDefault="00D33497" w:rsidP="00D33497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107,4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  <w:vAlign w:val="bottom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0,08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103,9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96,6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0,06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105,6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0,13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95,2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-0,44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D33497" w:rsidRPr="00AE751C" w:rsidTr="00D33497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106,3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D33497" w:rsidRPr="00AE751C" w:rsidTr="00D33497">
        <w:trPr>
          <w:cantSplit/>
          <w:trHeight w:val="445"/>
        </w:trPr>
        <w:tc>
          <w:tcPr>
            <w:tcW w:w="3091" w:type="dxa"/>
            <w:tcBorders>
              <w:top w:val="single" w:sz="4" w:space="0" w:color="212492"/>
              <w:bottom w:val="nil"/>
            </w:tcBorders>
            <w:vAlign w:val="center"/>
          </w:tcPr>
          <w:p w:rsidR="00D33497" w:rsidRPr="00D45A29" w:rsidRDefault="00D33497" w:rsidP="00D33497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01" w:type="dxa"/>
            <w:tcBorders>
              <w:top w:val="single" w:sz="4" w:space="0" w:color="212492"/>
              <w:bottom w:val="nil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27" w:type="dxa"/>
            <w:tcBorders>
              <w:top w:val="single" w:sz="4" w:space="0" w:color="212492"/>
              <w:bottom w:val="nil"/>
            </w:tcBorders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D33497" w:rsidRPr="00AE751C" w:rsidRDefault="00D33497" w:rsidP="00D33497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E751C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</w:tbl>
    <w:p w:rsidR="00A07F00" w:rsidRPr="00D33497" w:rsidRDefault="00D33497" w:rsidP="00E37F13">
      <w:pPr>
        <w:pStyle w:val="Nagwek1"/>
        <w:spacing w:before="480" w:line="240" w:lineRule="exact"/>
        <w:rPr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Contribution </w:t>
      </w:r>
      <w:r w:rsidRPr="003420FE">
        <w:rPr>
          <w:shd w:val="clear" w:color="auto" w:fill="FFFFFF"/>
          <w:lang w:val="en-GB"/>
        </w:rPr>
        <w:t xml:space="preserve">of </w:t>
      </w:r>
      <w:r>
        <w:rPr>
          <w:shd w:val="clear" w:color="auto" w:fill="FFFFFF"/>
          <w:lang w:val="en-GB"/>
        </w:rPr>
        <w:t>price changes to</w:t>
      </w:r>
      <w:r w:rsidRPr="003420FE">
        <w:rPr>
          <w:shd w:val="clear" w:color="auto" w:fill="FFFFFF"/>
          <w:lang w:val="en-GB"/>
        </w:rPr>
        <w:t xml:space="preserve"> the total consumer price index</w:t>
      </w:r>
    </w:p>
    <w:p w:rsidR="00C23F3B" w:rsidRPr="00324AC4" w:rsidRDefault="00BD3C63" w:rsidP="00C23F3B">
      <w:pPr>
        <w:spacing w:before="0" w:after="0"/>
        <w:rPr>
          <w:lang w:val="en-GB"/>
        </w:rPr>
      </w:pPr>
      <w:r w:rsidRPr="000743B6">
        <w:rPr>
          <w:lang w:val="en-GB"/>
        </w:rPr>
        <w:t xml:space="preserve">In April of the current year, </w:t>
      </w:r>
      <w:r w:rsidRPr="000743B6">
        <w:rPr>
          <w:color w:val="000000" w:themeColor="text1"/>
          <w:lang w:val="en-GB"/>
        </w:rPr>
        <w:t>compared with the previous month</w:t>
      </w:r>
      <w:r w:rsidR="000743B6" w:rsidRPr="000743B6">
        <w:rPr>
          <w:color w:val="000000" w:themeColor="text1"/>
          <w:lang w:val="en-GB"/>
        </w:rPr>
        <w:t xml:space="preserve">, </w:t>
      </w:r>
      <w:r w:rsidR="000743B6">
        <w:rPr>
          <w:lang w:val="en-GB"/>
        </w:rPr>
        <w:t>the highest contribution to </w:t>
      </w:r>
      <w:r w:rsidR="000743B6" w:rsidRPr="00807D2B">
        <w:rPr>
          <w:lang w:val="en-GB"/>
        </w:rPr>
        <w:t>the total consumer price index came from</w:t>
      </w:r>
      <w:r w:rsidR="000743B6" w:rsidRPr="000743B6">
        <w:rPr>
          <w:lang w:val="en-GB"/>
        </w:rPr>
        <w:t xml:space="preserve"> </w:t>
      </w:r>
      <w:r w:rsidR="000743B6">
        <w:rPr>
          <w:lang w:val="en-GB"/>
        </w:rPr>
        <w:t>lower prices</w:t>
      </w:r>
      <w:r w:rsidR="003D0409">
        <w:rPr>
          <w:lang w:val="en-GB"/>
        </w:rPr>
        <w:t xml:space="preserve"> related to Transport </w:t>
      </w:r>
      <w:r w:rsidR="00C662A5" w:rsidRPr="000743B6">
        <w:rPr>
          <w:lang w:val="en-GB"/>
        </w:rPr>
        <w:t>(</w:t>
      </w:r>
      <w:r w:rsidR="003D0409">
        <w:rPr>
          <w:lang w:val="en-GB"/>
        </w:rPr>
        <w:t>by</w:t>
      </w:r>
      <w:r w:rsidR="0022312E" w:rsidRPr="000743B6">
        <w:rPr>
          <w:lang w:val="en-GB"/>
        </w:rPr>
        <w:t xml:space="preserve"> </w:t>
      </w:r>
      <w:r w:rsidR="00CF4349" w:rsidRPr="000743B6">
        <w:rPr>
          <w:lang w:val="en-GB"/>
        </w:rPr>
        <w:t>4,8</w:t>
      </w:r>
      <w:r w:rsidR="0022312E" w:rsidRPr="000743B6">
        <w:rPr>
          <w:lang w:val="en-GB"/>
        </w:rPr>
        <w:t>%)</w:t>
      </w:r>
      <w:r w:rsidR="00A07F00" w:rsidRPr="000743B6">
        <w:rPr>
          <w:lang w:val="en-GB"/>
        </w:rPr>
        <w:t xml:space="preserve">, </w:t>
      </w:r>
      <w:r w:rsidR="003D0409">
        <w:rPr>
          <w:lang w:val="en-GB"/>
        </w:rPr>
        <w:t xml:space="preserve">which decreased </w:t>
      </w:r>
      <w:r w:rsidR="00673C73">
        <w:rPr>
          <w:lang w:val="en-GB"/>
        </w:rPr>
        <w:t xml:space="preserve">the index by </w:t>
      </w:r>
      <w:r w:rsidR="00CF4349" w:rsidRPr="000743B6">
        <w:rPr>
          <w:lang w:val="en-GB"/>
        </w:rPr>
        <w:t>0,44</w:t>
      </w:r>
      <w:r w:rsidR="00A07F00" w:rsidRPr="000743B6">
        <w:rPr>
          <w:lang w:val="en-GB"/>
        </w:rPr>
        <w:t xml:space="preserve"> p</w:t>
      </w:r>
      <w:r w:rsidR="00673C73">
        <w:rPr>
          <w:lang w:val="en-GB"/>
        </w:rPr>
        <w:t>p</w:t>
      </w:r>
      <w:r w:rsidR="00A07F00" w:rsidRPr="000743B6">
        <w:rPr>
          <w:lang w:val="en-GB"/>
        </w:rPr>
        <w:t>.</w:t>
      </w:r>
      <w:r w:rsidR="00ED63E8" w:rsidRPr="000743B6">
        <w:rPr>
          <w:lang w:val="en-GB"/>
        </w:rPr>
        <w:t xml:space="preserve"> </w:t>
      </w:r>
      <w:r w:rsidR="00673C73" w:rsidRPr="00324AC4">
        <w:rPr>
          <w:lang w:val="en-GB"/>
        </w:rPr>
        <w:t>Higher prices related to Dwelling (by</w:t>
      </w:r>
      <w:r w:rsidR="00D23F61" w:rsidRPr="00324AC4">
        <w:rPr>
          <w:lang w:val="en-GB"/>
        </w:rPr>
        <w:t xml:space="preserve"> 0,6</w:t>
      </w:r>
      <w:r w:rsidR="00ED63E8" w:rsidRPr="00324AC4">
        <w:rPr>
          <w:lang w:val="en-GB"/>
        </w:rPr>
        <w:t>%)</w:t>
      </w:r>
      <w:r w:rsidR="00D23F61" w:rsidRPr="00324AC4">
        <w:rPr>
          <w:lang w:val="en-GB"/>
        </w:rPr>
        <w:t>,</w:t>
      </w:r>
      <w:r w:rsidR="00673C73" w:rsidRPr="00324AC4">
        <w:rPr>
          <w:lang w:val="en-GB"/>
        </w:rPr>
        <w:t xml:space="preserve"> Food</w:t>
      </w:r>
      <w:r w:rsidR="00D23F61" w:rsidRPr="00324AC4">
        <w:rPr>
          <w:lang w:val="en-GB"/>
        </w:rPr>
        <w:t xml:space="preserve"> </w:t>
      </w:r>
      <w:r w:rsidR="00673C73" w:rsidRPr="00324AC4">
        <w:rPr>
          <w:lang w:val="en-GB"/>
        </w:rPr>
        <w:t>(by </w:t>
      </w:r>
      <w:r w:rsidR="00D23F61" w:rsidRPr="00324AC4">
        <w:rPr>
          <w:lang w:val="en-GB"/>
        </w:rPr>
        <w:t>0,3</w:t>
      </w:r>
      <w:r w:rsidR="00394B48" w:rsidRPr="00324AC4">
        <w:rPr>
          <w:lang w:val="en-GB"/>
        </w:rPr>
        <w:t xml:space="preserve">%) </w:t>
      </w:r>
      <w:r w:rsidR="00324AC4" w:rsidRPr="00324AC4">
        <w:rPr>
          <w:lang w:val="en-GB"/>
        </w:rPr>
        <w:t>and Clothing and f</w:t>
      </w:r>
      <w:r w:rsidR="00673C73" w:rsidRPr="00324AC4">
        <w:rPr>
          <w:lang w:val="en-GB"/>
        </w:rPr>
        <w:t>ootwear</w:t>
      </w:r>
      <w:r w:rsidR="00324AC4" w:rsidRPr="00324AC4">
        <w:rPr>
          <w:lang w:val="en-GB"/>
        </w:rPr>
        <w:t xml:space="preserve"> (by</w:t>
      </w:r>
      <w:r w:rsidR="00D23F61" w:rsidRPr="00324AC4">
        <w:rPr>
          <w:lang w:val="en-GB"/>
        </w:rPr>
        <w:t xml:space="preserve"> 1,4%) </w:t>
      </w:r>
      <w:r w:rsidR="00324AC4">
        <w:rPr>
          <w:lang w:val="en-GB"/>
        </w:rPr>
        <w:t xml:space="preserve">increased the index by </w:t>
      </w:r>
      <w:r w:rsidR="00B210CA" w:rsidRPr="00324AC4">
        <w:rPr>
          <w:lang w:val="en-GB"/>
        </w:rPr>
        <w:t>0,</w:t>
      </w:r>
      <w:r w:rsidR="007034D7" w:rsidRPr="00324AC4">
        <w:rPr>
          <w:lang w:val="en-GB"/>
        </w:rPr>
        <w:t>14 p</w:t>
      </w:r>
      <w:r w:rsidR="00324AC4">
        <w:rPr>
          <w:lang w:val="en-GB"/>
        </w:rPr>
        <w:t>p</w:t>
      </w:r>
      <w:r w:rsidR="00D23F61" w:rsidRPr="00324AC4">
        <w:rPr>
          <w:lang w:val="en-GB"/>
        </w:rPr>
        <w:t xml:space="preserve">, </w:t>
      </w:r>
      <w:r w:rsidR="00B210CA" w:rsidRPr="00324AC4">
        <w:rPr>
          <w:lang w:val="en-GB"/>
        </w:rPr>
        <w:t>0,0</w:t>
      </w:r>
      <w:r w:rsidR="00D23F61" w:rsidRPr="00324AC4">
        <w:rPr>
          <w:lang w:val="en-GB"/>
        </w:rPr>
        <w:t>8</w:t>
      </w:r>
      <w:r w:rsidR="00B210CA" w:rsidRPr="00324AC4">
        <w:rPr>
          <w:lang w:val="en-GB"/>
        </w:rPr>
        <w:t xml:space="preserve"> p</w:t>
      </w:r>
      <w:r w:rsidR="00324AC4">
        <w:rPr>
          <w:lang w:val="en-GB"/>
        </w:rPr>
        <w:t>p</w:t>
      </w:r>
      <w:r w:rsidR="00D23F61" w:rsidRPr="00324AC4">
        <w:rPr>
          <w:lang w:val="en-GB"/>
        </w:rPr>
        <w:t xml:space="preserve"> </w:t>
      </w:r>
      <w:r w:rsidR="00324AC4">
        <w:rPr>
          <w:lang w:val="en-GB"/>
        </w:rPr>
        <w:t>and </w:t>
      </w:r>
      <w:r w:rsidR="00D23F61" w:rsidRPr="00324AC4">
        <w:rPr>
          <w:lang w:val="en-GB"/>
        </w:rPr>
        <w:t>0,06 p</w:t>
      </w:r>
      <w:r w:rsidR="00324AC4">
        <w:rPr>
          <w:lang w:val="en-GB"/>
        </w:rPr>
        <w:t>p, respectively.</w:t>
      </w:r>
    </w:p>
    <w:p w:rsidR="00A55B73" w:rsidRPr="00666696" w:rsidRDefault="00324AC4" w:rsidP="00934246">
      <w:pPr>
        <w:spacing w:before="0" w:after="0"/>
        <w:rPr>
          <w:lang w:val="en-GB"/>
        </w:rPr>
      </w:pPr>
      <w:r w:rsidRPr="00324AC4">
        <w:rPr>
          <w:color w:val="000000" w:themeColor="text1"/>
          <w:lang w:val="en-GB"/>
        </w:rPr>
        <w:t>Compared with the corresponding month of the previous year, higher prices of Food</w:t>
      </w:r>
      <w:r w:rsidRPr="00324AC4">
        <w:rPr>
          <w:lang w:val="en-GB"/>
        </w:rPr>
        <w:t xml:space="preserve"> (by</w:t>
      </w:r>
      <w:r w:rsidR="00A07F00" w:rsidRPr="00324AC4">
        <w:rPr>
          <w:lang w:val="en-GB"/>
        </w:rPr>
        <w:t> </w:t>
      </w:r>
      <w:r w:rsidR="003A4977" w:rsidRPr="00324AC4">
        <w:rPr>
          <w:lang w:val="en-GB"/>
        </w:rPr>
        <w:t>7,8</w:t>
      </w:r>
      <w:r w:rsidR="00674A8B" w:rsidRPr="00324AC4">
        <w:rPr>
          <w:lang w:val="en-GB"/>
        </w:rPr>
        <w:t xml:space="preserve">%) </w:t>
      </w:r>
      <w:r>
        <w:rPr>
          <w:lang w:val="en-GB"/>
        </w:rPr>
        <w:t>and related to Dwelling (by</w:t>
      </w:r>
      <w:r w:rsidR="00445F90" w:rsidRPr="00324AC4">
        <w:rPr>
          <w:lang w:val="en-GB"/>
        </w:rPr>
        <w:t xml:space="preserve"> 5,9</w:t>
      </w:r>
      <w:r w:rsidR="003A0271" w:rsidRPr="00324AC4">
        <w:rPr>
          <w:lang w:val="en-GB"/>
        </w:rPr>
        <w:t xml:space="preserve">%) </w:t>
      </w:r>
      <w:r w:rsidR="00666696">
        <w:rPr>
          <w:lang w:val="en-GB"/>
        </w:rPr>
        <w:t xml:space="preserve">increased the index by </w:t>
      </w:r>
      <w:r w:rsidR="003A4977" w:rsidRPr="00324AC4">
        <w:rPr>
          <w:lang w:val="en-GB"/>
        </w:rPr>
        <w:t>1,79</w:t>
      </w:r>
      <w:r w:rsidR="00A07F00" w:rsidRPr="00324AC4">
        <w:rPr>
          <w:lang w:val="en-GB"/>
        </w:rPr>
        <w:t xml:space="preserve"> p</w:t>
      </w:r>
      <w:r w:rsidR="00666696">
        <w:rPr>
          <w:lang w:val="en-GB"/>
        </w:rPr>
        <w:t xml:space="preserve">p and </w:t>
      </w:r>
      <w:r w:rsidR="00445F90" w:rsidRPr="00324AC4">
        <w:rPr>
          <w:lang w:val="en-GB"/>
        </w:rPr>
        <w:t>1,</w:t>
      </w:r>
      <w:r w:rsidR="003A4977" w:rsidRPr="00324AC4">
        <w:rPr>
          <w:lang w:val="en-GB"/>
        </w:rPr>
        <w:t>41</w:t>
      </w:r>
      <w:r w:rsidR="0066616C" w:rsidRPr="00324AC4">
        <w:rPr>
          <w:lang w:val="en-GB"/>
        </w:rPr>
        <w:t> </w:t>
      </w:r>
      <w:r w:rsidR="003A0271" w:rsidRPr="00324AC4">
        <w:rPr>
          <w:lang w:val="en-GB"/>
        </w:rPr>
        <w:t>p</w:t>
      </w:r>
      <w:r w:rsidR="00666696">
        <w:rPr>
          <w:lang w:val="en-GB"/>
        </w:rPr>
        <w:t>p, r</w:t>
      </w:r>
      <w:r w:rsidR="00666696">
        <w:rPr>
          <w:lang w:val="en-GB"/>
        </w:rPr>
        <w:t>e</w:t>
      </w:r>
      <w:r w:rsidR="00666696">
        <w:rPr>
          <w:lang w:val="en-GB"/>
        </w:rPr>
        <w:t>spectively</w:t>
      </w:r>
      <w:r w:rsidR="003A0271" w:rsidRPr="00324AC4">
        <w:rPr>
          <w:lang w:val="en-GB"/>
        </w:rPr>
        <w:t>.</w:t>
      </w:r>
      <w:r w:rsidR="00666696">
        <w:rPr>
          <w:lang w:val="en-GB"/>
        </w:rPr>
        <w:t xml:space="preserve"> </w:t>
      </w:r>
      <w:r w:rsidR="00666696" w:rsidRPr="00666696">
        <w:rPr>
          <w:lang w:val="en-GB"/>
        </w:rPr>
        <w:t>Lower prices related to Transport (by</w:t>
      </w:r>
      <w:r w:rsidR="00A07F00" w:rsidRPr="00666696">
        <w:rPr>
          <w:lang w:val="en-GB"/>
        </w:rPr>
        <w:t xml:space="preserve"> </w:t>
      </w:r>
      <w:r w:rsidR="003A4977" w:rsidRPr="00666696">
        <w:rPr>
          <w:lang w:val="en-GB"/>
        </w:rPr>
        <w:t>9,9</w:t>
      </w:r>
      <w:r w:rsidR="00674A8B" w:rsidRPr="00666696">
        <w:rPr>
          <w:lang w:val="en-GB"/>
        </w:rPr>
        <w:t xml:space="preserve">%) </w:t>
      </w:r>
      <w:r w:rsidR="00666696" w:rsidRPr="00666696">
        <w:rPr>
          <w:lang w:val="en-GB"/>
        </w:rPr>
        <w:t>and Clothing and footwear (by</w:t>
      </w:r>
      <w:r w:rsidR="00A07F00" w:rsidRPr="00666696">
        <w:rPr>
          <w:lang w:val="en-GB"/>
        </w:rPr>
        <w:t xml:space="preserve"> </w:t>
      </w:r>
      <w:r w:rsidR="003A4977" w:rsidRPr="00666696">
        <w:rPr>
          <w:lang w:val="en-GB"/>
        </w:rPr>
        <w:t>3,4</w:t>
      </w:r>
      <w:r w:rsidR="00A07F00" w:rsidRPr="00666696">
        <w:rPr>
          <w:lang w:val="en-GB"/>
        </w:rPr>
        <w:t xml:space="preserve">%) </w:t>
      </w:r>
      <w:r w:rsidR="00423D86">
        <w:rPr>
          <w:lang w:val="en-GB"/>
        </w:rPr>
        <w:t>decreased</w:t>
      </w:r>
      <w:r w:rsidR="00666696">
        <w:rPr>
          <w:lang w:val="en-GB"/>
        </w:rPr>
        <w:t xml:space="preserve"> the index </w:t>
      </w:r>
      <w:r w:rsidR="00423D86">
        <w:rPr>
          <w:lang w:val="en-GB"/>
        </w:rPr>
        <w:t xml:space="preserve">by </w:t>
      </w:r>
      <w:r w:rsidR="003A4977" w:rsidRPr="00666696">
        <w:rPr>
          <w:lang w:val="en-GB"/>
        </w:rPr>
        <w:t>1</w:t>
      </w:r>
      <w:r w:rsidR="00A07F00" w:rsidRPr="00666696">
        <w:rPr>
          <w:lang w:val="en-GB"/>
        </w:rPr>
        <w:t>,</w:t>
      </w:r>
      <w:r w:rsidR="003A4977" w:rsidRPr="00666696">
        <w:rPr>
          <w:lang w:val="en-GB"/>
        </w:rPr>
        <w:t>00</w:t>
      </w:r>
      <w:r w:rsidR="00674A8B" w:rsidRPr="00666696">
        <w:rPr>
          <w:lang w:val="en-GB"/>
        </w:rPr>
        <w:t xml:space="preserve"> p</w:t>
      </w:r>
      <w:r w:rsidR="00423D86">
        <w:rPr>
          <w:lang w:val="en-GB"/>
        </w:rPr>
        <w:t xml:space="preserve">p and </w:t>
      </w:r>
      <w:r w:rsidR="00A07F00" w:rsidRPr="00666696">
        <w:rPr>
          <w:lang w:val="en-GB"/>
        </w:rPr>
        <w:t>0,</w:t>
      </w:r>
      <w:r w:rsidR="003A4977" w:rsidRPr="00666696">
        <w:rPr>
          <w:lang w:val="en-GB"/>
        </w:rPr>
        <w:t>18</w:t>
      </w:r>
      <w:r w:rsidR="00A07F00" w:rsidRPr="00666696">
        <w:rPr>
          <w:lang w:val="en-GB"/>
        </w:rPr>
        <w:t xml:space="preserve"> p</w:t>
      </w:r>
      <w:r w:rsidR="00423D86">
        <w:rPr>
          <w:lang w:val="en-GB"/>
        </w:rPr>
        <w:t>p, respectively</w:t>
      </w:r>
      <w:r w:rsidR="00A07F00" w:rsidRPr="00666696">
        <w:rPr>
          <w:lang w:val="en-GB"/>
        </w:rPr>
        <w:t>.</w:t>
      </w:r>
    </w:p>
    <w:p w:rsidR="00934246" w:rsidRPr="00666696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A07F00" w:rsidRPr="00556D94" w:rsidRDefault="00556D94" w:rsidP="00556D94">
      <w:pPr>
        <w:pStyle w:val="tytuwykresu"/>
        <w:ind w:left="680" w:hanging="680"/>
        <w:rPr>
          <w:shd w:val="clear" w:color="auto" w:fill="FFFFFF"/>
          <w:lang w:val="en-GB"/>
        </w:rPr>
      </w:pPr>
      <w:r w:rsidRPr="00547404">
        <w:rPr>
          <w:noProof/>
          <w:lang w:val="en-GB" w:eastAsia="pl-PL"/>
        </w:rPr>
        <w:t xml:space="preserve"> Chart 1</w:t>
      </w:r>
      <w:r w:rsidRPr="00547404">
        <w:rPr>
          <w:noProof/>
          <w:spacing w:val="-4"/>
          <w:lang w:val="en-GB" w:eastAsia="pl-PL"/>
        </w:rPr>
        <w:t>. Contribution</w:t>
      </w:r>
      <w:r w:rsidRPr="003420FE">
        <w:rPr>
          <w:noProof/>
          <w:spacing w:val="-4"/>
          <w:lang w:val="en-GB" w:eastAsia="pl-PL"/>
        </w:rPr>
        <w:t xml:space="preserve"> of price changes of selected groups of consumer go</w:t>
      </w:r>
      <w:r>
        <w:rPr>
          <w:noProof/>
          <w:spacing w:val="-4"/>
          <w:lang w:val="en-GB" w:eastAsia="pl-PL"/>
        </w:rPr>
        <w:t>ods and services in April 2020</w:t>
      </w:r>
      <w:r w:rsidRPr="000B4505">
        <w:rPr>
          <w:noProof/>
          <w:shd w:val="clear" w:color="auto" w:fill="FFFFFF"/>
          <w:lang w:val="en-GB" w:eastAsia="pl-PL"/>
        </w:rPr>
        <w:t xml:space="preserve"> (</w:t>
      </w:r>
      <w:r w:rsidRPr="003420FE">
        <w:rPr>
          <w:noProof/>
          <w:lang w:val="en-GB" w:eastAsia="pl-PL"/>
        </w:rPr>
        <w:t>change in pp compared with the previous period</w:t>
      </w:r>
      <w:r w:rsidRPr="000B4505">
        <w:rPr>
          <w:shd w:val="clear" w:color="auto" w:fill="FFFFFF"/>
          <w:lang w:val="en-GB"/>
        </w:rPr>
        <w:t>)</w:t>
      </w:r>
    </w:p>
    <w:p w:rsidR="00A55B73" w:rsidRPr="00556D94" w:rsidRDefault="00547404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207F9B8B" wp14:editId="5A7EF83D">
            <wp:extent cx="5122545" cy="2644459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7404" w:rsidRDefault="00547404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556D94" w:rsidRDefault="00556D94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C63D3F">
        <w:rPr>
          <w:b/>
          <w:spacing w:val="-2"/>
          <w:sz w:val="18"/>
          <w:lang w:val="en-GB"/>
        </w:rPr>
        <w:t xml:space="preserve">Chart 2. Weighting system used in the compilations of consumer price indices in </w:t>
      </w:r>
      <w:r w:rsidRPr="00D97742">
        <w:rPr>
          <w:b/>
          <w:spacing w:val="-2"/>
          <w:sz w:val="18"/>
          <w:lang w:val="en-GB"/>
        </w:rPr>
        <w:t>2020</w:t>
      </w:r>
    </w:p>
    <w:p w:rsidR="0022272D" w:rsidRPr="00AE751C" w:rsidRDefault="009C6DE1">
      <w:pPr>
        <w:spacing w:before="0" w:after="160" w:line="259" w:lineRule="auto"/>
        <w:rPr>
          <w:b/>
          <w:spacing w:val="-2"/>
          <w:sz w:val="18"/>
        </w:rPr>
      </w:pPr>
      <w:r>
        <w:rPr>
          <w:noProof/>
          <w:lang w:val="en-GB" w:eastAsia="en-GB"/>
        </w:rPr>
        <w:drawing>
          <wp:inline distT="0" distB="0" distL="0" distR="0" wp14:anchorId="026C725D" wp14:editId="156BFB0E">
            <wp:extent cx="5122545" cy="359981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55B73" w:rsidRPr="00AE751C" w:rsidRDefault="00A55B73">
      <w:pPr>
        <w:spacing w:before="0" w:after="160" w:line="259" w:lineRule="auto"/>
        <w:rPr>
          <w:b/>
          <w:spacing w:val="-2"/>
          <w:sz w:val="18"/>
        </w:rPr>
      </w:pPr>
      <w:r w:rsidRPr="00AE751C">
        <w:br w:type="page"/>
      </w:r>
    </w:p>
    <w:p w:rsidR="003A440F" w:rsidRPr="009C6DE1" w:rsidRDefault="00891A48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 w:rsidRPr="00AE751C">
        <w:rPr>
          <w:noProof/>
          <w:lang w:val="en-GB" w:eastAsia="en-GB"/>
        </w:rPr>
        <w:lastRenderedPageBreak/>
        <w:drawing>
          <wp:anchor distT="0" distB="0" distL="114300" distR="114300" simplePos="0" relativeHeight="251659776" behindDoc="0" locked="0" layoutInCell="1" allowOverlap="1" wp14:anchorId="7425A489" wp14:editId="632608DD">
            <wp:simplePos x="0" y="0"/>
            <wp:positionH relativeFrom="column">
              <wp:posOffset>-79131</wp:posOffset>
            </wp:positionH>
            <wp:positionV relativeFrom="paragraph">
              <wp:posOffset>327269</wp:posOffset>
            </wp:positionV>
            <wp:extent cx="5122800" cy="2545200"/>
            <wp:effectExtent l="0" t="0" r="1905" b="2667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DE1" w:rsidRPr="009C6DE1">
        <w:rPr>
          <w:lang w:val="en-GB"/>
        </w:rPr>
        <w:t xml:space="preserve"> </w:t>
      </w:r>
      <w:r w:rsidR="009C6DE1" w:rsidRPr="00C63D3F">
        <w:rPr>
          <w:lang w:val="en-GB"/>
        </w:rPr>
        <w:t>Chart 3. Consumer prices (change in % compared with the previous period)</w:t>
      </w:r>
      <w:r w:rsidR="003A440F" w:rsidRPr="009C6DE1">
        <w:rPr>
          <w:b w:val="0"/>
          <w:noProof/>
          <w:shd w:val="clear" w:color="auto" w:fill="FFFFFF"/>
          <w:lang w:val="en-GB" w:eastAsia="pl-PL"/>
        </w:rPr>
        <w:t xml:space="preserve"> </w:t>
      </w:r>
    </w:p>
    <w:p w:rsidR="00DA0243" w:rsidRPr="009C6DE1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Pr="009C6DE1" w:rsidRDefault="009E3F12" w:rsidP="009C6DE1">
      <w:pPr>
        <w:pStyle w:val="tytuwykresu"/>
        <w:ind w:left="680" w:hanging="680"/>
        <w:rPr>
          <w:shd w:val="clear" w:color="auto" w:fill="FFFFFF"/>
          <w:lang w:val="en-GB"/>
        </w:rPr>
      </w:pPr>
      <w:r w:rsidRPr="00AE751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2BF7AC2D" wp14:editId="57951070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651E" w:rsidRPr="00F41FFF" w:rsidRDefault="0040651E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April </w:t>
                            </w:r>
                            <w:r w:rsidRPr="00F41FF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2020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Pr="004A78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index was within the 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4.75pt;margin-top:320.25pt;width:135.85pt;height:9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V1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lM0F&#10;d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40651E" w:rsidRPr="00F41FFF" w:rsidRDefault="0040651E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April </w:t>
                      </w:r>
                      <w:r w:rsidRPr="00F41FF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2020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Pr="004A78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index was within the 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9C6DE1" w:rsidRPr="009C6DE1">
        <w:rPr>
          <w:lang w:val="en-GB"/>
        </w:rPr>
        <w:t xml:space="preserve"> </w:t>
      </w:r>
      <w:r w:rsidR="009C6DE1" w:rsidRPr="00C63D3F">
        <w:rPr>
          <w:lang w:val="en-GB"/>
        </w:rPr>
        <w:t xml:space="preserve">Chart 4. Consumer prices </w:t>
      </w:r>
      <w:r w:rsidR="009C6DE1" w:rsidRPr="00C63D3F">
        <w:rPr>
          <w:lang w:val="en-GB"/>
        </w:rPr>
        <w:br/>
        <w:t>(change in % compared with the corresponding period of the previous year)</w:t>
      </w:r>
    </w:p>
    <w:p w:rsidR="00034160" w:rsidRPr="00AE751C" w:rsidRDefault="0084421C" w:rsidP="00034160">
      <w:pPr>
        <w:spacing w:before="0" w:after="160" w:line="259" w:lineRule="auto"/>
        <w:rPr>
          <w:sz w:val="18"/>
          <w:highlight w:val="yellow"/>
        </w:rPr>
      </w:pPr>
      <w:r w:rsidRPr="00AE751C">
        <w:rPr>
          <w:noProof/>
          <w:lang w:val="en-GB" w:eastAsia="en-GB"/>
        </w:rPr>
        <w:drawing>
          <wp:inline distT="0" distB="0" distL="0" distR="0" wp14:anchorId="1579F781" wp14:editId="0318D28E">
            <wp:extent cx="5122545" cy="2563495"/>
            <wp:effectExtent l="0" t="0" r="0" b="2730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55B73" w:rsidRPr="00AE751C" w:rsidRDefault="00A55B73" w:rsidP="00DE775D">
      <w:pPr>
        <w:pStyle w:val="tytuwykresu"/>
        <w:ind w:left="794" w:hanging="794"/>
      </w:pPr>
    </w:p>
    <w:p w:rsidR="001E7DBB" w:rsidRPr="00A43098" w:rsidRDefault="00A43098" w:rsidP="00A43098">
      <w:pPr>
        <w:pStyle w:val="tytuwykresu"/>
        <w:ind w:left="680" w:hanging="680"/>
        <w:rPr>
          <w:bCs/>
          <w:shd w:val="clear" w:color="auto" w:fill="FFFFFF"/>
          <w:lang w:val="en-GB"/>
        </w:rPr>
      </w:pPr>
      <w:r w:rsidRPr="00C63D3F">
        <w:rPr>
          <w:lang w:val="en-GB"/>
        </w:rPr>
        <w:t>Chart 5.</w:t>
      </w:r>
      <w:r w:rsidRPr="00C63D3F">
        <w:rPr>
          <w:shd w:val="clear" w:color="auto" w:fill="FFFFFF"/>
          <w:lang w:val="en-GB"/>
        </w:rPr>
        <w:t xml:space="preserve"> </w:t>
      </w:r>
      <w:r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AE751C" w:rsidRDefault="00CF4C96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 w:rsidRPr="00AE751C">
        <w:rPr>
          <w:noProof/>
          <w:lang w:val="en-GB" w:eastAsia="en-GB"/>
        </w:rPr>
        <w:drawing>
          <wp:inline distT="0" distB="0" distL="0" distR="0" wp14:anchorId="6A523806" wp14:editId="6F3C1EFD">
            <wp:extent cx="5122545" cy="2511425"/>
            <wp:effectExtent l="0" t="0" r="0" b="3175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20461" w:rsidRPr="00AE751C">
        <w:rPr>
          <w:sz w:val="18"/>
          <w:highlight w:val="yellow"/>
        </w:rPr>
        <w:br w:type="page"/>
      </w:r>
    </w:p>
    <w:p w:rsidR="00C93E58" w:rsidRDefault="00C93E58" w:rsidP="00C93E58">
      <w:pPr>
        <w:rPr>
          <w:lang w:val="en-GB"/>
        </w:rPr>
      </w:pPr>
      <w:r w:rsidRPr="001F0928">
        <w:rPr>
          <w:lang w:val="en-GB"/>
        </w:rPr>
        <w:lastRenderedPageBreak/>
        <w:t xml:space="preserve">In April 2020, </w:t>
      </w:r>
      <w:r>
        <w:rPr>
          <w:lang w:val="en-GB"/>
        </w:rPr>
        <w:t xml:space="preserve">the </w:t>
      </w:r>
      <w:r w:rsidRPr="001F0928">
        <w:rPr>
          <w:lang w:val="en-GB"/>
        </w:rPr>
        <w:t xml:space="preserve">restrictions </w:t>
      </w:r>
      <w:r w:rsidRPr="00B01C5E">
        <w:rPr>
          <w:lang w:val="en-GB"/>
        </w:rPr>
        <w:t>to prevent the coronavirus from spreading</w:t>
      </w:r>
      <w:r>
        <w:rPr>
          <w:lang w:val="en-GB"/>
        </w:rPr>
        <w:t xml:space="preserve"> </w:t>
      </w:r>
      <w:r w:rsidRPr="001F0928">
        <w:rPr>
          <w:lang w:val="en-GB"/>
        </w:rPr>
        <w:t xml:space="preserve">have influenced the </w:t>
      </w:r>
      <w:r>
        <w:rPr>
          <w:lang w:val="en-GB"/>
        </w:rPr>
        <w:t>compilation</w:t>
      </w:r>
      <w:r w:rsidRPr="001F0928">
        <w:rPr>
          <w:lang w:val="en-GB"/>
        </w:rPr>
        <w:t xml:space="preserve"> of the consumer price </w:t>
      </w:r>
      <w:r w:rsidRPr="00FB2B29">
        <w:rPr>
          <w:lang w:val="en-GB"/>
        </w:rPr>
        <w:t xml:space="preserve">index </w:t>
      </w:r>
      <w:r w:rsidR="009E7382" w:rsidRPr="009E7382">
        <w:rPr>
          <w:lang w:val="en-GB"/>
        </w:rPr>
        <w:t xml:space="preserve">to a much greater extent </w:t>
      </w:r>
      <w:r w:rsidRPr="00FB2B29">
        <w:rPr>
          <w:lang w:val="en-GB"/>
        </w:rPr>
        <w:t>than</w:t>
      </w:r>
      <w:r w:rsidRPr="001F0928">
        <w:rPr>
          <w:lang w:val="en-GB"/>
        </w:rPr>
        <w:t xml:space="preserve"> in the previous month.</w:t>
      </w:r>
    </w:p>
    <w:p w:rsidR="00C93E58" w:rsidRPr="001F0928" w:rsidRDefault="00C93E58" w:rsidP="00C93E58">
      <w:pPr>
        <w:rPr>
          <w:lang w:val="en-GB"/>
        </w:rPr>
      </w:pPr>
      <w:r w:rsidRPr="001F0928">
        <w:rPr>
          <w:lang w:val="en-GB"/>
        </w:rPr>
        <w:t xml:space="preserve">For the </w:t>
      </w:r>
      <w:r>
        <w:rPr>
          <w:lang w:val="en-GB"/>
        </w:rPr>
        <w:t>functioning</w:t>
      </w:r>
      <w:r w:rsidRPr="001F0928">
        <w:rPr>
          <w:lang w:val="en-GB"/>
        </w:rPr>
        <w:t xml:space="preserve"> retail market sectors, data </w:t>
      </w:r>
      <w:r>
        <w:rPr>
          <w:lang w:val="en-GB"/>
        </w:rPr>
        <w:t>was</w:t>
      </w:r>
      <w:r w:rsidRPr="001F0928">
        <w:rPr>
          <w:lang w:val="en-GB"/>
        </w:rPr>
        <w:t xml:space="preserve"> collected </w:t>
      </w:r>
      <w:r>
        <w:rPr>
          <w:lang w:val="en-GB"/>
        </w:rPr>
        <w:t>in a remote way</w:t>
      </w:r>
      <w:r w:rsidRPr="001F0928">
        <w:rPr>
          <w:lang w:val="en-GB"/>
        </w:rPr>
        <w:t xml:space="preserve">, </w:t>
      </w:r>
      <w:r>
        <w:rPr>
          <w:lang w:val="en-GB"/>
        </w:rPr>
        <w:t>by</w:t>
      </w:r>
      <w:r w:rsidRPr="001F0928">
        <w:rPr>
          <w:lang w:val="en-GB"/>
        </w:rPr>
        <w:t xml:space="preserve"> telephone, e</w:t>
      </w:r>
      <w:r w:rsidR="002D6545">
        <w:rPr>
          <w:lang w:val="en-GB"/>
        </w:rPr>
        <w:t>-</w:t>
      </w:r>
      <w:r w:rsidRPr="001F0928">
        <w:rPr>
          <w:lang w:val="en-GB"/>
        </w:rPr>
        <w:t xml:space="preserve">mails and </w:t>
      </w:r>
      <w:r w:rsidR="002D6545">
        <w:rPr>
          <w:lang w:val="en-GB"/>
        </w:rPr>
        <w:t xml:space="preserve">through </w:t>
      </w:r>
      <w:r w:rsidRPr="001F0928">
        <w:rPr>
          <w:lang w:val="en-GB"/>
        </w:rPr>
        <w:t>web</w:t>
      </w:r>
      <w:r>
        <w:rPr>
          <w:lang w:val="en-GB"/>
        </w:rPr>
        <w:t>sites</w:t>
      </w:r>
      <w:r w:rsidRPr="001F0928">
        <w:rPr>
          <w:lang w:val="en-GB"/>
        </w:rPr>
        <w:t xml:space="preserve">. </w:t>
      </w:r>
      <w:r w:rsidR="00BF63D8">
        <w:rPr>
          <w:lang w:val="en-GB"/>
        </w:rPr>
        <w:t>In cases where</w:t>
      </w:r>
      <w:r w:rsidRPr="001F0928">
        <w:rPr>
          <w:lang w:val="en-GB"/>
        </w:rPr>
        <w:t xml:space="preserve"> it was not possible to </w:t>
      </w:r>
      <w:r w:rsidR="00731D00">
        <w:rPr>
          <w:lang w:val="en-GB"/>
        </w:rPr>
        <w:t>complete</w:t>
      </w:r>
      <w:r w:rsidRPr="001F0928">
        <w:rPr>
          <w:lang w:val="en-GB"/>
        </w:rPr>
        <w:t xml:space="preserve"> prices using these alternative methods, but the products were </w:t>
      </w:r>
      <w:r>
        <w:rPr>
          <w:lang w:val="en-GB"/>
        </w:rPr>
        <w:t>transacted</w:t>
      </w:r>
      <w:r w:rsidRPr="001F0928">
        <w:rPr>
          <w:lang w:val="en-GB"/>
        </w:rPr>
        <w:t xml:space="preserve">, the missing data </w:t>
      </w:r>
      <w:r>
        <w:rPr>
          <w:lang w:val="en-GB"/>
        </w:rPr>
        <w:t>was</w:t>
      </w:r>
      <w:r w:rsidRPr="001F0928">
        <w:rPr>
          <w:lang w:val="en-GB"/>
        </w:rPr>
        <w:t xml:space="preserve"> estima</w:t>
      </w:r>
      <w:r w:rsidRPr="001F0928">
        <w:rPr>
          <w:lang w:val="en-GB"/>
        </w:rPr>
        <w:t>t</w:t>
      </w:r>
      <w:r w:rsidRPr="001F0928">
        <w:rPr>
          <w:lang w:val="en-GB"/>
        </w:rPr>
        <w:t xml:space="preserve">ed. The estimates </w:t>
      </w:r>
      <w:r w:rsidR="00494E8B">
        <w:rPr>
          <w:lang w:val="en-GB"/>
        </w:rPr>
        <w:t xml:space="preserve">were </w:t>
      </w:r>
      <w:r w:rsidRPr="001F0928">
        <w:rPr>
          <w:lang w:val="en-GB"/>
        </w:rPr>
        <w:t>mainly</w:t>
      </w:r>
      <w:r w:rsidR="00494E8B">
        <w:rPr>
          <w:lang w:val="en-GB"/>
        </w:rPr>
        <w:t xml:space="preserve"> </w:t>
      </w:r>
      <w:r w:rsidR="00C81CF7">
        <w:rPr>
          <w:lang w:val="en-GB"/>
        </w:rPr>
        <w:t xml:space="preserve">based </w:t>
      </w:r>
      <w:r w:rsidR="00494E8B">
        <w:rPr>
          <w:lang w:val="en-GB"/>
        </w:rPr>
        <w:t>on</w:t>
      </w:r>
      <w:r w:rsidRPr="001F0928">
        <w:rPr>
          <w:lang w:val="en-GB"/>
        </w:rPr>
        <w:t xml:space="preserve"> price </w:t>
      </w:r>
      <w:r>
        <w:rPr>
          <w:lang w:val="en-GB"/>
        </w:rPr>
        <w:t>changes of</w:t>
      </w:r>
      <w:r w:rsidRPr="001F0928">
        <w:rPr>
          <w:lang w:val="en-GB"/>
        </w:rPr>
        <w:t xml:space="preserve"> similar products </w:t>
      </w:r>
      <w:r>
        <w:rPr>
          <w:lang w:val="en-GB"/>
        </w:rPr>
        <w:t>recorded in</w:t>
      </w:r>
      <w:r w:rsidRPr="001F0928">
        <w:rPr>
          <w:lang w:val="en-GB"/>
        </w:rPr>
        <w:t xml:space="preserve"> other points of sale or other areas of the country. The method used is analogous to normal stati</w:t>
      </w:r>
      <w:r w:rsidRPr="001F0928">
        <w:rPr>
          <w:lang w:val="en-GB"/>
        </w:rPr>
        <w:t>s</w:t>
      </w:r>
      <w:r w:rsidRPr="001F0928">
        <w:rPr>
          <w:lang w:val="en-GB"/>
        </w:rPr>
        <w:t xml:space="preserve">tical estimation procedures for products temporarily unavailable. </w:t>
      </w:r>
      <w:r>
        <w:rPr>
          <w:lang w:val="en-GB"/>
        </w:rPr>
        <w:t xml:space="preserve">Such </w:t>
      </w:r>
      <w:r w:rsidRPr="001F0928">
        <w:rPr>
          <w:lang w:val="en-GB"/>
        </w:rPr>
        <w:t>estimation method has been used</w:t>
      </w:r>
      <w:r>
        <w:rPr>
          <w:lang w:val="en-GB"/>
        </w:rPr>
        <w:t xml:space="preserve">, </w:t>
      </w:r>
      <w:r w:rsidRPr="001F0928">
        <w:rPr>
          <w:lang w:val="en-GB"/>
        </w:rPr>
        <w:t>among others</w:t>
      </w:r>
      <w:r>
        <w:rPr>
          <w:lang w:val="en-GB"/>
        </w:rPr>
        <w:t>,</w:t>
      </w:r>
      <w:r w:rsidRPr="001F0928">
        <w:rPr>
          <w:lang w:val="en-GB"/>
        </w:rPr>
        <w:t xml:space="preserve"> for food</w:t>
      </w:r>
      <w:r>
        <w:rPr>
          <w:lang w:val="en-GB"/>
        </w:rPr>
        <w:t xml:space="preserve"> products</w:t>
      </w:r>
      <w:r w:rsidRPr="001F0928">
        <w:rPr>
          <w:lang w:val="en-GB"/>
        </w:rPr>
        <w:t xml:space="preserve">, clothing and footwear, </w:t>
      </w:r>
      <w:r>
        <w:rPr>
          <w:lang w:val="en-GB"/>
        </w:rPr>
        <w:t xml:space="preserve">as regards </w:t>
      </w:r>
      <w:r w:rsidRPr="001F0928">
        <w:rPr>
          <w:lang w:val="en-GB"/>
        </w:rPr>
        <w:t xml:space="preserve">health, </w:t>
      </w:r>
      <w:r>
        <w:rPr>
          <w:lang w:val="en-GB"/>
        </w:rPr>
        <w:t>dwelling</w:t>
      </w:r>
      <w:r w:rsidRPr="001F0928">
        <w:rPr>
          <w:lang w:val="en-GB"/>
        </w:rPr>
        <w:t xml:space="preserve"> and catering </w:t>
      </w:r>
      <w:r>
        <w:rPr>
          <w:lang w:val="en-GB"/>
        </w:rPr>
        <w:t>services</w:t>
      </w:r>
      <w:r w:rsidRPr="001F0928">
        <w:rPr>
          <w:lang w:val="en-GB"/>
        </w:rPr>
        <w:t>. In addition, for certain groups of food commodities, est</w:t>
      </w:r>
      <w:r w:rsidRPr="001F0928">
        <w:rPr>
          <w:lang w:val="en-GB"/>
        </w:rPr>
        <w:t>i</w:t>
      </w:r>
      <w:r w:rsidRPr="001F0928">
        <w:rPr>
          <w:lang w:val="en-GB"/>
        </w:rPr>
        <w:t>mates of the sub-indices have been supplemented by data obtained directly from retail chains.</w:t>
      </w:r>
    </w:p>
    <w:p w:rsidR="00C93E58" w:rsidRPr="001F0928" w:rsidRDefault="00C93E58" w:rsidP="00C93E58">
      <w:pPr>
        <w:rPr>
          <w:lang w:val="en-GB"/>
        </w:rPr>
      </w:pPr>
      <w:r w:rsidRPr="001F0928">
        <w:rPr>
          <w:lang w:val="en-GB"/>
        </w:rPr>
        <w:t xml:space="preserve">For the segments of the retail market which did not function due to the restrictions in force, three methods of </w:t>
      </w:r>
      <w:r w:rsidR="00C45DC7">
        <w:rPr>
          <w:lang w:val="en-GB"/>
        </w:rPr>
        <w:t>estimation of</w:t>
      </w:r>
      <w:r w:rsidRPr="001F0928">
        <w:rPr>
          <w:lang w:val="en-GB"/>
        </w:rPr>
        <w:t xml:space="preserve"> </w:t>
      </w:r>
      <w:r>
        <w:rPr>
          <w:lang w:val="en-GB"/>
        </w:rPr>
        <w:t xml:space="preserve">missing </w:t>
      </w:r>
      <w:r w:rsidRPr="001F0928">
        <w:rPr>
          <w:lang w:val="en-GB"/>
        </w:rPr>
        <w:t>data were applied (and in several cases their comb</w:t>
      </w:r>
      <w:r w:rsidRPr="001F0928">
        <w:rPr>
          <w:lang w:val="en-GB"/>
        </w:rPr>
        <w:t>i</w:t>
      </w:r>
      <w:r w:rsidRPr="001F0928">
        <w:rPr>
          <w:lang w:val="en-GB"/>
        </w:rPr>
        <w:t>nation):</w:t>
      </w:r>
    </w:p>
    <w:p w:rsidR="00C93E58" w:rsidRPr="00BF794B" w:rsidRDefault="002666DF" w:rsidP="00C93E58">
      <w:pPr>
        <w:pStyle w:val="Akapitzlist"/>
        <w:numPr>
          <w:ilvl w:val="0"/>
          <w:numId w:val="5"/>
        </w:numPr>
        <w:spacing w:before="0" w:after="200" w:line="276" w:lineRule="auto"/>
        <w:rPr>
          <w:lang w:val="en-GB"/>
        </w:rPr>
      </w:pPr>
      <w:r>
        <w:rPr>
          <w:lang w:val="en-GB"/>
        </w:rPr>
        <w:t>use</w:t>
      </w:r>
      <w:r w:rsidR="00C93E58" w:rsidRPr="00BF794B">
        <w:rPr>
          <w:lang w:val="en-GB"/>
        </w:rPr>
        <w:t xml:space="preserve"> of the last recorded price (e.g. </w:t>
      </w:r>
      <w:r w:rsidR="00C93E58">
        <w:rPr>
          <w:lang w:val="en-GB"/>
        </w:rPr>
        <w:t>r</w:t>
      </w:r>
      <w:r w:rsidR="00C93E58" w:rsidRPr="003F6738">
        <w:rPr>
          <w:lang w:val="en-GB"/>
        </w:rPr>
        <w:t>ecreational and sporting services</w:t>
      </w:r>
      <w:r w:rsidR="00C93E58">
        <w:rPr>
          <w:lang w:val="en-GB"/>
        </w:rPr>
        <w:t>, cultural se</w:t>
      </w:r>
      <w:r w:rsidR="00C93E58">
        <w:rPr>
          <w:lang w:val="en-GB"/>
        </w:rPr>
        <w:t>r</w:t>
      </w:r>
      <w:r w:rsidR="00C93E58">
        <w:rPr>
          <w:lang w:val="en-GB"/>
        </w:rPr>
        <w:t>vices</w:t>
      </w:r>
      <w:r w:rsidR="00C93E58" w:rsidRPr="00BF794B">
        <w:rPr>
          <w:lang w:val="en-GB"/>
        </w:rPr>
        <w:t xml:space="preserve">, education, hairdressing and </w:t>
      </w:r>
      <w:r w:rsidR="00C93E58">
        <w:rPr>
          <w:lang w:val="en-GB"/>
        </w:rPr>
        <w:t>personal grooming</w:t>
      </w:r>
      <w:r w:rsidR="00C93E58" w:rsidRPr="00BF794B">
        <w:rPr>
          <w:lang w:val="en-GB"/>
        </w:rPr>
        <w:t xml:space="preserve"> services), </w:t>
      </w:r>
    </w:p>
    <w:p w:rsidR="00C93E58" w:rsidRPr="00BF794B" w:rsidRDefault="00413202" w:rsidP="00C93E58">
      <w:pPr>
        <w:pStyle w:val="Akapitzlist"/>
        <w:numPr>
          <w:ilvl w:val="0"/>
          <w:numId w:val="5"/>
        </w:numPr>
        <w:spacing w:before="0" w:after="200" w:line="276" w:lineRule="auto"/>
        <w:rPr>
          <w:lang w:val="en-GB"/>
        </w:rPr>
      </w:pPr>
      <w:r>
        <w:rPr>
          <w:lang w:val="en-GB"/>
        </w:rPr>
        <w:t>use</w:t>
      </w:r>
      <w:r w:rsidRPr="00BF794B">
        <w:rPr>
          <w:lang w:val="en-GB"/>
        </w:rPr>
        <w:t xml:space="preserve"> </w:t>
      </w:r>
      <w:r w:rsidR="00C93E58" w:rsidRPr="00BF794B">
        <w:rPr>
          <w:lang w:val="en-GB"/>
        </w:rPr>
        <w:t xml:space="preserve">of </w:t>
      </w:r>
      <w:r w:rsidR="00D305C0">
        <w:rPr>
          <w:lang w:val="en-GB"/>
        </w:rPr>
        <w:t xml:space="preserve">the </w:t>
      </w:r>
      <w:r w:rsidR="00C93E58" w:rsidRPr="00BF794B">
        <w:rPr>
          <w:lang w:val="en-GB"/>
        </w:rPr>
        <w:t xml:space="preserve">price changes </w:t>
      </w:r>
      <w:r w:rsidR="00C93E58">
        <w:rPr>
          <w:lang w:val="en-GB"/>
        </w:rPr>
        <w:t>of</w:t>
      </w:r>
      <w:r w:rsidR="00C93E58" w:rsidRPr="00BF794B">
        <w:rPr>
          <w:lang w:val="en-GB"/>
        </w:rPr>
        <w:t xml:space="preserve"> the nearest </w:t>
      </w:r>
      <w:r w:rsidR="00C93E58">
        <w:rPr>
          <w:lang w:val="en-GB"/>
        </w:rPr>
        <w:t>higher</w:t>
      </w:r>
      <w:r w:rsidR="00C93E58" w:rsidRPr="00BF794B">
        <w:rPr>
          <w:lang w:val="en-GB"/>
        </w:rPr>
        <w:t xml:space="preserve"> aggregation</w:t>
      </w:r>
      <w:r w:rsidR="00C93E58">
        <w:rPr>
          <w:lang w:val="en-GB"/>
        </w:rPr>
        <w:t xml:space="preserve"> level</w:t>
      </w:r>
      <w:r w:rsidR="00C93E58" w:rsidRPr="00BF794B">
        <w:rPr>
          <w:lang w:val="en-GB"/>
        </w:rPr>
        <w:t xml:space="preserve"> (transport services), </w:t>
      </w:r>
    </w:p>
    <w:p w:rsidR="00C93E58" w:rsidRPr="00BF794B" w:rsidRDefault="00E1518B" w:rsidP="00C93E58">
      <w:pPr>
        <w:pStyle w:val="Akapitzlist"/>
        <w:numPr>
          <w:ilvl w:val="0"/>
          <w:numId w:val="5"/>
        </w:numPr>
        <w:spacing w:before="0" w:after="200" w:line="276" w:lineRule="auto"/>
        <w:rPr>
          <w:lang w:val="en-GB"/>
        </w:rPr>
      </w:pPr>
      <w:r>
        <w:rPr>
          <w:lang w:val="en-GB"/>
        </w:rPr>
        <w:t>use of</w:t>
      </w:r>
      <w:r w:rsidR="00C93E58" w:rsidRPr="00BF794B">
        <w:rPr>
          <w:lang w:val="en-GB"/>
        </w:rPr>
        <w:t xml:space="preserve"> the last recorded prices </w:t>
      </w:r>
      <w:r>
        <w:rPr>
          <w:lang w:val="en-GB"/>
        </w:rPr>
        <w:t xml:space="preserve">while </w:t>
      </w:r>
      <w:r w:rsidR="00C93E58">
        <w:rPr>
          <w:lang w:val="en-GB"/>
        </w:rPr>
        <w:t xml:space="preserve">respecting </w:t>
      </w:r>
      <w:r w:rsidR="00C93E58" w:rsidRPr="00BF794B">
        <w:rPr>
          <w:lang w:val="en-GB"/>
        </w:rPr>
        <w:t>the seasonal pattern (by applying the monthly price c</w:t>
      </w:r>
      <w:r w:rsidR="00C93E58">
        <w:rPr>
          <w:lang w:val="en-GB"/>
        </w:rPr>
        <w:t xml:space="preserve">hange observed </w:t>
      </w:r>
      <w:r w:rsidR="00D174FC">
        <w:rPr>
          <w:lang w:val="en-GB"/>
        </w:rPr>
        <w:t>a</w:t>
      </w:r>
      <w:r w:rsidR="00C93E58">
        <w:rPr>
          <w:lang w:val="en-GB"/>
        </w:rPr>
        <w:t xml:space="preserve"> y</w:t>
      </w:r>
      <w:bookmarkStart w:id="0" w:name="_GoBack"/>
      <w:bookmarkEnd w:id="0"/>
      <w:r w:rsidR="00C93E58">
        <w:rPr>
          <w:lang w:val="en-GB"/>
        </w:rPr>
        <w:t>ear before –</w:t>
      </w:r>
      <w:r w:rsidR="00C93E58" w:rsidRPr="00BF794B">
        <w:rPr>
          <w:lang w:val="en-GB"/>
        </w:rPr>
        <w:t xml:space="preserve"> flights, </w:t>
      </w:r>
      <w:r w:rsidR="00C93E58">
        <w:rPr>
          <w:lang w:val="en-GB"/>
        </w:rPr>
        <w:t>p</w:t>
      </w:r>
      <w:r w:rsidR="00C93E58" w:rsidRPr="00720642">
        <w:rPr>
          <w:lang w:val="en-GB"/>
        </w:rPr>
        <w:t>ackage holidays</w:t>
      </w:r>
      <w:r w:rsidR="00C93E58" w:rsidRPr="00BF794B">
        <w:rPr>
          <w:lang w:val="en-GB"/>
        </w:rPr>
        <w:t>, a</w:t>
      </w:r>
      <w:r w:rsidR="00C93E58" w:rsidRPr="00BF794B">
        <w:rPr>
          <w:lang w:val="en-GB"/>
        </w:rPr>
        <w:t>c</w:t>
      </w:r>
      <w:r w:rsidR="00C93E58" w:rsidRPr="00BF794B">
        <w:rPr>
          <w:lang w:val="en-GB"/>
        </w:rPr>
        <w:t>commodation services).</w:t>
      </w:r>
    </w:p>
    <w:p w:rsidR="00C93E58" w:rsidRPr="001F0928" w:rsidRDefault="00C93E58" w:rsidP="00C93E58">
      <w:pPr>
        <w:rPr>
          <w:lang w:val="en-GB"/>
        </w:rPr>
      </w:pPr>
      <w:r w:rsidRPr="001F0928">
        <w:rPr>
          <w:lang w:val="en-GB"/>
        </w:rPr>
        <w:t xml:space="preserve">These methods are in line with the methodological </w:t>
      </w:r>
      <w:r>
        <w:rPr>
          <w:lang w:val="en-GB"/>
        </w:rPr>
        <w:t>guidelines</w:t>
      </w:r>
      <w:r w:rsidRPr="001F0928">
        <w:rPr>
          <w:lang w:val="en-GB"/>
        </w:rPr>
        <w:t xml:space="preserve"> developed by Eurostat in co</w:t>
      </w:r>
      <w:r w:rsidRPr="001F0928">
        <w:rPr>
          <w:lang w:val="en-GB"/>
        </w:rPr>
        <w:t>n</w:t>
      </w:r>
      <w:r w:rsidRPr="001F0928">
        <w:rPr>
          <w:lang w:val="en-GB"/>
        </w:rPr>
        <w:t>sultation with the NSIs.</w:t>
      </w:r>
      <w:r>
        <w:rPr>
          <w:rStyle w:val="Odwoanieprzypisudolnego"/>
          <w:lang w:val="en-GB"/>
        </w:rPr>
        <w:footnoteReference w:id="1"/>
      </w:r>
      <w:r>
        <w:rPr>
          <w:lang w:val="en-GB"/>
        </w:rPr>
        <w:t xml:space="preserve"> Decisions on e</w:t>
      </w:r>
      <w:r w:rsidRPr="001F0928">
        <w:rPr>
          <w:lang w:val="en-GB"/>
        </w:rPr>
        <w:t xml:space="preserve">stimates were </w:t>
      </w:r>
      <w:r>
        <w:rPr>
          <w:lang w:val="en-GB"/>
        </w:rPr>
        <w:t>made</w:t>
      </w:r>
      <w:r w:rsidRPr="001F0928">
        <w:rPr>
          <w:lang w:val="en-GB"/>
        </w:rPr>
        <w:t xml:space="preserve"> on a case-by-case basis for each case requiring imputation.</w:t>
      </w:r>
    </w:p>
    <w:p w:rsidR="00C93E58" w:rsidRPr="001F0928" w:rsidRDefault="00C93E58" w:rsidP="00C93E58">
      <w:pPr>
        <w:rPr>
          <w:lang w:val="en-GB"/>
        </w:rPr>
      </w:pPr>
      <w:r w:rsidRPr="001F0928">
        <w:rPr>
          <w:lang w:val="en-GB"/>
        </w:rPr>
        <w:t xml:space="preserve">The share of data requiring estimation was higher in April </w:t>
      </w:r>
      <w:r w:rsidR="00BC32B7">
        <w:rPr>
          <w:lang w:val="en-GB"/>
        </w:rPr>
        <w:t>than in March. More than 50% of </w:t>
      </w:r>
      <w:r w:rsidRPr="001F0928">
        <w:rPr>
          <w:lang w:val="en-GB"/>
        </w:rPr>
        <w:t xml:space="preserve">the estimates were recorded in </w:t>
      </w:r>
      <w:r w:rsidR="002E6BEF">
        <w:rPr>
          <w:lang w:val="en-GB"/>
        </w:rPr>
        <w:t>Education and R</w:t>
      </w:r>
      <w:r w:rsidRPr="001F0928">
        <w:rPr>
          <w:lang w:val="en-GB"/>
        </w:rPr>
        <w:t>estaurants and hotels</w:t>
      </w:r>
      <w:r w:rsidR="002E6BEF">
        <w:rPr>
          <w:lang w:val="en-GB"/>
        </w:rPr>
        <w:t xml:space="preserve"> groups</w:t>
      </w:r>
      <w:r w:rsidRPr="001F0928">
        <w:rPr>
          <w:lang w:val="en-GB"/>
        </w:rPr>
        <w:t xml:space="preserve">. Nearly 50% </w:t>
      </w:r>
      <w:r>
        <w:rPr>
          <w:lang w:val="en-GB"/>
        </w:rPr>
        <w:t xml:space="preserve">share </w:t>
      </w:r>
      <w:r w:rsidR="002E6BEF">
        <w:rPr>
          <w:lang w:val="en-GB"/>
        </w:rPr>
        <w:t>of the missing data was for R</w:t>
      </w:r>
      <w:r w:rsidRPr="001F0928">
        <w:rPr>
          <w:lang w:val="en-GB"/>
        </w:rPr>
        <w:t>ecreation and culture. More than 25% of data imputat</w:t>
      </w:r>
      <w:r w:rsidR="002E6BEF">
        <w:rPr>
          <w:lang w:val="en-GB"/>
        </w:rPr>
        <w:t>ion was made in the area of Health as well as C</w:t>
      </w:r>
      <w:r w:rsidRPr="001F0928">
        <w:rPr>
          <w:lang w:val="en-GB"/>
        </w:rPr>
        <w:t xml:space="preserve">lothing and footwear. The smallest share of </w:t>
      </w:r>
      <w:r>
        <w:rPr>
          <w:lang w:val="en-GB"/>
        </w:rPr>
        <w:t>mis</w:t>
      </w:r>
      <w:r>
        <w:rPr>
          <w:lang w:val="en-GB"/>
        </w:rPr>
        <w:t>s</w:t>
      </w:r>
      <w:r>
        <w:rPr>
          <w:lang w:val="en-GB"/>
        </w:rPr>
        <w:t xml:space="preserve">ing </w:t>
      </w:r>
      <w:r w:rsidRPr="001F0928">
        <w:rPr>
          <w:lang w:val="en-GB"/>
        </w:rPr>
        <w:t>data oc</w:t>
      </w:r>
      <w:r w:rsidR="005A1461">
        <w:rPr>
          <w:lang w:val="en-GB"/>
        </w:rPr>
        <w:t>curred in the area of C</w:t>
      </w:r>
      <w:r w:rsidRPr="001F0928">
        <w:rPr>
          <w:lang w:val="en-GB"/>
        </w:rPr>
        <w:t>ommunication and</w:t>
      </w:r>
      <w:r>
        <w:rPr>
          <w:lang w:val="en-GB"/>
        </w:rPr>
        <w:t xml:space="preserve"> </w:t>
      </w:r>
      <w:r w:rsidR="005A1461">
        <w:rPr>
          <w:lang w:val="en-GB"/>
        </w:rPr>
        <w:t>H</w:t>
      </w:r>
      <w:r w:rsidRPr="00563631">
        <w:rPr>
          <w:lang w:val="en-GB"/>
        </w:rPr>
        <w:t>ousing, water, electricity, gas and ot</w:t>
      </w:r>
      <w:r w:rsidRPr="00563631">
        <w:rPr>
          <w:lang w:val="en-GB"/>
        </w:rPr>
        <w:t>h</w:t>
      </w:r>
      <w:r w:rsidRPr="00563631">
        <w:rPr>
          <w:lang w:val="en-GB"/>
        </w:rPr>
        <w:t>er fuels</w:t>
      </w:r>
      <w:r w:rsidRPr="001F0928">
        <w:rPr>
          <w:lang w:val="en-GB"/>
        </w:rPr>
        <w:t>.</w:t>
      </w:r>
    </w:p>
    <w:p w:rsidR="00934246" w:rsidRPr="00C93E58" w:rsidRDefault="005A1461" w:rsidP="00C93E58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>
        <w:rPr>
          <w:lang w:val="en-GB"/>
        </w:rPr>
        <w:t>T</w:t>
      </w:r>
      <w:r w:rsidR="00C93E58" w:rsidRPr="001F0928">
        <w:rPr>
          <w:lang w:val="en-GB"/>
        </w:rPr>
        <w:t>able 2</w:t>
      </w:r>
      <w:r w:rsidR="00417692">
        <w:rPr>
          <w:lang w:val="en-GB"/>
        </w:rPr>
        <w:t xml:space="preserve"> includes indications of the </w:t>
      </w:r>
      <w:r w:rsidR="00C93E58" w:rsidRPr="001F0928">
        <w:rPr>
          <w:lang w:val="en-GB"/>
        </w:rPr>
        <w:t xml:space="preserve">consumer </w:t>
      </w:r>
      <w:r w:rsidR="00C93E58">
        <w:rPr>
          <w:lang w:val="en-GB"/>
        </w:rPr>
        <w:t>expenditures</w:t>
      </w:r>
      <w:r w:rsidR="000D285D">
        <w:rPr>
          <w:lang w:val="en-GB"/>
        </w:rPr>
        <w:t xml:space="preserve"> groups</w:t>
      </w:r>
      <w:r w:rsidR="00C93E58" w:rsidRPr="001F0928">
        <w:rPr>
          <w:lang w:val="en-GB"/>
        </w:rPr>
        <w:t xml:space="preserve"> for which the share of</w:t>
      </w:r>
      <w:r w:rsidR="00BC32B7">
        <w:rPr>
          <w:lang w:val="en-GB"/>
        </w:rPr>
        <w:t> </w:t>
      </w:r>
      <w:r w:rsidR="00C93E58" w:rsidRPr="001F0928">
        <w:rPr>
          <w:lang w:val="en-GB"/>
        </w:rPr>
        <w:t xml:space="preserve">missing observations </w:t>
      </w:r>
      <w:r w:rsidR="00187915" w:rsidRPr="001F0928">
        <w:rPr>
          <w:lang w:val="en-GB"/>
        </w:rPr>
        <w:t>in April 2020</w:t>
      </w:r>
      <w:r w:rsidR="00187915">
        <w:rPr>
          <w:lang w:val="en-GB"/>
        </w:rPr>
        <w:t xml:space="preserve"> </w:t>
      </w:r>
      <w:r w:rsidR="00C93E58" w:rsidRPr="001F0928">
        <w:rPr>
          <w:lang w:val="en-GB"/>
        </w:rPr>
        <w:t>exceeded 50%</w:t>
      </w:r>
      <w:r w:rsidR="00417692">
        <w:rPr>
          <w:lang w:val="en-GB"/>
        </w:rPr>
        <w:t>.</w:t>
      </w:r>
      <w:r w:rsidR="00C93E58" w:rsidRPr="001F0928">
        <w:rPr>
          <w:lang w:val="en-GB"/>
        </w:rPr>
        <w:t xml:space="preserve"> The</w:t>
      </w:r>
      <w:r w:rsidR="00C93E58">
        <w:rPr>
          <w:lang w:val="en-GB"/>
        </w:rPr>
        <w:t xml:space="preserve"> flagged</w:t>
      </w:r>
      <w:r w:rsidR="00C93E58" w:rsidRPr="001F0928">
        <w:rPr>
          <w:lang w:val="en-GB"/>
        </w:rPr>
        <w:t xml:space="preserve"> </w:t>
      </w:r>
      <w:r w:rsidR="00C93E58">
        <w:rPr>
          <w:lang w:val="en-GB"/>
        </w:rPr>
        <w:t>sub-</w:t>
      </w:r>
      <w:r w:rsidR="00C93E58" w:rsidRPr="001F0928">
        <w:rPr>
          <w:lang w:val="en-GB"/>
        </w:rPr>
        <w:t>indices</w:t>
      </w:r>
      <w:r w:rsidR="00C93E58">
        <w:rPr>
          <w:lang w:val="en-GB"/>
        </w:rPr>
        <w:t xml:space="preserve"> </w:t>
      </w:r>
      <w:r w:rsidR="00BC32B7">
        <w:rPr>
          <w:lang w:val="en-GB"/>
        </w:rPr>
        <w:t>were used in </w:t>
      </w:r>
      <w:r w:rsidR="00C93E58" w:rsidRPr="001F0928">
        <w:rPr>
          <w:lang w:val="en-GB"/>
        </w:rPr>
        <w:t>the calculation of higher-level aggregates, including the total index.</w:t>
      </w:r>
      <w:r w:rsidR="00934246" w:rsidRPr="00C93E58">
        <w:rPr>
          <w:sz w:val="18"/>
          <w:highlight w:val="yellow"/>
          <w:lang w:val="en-GB"/>
        </w:rPr>
        <w:br w:type="page"/>
      </w:r>
    </w:p>
    <w:p w:rsidR="00516A50" w:rsidRPr="00A43098" w:rsidRDefault="00A43098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</w:t>
      </w:r>
      <w:r>
        <w:rPr>
          <w:bCs/>
          <w:sz w:val="18"/>
          <w:shd w:val="clear" w:color="auto" w:fill="FFFFFF"/>
          <w:lang w:val="en-GB"/>
        </w:rPr>
        <w:t xml:space="preserve">in April </w:t>
      </w:r>
      <w:r w:rsidR="007364D7" w:rsidRPr="00A43098">
        <w:rPr>
          <w:sz w:val="18"/>
          <w:lang w:val="en-GB"/>
        </w:rPr>
        <w:t>2020</w:t>
      </w:r>
    </w:p>
    <w:p w:rsidR="00DE775D" w:rsidRPr="00A43098" w:rsidRDefault="00DE775D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B86E2F" w:rsidRPr="00AE751C" w:rsidTr="009E1FE1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1B547B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IV 2020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I-IV 2020</w:t>
            </w:r>
          </w:p>
        </w:tc>
      </w:tr>
      <w:tr w:rsidR="00B86E2F" w:rsidRPr="00AE751C" w:rsidTr="009E1FE1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IV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XII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III 2020=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I-IV 2019= 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1B547B" w:rsidRPr="00AE751C" w:rsidTr="00701C5E">
        <w:trPr>
          <w:trHeight w:val="456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701C5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701C5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701C5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701C5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1B547B" w:rsidRPr="00AE751C" w:rsidTr="00701C5E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1B547B" w:rsidRPr="00C63D3F" w:rsidRDefault="001B547B" w:rsidP="005A146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1B547B" w:rsidRPr="00AE751C" w:rsidTr="00AA6902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442AAF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EF507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</w:tr>
      <w:tr w:rsidR="001B547B" w:rsidRPr="00AE751C" w:rsidTr="00442AAF">
        <w:trPr>
          <w:trHeight w:val="26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EF507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1B547B" w:rsidRPr="00AE751C" w:rsidTr="00EF5071">
        <w:trPr>
          <w:trHeight w:val="25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EF5071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123,4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1B547B" w:rsidRPr="00AE751C" w:rsidTr="00442AAF">
        <w:trPr>
          <w:trHeight w:val="15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442AAF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442AAF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442AAF">
            <w:pPr>
              <w:spacing w:before="20" w:after="2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</w:tr>
      <w:tr w:rsidR="001B547B" w:rsidRPr="00AE751C" w:rsidTr="00AE6B84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</w:tr>
      <w:tr w:rsidR="001B547B" w:rsidRPr="00AE751C" w:rsidTr="00AA6902">
        <w:trPr>
          <w:trHeight w:val="27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B547B" w:rsidRPr="00AE751C" w:rsidTr="00442AAF">
        <w:trPr>
          <w:trHeight w:val="25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442AAF">
            <w:pPr>
              <w:spacing w:before="0" w:after="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442AA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442AA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442AA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442AAF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A13BD" w:rsidRDefault="001B547B" w:rsidP="00C95B19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1B547B" w:rsidRPr="00AE751C" w:rsidTr="00EF5071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1B547B" w:rsidRPr="00AE751C" w:rsidTr="00AE6B8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151,3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1B547B" w:rsidRPr="00AE751C" w:rsidTr="00EF5071">
        <w:trPr>
          <w:trHeight w:val="30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1B547B" w:rsidRPr="00AE751C" w:rsidTr="00701C5E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</w:tr>
      <w:tr w:rsidR="001B547B" w:rsidRPr="00AE751C" w:rsidTr="00701C5E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1B547B" w:rsidRPr="00AE751C" w:rsidTr="00701C5E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B547B" w:rsidRPr="00AE751C" w:rsidTr="00AE6B8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1B547B" w:rsidRPr="00AE751C" w:rsidTr="00701C5E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107898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1B547B" w:rsidRPr="00AE751C" w:rsidTr="00107898">
        <w:trPr>
          <w:trHeight w:val="46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107898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10789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10789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10789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107898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B547B" w:rsidRPr="00AE751C" w:rsidTr="00701C5E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  <w:r w:rsidR="006740BD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  <w:r w:rsidR="006740BD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</w:tr>
      <w:tr w:rsidR="00AE6B84" w:rsidRPr="00AE751C" w:rsidTr="00AE6B84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1B547B" w:rsidRDefault="001B547B" w:rsidP="00AE6B84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83,0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77,4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</w:tr>
      <w:tr w:rsidR="00AE6B84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1B547B" w:rsidP="000B4CC4">
            <w:pPr>
              <w:spacing w:before="0" w:after="0"/>
              <w:ind w:left="113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124,8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E6B84" w:rsidRPr="00AE751C" w:rsidRDefault="00AE6B84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90,2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</w:tr>
      <w:tr w:rsidR="001B547B" w:rsidRPr="00AE751C" w:rsidTr="00AE6B84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  <w:r w:rsidR="006740BD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B547B" w:rsidRPr="00AE751C" w:rsidTr="00AE6B84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  <w:r w:rsidR="006740BD"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  <w:r w:rsidR="006740BD"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  <w:r w:rsidR="006740BD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  <w:r w:rsidR="006740BD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B547B" w:rsidRPr="00AE751C" w:rsidTr="00AE6B84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7E1150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Hairdressing salons and personal grooming </w:t>
            </w:r>
            <w:proofErr w:type="spellStart"/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establishments</w:t>
            </w:r>
            <w:r w:rsidR="007E1150" w:rsidRPr="007E1150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val="en-GB" w:eastAsia="pl-PL"/>
              </w:rPr>
              <w:t>U</w:t>
            </w:r>
            <w:proofErr w:type="spellEnd"/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1B547B" w:rsidRPr="00AE751C" w:rsidTr="00AE6B84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  <w:r w:rsidR="007E1150"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1B547B" w:rsidRPr="00AE751C" w:rsidTr="00AE6B84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1B547B" w:rsidRPr="00AE751C" w:rsidTr="00394E8B">
        <w:trPr>
          <w:trHeight w:val="33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C63D3F" w:rsidRDefault="001B547B" w:rsidP="005A1461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47B" w:rsidRPr="00AE751C" w:rsidRDefault="001B547B" w:rsidP="00AE6B8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</w:tbl>
    <w:p w:rsidR="009E3FA7" w:rsidRPr="00AE751C" w:rsidRDefault="009E3FA7" w:rsidP="00516A50">
      <w:pPr>
        <w:pStyle w:val="LID"/>
        <w:rPr>
          <w:bCs/>
          <w:sz w:val="18"/>
          <w:shd w:val="clear" w:color="auto" w:fill="FFFFFF"/>
        </w:rPr>
      </w:pPr>
    </w:p>
    <w:p w:rsidR="001A78D0" w:rsidRPr="00AE751C" w:rsidRDefault="001A78D0" w:rsidP="00516A50">
      <w:pPr>
        <w:pStyle w:val="LID"/>
        <w:rPr>
          <w:bCs/>
          <w:sz w:val="18"/>
          <w:highlight w:val="yellow"/>
          <w:shd w:val="clear" w:color="auto" w:fill="FFFFFF"/>
        </w:rPr>
      </w:pPr>
    </w:p>
    <w:p w:rsidR="00685123" w:rsidRPr="00FC3DEE" w:rsidRDefault="00A55B73" w:rsidP="00883763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685123" w:rsidRPr="00FC3DEE" w:rsidSect="00EF7B3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FC3DEE">
        <w:rPr>
          <w:noProof/>
          <w:sz w:val="24"/>
          <w:szCs w:val="24"/>
          <w:vertAlign w:val="superscript"/>
          <w:lang w:val="en-GB" w:eastAsia="pl-PL"/>
        </w:rPr>
        <w:t xml:space="preserve">u </w:t>
      </w:r>
      <w:r w:rsidR="008B0AF7" w:rsidRPr="00FC3DEE">
        <w:rPr>
          <w:noProof/>
          <w:sz w:val="24"/>
          <w:szCs w:val="24"/>
          <w:vertAlign w:val="superscript"/>
          <w:lang w:val="en-GB" w:eastAsia="pl-PL"/>
        </w:rPr>
        <w:t xml:space="preserve"> </w:t>
      </w:r>
      <w:r w:rsidR="00FC3DEE" w:rsidRPr="008243E6">
        <w:rPr>
          <w:noProof/>
          <w:sz w:val="16"/>
          <w:szCs w:val="16"/>
          <w:lang w:val="en-GB" w:eastAsia="pl-PL"/>
        </w:rPr>
        <w:t>The share of estimated data for an</w:t>
      </w:r>
      <w:r w:rsidR="00FC3DEE">
        <w:rPr>
          <w:noProof/>
          <w:sz w:val="16"/>
          <w:szCs w:val="16"/>
          <w:lang w:val="en-GB" w:eastAsia="pl-PL"/>
        </w:rPr>
        <w:t xml:space="preserve"> agregtae </w:t>
      </w:r>
      <w:r w:rsidR="00FC3DEE" w:rsidRPr="008243E6">
        <w:rPr>
          <w:noProof/>
          <w:sz w:val="16"/>
          <w:szCs w:val="16"/>
          <w:lang w:val="en-GB" w:eastAsia="pl-PL"/>
        </w:rPr>
        <w:t>more than 50%</w:t>
      </w:r>
    </w:p>
    <w:p w:rsidR="000470AA" w:rsidRPr="00FC3DEE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9F6ACE" w:rsidTr="00EE696D">
        <w:trPr>
          <w:trHeight w:val="1912"/>
        </w:trPr>
        <w:tc>
          <w:tcPr>
            <w:tcW w:w="4379" w:type="dxa"/>
          </w:tcPr>
          <w:p w:rsidR="00FC3DEE" w:rsidRPr="00D45A29" w:rsidRDefault="00FC3DEE" w:rsidP="00FC3DE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FC3DEE" w:rsidRPr="00D45A29" w:rsidRDefault="00FC3DEE" w:rsidP="00FC3D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FC3DEE" w:rsidRPr="00D45A29" w:rsidRDefault="00FC3DEE" w:rsidP="00FC3DE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Ewa Adach-Stankiewicz</w:t>
            </w:r>
          </w:p>
          <w:p w:rsidR="00883763" w:rsidRPr="00AE751C" w:rsidRDefault="00FC3DEE" w:rsidP="00FC3DE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FC3DEE" w:rsidRPr="00D45A29" w:rsidRDefault="00FC3DEE" w:rsidP="00FC3D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FC3DEE" w:rsidRPr="00D45A29" w:rsidRDefault="00FC3DEE" w:rsidP="00FC3D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FC3DEE" w:rsidRPr="00D45A29" w:rsidRDefault="00FC3DEE" w:rsidP="00FC3DE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BA0B97" w:rsidRPr="009F6ACE" w:rsidRDefault="00FC3DEE" w:rsidP="00FC3DEE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  <w:lang w:val="en-US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  <w:p w:rsidR="00883763" w:rsidRPr="009F6ACE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9F6ACE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9F6ACE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FC3DEE" w:rsidRPr="00D45A29" w:rsidRDefault="00FC3DEE" w:rsidP="00FC3DEE">
            <w:pPr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FC3DEE" w:rsidRPr="00D45A29" w:rsidRDefault="00FC3DEE" w:rsidP="00FC3DEE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0470AA" w:rsidRPr="00A34A25" w:rsidRDefault="00FC3DEE" w:rsidP="00FC3DEE">
            <w:pPr>
              <w:rPr>
                <w:sz w:val="18"/>
                <w:lang w:val="en-US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r w:rsidR="0040651E">
              <w:fldChar w:fldCharType="begin"/>
            </w:r>
            <w:r w:rsidR="0040651E" w:rsidRPr="009F6ACE">
              <w:rPr>
                <w:lang w:val="en-GB"/>
              </w:rPr>
              <w:instrText xml:space="preserve"> HYPERLINK "mailto:obslugaprasowa@stat.gov.pl" </w:instrText>
            </w:r>
            <w:r w:rsidR="0040651E">
              <w:fldChar w:fldCharType="separate"/>
            </w:r>
            <w:r w:rsidRPr="00D45A29"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  <w:t>obslugaprasowa@stat.gov.pl</w:t>
            </w:r>
            <w:r w:rsidR="0040651E"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  <w:fldChar w:fldCharType="end"/>
            </w:r>
          </w:p>
        </w:tc>
        <w:tc>
          <w:tcPr>
            <w:tcW w:w="369" w:type="pct"/>
            <w:vAlign w:val="center"/>
          </w:tcPr>
          <w:p w:rsidR="000470AA" w:rsidRPr="00A34A25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4A1C42EE" wp14:editId="394081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C3DEE" w:rsidRDefault="0040651E" w:rsidP="000470AA">
            <w:pPr>
              <w:rPr>
                <w:sz w:val="18"/>
                <w:lang w:val="en-US"/>
              </w:rPr>
            </w:pPr>
            <w:r>
              <w:fldChar w:fldCharType="begin"/>
            </w:r>
            <w:r w:rsidRPr="009F6ACE">
              <w:rPr>
                <w:lang w:val="en-US"/>
              </w:rPr>
              <w:instrText xml:space="preserve"> HYPERLINK "https://stat.gov.pl/en/" </w:instrText>
            </w:r>
            <w:r>
              <w:fldChar w:fldCharType="separate"/>
            </w:r>
            <w:r w:rsidR="00FC3DEE" w:rsidRPr="00D45A29">
              <w:rPr>
                <w:rStyle w:val="Hipercze"/>
                <w:rFonts w:cstheme="minorBidi"/>
                <w:color w:val="000000" w:themeColor="text1"/>
                <w:sz w:val="20"/>
                <w:u w:val="none"/>
                <w:lang w:val="en-GB"/>
              </w:rPr>
              <w:t>www.stat.gov.pl/en/</w:t>
            </w:r>
            <w:r>
              <w:rPr>
                <w:rStyle w:val="Hipercze"/>
                <w:rFonts w:cstheme="minorBidi"/>
                <w:color w:val="000000" w:themeColor="text1"/>
                <w:sz w:val="20"/>
                <w:u w:val="none"/>
                <w:lang w:val="en-GB"/>
              </w:rPr>
              <w:fldChar w:fldCharType="end"/>
            </w:r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C3DEE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C3DEE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2525298" wp14:editId="3B376D9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40651E" w:rsidP="000470AA">
            <w:pPr>
              <w:rPr>
                <w:sz w:val="18"/>
              </w:rPr>
            </w:pPr>
            <w:hyperlink r:id="rId24" w:history="1">
              <w:r w:rsidR="00FC3DE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C3DE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5874ABB9" wp14:editId="0EECBEF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40651E" w:rsidP="000470AA">
            <w:pPr>
              <w:rPr>
                <w:sz w:val="20"/>
              </w:rPr>
            </w:pPr>
            <w:hyperlink r:id="rId26" w:history="1">
              <w:r w:rsidR="00FC3DE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FC3DEE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AE751C" w:rsidRDefault="009E3F12" w:rsidP="00E76D26">
      <w:pPr>
        <w:rPr>
          <w:sz w:val="18"/>
        </w:rPr>
      </w:pPr>
      <w:r w:rsidRPr="00AE751C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9FFA953" wp14:editId="200F9EF6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651E" w:rsidRDefault="0040651E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40651E" w:rsidRPr="00941435" w:rsidRDefault="0040651E" w:rsidP="00FC3DE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9F6ACE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40651E" w:rsidRPr="00941435" w:rsidRDefault="0040651E" w:rsidP="00FC3D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0651E" w:rsidRPr="00941435" w:rsidRDefault="0040651E" w:rsidP="00FC3D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40651E" w:rsidRPr="00941435" w:rsidRDefault="0040651E" w:rsidP="00FC3D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40651E" w:rsidRPr="00941435" w:rsidRDefault="0040651E" w:rsidP="00FC3D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40651E" w:rsidRPr="00941435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40651E" w:rsidRPr="00566A43" w:rsidRDefault="0040651E" w:rsidP="00FC3D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40651E" w:rsidRDefault="0040651E" w:rsidP="00883763">
                      <w:pPr>
                        <w:rPr>
                          <w:b/>
                        </w:rPr>
                      </w:pPr>
                    </w:p>
                    <w:p w:rsidR="0040651E" w:rsidRPr="00941435" w:rsidRDefault="0040651E" w:rsidP="00FC3DEE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begin"/>
                      </w:r>
                      <w:r w:rsidRPr="009F6ACE">
                        <w:rPr>
                          <w:lang w:val="en-GB"/>
                        </w:rPr>
                        <w:instrText xml:space="preserve"> HYPERLINK "http://stat.gov.pl/en/latest-statistical-news/communications-and-announcements/" </w:instrText>
                      </w:r>
                      <w:r>
                        <w:fldChar w:fldCharType="separate"/>
                      </w:r>
                      <w:r w:rsidRPr="009414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Communications and Announcements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40651E" w:rsidRPr="00941435" w:rsidRDefault="0040651E" w:rsidP="00FC3D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0651E" w:rsidRPr="00941435" w:rsidRDefault="0040651E" w:rsidP="00FC3D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40651E" w:rsidRPr="00941435" w:rsidRDefault="0040651E" w:rsidP="00FC3D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40651E" w:rsidRPr="00941435" w:rsidRDefault="0040651E" w:rsidP="00FC3D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40651E" w:rsidRPr="00941435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40651E" w:rsidRPr="00566A43" w:rsidRDefault="0040651E" w:rsidP="00FC3D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E751C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1E" w:rsidRDefault="0040651E" w:rsidP="000662E2">
      <w:pPr>
        <w:spacing w:after="0" w:line="240" w:lineRule="auto"/>
      </w:pPr>
      <w:r>
        <w:separator/>
      </w:r>
    </w:p>
  </w:endnote>
  <w:endnote w:type="continuationSeparator" w:id="0">
    <w:p w:rsidR="0040651E" w:rsidRDefault="0040651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40651E" w:rsidRDefault="0040651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40651E" w:rsidRDefault="0040651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A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40651E" w:rsidRDefault="0040651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AC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1E" w:rsidRDefault="0040651E" w:rsidP="000662E2">
      <w:pPr>
        <w:spacing w:after="0" w:line="240" w:lineRule="auto"/>
      </w:pPr>
      <w:r>
        <w:separator/>
      </w:r>
    </w:p>
  </w:footnote>
  <w:footnote w:type="continuationSeparator" w:id="0">
    <w:p w:rsidR="0040651E" w:rsidRDefault="0040651E" w:rsidP="000662E2">
      <w:pPr>
        <w:spacing w:after="0" w:line="240" w:lineRule="auto"/>
      </w:pPr>
      <w:r>
        <w:continuationSeparator/>
      </w:r>
    </w:p>
  </w:footnote>
  <w:footnote w:id="1">
    <w:p w:rsidR="0040651E" w:rsidRPr="004701BC" w:rsidRDefault="0040651E" w:rsidP="00C93E58">
      <w:pPr>
        <w:pStyle w:val="Tekstprzypisudolnego"/>
        <w:rPr>
          <w:sz w:val="16"/>
          <w:szCs w:val="16"/>
          <w:lang w:val="en-GB"/>
        </w:rPr>
      </w:pPr>
      <w:r>
        <w:rPr>
          <w:rStyle w:val="Odwoanieprzypisudolnego"/>
        </w:rPr>
        <w:footnoteRef/>
      </w:r>
      <w:r w:rsidRPr="007E5A08">
        <w:rPr>
          <w:lang w:val="en-GB"/>
        </w:rPr>
        <w:t xml:space="preserve"> </w:t>
      </w:r>
      <w:r w:rsidRPr="004701BC">
        <w:rPr>
          <w:sz w:val="16"/>
          <w:szCs w:val="16"/>
          <w:lang w:val="en-GB"/>
        </w:rPr>
        <w:t>Document ‘Guidance on the compilation of the HICP in the context of the CO</w:t>
      </w:r>
      <w:r>
        <w:rPr>
          <w:sz w:val="16"/>
          <w:szCs w:val="16"/>
          <w:lang w:val="en-GB"/>
        </w:rPr>
        <w:t>VID-19 crisis’ was published by </w:t>
      </w:r>
      <w:r w:rsidRPr="004701BC">
        <w:rPr>
          <w:sz w:val="16"/>
          <w:szCs w:val="16"/>
          <w:lang w:val="en-GB"/>
        </w:rPr>
        <w:t xml:space="preserve">Eurostat under the link </w:t>
      </w:r>
      <w:hyperlink r:id="rId1" w:history="1">
        <w:r w:rsidRPr="00AA0A1E">
          <w:rPr>
            <w:rStyle w:val="Hipercze"/>
            <w:sz w:val="16"/>
            <w:szCs w:val="16"/>
            <w:lang w:val="en-GB"/>
          </w:rPr>
          <w:t>https://ec.europa.eu/eurostat/documents/10186/10693286/HICP_guidance.pdf</w:t>
        </w:r>
      </w:hyperlink>
    </w:p>
    <w:p w:rsidR="0040651E" w:rsidRPr="007E5A08" w:rsidRDefault="0040651E" w:rsidP="00C93E58">
      <w:pPr>
        <w:pStyle w:val="Tekstprzypisudolnego"/>
        <w:rPr>
          <w:lang w:val="en-GB"/>
        </w:rPr>
      </w:pPr>
      <w:r w:rsidRPr="004701BC">
        <w:rPr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2" w:history="1">
        <w:r w:rsidRPr="00AA0A1E">
          <w:rPr>
            <w:rStyle w:val="Hipercze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1E" w:rsidRDefault="0040651E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B54DD2" wp14:editId="1D774B2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8AEFA2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0651E" w:rsidRDefault="004065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1E" w:rsidRDefault="0040651E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1921BE2" wp14:editId="2D445D22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7754946" id="Prostokąt 10" o:spid="_x0000_s1026" style="position:absolute;margin-left:409.95pt;margin-top:39.05pt;width:147.4pt;height:788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B5A563" wp14:editId="7D969E1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0651E" w:rsidRPr="003C6C8D" w:rsidRDefault="0040651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0651E" w:rsidRPr="003C6C8D" w:rsidRDefault="0040651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163C552B" wp14:editId="239C008E">
          <wp:extent cx="1865630" cy="709295"/>
          <wp:effectExtent l="0" t="0" r="0" b="0"/>
          <wp:docPr id="14" name="Obraz 1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40651E" w:rsidRDefault="0040651E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9B69F12" wp14:editId="6E01654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651E" w:rsidRPr="00C97596" w:rsidRDefault="0040651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15.05.2020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0651E" w:rsidRPr="00C97596" w:rsidRDefault="0040651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15.05.2020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51E" w:rsidRDefault="0040651E">
    <w:pPr>
      <w:pStyle w:val="Nagwek"/>
    </w:pPr>
  </w:p>
  <w:p w:rsidR="0040651E" w:rsidRDefault="004065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35pt;height:124.6pt;visibility:visible" o:bullet="t">
        <v:imagedata r:id="rId1" o:title=""/>
      </v:shape>
    </w:pict>
  </w:numPicBullet>
  <w:numPicBullet w:numPicBulletId="1">
    <w:pict>
      <v:shape id="_x0000_i1029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FE3649A"/>
    <w:multiLevelType w:val="hybridMultilevel"/>
    <w:tmpl w:val="7ACEB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bel Anna">
    <w15:presenceInfo w15:providerId="AD" w15:userId="S-1-5-21-3419930908-1354286565-637230989-28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4AC7"/>
    <w:rsid w:val="000152F5"/>
    <w:rsid w:val="0002205C"/>
    <w:rsid w:val="000220AE"/>
    <w:rsid w:val="00034160"/>
    <w:rsid w:val="0004015D"/>
    <w:rsid w:val="0004582E"/>
    <w:rsid w:val="0004646A"/>
    <w:rsid w:val="000470AA"/>
    <w:rsid w:val="000539AA"/>
    <w:rsid w:val="00057CA1"/>
    <w:rsid w:val="000662E2"/>
    <w:rsid w:val="00066883"/>
    <w:rsid w:val="00066C18"/>
    <w:rsid w:val="000743B6"/>
    <w:rsid w:val="00074DD8"/>
    <w:rsid w:val="000800B4"/>
    <w:rsid w:val="000806F7"/>
    <w:rsid w:val="00095882"/>
    <w:rsid w:val="00097840"/>
    <w:rsid w:val="000A4BF7"/>
    <w:rsid w:val="000A6963"/>
    <w:rsid w:val="000A7F1A"/>
    <w:rsid w:val="000B0727"/>
    <w:rsid w:val="000B1008"/>
    <w:rsid w:val="000B4CC4"/>
    <w:rsid w:val="000B6497"/>
    <w:rsid w:val="000C135D"/>
    <w:rsid w:val="000D0E2A"/>
    <w:rsid w:val="000D1D43"/>
    <w:rsid w:val="000D225C"/>
    <w:rsid w:val="000D285D"/>
    <w:rsid w:val="000D2A5C"/>
    <w:rsid w:val="000E0918"/>
    <w:rsid w:val="000F0AF2"/>
    <w:rsid w:val="001011C3"/>
    <w:rsid w:val="00107898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87915"/>
    <w:rsid w:val="001951DA"/>
    <w:rsid w:val="001A4B7F"/>
    <w:rsid w:val="001A78D0"/>
    <w:rsid w:val="001B0E45"/>
    <w:rsid w:val="001B3CA7"/>
    <w:rsid w:val="001B547B"/>
    <w:rsid w:val="001C3269"/>
    <w:rsid w:val="001D1DB4"/>
    <w:rsid w:val="001D5C9E"/>
    <w:rsid w:val="001E1D94"/>
    <w:rsid w:val="001E7DBB"/>
    <w:rsid w:val="001F25B6"/>
    <w:rsid w:val="001F60D1"/>
    <w:rsid w:val="0020009D"/>
    <w:rsid w:val="00201740"/>
    <w:rsid w:val="002069C0"/>
    <w:rsid w:val="002133F1"/>
    <w:rsid w:val="002147B5"/>
    <w:rsid w:val="00220482"/>
    <w:rsid w:val="0022272D"/>
    <w:rsid w:val="0022312E"/>
    <w:rsid w:val="002412BC"/>
    <w:rsid w:val="00247B43"/>
    <w:rsid w:val="002574F9"/>
    <w:rsid w:val="00260F39"/>
    <w:rsid w:val="00262B61"/>
    <w:rsid w:val="0026302B"/>
    <w:rsid w:val="002666DF"/>
    <w:rsid w:val="002724FF"/>
    <w:rsid w:val="00275FA6"/>
    <w:rsid w:val="00276811"/>
    <w:rsid w:val="00276C9A"/>
    <w:rsid w:val="00282699"/>
    <w:rsid w:val="00284859"/>
    <w:rsid w:val="00286FC8"/>
    <w:rsid w:val="00290CB6"/>
    <w:rsid w:val="002926DF"/>
    <w:rsid w:val="00292DBF"/>
    <w:rsid w:val="00296697"/>
    <w:rsid w:val="002A2C38"/>
    <w:rsid w:val="002A36C0"/>
    <w:rsid w:val="002A4D80"/>
    <w:rsid w:val="002A7E9B"/>
    <w:rsid w:val="002B0472"/>
    <w:rsid w:val="002B6B12"/>
    <w:rsid w:val="002D0020"/>
    <w:rsid w:val="002D24A5"/>
    <w:rsid w:val="002D6545"/>
    <w:rsid w:val="002E6140"/>
    <w:rsid w:val="002E6985"/>
    <w:rsid w:val="002E6BEF"/>
    <w:rsid w:val="002E71B6"/>
    <w:rsid w:val="002F77C8"/>
    <w:rsid w:val="003012B5"/>
    <w:rsid w:val="00304F22"/>
    <w:rsid w:val="00305162"/>
    <w:rsid w:val="00306C7C"/>
    <w:rsid w:val="00311E43"/>
    <w:rsid w:val="00317B04"/>
    <w:rsid w:val="00322EDD"/>
    <w:rsid w:val="00324AC4"/>
    <w:rsid w:val="00331616"/>
    <w:rsid w:val="00332320"/>
    <w:rsid w:val="00347D72"/>
    <w:rsid w:val="00357611"/>
    <w:rsid w:val="0036186D"/>
    <w:rsid w:val="00367237"/>
    <w:rsid w:val="0037077F"/>
    <w:rsid w:val="00370D51"/>
    <w:rsid w:val="00372411"/>
    <w:rsid w:val="00373882"/>
    <w:rsid w:val="003751B5"/>
    <w:rsid w:val="003843DB"/>
    <w:rsid w:val="00384BFA"/>
    <w:rsid w:val="003901AC"/>
    <w:rsid w:val="00392E81"/>
    <w:rsid w:val="00393761"/>
    <w:rsid w:val="00394B48"/>
    <w:rsid w:val="00394E8B"/>
    <w:rsid w:val="00397D18"/>
    <w:rsid w:val="003A0271"/>
    <w:rsid w:val="003A1B36"/>
    <w:rsid w:val="003A440F"/>
    <w:rsid w:val="003A4977"/>
    <w:rsid w:val="003B1454"/>
    <w:rsid w:val="003B18B6"/>
    <w:rsid w:val="003B4C47"/>
    <w:rsid w:val="003C59E0"/>
    <w:rsid w:val="003C6C8D"/>
    <w:rsid w:val="003D00E5"/>
    <w:rsid w:val="003D0409"/>
    <w:rsid w:val="003D3B24"/>
    <w:rsid w:val="003D4F95"/>
    <w:rsid w:val="003D5F42"/>
    <w:rsid w:val="003D60A9"/>
    <w:rsid w:val="003F4C97"/>
    <w:rsid w:val="003F7FE6"/>
    <w:rsid w:val="00400193"/>
    <w:rsid w:val="0040651E"/>
    <w:rsid w:val="00413202"/>
    <w:rsid w:val="00417692"/>
    <w:rsid w:val="004212E7"/>
    <w:rsid w:val="00423D86"/>
    <w:rsid w:val="0042446D"/>
    <w:rsid w:val="00427BF8"/>
    <w:rsid w:val="00431C02"/>
    <w:rsid w:val="00437395"/>
    <w:rsid w:val="00442AAF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93217"/>
    <w:rsid w:val="00494E8B"/>
    <w:rsid w:val="004957AB"/>
    <w:rsid w:val="0049621B"/>
    <w:rsid w:val="0049705B"/>
    <w:rsid w:val="004B2EAB"/>
    <w:rsid w:val="004C1895"/>
    <w:rsid w:val="004C4610"/>
    <w:rsid w:val="004C6D40"/>
    <w:rsid w:val="004F0C3C"/>
    <w:rsid w:val="004F4476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7404"/>
    <w:rsid w:val="00550653"/>
    <w:rsid w:val="005520D8"/>
    <w:rsid w:val="00556CF1"/>
    <w:rsid w:val="00556D94"/>
    <w:rsid w:val="00564C34"/>
    <w:rsid w:val="00566A43"/>
    <w:rsid w:val="00571BA5"/>
    <w:rsid w:val="005762A7"/>
    <w:rsid w:val="0058676C"/>
    <w:rsid w:val="005877DE"/>
    <w:rsid w:val="005916D7"/>
    <w:rsid w:val="00593CF4"/>
    <w:rsid w:val="005A047A"/>
    <w:rsid w:val="005A1461"/>
    <w:rsid w:val="005A2784"/>
    <w:rsid w:val="005A698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2A16"/>
    <w:rsid w:val="006149F0"/>
    <w:rsid w:val="00615A26"/>
    <w:rsid w:val="00633014"/>
    <w:rsid w:val="0063437B"/>
    <w:rsid w:val="006476FF"/>
    <w:rsid w:val="0066542B"/>
    <w:rsid w:val="0066616C"/>
    <w:rsid w:val="00666696"/>
    <w:rsid w:val="006673CA"/>
    <w:rsid w:val="00673C26"/>
    <w:rsid w:val="00673C73"/>
    <w:rsid w:val="006740BD"/>
    <w:rsid w:val="0067430E"/>
    <w:rsid w:val="00674A8B"/>
    <w:rsid w:val="006812AF"/>
    <w:rsid w:val="00682B23"/>
    <w:rsid w:val="0068327D"/>
    <w:rsid w:val="00683EDE"/>
    <w:rsid w:val="00685123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C1539"/>
    <w:rsid w:val="006D086E"/>
    <w:rsid w:val="006D1507"/>
    <w:rsid w:val="006D4054"/>
    <w:rsid w:val="006D6B72"/>
    <w:rsid w:val="006E02EC"/>
    <w:rsid w:val="00701C5E"/>
    <w:rsid w:val="007034D7"/>
    <w:rsid w:val="007059D5"/>
    <w:rsid w:val="007162EB"/>
    <w:rsid w:val="007211B1"/>
    <w:rsid w:val="0072400B"/>
    <w:rsid w:val="00731D00"/>
    <w:rsid w:val="007324DB"/>
    <w:rsid w:val="00733D55"/>
    <w:rsid w:val="007364D7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C12D7"/>
    <w:rsid w:val="007C4A91"/>
    <w:rsid w:val="007D3319"/>
    <w:rsid w:val="007D335D"/>
    <w:rsid w:val="007E1150"/>
    <w:rsid w:val="007E3314"/>
    <w:rsid w:val="007E4B03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31172"/>
    <w:rsid w:val="00834AD3"/>
    <w:rsid w:val="008362A4"/>
    <w:rsid w:val="00843795"/>
    <w:rsid w:val="0084421C"/>
    <w:rsid w:val="00847F0F"/>
    <w:rsid w:val="00852448"/>
    <w:rsid w:val="00854143"/>
    <w:rsid w:val="0088258A"/>
    <w:rsid w:val="008832C4"/>
    <w:rsid w:val="00883763"/>
    <w:rsid w:val="00886332"/>
    <w:rsid w:val="00891A48"/>
    <w:rsid w:val="008A26D9"/>
    <w:rsid w:val="008A7FA1"/>
    <w:rsid w:val="008B0AF7"/>
    <w:rsid w:val="008B22DF"/>
    <w:rsid w:val="008B4AE0"/>
    <w:rsid w:val="008C0C29"/>
    <w:rsid w:val="008C7A01"/>
    <w:rsid w:val="008D368B"/>
    <w:rsid w:val="008E5CBF"/>
    <w:rsid w:val="008F07F6"/>
    <w:rsid w:val="008F3638"/>
    <w:rsid w:val="008F4441"/>
    <w:rsid w:val="008F6F31"/>
    <w:rsid w:val="008F74DF"/>
    <w:rsid w:val="009127BA"/>
    <w:rsid w:val="00916782"/>
    <w:rsid w:val="00917CCF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55D4"/>
    <w:rsid w:val="00964D8C"/>
    <w:rsid w:val="009705EE"/>
    <w:rsid w:val="00971217"/>
    <w:rsid w:val="00977927"/>
    <w:rsid w:val="0098135C"/>
    <w:rsid w:val="0098156A"/>
    <w:rsid w:val="00984EBA"/>
    <w:rsid w:val="00990133"/>
    <w:rsid w:val="00991BAC"/>
    <w:rsid w:val="009963D7"/>
    <w:rsid w:val="009A6EA0"/>
    <w:rsid w:val="009B1399"/>
    <w:rsid w:val="009B746F"/>
    <w:rsid w:val="009B76FA"/>
    <w:rsid w:val="009C1335"/>
    <w:rsid w:val="009C1AB2"/>
    <w:rsid w:val="009C375D"/>
    <w:rsid w:val="009C5407"/>
    <w:rsid w:val="009C6DE1"/>
    <w:rsid w:val="009C7251"/>
    <w:rsid w:val="009D142F"/>
    <w:rsid w:val="009E1FE1"/>
    <w:rsid w:val="009E2E91"/>
    <w:rsid w:val="009E3BF4"/>
    <w:rsid w:val="009E3F12"/>
    <w:rsid w:val="009E3FA7"/>
    <w:rsid w:val="009E410D"/>
    <w:rsid w:val="009E7382"/>
    <w:rsid w:val="009F5815"/>
    <w:rsid w:val="009F6ACE"/>
    <w:rsid w:val="00A07F00"/>
    <w:rsid w:val="00A12435"/>
    <w:rsid w:val="00A139F5"/>
    <w:rsid w:val="00A2136A"/>
    <w:rsid w:val="00A34A25"/>
    <w:rsid w:val="00A34C24"/>
    <w:rsid w:val="00A365F4"/>
    <w:rsid w:val="00A37CE0"/>
    <w:rsid w:val="00A43098"/>
    <w:rsid w:val="00A459FF"/>
    <w:rsid w:val="00A460E6"/>
    <w:rsid w:val="00A46BD5"/>
    <w:rsid w:val="00A47937"/>
    <w:rsid w:val="00A47D80"/>
    <w:rsid w:val="00A51BB2"/>
    <w:rsid w:val="00A53132"/>
    <w:rsid w:val="00A55B73"/>
    <w:rsid w:val="00A563F2"/>
    <w:rsid w:val="00A566E8"/>
    <w:rsid w:val="00A810F9"/>
    <w:rsid w:val="00A86ECC"/>
    <w:rsid w:val="00A86FCC"/>
    <w:rsid w:val="00A93892"/>
    <w:rsid w:val="00AA13BD"/>
    <w:rsid w:val="00AA6902"/>
    <w:rsid w:val="00AA710D"/>
    <w:rsid w:val="00AB5AC5"/>
    <w:rsid w:val="00AB6D25"/>
    <w:rsid w:val="00AD0B46"/>
    <w:rsid w:val="00AD4947"/>
    <w:rsid w:val="00AE20FD"/>
    <w:rsid w:val="00AE2D4B"/>
    <w:rsid w:val="00AE3075"/>
    <w:rsid w:val="00AE4F99"/>
    <w:rsid w:val="00AE6B84"/>
    <w:rsid w:val="00AE751C"/>
    <w:rsid w:val="00B05BC8"/>
    <w:rsid w:val="00B06265"/>
    <w:rsid w:val="00B11B69"/>
    <w:rsid w:val="00B14952"/>
    <w:rsid w:val="00B210CA"/>
    <w:rsid w:val="00B31E5A"/>
    <w:rsid w:val="00B322EC"/>
    <w:rsid w:val="00B37F5A"/>
    <w:rsid w:val="00B40DD0"/>
    <w:rsid w:val="00B5056F"/>
    <w:rsid w:val="00B50A80"/>
    <w:rsid w:val="00B609CE"/>
    <w:rsid w:val="00B653AB"/>
    <w:rsid w:val="00B65F9E"/>
    <w:rsid w:val="00B66B19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6ED"/>
    <w:rsid w:val="00BA5A42"/>
    <w:rsid w:val="00BB4773"/>
    <w:rsid w:val="00BB4F09"/>
    <w:rsid w:val="00BC1505"/>
    <w:rsid w:val="00BC17C7"/>
    <w:rsid w:val="00BC32B7"/>
    <w:rsid w:val="00BC50F0"/>
    <w:rsid w:val="00BD16B9"/>
    <w:rsid w:val="00BD3C63"/>
    <w:rsid w:val="00BD4CA6"/>
    <w:rsid w:val="00BD4E33"/>
    <w:rsid w:val="00BD71BA"/>
    <w:rsid w:val="00BE4B65"/>
    <w:rsid w:val="00BF63D8"/>
    <w:rsid w:val="00C00EDA"/>
    <w:rsid w:val="00C030DE"/>
    <w:rsid w:val="00C22105"/>
    <w:rsid w:val="00C23F3B"/>
    <w:rsid w:val="00C244B6"/>
    <w:rsid w:val="00C27D75"/>
    <w:rsid w:val="00C3702F"/>
    <w:rsid w:val="00C4500A"/>
    <w:rsid w:val="00C45DC7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81CF7"/>
    <w:rsid w:val="00C91687"/>
    <w:rsid w:val="00C924A8"/>
    <w:rsid w:val="00C93E58"/>
    <w:rsid w:val="00C945FE"/>
    <w:rsid w:val="00C950B4"/>
    <w:rsid w:val="00C95B19"/>
    <w:rsid w:val="00C96FAA"/>
    <w:rsid w:val="00C97A04"/>
    <w:rsid w:val="00CA107B"/>
    <w:rsid w:val="00CA484D"/>
    <w:rsid w:val="00CA4FB6"/>
    <w:rsid w:val="00CA5FC4"/>
    <w:rsid w:val="00CB565C"/>
    <w:rsid w:val="00CC5F03"/>
    <w:rsid w:val="00CC739E"/>
    <w:rsid w:val="00CD1E2E"/>
    <w:rsid w:val="00CD2371"/>
    <w:rsid w:val="00CD58B7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11CF3"/>
    <w:rsid w:val="00D174FC"/>
    <w:rsid w:val="00D23F61"/>
    <w:rsid w:val="00D261A2"/>
    <w:rsid w:val="00D305C0"/>
    <w:rsid w:val="00D33497"/>
    <w:rsid w:val="00D37A41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CFA"/>
    <w:rsid w:val="00DD4A41"/>
    <w:rsid w:val="00DE0AFD"/>
    <w:rsid w:val="00DE775D"/>
    <w:rsid w:val="00DF712D"/>
    <w:rsid w:val="00E01436"/>
    <w:rsid w:val="00E045BD"/>
    <w:rsid w:val="00E1518B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95BE5"/>
    <w:rsid w:val="00EB02C9"/>
    <w:rsid w:val="00EB1390"/>
    <w:rsid w:val="00EB2C71"/>
    <w:rsid w:val="00EB4340"/>
    <w:rsid w:val="00EB556D"/>
    <w:rsid w:val="00EB5A7D"/>
    <w:rsid w:val="00ED55C0"/>
    <w:rsid w:val="00ED63E8"/>
    <w:rsid w:val="00ED682B"/>
    <w:rsid w:val="00EE41D5"/>
    <w:rsid w:val="00EE696D"/>
    <w:rsid w:val="00EF4459"/>
    <w:rsid w:val="00EF5071"/>
    <w:rsid w:val="00EF7B36"/>
    <w:rsid w:val="00F037A4"/>
    <w:rsid w:val="00F04C11"/>
    <w:rsid w:val="00F12FEC"/>
    <w:rsid w:val="00F26013"/>
    <w:rsid w:val="00F27C8F"/>
    <w:rsid w:val="00F30A0C"/>
    <w:rsid w:val="00F32749"/>
    <w:rsid w:val="00F3314D"/>
    <w:rsid w:val="00F37172"/>
    <w:rsid w:val="00F41FFF"/>
    <w:rsid w:val="00F4477E"/>
    <w:rsid w:val="00F455A2"/>
    <w:rsid w:val="00F45717"/>
    <w:rsid w:val="00F479EB"/>
    <w:rsid w:val="00F52335"/>
    <w:rsid w:val="00F65EEC"/>
    <w:rsid w:val="00F6637E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C3DEE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hyperlink" Target="https://www.facebook.com/GlownyUrzadStatystyczny/" TargetMode="External"/><Relationship Id="rId39" Type="http://schemas.openxmlformats.org/officeDocument/2006/relationships/hyperlink" Target="http://stat.gov.pl/en/topics/prices-trade/price-indice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34" Type="http://schemas.openxmlformats.org/officeDocument/2006/relationships/hyperlink" Target="http://stat.gov.pl/en/metainformations/glossary/terms-used-in-official-statistics/32,term.html" TargetMode="External"/><Relationship Id="rId42" Type="http://schemas.openxmlformats.org/officeDocument/2006/relationships/hyperlink" Target="http://stat.gov.pl/en/metainformations/glossary/terms-used-in-official-statistics/32,term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metainformations/glossary/terms-used-in-official-statistics/711,term.html" TargetMode="External"/><Relationship Id="rId38" Type="http://schemas.openxmlformats.org/officeDocument/2006/relationships/hyperlink" Target="https://bdl.stat.gov.pl/BDL/start?lang=en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en/metainformations/glossary/terms-used-in-official-statistics/711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twitter.com/StatPoland" TargetMode="External"/><Relationship Id="rId32" Type="http://schemas.openxmlformats.org/officeDocument/2006/relationships/hyperlink" Target="http://stat.gov.pl/en/topics/prices-trade/prices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topics/prices-trade/prices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waid.stat.gov.pl/EN/SitePagesDBW/Ceny.aspx" TargetMode="External"/><Relationship Id="rId49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image" Target="media/image5.png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s://bdl.stat.gov.pl/BDL/start?lang=en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1" Type="http://schemas.openxmlformats.org/officeDocument/2006/relationships/hyperlink" Target="https://ec.europa.eu/eurostat/documents/10186/10693286/HICP_guidance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20\WYKRESY\04_2020_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9925199093703029"/>
          <c:y val="5.3855340776704272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WPŁYWY!$A$44:$A$52</c:f>
              <c:strCache>
                <c:ptCount val="9"/>
                <c:pt idx="0">
                  <c:v>Fuels for personal transport equipment</c:v>
                </c:pt>
                <c:pt idx="1">
                  <c:v>Insurance</c:v>
                </c:pt>
                <c:pt idx="2">
                  <c:v>Meat</c:v>
                </c:pt>
                <c:pt idx="3">
                  <c:v>Footwear</c:v>
                </c:pt>
                <c:pt idx="4">
                  <c:v>Garments</c:v>
                </c:pt>
                <c:pt idx="5">
                  <c:v>Fruit</c:v>
                </c:pt>
                <c:pt idx="6">
                  <c:v>Vegetables</c:v>
                </c:pt>
                <c:pt idx="7">
                  <c:v>Refuse collection</c:v>
                </c:pt>
                <c:pt idx="8">
                  <c:v>Transport services</c:v>
                </c:pt>
              </c:strCache>
            </c:strRef>
          </c:cat>
          <c:val>
            <c:numRef>
              <c:f>WPŁYWY!$C$44:$C$52</c:f>
              <c:numCache>
                <c:formatCode>0.00</c:formatCode>
                <c:ptCount val="9"/>
                <c:pt idx="0">
                  <c:v>-0.67</c:v>
                </c:pt>
                <c:pt idx="1">
                  <c:v>-0.04</c:v>
                </c:pt>
                <c:pt idx="2">
                  <c:v>-0.03</c:v>
                </c:pt>
                <c:pt idx="3">
                  <c:v>0.03</c:v>
                </c:pt>
                <c:pt idx="4">
                  <c:v>0.03</c:v>
                </c:pt>
                <c:pt idx="5">
                  <c:v>0.04</c:v>
                </c:pt>
                <c:pt idx="6">
                  <c:v>0.06</c:v>
                </c:pt>
                <c:pt idx="7">
                  <c:v>0.09</c:v>
                </c:pt>
                <c:pt idx="8">
                  <c:v>0.21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904192"/>
        <c:axId val="60905728"/>
      </c:barChart>
      <c:catAx>
        <c:axId val="6090419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0905728"/>
        <c:crossesAt val="0"/>
        <c:auto val="1"/>
        <c:lblAlgn val="ctr"/>
        <c:lblOffset val="200"/>
        <c:tickMarkSkip val="1"/>
        <c:noMultiLvlLbl val="0"/>
      </c:catAx>
      <c:valAx>
        <c:axId val="60905728"/>
        <c:scaling>
          <c:orientation val="minMax"/>
          <c:max val="0.30000000000000004"/>
          <c:min val="-0.7500000000000001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60904192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6975616"/>
        <c:axId val="86978560"/>
      </c:barChart>
      <c:catAx>
        <c:axId val="86975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86978560"/>
        <c:crosses val="autoZero"/>
        <c:auto val="0"/>
        <c:lblAlgn val="ctr"/>
        <c:lblOffset val="100"/>
        <c:noMultiLvlLbl val="0"/>
      </c:catAx>
      <c:valAx>
        <c:axId val="8697856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869756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6445468024195004E-2"/>
                  <c:y val="5.1723325003536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3124286853507405E-2"/>
                  <c:y val="-2.964779103210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9761573592813704E-2"/>
                  <c:y val="4.089773209486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0094330818183274E-2"/>
                  <c:y val="-4.4542305411477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7078767033688798E-2"/>
                  <c:y val="4.5081017311579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175857449057E-2"/>
                  <c:y val="-4.2272553592783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4209516178221482E-2"/>
                  <c:y val="4.15453515537844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585270069167603E-2"/>
                  <c:y val="3.97973908085282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1.2172178246470648E-2"/>
                  <c:y val="1.5593919048404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1728440329714663E-2"/>
                  <c:y val="-2.0942867812534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3006609834662366E-2"/>
                  <c:y val="-4.83553940250593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2.0356471073821859E-2"/>
                  <c:y val="-3.2977117139734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8.8512508000176508E-3"/>
                  <c:y val="-1.74855100665145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516395724752537E-2"/>
                  <c:y val="1.8721910935851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'M-1'!$B$38:$B$53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'M-1'!$C$38:$C$53</c:f>
              <c:numCache>
                <c:formatCode>0.0</c:formatCode>
                <c:ptCount val="16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7028096"/>
        <c:axId val="87029632"/>
      </c:lineChart>
      <c:dateAx>
        <c:axId val="870280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7029632"/>
        <c:crossesAt val="0"/>
        <c:auto val="0"/>
        <c:lblOffset val="100"/>
        <c:baseTimeUnit val="days"/>
      </c:dateAx>
      <c:valAx>
        <c:axId val="87029632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702809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582361892379667E-2"/>
                  <c:y val="-2.5356008106120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868673319845786E-2"/>
                  <c:y val="-3.02642485328735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752239170816606E-2"/>
                  <c:y val="-2.56076702090935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5171685056822242E-2"/>
                  <c:y val="-4.616752838199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7093168327618409E-2"/>
                  <c:y val="-4.08677353106953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220068406146166E-2"/>
                  <c:y val="2.3773981592902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5232238436694248E-2"/>
                  <c:y val="-2.08527958778087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5248611708236344E-2"/>
                  <c:y val="-4.125077768914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696300218557598E-2"/>
                  <c:y val="-3.9685452775984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1.0512397881822701E-2"/>
                  <c:y val="2.66198850482801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5974528532941464E-2"/>
                  <c:y val="2.31469713752696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164011868509418E-2"/>
                  <c:y val="-4.9406635802469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(+FE)'!$B$38:$B$53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'M-12 (+FE)'!$C$38:$C$53</c:f>
              <c:numCache>
                <c:formatCode>0.0</c:formatCode>
                <c:ptCount val="16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790912"/>
        <c:axId val="86792448"/>
      </c:lineChart>
      <c:dateAx>
        <c:axId val="8679091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6792448"/>
        <c:crossesAt val="0"/>
        <c:auto val="0"/>
        <c:lblOffset val="100"/>
        <c:baseTimeUnit val="days"/>
      </c:dateAx>
      <c:valAx>
        <c:axId val="8679244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8679091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m-12'!$B$39:$B$54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m-12'!$C$39:$C$54</c:f>
              <c:numCache>
                <c:formatCode>0.0</c:formatCode>
                <c:ptCount val="16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m-12'!$B$39:$B$54</c:f>
              <c:strCache>
                <c:ptCount val="1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</c:strCache>
            </c:strRef>
          </c:cat>
          <c:val>
            <c:numRef>
              <c:f>'CPI_HICP m-12'!$E$39:$E$53</c:f>
              <c:numCache>
                <c:formatCode>0.0</c:formatCode>
                <c:ptCount val="15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6965632"/>
        <c:axId val="87372928"/>
      </c:lineChart>
      <c:catAx>
        <c:axId val="8696563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8737292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8737292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86965632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721195226201038"/>
          <c:y val="0.62004718436744077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0.71483</cdr:x>
      <cdr:y>0.87129</cdr:y>
    </cdr:from>
    <cdr:to>
      <cdr:x>0.71526</cdr:x>
      <cdr:y>0.94776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3680054" y="2185523"/>
          <a:ext cx="2213" cy="191816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0.09153</cdr:x>
      <cdr:y>0.93613</cdr:y>
    </cdr:from>
    <cdr:to>
      <cdr:x>0.71512</cdr:x>
      <cdr:y>0.99849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68867" y="2382526"/>
          <a:ext cx="3194342" cy="158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0.71402</cdr:x>
      <cdr:y>0.93714</cdr:y>
    </cdr:from>
    <cdr:to>
      <cdr:x>0.92428</cdr:x>
      <cdr:y>0.99849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657599" y="2385106"/>
          <a:ext cx="1077085" cy="1561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0.62029</cdr:y>
    </cdr:from>
    <cdr:to>
      <cdr:x>0.92803</cdr:x>
      <cdr:y>0.62057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3211" y="1590114"/>
          <a:ext cx="4410664" cy="71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0.0679</cdr:x>
      <cdr:y>0.29324</cdr:y>
    </cdr:from>
    <cdr:to>
      <cdr:x>0.92428</cdr:x>
      <cdr:y>0.29543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47808" y="751715"/>
          <a:ext cx="4386877" cy="560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0.72935</cdr:x>
      <cdr:y>0.38439</cdr:y>
    </cdr:from>
    <cdr:to>
      <cdr:x>0.91959</cdr:x>
      <cdr:y>0.47269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36148" y="985373"/>
          <a:ext cx="974513" cy="2263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0.2586</cdr:x>
      <cdr:y>0.22812</cdr:y>
    </cdr:from>
    <cdr:to>
      <cdr:x>0.54099</cdr:x>
      <cdr:y>0.30856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324698" y="584793"/>
          <a:ext cx="1446551" cy="2061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0.08194</cdr:x>
      <cdr:y>0.93661</cdr:y>
    </cdr:from>
    <cdr:to>
      <cdr:x>0.70988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19741" y="2401001"/>
          <a:ext cx="3216651" cy="1500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0.71768</cdr:x>
      <cdr:y>0.93049</cdr:y>
    </cdr:from>
    <cdr:to>
      <cdr:x>0.9278</cdr:x>
      <cdr:y>0.9928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651453" y="2364561"/>
          <a:ext cx="1069078" cy="158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0.71258</cdr:x>
      <cdr:y>0.86915</cdr:y>
    </cdr:from>
    <cdr:to>
      <cdr:x>0.71292</cdr:x>
      <cdr:y>0.95286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650198" y="2228053"/>
          <a:ext cx="1742" cy="21459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0.34299</cdr:x>
      <cdr:y>0.63309</cdr:y>
    </cdr:from>
    <cdr:to>
      <cdr:x>0.62538</cdr:x>
      <cdr:y>0.71352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756965" y="1622920"/>
          <a:ext cx="1446551" cy="206192"/>
        </a:xfrm>
        <a:prstGeom xmlns:a="http://schemas.openxmlformats.org/drawingml/2006/main" prst="rect">
          <a:avLst/>
        </a:prstGeom>
      </cdr:spPr>
    </cdr:sp>
  </cdr:relSizeAnchor>
  <cdr:relSizeAnchor xmlns:cdr="http://schemas.openxmlformats.org/drawingml/2006/chartDrawing">
    <cdr:from>
      <cdr:x>0.2597</cdr:x>
      <cdr:y>0.61327</cdr:y>
    </cdr:from>
    <cdr:to>
      <cdr:x>0.54209</cdr:x>
      <cdr:y>0.69371</cdr:y>
    </cdr:to>
    <cdr:sp macro="" textlink="">
      <cdr:nvSpPr>
        <cdr:cNvPr id="28" name="pole tekstowe 1"/>
        <cdr:cNvSpPr txBox="1"/>
      </cdr:nvSpPr>
      <cdr:spPr>
        <a:xfrm xmlns:a="http://schemas.openxmlformats.org/drawingml/2006/main">
          <a:off x="1330308" y="1572121"/>
          <a:ext cx="1446551" cy="2061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0.36434</cdr:x>
      <cdr:y>0.92017</cdr:y>
    </cdr:from>
    <cdr:to>
      <cdr:x>0.83054</cdr:x>
      <cdr:y>0.99874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866348" y="2310938"/>
          <a:ext cx="2388152" cy="1973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0.71383</cdr:x>
      <cdr:y>0.86203</cdr:y>
    </cdr:from>
    <cdr:to>
      <cdr:x>0.7141</cdr:x>
      <cdr:y>0.93664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3682362" y="2179880"/>
          <a:ext cx="1392" cy="18867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1DF5DB-812A-438A-9A44-7D56FF8B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8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20</cp:revision>
  <cp:lastPrinted>2020-05-15T05:48:00Z</cp:lastPrinted>
  <dcterms:created xsi:type="dcterms:W3CDTF">2020-04-15T05:04:00Z</dcterms:created>
  <dcterms:modified xsi:type="dcterms:W3CDTF">2020-05-15T09:34:00Z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