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123" w:rsidRPr="007F3714" w:rsidRDefault="007F3714" w:rsidP="00685123">
      <w:pPr>
        <w:pStyle w:val="tytuinformacji"/>
        <w:rPr>
          <w:lang w:val="en-GB"/>
        </w:rPr>
      </w:pPr>
      <w:r w:rsidRPr="00D45A29">
        <w:rPr>
          <w:lang w:val="en-GB"/>
        </w:rPr>
        <w:t>Consumer price indices in</w:t>
      </w:r>
      <w:r>
        <w:rPr>
          <w:lang w:val="en-GB"/>
        </w:rPr>
        <w:t xml:space="preserve"> March </w:t>
      </w:r>
      <w:r w:rsidR="00B37F5A" w:rsidRPr="007F3714">
        <w:rPr>
          <w:lang w:val="en-GB"/>
        </w:rPr>
        <w:t>2020</w:t>
      </w:r>
    </w:p>
    <w:p w:rsidR="00AD4947" w:rsidRPr="007F3714" w:rsidRDefault="00AD4947" w:rsidP="00AD4947">
      <w:pPr>
        <w:pStyle w:val="tytuinformacji"/>
        <w:rPr>
          <w:sz w:val="32"/>
          <w:lang w:val="en-GB"/>
        </w:rPr>
      </w:pPr>
    </w:p>
    <w:p w:rsidR="00B37F5A" w:rsidRPr="00C02080" w:rsidRDefault="009E3F12" w:rsidP="00B37F5A">
      <w:pPr>
        <w:pStyle w:val="LID"/>
        <w:spacing w:after="0"/>
        <w:rPr>
          <w:lang w:val="en-GB" w:eastAsia="en-GB"/>
        </w:rPr>
      </w:pPr>
      <w:r>
        <mc:AlternateContent>
          <mc:Choice Requires="wps">
            <w:drawing>
              <wp:anchor distT="45720" distB="45720" distL="114300" distR="114300" simplePos="0" relativeHeight="251772928" behindDoc="0" locked="0" layoutInCell="1" allowOverlap="1" wp14:anchorId="74832BA5" wp14:editId="672E4908">
                <wp:simplePos x="0" y="0"/>
                <wp:positionH relativeFrom="margin">
                  <wp:align>left</wp:align>
                </wp:positionH>
                <wp:positionV relativeFrom="paragraph">
                  <wp:posOffset>87630</wp:posOffset>
                </wp:positionV>
                <wp:extent cx="1828800" cy="118173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81735"/>
                        </a:xfrm>
                        <a:prstGeom prst="rect">
                          <a:avLst/>
                        </a:prstGeom>
                        <a:solidFill>
                          <a:srgbClr val="001D77"/>
                        </a:solidFill>
                        <a:ln w="9525">
                          <a:noFill/>
                          <a:miter lim="800000"/>
                          <a:headEnd/>
                          <a:tailEnd/>
                        </a:ln>
                      </wps:spPr>
                      <wps:txbx>
                        <w:txbxContent>
                          <w:p w:rsidR="00A578B3" w:rsidRPr="001D4EE2" w:rsidRDefault="00A578B3" w:rsidP="00D538E4">
                            <w:pPr>
                              <w:spacing w:after="0" w:line="240" w:lineRule="auto"/>
                              <w:rPr>
                                <w:rFonts w:ascii="Fira Sans SemiBold" w:hAnsi="Fira Sans SemiBold"/>
                                <w:color w:val="FFFFFF" w:themeColor="background1"/>
                                <w:sz w:val="72"/>
                                <w:lang w:val="en-GB"/>
                              </w:rPr>
                            </w:pPr>
                            <w:r>
                              <w:rPr>
                                <w:rFonts w:asciiTheme="minorHAnsi" w:hAnsiTheme="minorHAnsi"/>
                                <w:b/>
                                <w:noProof/>
                                <w:color w:val="001D77"/>
                                <w:sz w:val="22"/>
                                <w:lang w:eastAsia="pl-PL"/>
                              </w:rPr>
                              <w:drawing>
                                <wp:inline distT="0" distB="0" distL="0" distR="0" wp14:anchorId="1188F1BC" wp14:editId="4DAE6BDF">
                                  <wp:extent cx="334645" cy="334645"/>
                                  <wp:effectExtent l="19050" t="0" r="8255" b="0"/>
                                  <wp:docPr id="2"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srcRect/>
                                          <a:stretch>
                                            <a:fillRect/>
                                          </a:stretch>
                                        </pic:blipFill>
                                        <pic:spPr bwMode="auto">
                                          <a:xfrm>
                                            <a:off x="0" y="0"/>
                                            <a:ext cx="334645" cy="334645"/>
                                          </a:xfrm>
                                          <a:prstGeom prst="rect">
                                            <a:avLst/>
                                          </a:prstGeom>
                                          <a:noFill/>
                                          <a:ln w="9525">
                                            <a:noFill/>
                                            <a:miter lim="800000"/>
                                            <a:headEnd/>
                                            <a:tailEnd/>
                                          </a:ln>
                                        </pic:spPr>
                                      </pic:pic>
                                    </a:graphicData>
                                  </a:graphic>
                                </wp:inline>
                              </w:drawing>
                            </w:r>
                            <w:r w:rsidRPr="001D4EE2">
                              <w:rPr>
                                <w:noProof/>
                                <w:color w:val="001D77"/>
                                <w:lang w:val="en-GB" w:eastAsia="pl-PL"/>
                              </w:rPr>
                              <w:t xml:space="preserve"> </w:t>
                            </w:r>
                            <w:r w:rsidR="00685EDC">
                              <w:rPr>
                                <w:rFonts w:ascii="Fira Sans SemiBold" w:hAnsi="Fira Sans SemiBold"/>
                                <w:color w:val="FFFFFF" w:themeColor="background1"/>
                                <w:sz w:val="72"/>
                                <w:lang w:val="en-GB"/>
                              </w:rPr>
                              <w:t>4.</w:t>
                            </w:r>
                            <w:r w:rsidRPr="001D4EE2">
                              <w:rPr>
                                <w:rFonts w:ascii="Fira Sans SemiBold" w:hAnsi="Fira Sans SemiBold"/>
                                <w:color w:val="FFFFFF" w:themeColor="background1"/>
                                <w:sz w:val="72"/>
                                <w:lang w:val="en-GB"/>
                              </w:rPr>
                              <w:t>6%</w:t>
                            </w:r>
                          </w:p>
                          <w:p w:rsidR="00A578B3" w:rsidRPr="004271EF" w:rsidRDefault="00A578B3" w:rsidP="00B37F5A">
                            <w:pPr>
                              <w:pStyle w:val="tekstnaniebieskimtle"/>
                              <w:rPr>
                                <w:color w:val="FFFFFF" w:themeColor="background1"/>
                                <w:sz w:val="18"/>
                                <w:szCs w:val="20"/>
                                <w:lang w:val="en-GB"/>
                              </w:rPr>
                            </w:pPr>
                            <w:proofErr w:type="gramStart"/>
                            <w:r w:rsidRPr="0078686B">
                              <w:rPr>
                                <w:lang w:val="en-GB"/>
                              </w:rPr>
                              <w:t>an</w:t>
                            </w:r>
                            <w:proofErr w:type="gramEnd"/>
                            <w:r w:rsidRPr="0078686B">
                              <w:rPr>
                                <w:lang w:val="en-GB"/>
                              </w:rPr>
                              <w:t xml:space="preserve"> increase compared </w:t>
                            </w:r>
                            <w:r>
                              <w:rPr>
                                <w:lang w:val="en-GB"/>
                              </w:rPr>
                              <w:t>with the corresponding month of </w:t>
                            </w:r>
                            <w:r w:rsidRPr="0078686B">
                              <w:rPr>
                                <w:lang w:val="en-GB"/>
                              </w:rPr>
                              <w:t>the previous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832BA5" id="_x0000_t202" coordsize="21600,21600" o:spt="202" path="m,l,21600r21600,l21600,xe">
                <v:stroke joinstyle="miter"/>
                <v:path gradientshapeok="t" o:connecttype="rect"/>
              </v:shapetype>
              <v:shape id="Pole tekstowe 2" o:spid="_x0000_s1026" type="#_x0000_t202" style="position:absolute;margin-left:0;margin-top:6.9pt;width:2in;height:93.05pt;z-index:2517729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" fillcolor="#001d77" stroked="f">
                <v:textbox>
                  <w:txbxContent>
                    <w:p w:rsidR="00A578B3" w:rsidRPr="001D4EE2" w:rsidRDefault="00A578B3" w:rsidP="00D538E4">
                      <w:pPr>
                        <w:spacing w:after="0" w:line="240" w:lineRule="auto"/>
                        <w:rPr>
                          <w:rFonts w:ascii="Fira Sans SemiBold" w:hAnsi="Fira Sans SemiBold"/>
                          <w:color w:val="FFFFFF" w:themeColor="background1"/>
                          <w:sz w:val="72"/>
                          <w:lang w:val="en-GB"/>
                        </w:rPr>
                      </w:pPr>
                      <w:r>
                        <w:rPr>
                          <w:rFonts w:asciiTheme="minorHAnsi" w:hAnsiTheme="minorHAnsi"/>
                          <w:b/>
                          <w:noProof/>
                          <w:color w:val="001D77"/>
                          <w:sz w:val="22"/>
                          <w:lang w:eastAsia="pl-PL"/>
                        </w:rPr>
                        <w:drawing>
                          <wp:inline distT="0" distB="0" distL="0" distR="0" wp14:anchorId="1188F1BC" wp14:editId="4DAE6BDF">
                            <wp:extent cx="334645" cy="334645"/>
                            <wp:effectExtent l="19050" t="0" r="8255" b="0"/>
                            <wp:docPr id="2"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srcRect/>
                                    <a:stretch>
                                      <a:fillRect/>
                                    </a:stretch>
                                  </pic:blipFill>
                                  <pic:spPr bwMode="auto">
                                    <a:xfrm>
                                      <a:off x="0" y="0"/>
                                      <a:ext cx="334645" cy="334645"/>
                                    </a:xfrm>
                                    <a:prstGeom prst="rect">
                                      <a:avLst/>
                                    </a:prstGeom>
                                    <a:noFill/>
                                    <a:ln w="9525">
                                      <a:noFill/>
                                      <a:miter lim="800000"/>
                                      <a:headEnd/>
                                      <a:tailEnd/>
                                    </a:ln>
                                  </pic:spPr>
                                </pic:pic>
                              </a:graphicData>
                            </a:graphic>
                          </wp:inline>
                        </w:drawing>
                      </w:r>
                      <w:r w:rsidRPr="001D4EE2">
                        <w:rPr>
                          <w:noProof/>
                          <w:color w:val="001D77"/>
                          <w:lang w:val="en-GB" w:eastAsia="pl-PL"/>
                        </w:rPr>
                        <w:t xml:space="preserve"> </w:t>
                      </w:r>
                      <w:r w:rsidR="00685EDC">
                        <w:rPr>
                          <w:rFonts w:ascii="Fira Sans SemiBold" w:hAnsi="Fira Sans SemiBold"/>
                          <w:color w:val="FFFFFF" w:themeColor="background1"/>
                          <w:sz w:val="72"/>
                          <w:lang w:val="en-GB"/>
                        </w:rPr>
                        <w:t>4.</w:t>
                      </w:r>
                      <w:r w:rsidRPr="001D4EE2">
                        <w:rPr>
                          <w:rFonts w:ascii="Fira Sans SemiBold" w:hAnsi="Fira Sans SemiBold"/>
                          <w:color w:val="FFFFFF" w:themeColor="background1"/>
                          <w:sz w:val="72"/>
                          <w:lang w:val="en-GB"/>
                        </w:rPr>
                        <w:t>6%</w:t>
                      </w:r>
                    </w:p>
                    <w:p w:rsidR="00A578B3" w:rsidRPr="004271EF" w:rsidRDefault="00A578B3" w:rsidP="00B37F5A">
                      <w:pPr>
                        <w:pStyle w:val="tekstnaniebieskimtle"/>
                        <w:rPr>
                          <w:color w:val="FFFFFF" w:themeColor="background1"/>
                          <w:sz w:val="18"/>
                          <w:szCs w:val="20"/>
                          <w:lang w:val="en-GB"/>
                        </w:rPr>
                      </w:pPr>
                      <w:proofErr w:type="gramStart"/>
                      <w:r w:rsidRPr="0078686B">
                        <w:rPr>
                          <w:lang w:val="en-GB"/>
                        </w:rPr>
                        <w:t>an</w:t>
                      </w:r>
                      <w:proofErr w:type="gramEnd"/>
                      <w:r w:rsidRPr="0078686B">
                        <w:rPr>
                          <w:lang w:val="en-GB"/>
                        </w:rPr>
                        <w:t xml:space="preserve"> increase compared </w:t>
                      </w:r>
                      <w:r>
                        <w:rPr>
                          <w:lang w:val="en-GB"/>
                        </w:rPr>
                        <w:t>with the corresponding month of </w:t>
                      </w:r>
                      <w:r w:rsidRPr="0078686B">
                        <w:rPr>
                          <w:lang w:val="en-GB"/>
                        </w:rPr>
                        <w:t>the previous year</w:t>
                      </w:r>
                    </w:p>
                  </w:txbxContent>
                </v:textbox>
                <w10:wrap type="square" anchorx="margin"/>
              </v:shape>
            </w:pict>
          </mc:Fallback>
        </mc:AlternateContent>
      </w:r>
      <w:r w:rsidR="00C02080" w:rsidRPr="00C02080">
        <w:rPr>
          <w:lang w:val="en-GB"/>
        </w:rPr>
        <w:t xml:space="preserve">Consumer prices in March </w:t>
      </w:r>
      <w:r w:rsidR="00B37F5A" w:rsidRPr="00C02080">
        <w:rPr>
          <w:lang w:val="en-GB" w:eastAsia="en-GB"/>
        </w:rPr>
        <w:t xml:space="preserve">2020 </w:t>
      </w:r>
      <w:r w:rsidR="00C02080">
        <w:rPr>
          <w:lang w:val="en-GB"/>
        </w:rPr>
        <w:t xml:space="preserve">compared with the </w:t>
      </w:r>
      <w:r w:rsidR="00C02080" w:rsidRPr="00362B78">
        <w:rPr>
          <w:lang w:val="en-GB"/>
        </w:rPr>
        <w:t>corresponding month of the previous year</w:t>
      </w:r>
      <w:r w:rsidR="00C02080" w:rsidRPr="00D61BC5">
        <w:rPr>
          <w:lang w:val="en-GB"/>
        </w:rPr>
        <w:t xml:space="preserve"> </w:t>
      </w:r>
      <w:r w:rsidR="00C02080">
        <w:rPr>
          <w:lang w:val="en-GB"/>
        </w:rPr>
        <w:t>increased by</w:t>
      </w:r>
      <w:r w:rsidR="00C02080">
        <w:rPr>
          <w:lang w:val="en-GB" w:eastAsia="en-GB"/>
        </w:rPr>
        <w:t> </w:t>
      </w:r>
      <w:r w:rsidR="00B37F5A" w:rsidRPr="00C02080">
        <w:rPr>
          <w:lang w:val="en-GB" w:eastAsia="en-GB"/>
        </w:rPr>
        <w:t>4,6% (</w:t>
      </w:r>
      <w:r w:rsidR="00C02080">
        <w:rPr>
          <w:lang w:val="en-GB"/>
        </w:rPr>
        <w:t xml:space="preserve">with an increase of prices of services </w:t>
      </w:r>
      <w:r w:rsidR="00C02080" w:rsidRPr="00D61BC5">
        <w:rPr>
          <w:lang w:val="en-GB"/>
        </w:rPr>
        <w:t xml:space="preserve">– </w:t>
      </w:r>
      <w:r w:rsidR="00C02080">
        <w:rPr>
          <w:lang w:val="en-GB"/>
        </w:rPr>
        <w:t>by</w:t>
      </w:r>
      <w:r w:rsidR="00C02080" w:rsidRPr="00D61BC5">
        <w:rPr>
          <w:lang w:val="en-GB"/>
        </w:rPr>
        <w:t xml:space="preserve"> </w:t>
      </w:r>
      <w:r w:rsidR="005C5EF8" w:rsidRPr="00C02080">
        <w:rPr>
          <w:lang w:val="en-GB" w:eastAsia="en-GB"/>
        </w:rPr>
        <w:t xml:space="preserve">6,5% </w:t>
      </w:r>
      <w:r w:rsidR="00C02080">
        <w:rPr>
          <w:lang w:val="en-GB" w:eastAsia="en-GB"/>
        </w:rPr>
        <w:t>and goods – by</w:t>
      </w:r>
      <w:r w:rsidR="00B37F5A" w:rsidRPr="00C02080">
        <w:rPr>
          <w:lang w:val="en-GB" w:eastAsia="en-GB"/>
        </w:rPr>
        <w:t xml:space="preserve"> 3,8%).</w:t>
      </w:r>
    </w:p>
    <w:p w:rsidR="00370D51" w:rsidRPr="00E1531F" w:rsidRDefault="00E1531F" w:rsidP="00E1531F">
      <w:pPr>
        <w:pStyle w:val="LID"/>
        <w:spacing w:before="0" w:after="0"/>
        <w:rPr>
          <w:lang w:val="en-GB" w:eastAsia="en-GB"/>
        </w:rPr>
      </w:pPr>
      <w:r w:rsidRPr="00362B78">
        <w:rPr>
          <w:lang w:val="en-GB"/>
        </w:rPr>
        <w:t xml:space="preserve">As related to the previous month consumer prices increased by </w:t>
      </w:r>
      <w:r w:rsidR="00B37F5A" w:rsidRPr="00E1531F">
        <w:rPr>
          <w:lang w:val="en-GB" w:eastAsia="en-GB"/>
        </w:rPr>
        <w:t>0,2% (</w:t>
      </w:r>
      <w:r>
        <w:rPr>
          <w:lang w:val="en-GB"/>
        </w:rPr>
        <w:t xml:space="preserve">with an increase of </w:t>
      </w:r>
      <w:r w:rsidRPr="00EE1D26">
        <w:rPr>
          <w:lang w:val="en-GB"/>
        </w:rPr>
        <w:t>p</w:t>
      </w:r>
      <w:r>
        <w:rPr>
          <w:lang w:val="en-GB"/>
        </w:rPr>
        <w:t>r</w:t>
      </w:r>
      <w:r w:rsidRPr="00EE1D26">
        <w:rPr>
          <w:lang w:val="en-GB"/>
        </w:rPr>
        <w:t>ices of services – by</w:t>
      </w:r>
      <w:r w:rsidR="00B37F5A" w:rsidRPr="00E1531F">
        <w:rPr>
          <w:lang w:val="en-GB" w:eastAsia="en-GB"/>
        </w:rPr>
        <w:t xml:space="preserve"> 0,3% </w:t>
      </w:r>
      <w:r w:rsidRPr="00E1531F">
        <w:rPr>
          <w:lang w:val="en-GB" w:eastAsia="en-GB"/>
        </w:rPr>
        <w:t>and goods by</w:t>
      </w:r>
      <w:r w:rsidR="00B37F5A" w:rsidRPr="00E1531F">
        <w:rPr>
          <w:lang w:val="en-GB" w:eastAsia="en-GB"/>
        </w:rPr>
        <w:t xml:space="preserve"> 0,2%).</w:t>
      </w:r>
    </w:p>
    <w:p w:rsidR="00370D51" w:rsidRPr="00E1531F" w:rsidRDefault="00370D51" w:rsidP="00370D51">
      <w:pPr>
        <w:pStyle w:val="LID"/>
        <w:spacing w:before="0" w:after="0"/>
        <w:rPr>
          <w:lang w:val="en-GB"/>
        </w:rPr>
      </w:pPr>
    </w:p>
    <w:p w:rsidR="00370D51" w:rsidRPr="00E1531F" w:rsidRDefault="00370D51" w:rsidP="00370D51">
      <w:pPr>
        <w:pStyle w:val="LID"/>
        <w:spacing w:before="0" w:after="0"/>
        <w:rPr>
          <w:lang w:val="en-GB"/>
        </w:rPr>
      </w:pPr>
    </w:p>
    <w:p w:rsidR="009E3F12" w:rsidRPr="00E1531F" w:rsidRDefault="009E3F12" w:rsidP="009E3F12">
      <w:pPr>
        <w:rPr>
          <w:lang w:val="en-GB"/>
        </w:rPr>
      </w:pPr>
    </w:p>
    <w:p w:rsidR="001D4EE2" w:rsidRPr="001D4EE2" w:rsidRDefault="001D4EE2" w:rsidP="001D4EE2">
      <w:pPr>
        <w:rPr>
          <w:lang w:val="en-GB"/>
        </w:rPr>
      </w:pPr>
      <w:r w:rsidRPr="001D4EE2">
        <w:rPr>
          <w:lang w:val="en-GB"/>
        </w:rPr>
        <w:t xml:space="preserve">As a result of restrictions on trade and the movement of people, introduced </w:t>
      </w:r>
      <w:r w:rsidR="004D6CB4" w:rsidRPr="001D4EE2">
        <w:rPr>
          <w:lang w:val="en-GB"/>
        </w:rPr>
        <w:t xml:space="preserve">gradually </w:t>
      </w:r>
      <w:r w:rsidRPr="001D4EE2">
        <w:rPr>
          <w:lang w:val="en-GB"/>
        </w:rPr>
        <w:t>in the past weeks to prevent the coronavirus from spr</w:t>
      </w:r>
      <w:bookmarkStart w:id="0" w:name="_GoBack"/>
      <w:bookmarkEnd w:id="0"/>
      <w:r w:rsidRPr="001D4EE2">
        <w:rPr>
          <w:lang w:val="en-GB"/>
        </w:rPr>
        <w:t>eading, many shops and points providing personal services were closed. The organization of cultural and sporting events was suspended. Travel and accommodation services have been significantly reduced. These changes strongly affected the possibility of collecting retail price data.</w:t>
      </w:r>
    </w:p>
    <w:p w:rsidR="001D4EE2" w:rsidRPr="001D4EE2" w:rsidRDefault="001D4EE2" w:rsidP="001D4EE2">
      <w:pPr>
        <w:rPr>
          <w:lang w:val="en-GB"/>
        </w:rPr>
      </w:pPr>
      <w:r w:rsidRPr="001D4EE2">
        <w:rPr>
          <w:lang w:val="en-GB"/>
        </w:rPr>
        <w:t xml:space="preserve">Major problems concern the data collection in the field. </w:t>
      </w:r>
      <w:r w:rsidR="00684997">
        <w:rPr>
          <w:lang w:val="en-GB"/>
        </w:rPr>
        <w:t>I</w:t>
      </w:r>
      <w:r w:rsidRPr="001D4EE2">
        <w:rPr>
          <w:lang w:val="en-GB"/>
        </w:rPr>
        <w:t>n March of the current year,</w:t>
      </w:r>
      <w:r w:rsidR="00684997">
        <w:rPr>
          <w:lang w:val="en-GB"/>
        </w:rPr>
        <w:t xml:space="preserve"> however, </w:t>
      </w:r>
      <w:r w:rsidR="00684997" w:rsidRPr="001D4EE2">
        <w:rPr>
          <w:lang w:val="en-GB"/>
        </w:rPr>
        <w:t xml:space="preserve">it was possible to collect </w:t>
      </w:r>
      <w:r w:rsidRPr="001D4EE2">
        <w:rPr>
          <w:lang w:val="en-GB"/>
        </w:rPr>
        <w:t>a large share of the information on prices during the period when sales took place under unchanged conditions. The m</w:t>
      </w:r>
      <w:r w:rsidR="00602227">
        <w:rPr>
          <w:lang w:val="en-GB"/>
        </w:rPr>
        <w:t>issing data was</w:t>
      </w:r>
      <w:r w:rsidRPr="001D4EE2">
        <w:rPr>
          <w:lang w:val="en-GB"/>
        </w:rPr>
        <w:t xml:space="preserve"> completed by the </w:t>
      </w:r>
      <w:proofErr w:type="gramStart"/>
      <w:r w:rsidRPr="001D4EE2">
        <w:rPr>
          <w:lang w:val="en-GB"/>
        </w:rPr>
        <w:t>price</w:t>
      </w:r>
      <w:proofErr w:type="gramEnd"/>
      <w:r w:rsidRPr="001D4EE2">
        <w:rPr>
          <w:lang w:val="en-GB"/>
        </w:rPr>
        <w:t xml:space="preserve"> collectors primarily in a remote way – by e-mail, telephone, through websites. Prices that could not be collected using these methods were </w:t>
      </w:r>
      <w:r w:rsidR="00602227">
        <w:rPr>
          <w:lang w:val="en-GB"/>
        </w:rPr>
        <w:t>estimated</w:t>
      </w:r>
      <w:r w:rsidRPr="001D4EE2">
        <w:rPr>
          <w:lang w:val="en-GB"/>
        </w:rPr>
        <w:t xml:space="preserve"> according to current methodological procedures and Eurostat guidelines in this regard. The largest share of missing observations requiring imputation was recorded in the case of recreation and culture, especially for package international holidays, transport, health, clothing and footwear </w:t>
      </w:r>
      <w:r w:rsidR="00DF42D5">
        <w:rPr>
          <w:lang w:val="en-GB"/>
        </w:rPr>
        <w:t>as well as </w:t>
      </w:r>
      <w:r w:rsidR="00DD2337">
        <w:rPr>
          <w:lang w:val="en-GB"/>
        </w:rPr>
        <w:t xml:space="preserve">for </w:t>
      </w:r>
      <w:r w:rsidRPr="001D4EE2">
        <w:rPr>
          <w:lang w:val="en-GB"/>
        </w:rPr>
        <w:t>some products in the food and non-alcoholic beverages division.</w:t>
      </w:r>
    </w:p>
    <w:p w:rsidR="009E3F12" w:rsidRPr="001D4EE2" w:rsidRDefault="00756585" w:rsidP="001D4EE2">
      <w:pPr>
        <w:rPr>
          <w:lang w:val="en-GB"/>
        </w:rPr>
      </w:pPr>
      <w:r>
        <w:rPr>
          <w:lang w:val="en-GB"/>
        </w:rPr>
        <w:t xml:space="preserve">If the </w:t>
      </w:r>
      <w:r w:rsidR="001D4EE2" w:rsidRPr="001D4EE2">
        <w:rPr>
          <w:lang w:val="en-GB"/>
        </w:rPr>
        <w:t>restrictions on retail trade continue it</w:t>
      </w:r>
      <w:r w:rsidR="003718C2">
        <w:rPr>
          <w:lang w:val="en-GB"/>
        </w:rPr>
        <w:t xml:space="preserve"> is </w:t>
      </w:r>
      <w:r w:rsidR="001D4EE2" w:rsidRPr="001D4EE2">
        <w:rPr>
          <w:lang w:val="en-GB"/>
        </w:rPr>
        <w:t>expected that the number of missing price recordings in April will be significantly higher than in March of the current year. The increase in the share of missing observations will require a special approach for estimating the prices of goods and services. The calculations will apply the rules developed by Eurostat in cooperation with EU countries for calculating consumer price indices during the cr</w:t>
      </w:r>
      <w:r w:rsidR="00DF42D5">
        <w:rPr>
          <w:lang w:val="en-GB"/>
        </w:rPr>
        <w:t>isis related to </w:t>
      </w:r>
      <w:r w:rsidR="001D4EE2" w:rsidRPr="001D4EE2">
        <w:rPr>
          <w:lang w:val="en-GB"/>
        </w:rPr>
        <w:t>COVID-19</w:t>
      </w:r>
      <w:r w:rsidR="009E3F12" w:rsidRPr="001D4EE2">
        <w:rPr>
          <w:lang w:val="en-GB"/>
        </w:rPr>
        <w:t>.</w:t>
      </w:r>
      <w:r w:rsidR="009E3F12">
        <w:rPr>
          <w:rStyle w:val="Odwoanieprzypisudolnego"/>
        </w:rPr>
        <w:footnoteReference w:id="1"/>
      </w:r>
    </w:p>
    <w:p w:rsidR="001D4EE2" w:rsidRPr="001D4EE2" w:rsidRDefault="001D4EE2" w:rsidP="001D4EE2">
      <w:pPr>
        <w:rPr>
          <w:lang w:val="en-GB"/>
        </w:rPr>
      </w:pPr>
    </w:p>
    <w:p w:rsidR="009E3F12" w:rsidRPr="001D4EE2" w:rsidRDefault="009E3F12" w:rsidP="009E3F12">
      <w:pPr>
        <w:rPr>
          <w:lang w:val="en-GB"/>
        </w:rPr>
      </w:pPr>
    </w:p>
    <w:p w:rsidR="009E3F12" w:rsidRDefault="009E3F12" w:rsidP="009E3F12">
      <w:pPr>
        <w:spacing w:before="0" w:after="0"/>
        <w:rPr>
          <w:highlight w:val="yellow"/>
          <w:lang w:val="en-GB"/>
        </w:rPr>
      </w:pPr>
    </w:p>
    <w:p w:rsidR="00EC3EB6" w:rsidRDefault="00EC3EB6" w:rsidP="009E3F12">
      <w:pPr>
        <w:spacing w:before="0" w:after="0"/>
        <w:rPr>
          <w:highlight w:val="yellow"/>
          <w:lang w:val="en-GB"/>
        </w:rPr>
      </w:pPr>
    </w:p>
    <w:p w:rsidR="00EC3EB6" w:rsidRPr="001D4EE2" w:rsidRDefault="00EC3EB6" w:rsidP="009E3F12">
      <w:pPr>
        <w:spacing w:before="0" w:after="0"/>
        <w:rPr>
          <w:highlight w:val="yellow"/>
          <w:lang w:val="en-GB"/>
        </w:rPr>
      </w:pPr>
    </w:p>
    <w:p w:rsidR="009E3F12" w:rsidRPr="001D4EE2" w:rsidRDefault="009E3F12" w:rsidP="009E3F12">
      <w:pPr>
        <w:spacing w:before="0" w:after="0"/>
        <w:rPr>
          <w:highlight w:val="yellow"/>
          <w:lang w:val="en-GB"/>
        </w:rPr>
      </w:pPr>
    </w:p>
    <w:p w:rsidR="00CF08EF" w:rsidRPr="001D4EE2" w:rsidRDefault="00CF08EF" w:rsidP="00A55B73">
      <w:pPr>
        <w:spacing w:before="0" w:after="0"/>
        <w:rPr>
          <w:highlight w:val="yellow"/>
          <w:lang w:val="en-GB"/>
        </w:rPr>
      </w:pPr>
    </w:p>
    <w:p w:rsidR="009E3F12" w:rsidRPr="001D4EE2" w:rsidRDefault="009E3F12" w:rsidP="00A55B73">
      <w:pPr>
        <w:spacing w:before="0" w:after="0"/>
        <w:rPr>
          <w:highlight w:val="yellow"/>
          <w:lang w:val="en-GB"/>
        </w:rPr>
      </w:pPr>
    </w:p>
    <w:p w:rsidR="009E3F12" w:rsidRPr="001D4EE2" w:rsidRDefault="009E3F12" w:rsidP="00A55B73">
      <w:pPr>
        <w:spacing w:before="0" w:after="0"/>
        <w:rPr>
          <w:highlight w:val="yellow"/>
          <w:lang w:val="en-GB"/>
        </w:rPr>
      </w:pPr>
    </w:p>
    <w:p w:rsidR="009E3F12" w:rsidRPr="001D4EE2" w:rsidRDefault="009E3F12" w:rsidP="00A55B73">
      <w:pPr>
        <w:spacing w:before="0" w:after="0"/>
        <w:rPr>
          <w:highlight w:val="yellow"/>
          <w:lang w:val="en-GB"/>
        </w:rPr>
      </w:pPr>
    </w:p>
    <w:p w:rsidR="009E3F12" w:rsidRPr="001D4EE2" w:rsidRDefault="009E3F12" w:rsidP="00A55B73">
      <w:pPr>
        <w:spacing w:before="0" w:after="0"/>
        <w:rPr>
          <w:highlight w:val="yellow"/>
          <w:lang w:val="en-GB"/>
        </w:rPr>
      </w:pPr>
    </w:p>
    <w:tbl>
      <w:tblPr>
        <w:tblStyle w:val="Siatkatabelijasna11"/>
        <w:tblpPr w:leftFromText="141" w:rightFromText="141" w:vertAnchor="text" w:horzAnchor="margin" w:tblpY="675"/>
        <w:tblW w:w="8068"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CellMar>
          <w:top w:w="57" w:type="dxa"/>
          <w:bottom w:w="57" w:type="dxa"/>
        </w:tblCellMar>
        <w:tblLook w:val="0000" w:firstRow="0" w:lastRow="0" w:firstColumn="0" w:lastColumn="0" w:noHBand="0" w:noVBand="0"/>
      </w:tblPr>
      <w:tblGrid>
        <w:gridCol w:w="2524"/>
        <w:gridCol w:w="828"/>
        <w:gridCol w:w="828"/>
        <w:gridCol w:w="830"/>
        <w:gridCol w:w="875"/>
        <w:gridCol w:w="877"/>
        <w:gridCol w:w="1306"/>
      </w:tblGrid>
      <w:tr w:rsidR="005A2784" w:rsidRPr="00502F8C" w:rsidTr="00A55B73">
        <w:trPr>
          <w:cantSplit/>
          <w:trHeight w:val="367"/>
        </w:trPr>
        <w:tc>
          <w:tcPr>
            <w:tcW w:w="2801" w:type="dxa"/>
            <w:vMerge w:val="restart"/>
            <w:vAlign w:val="center"/>
          </w:tcPr>
          <w:p w:rsidR="005A2784" w:rsidRPr="00502F8C" w:rsidRDefault="00F27610" w:rsidP="00A55B73">
            <w:pPr>
              <w:pStyle w:val="Nagwek1"/>
              <w:tabs>
                <w:tab w:val="right" w:leader="dot" w:pos="4139"/>
              </w:tabs>
              <w:jc w:val="center"/>
              <w:outlineLvl w:val="0"/>
              <w:rPr>
                <w:rFonts w:ascii="Fira Sans" w:hAnsi="Fira Sans" w:cs="Arial"/>
                <w:b/>
                <w:bCs w:val="0"/>
                <w:color w:val="000000" w:themeColor="text1"/>
                <w:sz w:val="16"/>
                <w:szCs w:val="16"/>
              </w:rPr>
            </w:pPr>
            <w:r w:rsidRPr="006550D6">
              <w:rPr>
                <w:rFonts w:ascii="Fira Sans" w:hAnsi="Fira Sans" w:cs="Arial"/>
                <w:color w:val="000000" w:themeColor="text1"/>
                <w:sz w:val="16"/>
                <w:szCs w:val="16"/>
              </w:rPr>
              <w:lastRenderedPageBreak/>
              <w:t>SPECIFICATION</w:t>
            </w:r>
          </w:p>
        </w:tc>
        <w:tc>
          <w:tcPr>
            <w:tcW w:w="2633" w:type="dxa"/>
            <w:gridSpan w:val="3"/>
            <w:vAlign w:val="center"/>
          </w:tcPr>
          <w:p w:rsidR="005A2784" w:rsidRPr="00502F8C" w:rsidRDefault="00B37F5A" w:rsidP="00A55B73">
            <w:pPr>
              <w:pStyle w:val="Nagwek3"/>
              <w:spacing w:before="120" w:after="120"/>
              <w:jc w:val="center"/>
              <w:outlineLvl w:val="2"/>
              <w:rPr>
                <w:rFonts w:ascii="Fira Sans" w:hAnsi="Fira Sans"/>
                <w:color w:val="000000" w:themeColor="text1"/>
                <w:sz w:val="16"/>
                <w:szCs w:val="16"/>
              </w:rPr>
            </w:pPr>
            <w:r>
              <w:rPr>
                <w:rFonts w:ascii="Fira Sans" w:hAnsi="Fira Sans"/>
                <w:color w:val="000000" w:themeColor="text1"/>
                <w:sz w:val="16"/>
                <w:szCs w:val="16"/>
              </w:rPr>
              <w:t>III 2020</w:t>
            </w:r>
          </w:p>
        </w:tc>
        <w:tc>
          <w:tcPr>
            <w:tcW w:w="1756" w:type="dxa"/>
            <w:gridSpan w:val="2"/>
            <w:vAlign w:val="center"/>
          </w:tcPr>
          <w:p w:rsidR="005A2784" w:rsidRPr="00502F8C" w:rsidRDefault="00B37F5A" w:rsidP="00A55B73">
            <w:pPr>
              <w:pStyle w:val="Nagwek3"/>
              <w:spacing w:before="120" w:after="120"/>
              <w:jc w:val="center"/>
              <w:outlineLvl w:val="2"/>
              <w:rPr>
                <w:rFonts w:ascii="Fira Sans" w:hAnsi="Fira Sans"/>
                <w:color w:val="000000" w:themeColor="text1"/>
                <w:sz w:val="16"/>
                <w:szCs w:val="16"/>
              </w:rPr>
            </w:pPr>
            <w:r>
              <w:rPr>
                <w:rFonts w:ascii="Fira Sans" w:hAnsi="Fira Sans"/>
                <w:color w:val="000000" w:themeColor="text1"/>
                <w:sz w:val="16"/>
                <w:szCs w:val="16"/>
              </w:rPr>
              <w:t>I-III 2020</w:t>
            </w:r>
          </w:p>
        </w:tc>
        <w:tc>
          <w:tcPr>
            <w:tcW w:w="878" w:type="dxa"/>
            <w:vMerge w:val="restart"/>
            <w:vAlign w:val="center"/>
          </w:tcPr>
          <w:p w:rsidR="005A2784" w:rsidRPr="00502F8C" w:rsidRDefault="00D3627A" w:rsidP="00A55B73">
            <w:pPr>
              <w:pStyle w:val="Nagwek1"/>
              <w:tabs>
                <w:tab w:val="right" w:leader="dot" w:pos="4139"/>
              </w:tabs>
              <w:spacing w:before="120" w:line="240" w:lineRule="exact"/>
              <w:jc w:val="center"/>
              <w:outlineLvl w:val="0"/>
              <w:rPr>
                <w:rFonts w:ascii="Fira Sans" w:hAnsi="Fira Sans" w:cs="Arial"/>
                <w:color w:val="000000" w:themeColor="text1"/>
                <w:sz w:val="16"/>
                <w:szCs w:val="16"/>
              </w:rPr>
            </w:pPr>
            <w:r w:rsidRPr="00D3627A">
              <w:rPr>
                <w:rFonts w:ascii="Fira Sans" w:hAnsi="Fira Sans" w:cs="Arial"/>
                <w:color w:val="000000" w:themeColor="text1"/>
                <w:sz w:val="16"/>
                <w:szCs w:val="16"/>
              </w:rPr>
              <w:t>CONTRIBUTION OF CHANGES</w:t>
            </w:r>
          </w:p>
          <w:p w:rsidR="005A2784" w:rsidRPr="00502F8C" w:rsidRDefault="00B37F5A" w:rsidP="00A55B73">
            <w:pPr>
              <w:pStyle w:val="Nagwek1"/>
              <w:tabs>
                <w:tab w:val="right" w:leader="dot" w:pos="4139"/>
              </w:tabs>
              <w:spacing w:before="120" w:line="240" w:lineRule="exact"/>
              <w:jc w:val="center"/>
              <w:outlineLvl w:val="0"/>
              <w:rPr>
                <w:rFonts w:ascii="Fira Sans" w:hAnsi="Fira Sans" w:cs="Arial"/>
                <w:color w:val="000000" w:themeColor="text1"/>
                <w:sz w:val="16"/>
                <w:szCs w:val="16"/>
              </w:rPr>
            </w:pPr>
            <w:r>
              <w:rPr>
                <w:rFonts w:ascii="Fira Sans" w:hAnsi="Fira Sans" w:cs="Arial"/>
                <w:color w:val="000000" w:themeColor="text1"/>
                <w:sz w:val="16"/>
                <w:szCs w:val="16"/>
              </w:rPr>
              <w:t>II 2020</w:t>
            </w:r>
            <w:r w:rsidR="005A2784" w:rsidRPr="00502F8C">
              <w:rPr>
                <w:rFonts w:ascii="Fira Sans" w:hAnsi="Fira Sans" w:cs="Arial"/>
                <w:color w:val="000000" w:themeColor="text1"/>
                <w:sz w:val="16"/>
                <w:szCs w:val="16"/>
              </w:rPr>
              <w:t>=</w:t>
            </w:r>
            <w:r w:rsidR="005A2784" w:rsidRPr="00502F8C">
              <w:rPr>
                <w:rFonts w:ascii="Fira Sans" w:hAnsi="Fira Sans" w:cs="Arial"/>
                <w:color w:val="000000" w:themeColor="text1"/>
                <w:sz w:val="16"/>
                <w:szCs w:val="16"/>
              </w:rPr>
              <w:br/>
              <w:t>=100</w:t>
            </w:r>
          </w:p>
        </w:tc>
      </w:tr>
      <w:tr w:rsidR="005A2784" w:rsidRPr="00502F8C" w:rsidTr="00A55B73">
        <w:trPr>
          <w:cantSplit/>
          <w:trHeight w:val="57"/>
        </w:trPr>
        <w:tc>
          <w:tcPr>
            <w:tcW w:w="2801" w:type="dxa"/>
            <w:vMerge/>
            <w:tcBorders>
              <w:bottom w:val="single" w:sz="12" w:space="0" w:color="212492"/>
            </w:tcBorders>
            <w:vAlign w:val="center"/>
          </w:tcPr>
          <w:p w:rsidR="005A2784" w:rsidRPr="00502F8C" w:rsidRDefault="005A2784" w:rsidP="00A55B73">
            <w:pPr>
              <w:pStyle w:val="Nagwek1"/>
              <w:tabs>
                <w:tab w:val="right" w:leader="dot" w:pos="4139"/>
              </w:tabs>
              <w:jc w:val="center"/>
              <w:outlineLvl w:val="0"/>
              <w:rPr>
                <w:rFonts w:cs="Arial"/>
                <w:b/>
                <w:color w:val="000000" w:themeColor="text1"/>
                <w:sz w:val="16"/>
                <w:szCs w:val="16"/>
                <w:highlight w:val="yellow"/>
              </w:rPr>
            </w:pPr>
          </w:p>
        </w:tc>
        <w:tc>
          <w:tcPr>
            <w:tcW w:w="878" w:type="dxa"/>
            <w:tcBorders>
              <w:bottom w:val="single" w:sz="12" w:space="0" w:color="212492"/>
            </w:tcBorders>
            <w:vAlign w:val="center"/>
          </w:tcPr>
          <w:p w:rsidR="005A2784" w:rsidRPr="00502F8C" w:rsidRDefault="005A2784" w:rsidP="00A55B73">
            <w:pPr>
              <w:pStyle w:val="Nagwek3"/>
              <w:spacing w:before="120" w:after="120"/>
              <w:jc w:val="center"/>
              <w:outlineLvl w:val="2"/>
              <w:rPr>
                <w:rFonts w:ascii="Fira Sans" w:hAnsi="Fira Sans"/>
                <w:color w:val="000000" w:themeColor="text1"/>
                <w:sz w:val="16"/>
                <w:szCs w:val="16"/>
              </w:rPr>
            </w:pPr>
            <w:r w:rsidRPr="00502F8C">
              <w:rPr>
                <w:rFonts w:ascii="Fira Sans" w:hAnsi="Fira Sans"/>
                <w:color w:val="000000" w:themeColor="text1"/>
                <w:sz w:val="16"/>
                <w:szCs w:val="16"/>
              </w:rPr>
              <w:t>III 201</w:t>
            </w:r>
            <w:r w:rsidR="00B37F5A">
              <w:rPr>
                <w:rFonts w:ascii="Fira Sans" w:hAnsi="Fira Sans"/>
                <w:color w:val="000000" w:themeColor="text1"/>
                <w:sz w:val="16"/>
                <w:szCs w:val="16"/>
              </w:rPr>
              <w:t>9</w:t>
            </w:r>
            <w:r w:rsidRPr="00502F8C">
              <w:rPr>
                <w:rFonts w:ascii="Fira Sans" w:hAnsi="Fira Sans"/>
                <w:color w:val="000000" w:themeColor="text1"/>
                <w:sz w:val="16"/>
                <w:szCs w:val="16"/>
              </w:rPr>
              <w:t>=</w:t>
            </w:r>
            <w:r w:rsidRPr="00502F8C">
              <w:rPr>
                <w:rFonts w:ascii="Fira Sans" w:hAnsi="Fira Sans"/>
                <w:color w:val="000000" w:themeColor="text1"/>
                <w:sz w:val="16"/>
                <w:szCs w:val="16"/>
              </w:rPr>
              <w:br/>
              <w:t>=100</w:t>
            </w:r>
          </w:p>
        </w:tc>
        <w:tc>
          <w:tcPr>
            <w:tcW w:w="878" w:type="dxa"/>
            <w:tcBorders>
              <w:bottom w:val="single" w:sz="12" w:space="0" w:color="212492"/>
            </w:tcBorders>
            <w:vAlign w:val="center"/>
          </w:tcPr>
          <w:p w:rsidR="005A2784" w:rsidRPr="00502F8C" w:rsidRDefault="005A2784" w:rsidP="00A55B73">
            <w:pPr>
              <w:pStyle w:val="Nagwek3"/>
              <w:spacing w:before="120" w:after="120"/>
              <w:jc w:val="center"/>
              <w:outlineLvl w:val="2"/>
              <w:rPr>
                <w:rFonts w:ascii="Fira Sans" w:hAnsi="Fira Sans"/>
                <w:color w:val="000000" w:themeColor="text1"/>
                <w:sz w:val="16"/>
                <w:szCs w:val="16"/>
              </w:rPr>
            </w:pPr>
            <w:r w:rsidRPr="00502F8C">
              <w:rPr>
                <w:rFonts w:ascii="Fira Sans" w:hAnsi="Fira Sans"/>
                <w:color w:val="000000" w:themeColor="text1"/>
                <w:sz w:val="16"/>
                <w:szCs w:val="16"/>
              </w:rPr>
              <w:t>XII 201</w:t>
            </w:r>
            <w:r w:rsidR="00B37F5A">
              <w:rPr>
                <w:rFonts w:ascii="Fira Sans" w:hAnsi="Fira Sans"/>
                <w:color w:val="000000" w:themeColor="text1"/>
                <w:sz w:val="16"/>
                <w:szCs w:val="16"/>
              </w:rPr>
              <w:t>9</w:t>
            </w:r>
            <w:r w:rsidRPr="00502F8C">
              <w:rPr>
                <w:rFonts w:ascii="Fira Sans" w:hAnsi="Fira Sans"/>
                <w:color w:val="000000" w:themeColor="text1"/>
                <w:sz w:val="16"/>
                <w:szCs w:val="16"/>
              </w:rPr>
              <w:t>=</w:t>
            </w:r>
            <w:r w:rsidRPr="00502F8C">
              <w:rPr>
                <w:rFonts w:ascii="Fira Sans" w:hAnsi="Fira Sans"/>
                <w:color w:val="000000" w:themeColor="text1"/>
                <w:sz w:val="16"/>
                <w:szCs w:val="16"/>
              </w:rPr>
              <w:br/>
              <w:t>=100</w:t>
            </w:r>
          </w:p>
        </w:tc>
        <w:tc>
          <w:tcPr>
            <w:tcW w:w="877" w:type="dxa"/>
            <w:tcBorders>
              <w:bottom w:val="single" w:sz="12" w:space="0" w:color="212492"/>
            </w:tcBorders>
            <w:vAlign w:val="center"/>
          </w:tcPr>
          <w:p w:rsidR="005A2784" w:rsidRPr="00502F8C" w:rsidRDefault="00B37F5A" w:rsidP="00A55B73">
            <w:pPr>
              <w:pStyle w:val="Nagwek3"/>
              <w:spacing w:before="120" w:after="120"/>
              <w:jc w:val="center"/>
              <w:outlineLvl w:val="2"/>
              <w:rPr>
                <w:rFonts w:ascii="Fira Sans" w:hAnsi="Fira Sans"/>
                <w:color w:val="000000" w:themeColor="text1"/>
                <w:sz w:val="16"/>
                <w:szCs w:val="16"/>
              </w:rPr>
            </w:pPr>
            <w:r>
              <w:rPr>
                <w:rFonts w:ascii="Fira Sans" w:hAnsi="Fira Sans"/>
                <w:color w:val="000000" w:themeColor="text1"/>
                <w:sz w:val="16"/>
                <w:szCs w:val="16"/>
              </w:rPr>
              <w:t>II 2020</w:t>
            </w:r>
            <w:r w:rsidR="005A2784" w:rsidRPr="00502F8C">
              <w:rPr>
                <w:rFonts w:ascii="Fira Sans" w:hAnsi="Fira Sans"/>
                <w:color w:val="000000" w:themeColor="text1"/>
                <w:sz w:val="16"/>
                <w:szCs w:val="16"/>
              </w:rPr>
              <w:t>=</w:t>
            </w:r>
            <w:r w:rsidR="005A2784" w:rsidRPr="00502F8C">
              <w:rPr>
                <w:rFonts w:ascii="Fira Sans" w:hAnsi="Fira Sans"/>
                <w:color w:val="000000" w:themeColor="text1"/>
                <w:sz w:val="16"/>
                <w:szCs w:val="16"/>
              </w:rPr>
              <w:br/>
              <w:t>=100</w:t>
            </w:r>
          </w:p>
        </w:tc>
        <w:tc>
          <w:tcPr>
            <w:tcW w:w="877" w:type="dxa"/>
            <w:tcBorders>
              <w:bottom w:val="single" w:sz="12" w:space="0" w:color="212492"/>
            </w:tcBorders>
            <w:vAlign w:val="center"/>
          </w:tcPr>
          <w:p w:rsidR="005A2784" w:rsidRPr="00502F8C" w:rsidRDefault="005A2784" w:rsidP="00A55B73">
            <w:pPr>
              <w:pStyle w:val="Nagwek3"/>
              <w:spacing w:before="120" w:after="120"/>
              <w:jc w:val="center"/>
              <w:outlineLvl w:val="2"/>
              <w:rPr>
                <w:rFonts w:ascii="Fira Sans" w:hAnsi="Fira Sans"/>
                <w:color w:val="000000" w:themeColor="text1"/>
                <w:sz w:val="16"/>
                <w:szCs w:val="16"/>
              </w:rPr>
            </w:pPr>
            <w:r w:rsidRPr="00502F8C">
              <w:rPr>
                <w:rFonts w:ascii="Fira Sans" w:hAnsi="Fira Sans"/>
                <w:color w:val="000000" w:themeColor="text1"/>
                <w:sz w:val="16"/>
                <w:szCs w:val="16"/>
              </w:rPr>
              <w:t>I-III 201</w:t>
            </w:r>
            <w:r w:rsidR="00B37F5A">
              <w:rPr>
                <w:rFonts w:ascii="Fira Sans" w:hAnsi="Fira Sans"/>
                <w:color w:val="000000" w:themeColor="text1"/>
                <w:sz w:val="16"/>
                <w:szCs w:val="16"/>
              </w:rPr>
              <w:t>9</w:t>
            </w:r>
            <w:r w:rsidRPr="00502F8C">
              <w:rPr>
                <w:rFonts w:ascii="Fira Sans" w:hAnsi="Fira Sans"/>
                <w:color w:val="000000" w:themeColor="text1"/>
                <w:sz w:val="16"/>
                <w:szCs w:val="16"/>
              </w:rPr>
              <w:t>=100</w:t>
            </w:r>
          </w:p>
        </w:tc>
        <w:tc>
          <w:tcPr>
            <w:tcW w:w="879" w:type="dxa"/>
            <w:tcBorders>
              <w:bottom w:val="single" w:sz="12" w:space="0" w:color="212492"/>
            </w:tcBorders>
            <w:vAlign w:val="center"/>
          </w:tcPr>
          <w:p w:rsidR="005A2784" w:rsidRPr="00502F8C" w:rsidRDefault="005A2784" w:rsidP="00A55B73">
            <w:pPr>
              <w:pStyle w:val="Nagwek3"/>
              <w:spacing w:before="120" w:after="120"/>
              <w:jc w:val="center"/>
              <w:outlineLvl w:val="2"/>
              <w:rPr>
                <w:rFonts w:ascii="Fira Sans" w:hAnsi="Fira Sans"/>
                <w:color w:val="000000" w:themeColor="text1"/>
                <w:sz w:val="16"/>
                <w:szCs w:val="16"/>
              </w:rPr>
            </w:pPr>
            <w:r w:rsidRPr="00502F8C">
              <w:rPr>
                <w:rFonts w:ascii="Fira Sans" w:hAnsi="Fira Sans"/>
                <w:color w:val="000000" w:themeColor="text1"/>
                <w:sz w:val="16"/>
                <w:szCs w:val="16"/>
              </w:rPr>
              <w:t>X-XII 201</w:t>
            </w:r>
            <w:r w:rsidR="00B37F5A">
              <w:rPr>
                <w:rFonts w:ascii="Fira Sans" w:hAnsi="Fira Sans"/>
                <w:color w:val="000000" w:themeColor="text1"/>
                <w:sz w:val="16"/>
                <w:szCs w:val="16"/>
              </w:rPr>
              <w:t>9</w:t>
            </w:r>
            <w:r w:rsidRPr="00502F8C">
              <w:rPr>
                <w:rFonts w:ascii="Fira Sans" w:hAnsi="Fira Sans"/>
                <w:color w:val="000000" w:themeColor="text1"/>
                <w:sz w:val="16"/>
                <w:szCs w:val="16"/>
              </w:rPr>
              <w:t>=100</w:t>
            </w:r>
          </w:p>
        </w:tc>
        <w:tc>
          <w:tcPr>
            <w:tcW w:w="878" w:type="dxa"/>
            <w:vMerge/>
            <w:tcBorders>
              <w:bottom w:val="single" w:sz="12" w:space="0" w:color="212492"/>
            </w:tcBorders>
            <w:vAlign w:val="center"/>
          </w:tcPr>
          <w:p w:rsidR="005A2784" w:rsidRPr="00502F8C" w:rsidRDefault="005A2784" w:rsidP="00A55B73">
            <w:pPr>
              <w:pStyle w:val="Nagwek3"/>
              <w:spacing w:before="120" w:after="120"/>
              <w:jc w:val="center"/>
              <w:outlineLvl w:val="2"/>
              <w:rPr>
                <w:rFonts w:ascii="Fira Sans" w:hAnsi="Fira Sans"/>
                <w:color w:val="000000" w:themeColor="text1"/>
                <w:sz w:val="16"/>
                <w:szCs w:val="16"/>
                <w:highlight w:val="yellow"/>
              </w:rPr>
            </w:pPr>
          </w:p>
        </w:tc>
      </w:tr>
      <w:tr w:rsidR="00F455A2" w:rsidRPr="00502F8C" w:rsidTr="00A55B73">
        <w:trPr>
          <w:cantSplit/>
          <w:trHeight w:val="57"/>
        </w:trPr>
        <w:tc>
          <w:tcPr>
            <w:tcW w:w="2801" w:type="dxa"/>
            <w:tcBorders>
              <w:top w:val="single" w:sz="12" w:space="0" w:color="212492"/>
              <w:bottom w:val="single" w:sz="4" w:space="0" w:color="212492"/>
            </w:tcBorders>
            <w:vAlign w:val="center"/>
          </w:tcPr>
          <w:p w:rsidR="00F455A2" w:rsidRPr="00502F8C" w:rsidRDefault="00F27610" w:rsidP="00A55B73">
            <w:pPr>
              <w:pStyle w:val="Nagwek5"/>
              <w:tabs>
                <w:tab w:val="right" w:leader="dot" w:pos="4156"/>
              </w:tabs>
              <w:spacing w:before="0"/>
              <w:contextualSpacing/>
              <w:outlineLvl w:val="4"/>
              <w:rPr>
                <w:rFonts w:ascii="Fira Sans" w:hAnsi="Fira Sans"/>
                <w:b/>
                <w:color w:val="000000" w:themeColor="text1"/>
                <w:sz w:val="16"/>
                <w:szCs w:val="16"/>
              </w:rPr>
            </w:pPr>
            <w:r w:rsidRPr="00D45A29">
              <w:rPr>
                <w:rFonts w:ascii="Fira Sans" w:hAnsi="Fira Sans"/>
                <w:b/>
                <w:color w:val="000000" w:themeColor="text1"/>
                <w:sz w:val="16"/>
                <w:szCs w:val="16"/>
                <w:lang w:val="en-GB"/>
              </w:rPr>
              <w:t>TOTAL</w:t>
            </w:r>
          </w:p>
        </w:tc>
        <w:tc>
          <w:tcPr>
            <w:tcW w:w="878" w:type="dxa"/>
            <w:tcBorders>
              <w:top w:val="single" w:sz="12" w:space="0" w:color="212492"/>
              <w:bottom w:val="single" w:sz="4" w:space="0" w:color="212492"/>
            </w:tcBorders>
            <w:vAlign w:val="center"/>
          </w:tcPr>
          <w:p w:rsidR="00F455A2" w:rsidRPr="00F455A2" w:rsidRDefault="00F455A2" w:rsidP="00A55B73">
            <w:pPr>
              <w:jc w:val="right"/>
              <w:rPr>
                <w:rFonts w:cs="Arial"/>
                <w:b/>
                <w:color w:val="000000" w:themeColor="text1"/>
                <w:sz w:val="16"/>
                <w:szCs w:val="16"/>
              </w:rPr>
            </w:pPr>
            <w:r w:rsidRPr="00F455A2">
              <w:rPr>
                <w:rFonts w:cs="Arial"/>
                <w:b/>
                <w:color w:val="000000" w:themeColor="text1"/>
                <w:sz w:val="16"/>
                <w:szCs w:val="16"/>
              </w:rPr>
              <w:t>104,6</w:t>
            </w:r>
          </w:p>
        </w:tc>
        <w:tc>
          <w:tcPr>
            <w:tcW w:w="878" w:type="dxa"/>
            <w:tcBorders>
              <w:top w:val="single" w:sz="12" w:space="0" w:color="212492"/>
              <w:bottom w:val="single" w:sz="4" w:space="0" w:color="212492"/>
            </w:tcBorders>
            <w:vAlign w:val="center"/>
          </w:tcPr>
          <w:p w:rsidR="00F455A2" w:rsidRPr="00F455A2" w:rsidRDefault="00F455A2" w:rsidP="00A55B73">
            <w:pPr>
              <w:jc w:val="right"/>
              <w:rPr>
                <w:rFonts w:cs="Arial"/>
                <w:b/>
                <w:color w:val="000000" w:themeColor="text1"/>
                <w:sz w:val="16"/>
                <w:szCs w:val="16"/>
              </w:rPr>
            </w:pPr>
            <w:r w:rsidRPr="00F455A2">
              <w:rPr>
                <w:rFonts w:cs="Arial"/>
                <w:b/>
                <w:color w:val="000000" w:themeColor="text1"/>
                <w:sz w:val="16"/>
                <w:szCs w:val="16"/>
              </w:rPr>
              <w:t>101,8</w:t>
            </w:r>
          </w:p>
        </w:tc>
        <w:tc>
          <w:tcPr>
            <w:tcW w:w="877" w:type="dxa"/>
            <w:tcBorders>
              <w:top w:val="single" w:sz="12" w:space="0" w:color="212492"/>
              <w:bottom w:val="single" w:sz="4" w:space="0" w:color="212492"/>
            </w:tcBorders>
            <w:vAlign w:val="center"/>
          </w:tcPr>
          <w:p w:rsidR="00F455A2" w:rsidRPr="00F455A2" w:rsidRDefault="00F455A2" w:rsidP="00A55B73">
            <w:pPr>
              <w:jc w:val="right"/>
              <w:rPr>
                <w:rFonts w:cs="Arial"/>
                <w:b/>
                <w:color w:val="000000" w:themeColor="text1"/>
                <w:sz w:val="16"/>
                <w:szCs w:val="16"/>
              </w:rPr>
            </w:pPr>
            <w:r w:rsidRPr="00F455A2">
              <w:rPr>
                <w:rFonts w:cs="Arial"/>
                <w:b/>
                <w:color w:val="000000" w:themeColor="text1"/>
                <w:sz w:val="16"/>
                <w:szCs w:val="16"/>
              </w:rPr>
              <w:t>100,2</w:t>
            </w:r>
          </w:p>
        </w:tc>
        <w:tc>
          <w:tcPr>
            <w:tcW w:w="877" w:type="dxa"/>
            <w:tcBorders>
              <w:top w:val="single" w:sz="12" w:space="0" w:color="212492"/>
              <w:bottom w:val="single" w:sz="4" w:space="0" w:color="212492"/>
            </w:tcBorders>
            <w:vAlign w:val="center"/>
          </w:tcPr>
          <w:p w:rsidR="00F455A2" w:rsidRPr="00F455A2" w:rsidRDefault="00F455A2" w:rsidP="00A55B73">
            <w:pPr>
              <w:jc w:val="right"/>
              <w:rPr>
                <w:rFonts w:cs="Arial"/>
                <w:b/>
                <w:color w:val="000000" w:themeColor="text1"/>
                <w:sz w:val="16"/>
                <w:szCs w:val="16"/>
              </w:rPr>
            </w:pPr>
            <w:r w:rsidRPr="00F455A2">
              <w:rPr>
                <w:rFonts w:cs="Arial"/>
                <w:b/>
                <w:color w:val="000000" w:themeColor="text1"/>
                <w:sz w:val="16"/>
                <w:szCs w:val="16"/>
              </w:rPr>
              <w:t>104,5</w:t>
            </w:r>
          </w:p>
        </w:tc>
        <w:tc>
          <w:tcPr>
            <w:tcW w:w="879" w:type="dxa"/>
            <w:tcBorders>
              <w:top w:val="single" w:sz="12" w:space="0" w:color="212492"/>
              <w:bottom w:val="single" w:sz="4" w:space="0" w:color="212492"/>
            </w:tcBorders>
            <w:vAlign w:val="center"/>
          </w:tcPr>
          <w:p w:rsidR="00F455A2" w:rsidRPr="00F455A2" w:rsidRDefault="00F455A2" w:rsidP="00A55B73">
            <w:pPr>
              <w:jc w:val="right"/>
              <w:rPr>
                <w:rFonts w:cs="Arial"/>
                <w:b/>
                <w:color w:val="000000" w:themeColor="text1"/>
                <w:sz w:val="16"/>
                <w:szCs w:val="16"/>
              </w:rPr>
            </w:pPr>
            <w:r w:rsidRPr="00F455A2">
              <w:rPr>
                <w:rFonts w:cs="Arial"/>
                <w:b/>
                <w:color w:val="000000" w:themeColor="text1"/>
                <w:sz w:val="16"/>
                <w:szCs w:val="16"/>
              </w:rPr>
              <w:t>102,0</w:t>
            </w:r>
          </w:p>
        </w:tc>
        <w:tc>
          <w:tcPr>
            <w:tcW w:w="878" w:type="dxa"/>
            <w:tcBorders>
              <w:top w:val="single" w:sz="12" w:space="0" w:color="212492"/>
              <w:bottom w:val="single" w:sz="4" w:space="0" w:color="212492"/>
            </w:tcBorders>
            <w:vAlign w:val="center"/>
          </w:tcPr>
          <w:p w:rsidR="00F455A2" w:rsidRPr="00F455A2" w:rsidRDefault="00F455A2" w:rsidP="00A55B73">
            <w:pPr>
              <w:jc w:val="right"/>
              <w:rPr>
                <w:rFonts w:cs="Arial"/>
                <w:b/>
                <w:color w:val="000000" w:themeColor="text1"/>
                <w:sz w:val="16"/>
                <w:szCs w:val="16"/>
              </w:rPr>
            </w:pPr>
            <w:proofErr w:type="gramStart"/>
            <w:r>
              <w:rPr>
                <w:rFonts w:cs="Arial"/>
                <w:b/>
                <w:color w:val="000000" w:themeColor="text1"/>
                <w:sz w:val="16"/>
                <w:szCs w:val="16"/>
              </w:rPr>
              <w:t>x</w:t>
            </w:r>
            <w:proofErr w:type="gramEnd"/>
          </w:p>
        </w:tc>
      </w:tr>
      <w:tr w:rsidR="00F27610" w:rsidRPr="00502F8C" w:rsidTr="00A55B73">
        <w:trPr>
          <w:cantSplit/>
          <w:trHeight w:val="57"/>
        </w:trPr>
        <w:tc>
          <w:tcPr>
            <w:tcW w:w="2801" w:type="dxa"/>
            <w:tcBorders>
              <w:top w:val="single" w:sz="4" w:space="0" w:color="212492"/>
              <w:bottom w:val="single" w:sz="4" w:space="0" w:color="212492"/>
            </w:tcBorders>
            <w:shd w:val="clear" w:color="auto" w:fill="auto"/>
            <w:vAlign w:val="center"/>
          </w:tcPr>
          <w:p w:rsidR="00F27610" w:rsidRPr="00D45A29" w:rsidRDefault="00F27610" w:rsidP="0055063A">
            <w:pPr>
              <w:pStyle w:val="Nagwek9"/>
              <w:tabs>
                <w:tab w:val="right" w:leader="dot" w:pos="4156"/>
              </w:tabs>
              <w:spacing w:before="0"/>
              <w:contextualSpacing/>
              <w:outlineLvl w:val="8"/>
              <w:rPr>
                <w:rFonts w:ascii="Fira Sans" w:hAnsi="Fira Sans"/>
                <w:i w:val="0"/>
                <w:color w:val="000000" w:themeColor="text1"/>
                <w:sz w:val="16"/>
                <w:szCs w:val="16"/>
                <w:lang w:val="en-GB"/>
              </w:rPr>
            </w:pPr>
            <w:r w:rsidRPr="00D45A29">
              <w:rPr>
                <w:rFonts w:ascii="Fira Sans" w:hAnsi="Fira Sans"/>
                <w:i w:val="0"/>
                <w:color w:val="000000" w:themeColor="text1"/>
                <w:sz w:val="16"/>
                <w:szCs w:val="16"/>
                <w:lang w:val="en-GB"/>
              </w:rPr>
              <w:t xml:space="preserve">Food and non-alcoholic </w:t>
            </w:r>
            <w:r w:rsidRPr="00D45A29">
              <w:rPr>
                <w:rFonts w:ascii="Fira Sans" w:hAnsi="Fira Sans"/>
                <w:i w:val="0"/>
                <w:color w:val="000000" w:themeColor="text1"/>
                <w:sz w:val="16"/>
                <w:szCs w:val="16"/>
                <w:lang w:val="en-GB"/>
              </w:rPr>
              <w:br/>
              <w:t>beverages</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108,0</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103,6</w:t>
            </w:r>
          </w:p>
        </w:tc>
        <w:tc>
          <w:tcPr>
            <w:tcW w:w="877" w:type="dxa"/>
            <w:tcBorders>
              <w:top w:val="single" w:sz="4" w:space="0" w:color="212492"/>
              <w:bottom w:val="single" w:sz="4" w:space="0" w:color="212492"/>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100,8</w:t>
            </w:r>
          </w:p>
        </w:tc>
        <w:tc>
          <w:tcPr>
            <w:tcW w:w="877"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107,7</w:t>
            </w:r>
          </w:p>
        </w:tc>
        <w:tc>
          <w:tcPr>
            <w:tcW w:w="879" w:type="dxa"/>
            <w:tcBorders>
              <w:top w:val="single" w:sz="4" w:space="0" w:color="212492"/>
              <w:bottom w:val="single" w:sz="4" w:space="0" w:color="212492"/>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103,6</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0,21</w:t>
            </w:r>
          </w:p>
        </w:tc>
      </w:tr>
      <w:tr w:rsidR="00F27610" w:rsidRPr="00502F8C" w:rsidTr="00A55B73">
        <w:trPr>
          <w:cantSplit/>
          <w:trHeight w:val="57"/>
        </w:trPr>
        <w:tc>
          <w:tcPr>
            <w:tcW w:w="2801" w:type="dxa"/>
            <w:tcBorders>
              <w:top w:val="single" w:sz="4" w:space="0" w:color="212492"/>
              <w:bottom w:val="single" w:sz="4" w:space="0" w:color="212492"/>
            </w:tcBorders>
            <w:shd w:val="clear" w:color="auto" w:fill="auto"/>
            <w:vAlign w:val="center"/>
          </w:tcPr>
          <w:p w:rsidR="00F27610" w:rsidRPr="00D45A29" w:rsidRDefault="00F27610" w:rsidP="0055063A">
            <w:pPr>
              <w:pStyle w:val="Nagwek9"/>
              <w:tabs>
                <w:tab w:val="right" w:leader="dot" w:pos="4156"/>
              </w:tabs>
              <w:spacing w:before="0"/>
              <w:contextualSpacing/>
              <w:outlineLvl w:val="8"/>
              <w:rPr>
                <w:rFonts w:ascii="Fira Sans" w:hAnsi="Fira Sans"/>
                <w:i w:val="0"/>
                <w:color w:val="000000" w:themeColor="text1"/>
                <w:sz w:val="16"/>
                <w:szCs w:val="16"/>
                <w:lang w:val="en-GB"/>
              </w:rPr>
            </w:pPr>
            <w:r w:rsidRPr="00D45A29">
              <w:rPr>
                <w:rFonts w:ascii="Fira Sans" w:hAnsi="Fira Sans"/>
                <w:i w:val="0"/>
                <w:color w:val="000000" w:themeColor="text1"/>
                <w:sz w:val="16"/>
                <w:szCs w:val="16"/>
                <w:lang w:val="en-GB"/>
              </w:rPr>
              <w:t xml:space="preserve">Alcoholic beverages </w:t>
            </w:r>
            <w:r w:rsidRPr="00D45A29">
              <w:rPr>
                <w:rFonts w:ascii="Fira Sans" w:hAnsi="Fira Sans"/>
                <w:i w:val="0"/>
                <w:color w:val="000000" w:themeColor="text1"/>
                <w:sz w:val="16"/>
                <w:szCs w:val="16"/>
                <w:lang w:val="en-GB"/>
              </w:rPr>
              <w:br/>
              <w:t>and tobacco</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104,3</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103,4</w:t>
            </w:r>
          </w:p>
        </w:tc>
        <w:tc>
          <w:tcPr>
            <w:tcW w:w="877" w:type="dxa"/>
            <w:tcBorders>
              <w:top w:val="single" w:sz="4" w:space="0" w:color="212492"/>
              <w:bottom w:val="single" w:sz="4" w:space="0" w:color="212492"/>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100,4</w:t>
            </w:r>
          </w:p>
        </w:tc>
        <w:tc>
          <w:tcPr>
            <w:tcW w:w="877"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103,6</w:t>
            </w:r>
          </w:p>
        </w:tc>
        <w:tc>
          <w:tcPr>
            <w:tcW w:w="879" w:type="dxa"/>
            <w:tcBorders>
              <w:top w:val="single" w:sz="4" w:space="0" w:color="212492"/>
              <w:bottom w:val="single" w:sz="4" w:space="0" w:color="212492"/>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102,7</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0,02</w:t>
            </w:r>
          </w:p>
        </w:tc>
      </w:tr>
      <w:tr w:rsidR="00F27610" w:rsidRPr="00502F8C" w:rsidTr="00A55B73">
        <w:trPr>
          <w:cantSplit/>
          <w:trHeight w:val="57"/>
        </w:trPr>
        <w:tc>
          <w:tcPr>
            <w:tcW w:w="2801" w:type="dxa"/>
            <w:tcBorders>
              <w:top w:val="single" w:sz="4" w:space="0" w:color="212492"/>
              <w:bottom w:val="single" w:sz="4" w:space="0" w:color="212492"/>
            </w:tcBorders>
            <w:shd w:val="clear" w:color="auto" w:fill="auto"/>
            <w:vAlign w:val="center"/>
          </w:tcPr>
          <w:p w:rsidR="00F27610" w:rsidRPr="00D45A29" w:rsidRDefault="00F27610" w:rsidP="0055063A">
            <w:pPr>
              <w:tabs>
                <w:tab w:val="right" w:leader="dot" w:pos="4156"/>
              </w:tabs>
              <w:contextualSpacing/>
              <w:rPr>
                <w:color w:val="000000" w:themeColor="text1"/>
                <w:sz w:val="16"/>
                <w:szCs w:val="16"/>
                <w:lang w:val="en-GB"/>
              </w:rPr>
            </w:pPr>
            <w:r w:rsidRPr="00D45A29">
              <w:rPr>
                <w:rFonts w:cstheme="majorBidi"/>
                <w:bCs/>
                <w:color w:val="000000" w:themeColor="text1"/>
                <w:sz w:val="16"/>
                <w:szCs w:val="16"/>
                <w:lang w:val="en-GB"/>
              </w:rPr>
              <w:t>Clothing and footwear</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98,3</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96,7</w:t>
            </w:r>
          </w:p>
        </w:tc>
        <w:tc>
          <w:tcPr>
            <w:tcW w:w="877" w:type="dxa"/>
            <w:tcBorders>
              <w:top w:val="single" w:sz="4" w:space="0" w:color="212492"/>
              <w:bottom w:val="single" w:sz="4" w:space="0" w:color="212492"/>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102,5</w:t>
            </w:r>
          </w:p>
        </w:tc>
        <w:tc>
          <w:tcPr>
            <w:tcW w:w="877"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98,5</w:t>
            </w:r>
          </w:p>
        </w:tc>
        <w:tc>
          <w:tcPr>
            <w:tcW w:w="879" w:type="dxa"/>
            <w:tcBorders>
              <w:top w:val="single" w:sz="4" w:space="0" w:color="212492"/>
              <w:bottom w:val="single" w:sz="4" w:space="0" w:color="212492"/>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94,9</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0,12</w:t>
            </w:r>
          </w:p>
        </w:tc>
      </w:tr>
      <w:tr w:rsidR="00F27610" w:rsidRPr="00502F8C" w:rsidTr="00A55B73">
        <w:trPr>
          <w:cantSplit/>
          <w:trHeight w:val="57"/>
        </w:trPr>
        <w:tc>
          <w:tcPr>
            <w:tcW w:w="2801" w:type="dxa"/>
            <w:tcBorders>
              <w:top w:val="single" w:sz="4" w:space="0" w:color="212492"/>
              <w:bottom w:val="single" w:sz="4" w:space="0" w:color="212492"/>
            </w:tcBorders>
            <w:shd w:val="clear" w:color="auto" w:fill="auto"/>
            <w:vAlign w:val="center"/>
          </w:tcPr>
          <w:p w:rsidR="00F27610" w:rsidRPr="00D45A29" w:rsidRDefault="00F27610" w:rsidP="0055063A">
            <w:pPr>
              <w:pStyle w:val="Nagwek2"/>
              <w:tabs>
                <w:tab w:val="right" w:leader="dot" w:pos="4156"/>
              </w:tabs>
              <w:spacing w:before="0"/>
              <w:contextualSpacing/>
              <w:outlineLvl w:val="1"/>
              <w:rPr>
                <w:rFonts w:ascii="Fira Sans" w:hAnsi="Fira Sans"/>
                <w:color w:val="000000" w:themeColor="text1"/>
                <w:sz w:val="16"/>
                <w:szCs w:val="16"/>
                <w:lang w:val="en-GB"/>
              </w:rPr>
            </w:pPr>
            <w:r w:rsidRPr="00D45A29">
              <w:rPr>
                <w:rFonts w:ascii="Fira Sans" w:hAnsi="Fira Sans"/>
                <w:color w:val="000000" w:themeColor="text1"/>
                <w:sz w:val="16"/>
                <w:szCs w:val="16"/>
                <w:lang w:val="en-GB"/>
              </w:rPr>
              <w:t>Housing, water, electricity, gas and other fuels</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107,5</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104,9</w:t>
            </w:r>
          </w:p>
        </w:tc>
        <w:tc>
          <w:tcPr>
            <w:tcW w:w="877" w:type="dxa"/>
            <w:tcBorders>
              <w:top w:val="single" w:sz="4" w:space="0" w:color="212492"/>
              <w:bottom w:val="single" w:sz="4" w:space="0" w:color="212492"/>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100,4</w:t>
            </w:r>
          </w:p>
        </w:tc>
        <w:tc>
          <w:tcPr>
            <w:tcW w:w="877"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107,0</w:t>
            </w:r>
          </w:p>
        </w:tc>
        <w:tc>
          <w:tcPr>
            <w:tcW w:w="879" w:type="dxa"/>
            <w:tcBorders>
              <w:top w:val="single" w:sz="4" w:space="0" w:color="212492"/>
              <w:bottom w:val="single" w:sz="4" w:space="0" w:color="212492"/>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104,3</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0,07</w:t>
            </w:r>
          </w:p>
        </w:tc>
      </w:tr>
      <w:tr w:rsidR="00F27610" w:rsidRPr="00502F8C" w:rsidTr="00A55B73">
        <w:trPr>
          <w:cantSplit/>
          <w:trHeight w:val="57"/>
        </w:trPr>
        <w:tc>
          <w:tcPr>
            <w:tcW w:w="2801" w:type="dxa"/>
            <w:tcBorders>
              <w:top w:val="single" w:sz="4" w:space="0" w:color="212492"/>
              <w:bottom w:val="single" w:sz="4" w:space="0" w:color="212492"/>
            </w:tcBorders>
            <w:shd w:val="clear" w:color="auto" w:fill="auto"/>
            <w:vAlign w:val="center"/>
          </w:tcPr>
          <w:p w:rsidR="00F27610" w:rsidRPr="00D45A29" w:rsidRDefault="00F27610" w:rsidP="0055063A">
            <w:pPr>
              <w:tabs>
                <w:tab w:val="right" w:leader="dot" w:pos="4156"/>
              </w:tabs>
              <w:contextualSpacing/>
              <w:rPr>
                <w:rFonts w:cstheme="majorBidi"/>
                <w:bCs/>
                <w:color w:val="000000" w:themeColor="text1"/>
                <w:sz w:val="16"/>
                <w:szCs w:val="16"/>
                <w:lang w:val="en-GB"/>
              </w:rPr>
            </w:pPr>
            <w:r w:rsidRPr="00D45A29">
              <w:rPr>
                <w:rFonts w:cstheme="majorBidi"/>
                <w:bCs/>
                <w:color w:val="000000" w:themeColor="text1"/>
                <w:sz w:val="16"/>
                <w:szCs w:val="16"/>
                <w:lang w:val="en-GB"/>
              </w:rPr>
              <w:t>Furnishings, household equipment and routine household maintenance</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spacing w:before="0" w:after="0"/>
              <w:jc w:val="right"/>
              <w:rPr>
                <w:rFonts w:cs="Arial"/>
                <w:color w:val="000000" w:themeColor="text1"/>
                <w:sz w:val="16"/>
                <w:szCs w:val="16"/>
              </w:rPr>
            </w:pPr>
            <w:r w:rsidRPr="00F455A2">
              <w:rPr>
                <w:rFonts w:cs="Arial"/>
                <w:color w:val="000000" w:themeColor="text1"/>
                <w:sz w:val="16"/>
                <w:szCs w:val="16"/>
              </w:rPr>
              <w:t>100,6</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spacing w:before="0" w:after="0"/>
              <w:jc w:val="right"/>
              <w:rPr>
                <w:rFonts w:cs="Arial"/>
                <w:color w:val="000000" w:themeColor="text1"/>
                <w:sz w:val="16"/>
                <w:szCs w:val="16"/>
              </w:rPr>
            </w:pPr>
            <w:r w:rsidRPr="00F455A2">
              <w:rPr>
                <w:rFonts w:cs="Arial"/>
                <w:color w:val="000000" w:themeColor="text1"/>
                <w:sz w:val="16"/>
                <w:szCs w:val="16"/>
              </w:rPr>
              <w:t>100,5</w:t>
            </w:r>
          </w:p>
        </w:tc>
        <w:tc>
          <w:tcPr>
            <w:tcW w:w="877" w:type="dxa"/>
            <w:tcBorders>
              <w:top w:val="single" w:sz="4" w:space="0" w:color="212492"/>
              <w:bottom w:val="single" w:sz="4" w:space="0" w:color="212492"/>
            </w:tcBorders>
            <w:vAlign w:val="center"/>
          </w:tcPr>
          <w:p w:rsidR="00F27610" w:rsidRPr="00F455A2" w:rsidRDefault="00F27610" w:rsidP="00A55B73">
            <w:pPr>
              <w:spacing w:before="0" w:after="0"/>
              <w:jc w:val="right"/>
              <w:rPr>
                <w:rFonts w:cs="Arial"/>
                <w:color w:val="000000" w:themeColor="text1"/>
                <w:sz w:val="16"/>
                <w:szCs w:val="16"/>
              </w:rPr>
            </w:pPr>
            <w:r w:rsidRPr="00F455A2">
              <w:rPr>
                <w:rFonts w:cs="Arial"/>
                <w:color w:val="000000" w:themeColor="text1"/>
                <w:sz w:val="16"/>
                <w:szCs w:val="16"/>
              </w:rPr>
              <w:t>100,4</w:t>
            </w:r>
          </w:p>
        </w:tc>
        <w:tc>
          <w:tcPr>
            <w:tcW w:w="877" w:type="dxa"/>
            <w:tcBorders>
              <w:top w:val="single" w:sz="4" w:space="0" w:color="212492"/>
              <w:bottom w:val="single" w:sz="4" w:space="0" w:color="212492"/>
            </w:tcBorders>
            <w:shd w:val="clear" w:color="auto" w:fill="auto"/>
            <w:vAlign w:val="center"/>
          </w:tcPr>
          <w:p w:rsidR="00F27610" w:rsidRPr="00F455A2" w:rsidRDefault="00F27610" w:rsidP="00A55B73">
            <w:pPr>
              <w:spacing w:before="0" w:after="0"/>
              <w:jc w:val="right"/>
              <w:rPr>
                <w:rFonts w:cs="Arial"/>
                <w:color w:val="000000" w:themeColor="text1"/>
                <w:sz w:val="16"/>
                <w:szCs w:val="16"/>
              </w:rPr>
            </w:pPr>
            <w:r w:rsidRPr="00F455A2">
              <w:rPr>
                <w:rFonts w:cs="Arial"/>
                <w:color w:val="000000" w:themeColor="text1"/>
                <w:sz w:val="16"/>
                <w:szCs w:val="16"/>
              </w:rPr>
              <w:t>100,4</w:t>
            </w:r>
          </w:p>
        </w:tc>
        <w:tc>
          <w:tcPr>
            <w:tcW w:w="879" w:type="dxa"/>
            <w:tcBorders>
              <w:top w:val="single" w:sz="4" w:space="0" w:color="212492"/>
              <w:bottom w:val="single" w:sz="4" w:space="0" w:color="212492"/>
            </w:tcBorders>
            <w:vAlign w:val="center"/>
          </w:tcPr>
          <w:p w:rsidR="00F27610" w:rsidRPr="00F455A2" w:rsidRDefault="00F27610" w:rsidP="00A55B73">
            <w:pPr>
              <w:spacing w:before="0" w:after="0"/>
              <w:jc w:val="right"/>
              <w:rPr>
                <w:rFonts w:cs="Arial"/>
                <w:color w:val="000000" w:themeColor="text1"/>
                <w:sz w:val="16"/>
                <w:szCs w:val="16"/>
              </w:rPr>
            </w:pPr>
            <w:r w:rsidRPr="00F455A2">
              <w:rPr>
                <w:rFonts w:cs="Arial"/>
                <w:color w:val="000000" w:themeColor="text1"/>
                <w:sz w:val="16"/>
                <w:szCs w:val="16"/>
              </w:rPr>
              <w:t>100,1</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spacing w:before="0" w:after="0"/>
              <w:jc w:val="right"/>
              <w:rPr>
                <w:rFonts w:cs="Arial"/>
                <w:color w:val="000000" w:themeColor="text1"/>
                <w:sz w:val="16"/>
                <w:szCs w:val="16"/>
              </w:rPr>
            </w:pPr>
            <w:r w:rsidRPr="00F455A2">
              <w:rPr>
                <w:rFonts w:cs="Arial"/>
                <w:color w:val="000000" w:themeColor="text1"/>
                <w:sz w:val="16"/>
                <w:szCs w:val="16"/>
              </w:rPr>
              <w:t>0,02</w:t>
            </w:r>
          </w:p>
        </w:tc>
      </w:tr>
      <w:tr w:rsidR="00F27610" w:rsidRPr="00FC303F" w:rsidTr="00A55B73">
        <w:trPr>
          <w:cantSplit/>
          <w:trHeight w:val="57"/>
        </w:trPr>
        <w:tc>
          <w:tcPr>
            <w:tcW w:w="2801" w:type="dxa"/>
            <w:tcBorders>
              <w:top w:val="single" w:sz="4" w:space="0" w:color="212492"/>
              <w:bottom w:val="single" w:sz="4" w:space="0" w:color="212492"/>
            </w:tcBorders>
            <w:shd w:val="clear" w:color="auto" w:fill="auto"/>
            <w:vAlign w:val="center"/>
          </w:tcPr>
          <w:p w:rsidR="00F27610" w:rsidRPr="00D45A29" w:rsidRDefault="00F27610" w:rsidP="0055063A">
            <w:pPr>
              <w:tabs>
                <w:tab w:val="right" w:leader="dot" w:pos="4156"/>
              </w:tabs>
              <w:contextualSpacing/>
              <w:rPr>
                <w:rFonts w:cstheme="majorBidi"/>
                <w:bCs/>
                <w:color w:val="000000" w:themeColor="text1"/>
                <w:sz w:val="16"/>
                <w:szCs w:val="16"/>
                <w:lang w:val="en-GB"/>
              </w:rPr>
            </w:pPr>
            <w:r w:rsidRPr="00D45A29">
              <w:rPr>
                <w:rFonts w:cstheme="majorBidi"/>
                <w:bCs/>
                <w:color w:val="000000" w:themeColor="text1"/>
                <w:sz w:val="16"/>
                <w:szCs w:val="16"/>
                <w:lang w:val="en-GB"/>
              </w:rPr>
              <w:t xml:space="preserve">Health </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104,2</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101,6</w:t>
            </w:r>
          </w:p>
        </w:tc>
        <w:tc>
          <w:tcPr>
            <w:tcW w:w="877" w:type="dxa"/>
            <w:tcBorders>
              <w:top w:val="single" w:sz="4" w:space="0" w:color="212492"/>
              <w:bottom w:val="single" w:sz="4" w:space="0" w:color="212492"/>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100,6</w:t>
            </w:r>
          </w:p>
        </w:tc>
        <w:tc>
          <w:tcPr>
            <w:tcW w:w="877"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103,9</w:t>
            </w:r>
          </w:p>
        </w:tc>
        <w:tc>
          <w:tcPr>
            <w:tcW w:w="879" w:type="dxa"/>
            <w:tcBorders>
              <w:top w:val="single" w:sz="4" w:space="0" w:color="212492"/>
              <w:bottom w:val="single" w:sz="4" w:space="0" w:color="212492"/>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101,2</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0,03</w:t>
            </w:r>
          </w:p>
        </w:tc>
      </w:tr>
      <w:tr w:rsidR="00F27610" w:rsidRPr="00502F8C" w:rsidTr="00A55B73">
        <w:trPr>
          <w:cantSplit/>
          <w:trHeight w:val="57"/>
        </w:trPr>
        <w:tc>
          <w:tcPr>
            <w:tcW w:w="2801" w:type="dxa"/>
            <w:tcBorders>
              <w:top w:val="single" w:sz="4" w:space="0" w:color="212492"/>
              <w:bottom w:val="single" w:sz="4" w:space="0" w:color="212492"/>
            </w:tcBorders>
            <w:shd w:val="clear" w:color="auto" w:fill="auto"/>
            <w:vAlign w:val="center"/>
          </w:tcPr>
          <w:p w:rsidR="00F27610" w:rsidRPr="00D45A29" w:rsidRDefault="00F27610" w:rsidP="0055063A">
            <w:pPr>
              <w:tabs>
                <w:tab w:val="right" w:leader="dot" w:pos="4156"/>
              </w:tabs>
              <w:contextualSpacing/>
              <w:rPr>
                <w:rFonts w:cstheme="majorBidi"/>
                <w:bCs/>
                <w:color w:val="000000" w:themeColor="text1"/>
                <w:sz w:val="16"/>
                <w:szCs w:val="16"/>
                <w:lang w:val="en-GB"/>
              </w:rPr>
            </w:pPr>
            <w:r w:rsidRPr="00D45A29">
              <w:rPr>
                <w:rFonts w:cstheme="majorBidi"/>
                <w:bCs/>
                <w:color w:val="000000" w:themeColor="text1"/>
                <w:sz w:val="16"/>
                <w:szCs w:val="16"/>
                <w:lang w:val="en-GB"/>
              </w:rPr>
              <w:t>Transport</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98,6</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96,3</w:t>
            </w:r>
          </w:p>
        </w:tc>
        <w:tc>
          <w:tcPr>
            <w:tcW w:w="877" w:type="dxa"/>
            <w:tcBorders>
              <w:top w:val="single" w:sz="4" w:space="0" w:color="212492"/>
              <w:bottom w:val="single" w:sz="4" w:space="0" w:color="212492"/>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97,5</w:t>
            </w:r>
          </w:p>
        </w:tc>
        <w:tc>
          <w:tcPr>
            <w:tcW w:w="877"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100,7</w:t>
            </w:r>
          </w:p>
        </w:tc>
        <w:tc>
          <w:tcPr>
            <w:tcW w:w="879" w:type="dxa"/>
            <w:tcBorders>
              <w:top w:val="single" w:sz="4" w:space="0" w:color="212492"/>
              <w:bottom w:val="single" w:sz="4" w:space="0" w:color="212492"/>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100,2</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-0,24</w:t>
            </w:r>
          </w:p>
        </w:tc>
      </w:tr>
      <w:tr w:rsidR="00F27610" w:rsidRPr="00502F8C" w:rsidTr="00A55B73">
        <w:trPr>
          <w:cantSplit/>
          <w:trHeight w:val="57"/>
        </w:trPr>
        <w:tc>
          <w:tcPr>
            <w:tcW w:w="2801" w:type="dxa"/>
            <w:tcBorders>
              <w:top w:val="single" w:sz="4" w:space="0" w:color="212492"/>
              <w:bottom w:val="single" w:sz="4" w:space="0" w:color="212492"/>
            </w:tcBorders>
            <w:shd w:val="clear" w:color="auto" w:fill="auto"/>
            <w:vAlign w:val="center"/>
          </w:tcPr>
          <w:p w:rsidR="00F27610" w:rsidRPr="00D45A29" w:rsidRDefault="00F27610" w:rsidP="0055063A">
            <w:pPr>
              <w:tabs>
                <w:tab w:val="right" w:leader="dot" w:pos="4156"/>
              </w:tabs>
              <w:contextualSpacing/>
              <w:rPr>
                <w:rFonts w:cstheme="majorBidi"/>
                <w:bCs/>
                <w:color w:val="000000" w:themeColor="text1"/>
                <w:sz w:val="16"/>
                <w:szCs w:val="16"/>
                <w:lang w:val="en-GB"/>
              </w:rPr>
            </w:pPr>
            <w:r w:rsidRPr="00D45A29">
              <w:rPr>
                <w:rFonts w:cstheme="majorBidi"/>
                <w:bCs/>
                <w:color w:val="000000" w:themeColor="text1"/>
                <w:sz w:val="16"/>
                <w:szCs w:val="16"/>
                <w:lang w:val="en-GB"/>
              </w:rPr>
              <w:t>Communication</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102,4</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100,9</w:t>
            </w:r>
          </w:p>
        </w:tc>
        <w:tc>
          <w:tcPr>
            <w:tcW w:w="877" w:type="dxa"/>
            <w:tcBorders>
              <w:top w:val="single" w:sz="4" w:space="0" w:color="212492"/>
              <w:bottom w:val="single" w:sz="4" w:space="0" w:color="212492"/>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100,4</w:t>
            </w:r>
          </w:p>
        </w:tc>
        <w:tc>
          <w:tcPr>
            <w:tcW w:w="877"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102,1</w:t>
            </w:r>
          </w:p>
        </w:tc>
        <w:tc>
          <w:tcPr>
            <w:tcW w:w="879" w:type="dxa"/>
            <w:tcBorders>
              <w:top w:val="single" w:sz="4" w:space="0" w:color="212492"/>
              <w:bottom w:val="single" w:sz="4" w:space="0" w:color="212492"/>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100,6</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0,02</w:t>
            </w:r>
          </w:p>
        </w:tc>
      </w:tr>
      <w:tr w:rsidR="00F27610" w:rsidRPr="00502F8C" w:rsidTr="00A55B73">
        <w:trPr>
          <w:cantSplit/>
          <w:trHeight w:val="57"/>
        </w:trPr>
        <w:tc>
          <w:tcPr>
            <w:tcW w:w="2801" w:type="dxa"/>
            <w:tcBorders>
              <w:top w:val="single" w:sz="4" w:space="0" w:color="212492"/>
              <w:bottom w:val="single" w:sz="4" w:space="0" w:color="212492"/>
            </w:tcBorders>
            <w:shd w:val="clear" w:color="auto" w:fill="auto"/>
            <w:vAlign w:val="center"/>
          </w:tcPr>
          <w:p w:rsidR="00F27610" w:rsidRPr="00D45A29" w:rsidRDefault="00F27610" w:rsidP="0055063A">
            <w:pPr>
              <w:tabs>
                <w:tab w:val="right" w:leader="dot" w:pos="4156"/>
              </w:tabs>
              <w:contextualSpacing/>
              <w:rPr>
                <w:rFonts w:cstheme="majorBidi"/>
                <w:bCs/>
                <w:color w:val="000000" w:themeColor="text1"/>
                <w:sz w:val="16"/>
                <w:szCs w:val="16"/>
                <w:lang w:val="en-GB"/>
              </w:rPr>
            </w:pPr>
            <w:r w:rsidRPr="00D45A29">
              <w:rPr>
                <w:rFonts w:cstheme="majorBidi"/>
                <w:bCs/>
                <w:color w:val="000000" w:themeColor="text1"/>
                <w:sz w:val="16"/>
                <w:szCs w:val="16"/>
                <w:lang w:val="en-GB"/>
              </w:rPr>
              <w:t>Recreation and culture</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102,5</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100,5</w:t>
            </w:r>
          </w:p>
        </w:tc>
        <w:tc>
          <w:tcPr>
            <w:tcW w:w="877" w:type="dxa"/>
            <w:tcBorders>
              <w:top w:val="single" w:sz="4" w:space="0" w:color="212492"/>
              <w:bottom w:val="single" w:sz="4" w:space="0" w:color="212492"/>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99,1</w:t>
            </w:r>
          </w:p>
        </w:tc>
        <w:tc>
          <w:tcPr>
            <w:tcW w:w="877"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103,1</w:t>
            </w:r>
          </w:p>
        </w:tc>
        <w:tc>
          <w:tcPr>
            <w:tcW w:w="879" w:type="dxa"/>
            <w:tcBorders>
              <w:top w:val="single" w:sz="4" w:space="0" w:color="212492"/>
              <w:bottom w:val="single" w:sz="4" w:space="0" w:color="212492"/>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101,4</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-0,06</w:t>
            </w:r>
          </w:p>
        </w:tc>
      </w:tr>
      <w:tr w:rsidR="00F27610" w:rsidRPr="00502F8C" w:rsidTr="00A55B73">
        <w:trPr>
          <w:cantSplit/>
          <w:trHeight w:val="57"/>
        </w:trPr>
        <w:tc>
          <w:tcPr>
            <w:tcW w:w="2801" w:type="dxa"/>
            <w:tcBorders>
              <w:top w:val="single" w:sz="4" w:space="0" w:color="212492"/>
              <w:bottom w:val="single" w:sz="4" w:space="0" w:color="212492"/>
            </w:tcBorders>
            <w:shd w:val="clear" w:color="auto" w:fill="auto"/>
            <w:vAlign w:val="center"/>
          </w:tcPr>
          <w:p w:rsidR="00F27610" w:rsidRPr="00D45A29" w:rsidRDefault="00F27610" w:rsidP="0055063A">
            <w:pPr>
              <w:tabs>
                <w:tab w:val="right" w:leader="dot" w:pos="4156"/>
              </w:tabs>
              <w:contextualSpacing/>
              <w:rPr>
                <w:rFonts w:cstheme="majorBidi"/>
                <w:bCs/>
                <w:color w:val="000000" w:themeColor="text1"/>
                <w:sz w:val="16"/>
                <w:szCs w:val="16"/>
                <w:lang w:val="en-GB"/>
              </w:rPr>
            </w:pPr>
            <w:r w:rsidRPr="00D45A29">
              <w:rPr>
                <w:rFonts w:cstheme="majorBidi"/>
                <w:bCs/>
                <w:color w:val="000000" w:themeColor="text1"/>
                <w:sz w:val="16"/>
                <w:szCs w:val="16"/>
                <w:lang w:val="en-GB"/>
              </w:rPr>
              <w:t>Education</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105,0</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100,9</w:t>
            </w:r>
          </w:p>
        </w:tc>
        <w:tc>
          <w:tcPr>
            <w:tcW w:w="877" w:type="dxa"/>
            <w:tcBorders>
              <w:top w:val="single" w:sz="4" w:space="0" w:color="212492"/>
              <w:bottom w:val="single" w:sz="4" w:space="0" w:color="212492"/>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100,1</w:t>
            </w:r>
          </w:p>
        </w:tc>
        <w:tc>
          <w:tcPr>
            <w:tcW w:w="877"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104,9</w:t>
            </w:r>
          </w:p>
        </w:tc>
        <w:tc>
          <w:tcPr>
            <w:tcW w:w="879" w:type="dxa"/>
            <w:tcBorders>
              <w:top w:val="single" w:sz="4" w:space="0" w:color="212492"/>
              <w:bottom w:val="single" w:sz="4" w:space="0" w:color="212492"/>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100,8</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0,00</w:t>
            </w:r>
          </w:p>
        </w:tc>
      </w:tr>
      <w:tr w:rsidR="00F27610" w:rsidRPr="00502F8C" w:rsidTr="00A55B73">
        <w:trPr>
          <w:cantSplit/>
          <w:trHeight w:val="57"/>
        </w:trPr>
        <w:tc>
          <w:tcPr>
            <w:tcW w:w="2801" w:type="dxa"/>
            <w:tcBorders>
              <w:top w:val="single" w:sz="4" w:space="0" w:color="212492"/>
              <w:bottom w:val="single" w:sz="4" w:space="0" w:color="212492"/>
            </w:tcBorders>
            <w:shd w:val="clear" w:color="auto" w:fill="auto"/>
            <w:vAlign w:val="center"/>
          </w:tcPr>
          <w:p w:rsidR="00F27610" w:rsidRPr="00D45A29" w:rsidRDefault="00F27610" w:rsidP="0055063A">
            <w:pPr>
              <w:tabs>
                <w:tab w:val="right" w:leader="dot" w:pos="4156"/>
              </w:tabs>
              <w:contextualSpacing/>
              <w:rPr>
                <w:rFonts w:cstheme="majorBidi"/>
                <w:bCs/>
                <w:color w:val="000000" w:themeColor="text1"/>
                <w:sz w:val="16"/>
                <w:szCs w:val="16"/>
                <w:lang w:val="en-GB"/>
              </w:rPr>
            </w:pPr>
            <w:r w:rsidRPr="00D45A29">
              <w:rPr>
                <w:rFonts w:cstheme="majorBidi"/>
                <w:bCs/>
                <w:color w:val="000000" w:themeColor="text1"/>
                <w:sz w:val="16"/>
                <w:szCs w:val="16"/>
                <w:lang w:val="en-GB"/>
              </w:rPr>
              <w:t>Restaurants and hotels</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106,3</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102,0</w:t>
            </w:r>
          </w:p>
        </w:tc>
        <w:tc>
          <w:tcPr>
            <w:tcW w:w="877" w:type="dxa"/>
            <w:tcBorders>
              <w:top w:val="single" w:sz="4" w:space="0" w:color="212492"/>
              <w:bottom w:val="single" w:sz="4" w:space="0" w:color="212492"/>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100,4</w:t>
            </w:r>
          </w:p>
        </w:tc>
        <w:tc>
          <w:tcPr>
            <w:tcW w:w="877"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106,0</w:t>
            </w:r>
          </w:p>
        </w:tc>
        <w:tc>
          <w:tcPr>
            <w:tcW w:w="879" w:type="dxa"/>
            <w:tcBorders>
              <w:top w:val="single" w:sz="4" w:space="0" w:color="212492"/>
              <w:bottom w:val="single" w:sz="4" w:space="0" w:color="212492"/>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101,7</w:t>
            </w:r>
          </w:p>
        </w:tc>
        <w:tc>
          <w:tcPr>
            <w:tcW w:w="878" w:type="dxa"/>
            <w:tcBorders>
              <w:top w:val="single" w:sz="4" w:space="0" w:color="212492"/>
              <w:bottom w:val="single" w:sz="4" w:space="0" w:color="212492"/>
            </w:tcBorders>
            <w:shd w:val="clear" w:color="auto" w:fill="auto"/>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0,02</w:t>
            </w:r>
          </w:p>
        </w:tc>
      </w:tr>
      <w:tr w:rsidR="00F27610" w:rsidRPr="00502F8C" w:rsidTr="00A55B73">
        <w:trPr>
          <w:cantSplit/>
          <w:trHeight w:val="57"/>
        </w:trPr>
        <w:tc>
          <w:tcPr>
            <w:tcW w:w="2801" w:type="dxa"/>
            <w:tcBorders>
              <w:top w:val="single" w:sz="4" w:space="0" w:color="212492"/>
              <w:bottom w:val="nil"/>
            </w:tcBorders>
            <w:vAlign w:val="center"/>
          </w:tcPr>
          <w:p w:rsidR="00F27610" w:rsidRPr="00D45A29" w:rsidRDefault="00F27610" w:rsidP="0055063A">
            <w:pPr>
              <w:tabs>
                <w:tab w:val="right" w:leader="dot" w:pos="4156"/>
              </w:tabs>
              <w:contextualSpacing/>
              <w:rPr>
                <w:rFonts w:cstheme="majorBidi"/>
                <w:bCs/>
                <w:color w:val="000000" w:themeColor="text1"/>
                <w:sz w:val="16"/>
                <w:szCs w:val="16"/>
                <w:lang w:val="en-GB"/>
              </w:rPr>
            </w:pPr>
            <w:r w:rsidRPr="00D45A29">
              <w:rPr>
                <w:rFonts w:cstheme="majorBidi"/>
                <w:bCs/>
                <w:color w:val="000000" w:themeColor="text1"/>
                <w:sz w:val="16"/>
                <w:szCs w:val="16"/>
                <w:lang w:val="en-GB"/>
              </w:rPr>
              <w:t>Miscellaneous goods and services</w:t>
            </w:r>
          </w:p>
        </w:tc>
        <w:tc>
          <w:tcPr>
            <w:tcW w:w="878" w:type="dxa"/>
            <w:tcBorders>
              <w:top w:val="single" w:sz="4" w:space="0" w:color="212492"/>
              <w:bottom w:val="nil"/>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102,6</w:t>
            </w:r>
          </w:p>
        </w:tc>
        <w:tc>
          <w:tcPr>
            <w:tcW w:w="878" w:type="dxa"/>
            <w:tcBorders>
              <w:top w:val="single" w:sz="4" w:space="0" w:color="212492"/>
              <w:bottom w:val="nil"/>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100,0</w:t>
            </w:r>
          </w:p>
        </w:tc>
        <w:tc>
          <w:tcPr>
            <w:tcW w:w="877" w:type="dxa"/>
            <w:tcBorders>
              <w:top w:val="single" w:sz="4" w:space="0" w:color="212492"/>
              <w:bottom w:val="nil"/>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100,2</w:t>
            </w:r>
          </w:p>
        </w:tc>
        <w:tc>
          <w:tcPr>
            <w:tcW w:w="877" w:type="dxa"/>
            <w:tcBorders>
              <w:top w:val="single" w:sz="4" w:space="0" w:color="212492"/>
              <w:bottom w:val="nil"/>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102,1</w:t>
            </w:r>
          </w:p>
        </w:tc>
        <w:tc>
          <w:tcPr>
            <w:tcW w:w="879" w:type="dxa"/>
            <w:tcBorders>
              <w:top w:val="single" w:sz="4" w:space="0" w:color="212492"/>
              <w:bottom w:val="nil"/>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100,6</w:t>
            </w:r>
          </w:p>
        </w:tc>
        <w:tc>
          <w:tcPr>
            <w:tcW w:w="878" w:type="dxa"/>
            <w:tcBorders>
              <w:top w:val="single" w:sz="4" w:space="0" w:color="212492"/>
              <w:bottom w:val="nil"/>
            </w:tcBorders>
            <w:vAlign w:val="center"/>
          </w:tcPr>
          <w:p w:rsidR="00F27610" w:rsidRPr="00F455A2" w:rsidRDefault="00F27610" w:rsidP="00A55B73">
            <w:pPr>
              <w:jc w:val="right"/>
              <w:rPr>
                <w:rFonts w:cs="Arial"/>
                <w:color w:val="000000" w:themeColor="text1"/>
                <w:sz w:val="16"/>
                <w:szCs w:val="16"/>
              </w:rPr>
            </w:pPr>
            <w:r w:rsidRPr="00F455A2">
              <w:rPr>
                <w:rFonts w:cs="Arial"/>
                <w:color w:val="000000" w:themeColor="text1"/>
                <w:sz w:val="16"/>
                <w:szCs w:val="16"/>
              </w:rPr>
              <w:t>0,01</w:t>
            </w:r>
          </w:p>
        </w:tc>
      </w:tr>
    </w:tbl>
    <w:p w:rsidR="00C27D75" w:rsidRPr="003A109E" w:rsidRDefault="003A109E" w:rsidP="0022312E">
      <w:pPr>
        <w:pStyle w:val="tytuwykresu"/>
        <w:rPr>
          <w:bCs/>
          <w:shd w:val="clear" w:color="auto" w:fill="FFFFFF"/>
          <w:lang w:val="en-GB"/>
        </w:rPr>
      </w:pPr>
      <w:r w:rsidRPr="00852FD5">
        <w:rPr>
          <w:lang w:val="en-GB"/>
        </w:rPr>
        <w:t>Table 1. Consum</w:t>
      </w:r>
      <w:r>
        <w:rPr>
          <w:lang w:val="en-GB"/>
        </w:rPr>
        <w:t xml:space="preserve">er price indices in March </w:t>
      </w:r>
      <w:r w:rsidR="00B37F5A" w:rsidRPr="003A109E">
        <w:rPr>
          <w:lang w:val="en-GB"/>
        </w:rPr>
        <w:t>2020</w:t>
      </w:r>
    </w:p>
    <w:p w:rsidR="00A55B73" w:rsidRPr="003A109E" w:rsidRDefault="00A55B73" w:rsidP="0022312E">
      <w:pPr>
        <w:pStyle w:val="tytuwykresu"/>
        <w:rPr>
          <w:lang w:val="en-GB"/>
        </w:rPr>
      </w:pPr>
    </w:p>
    <w:p w:rsidR="00A07F00" w:rsidRPr="00807D2B" w:rsidRDefault="00807D2B" w:rsidP="00E37F13">
      <w:pPr>
        <w:pStyle w:val="Nagwek1"/>
        <w:spacing w:before="480" w:line="240" w:lineRule="exact"/>
        <w:rPr>
          <w:lang w:val="en-GB"/>
        </w:rPr>
      </w:pPr>
      <w:r>
        <w:rPr>
          <w:shd w:val="clear" w:color="auto" w:fill="FFFFFF"/>
          <w:lang w:val="en-GB"/>
        </w:rPr>
        <w:t xml:space="preserve">Contribution </w:t>
      </w:r>
      <w:r w:rsidRPr="003420FE">
        <w:rPr>
          <w:shd w:val="clear" w:color="auto" w:fill="FFFFFF"/>
          <w:lang w:val="en-GB"/>
        </w:rPr>
        <w:t xml:space="preserve">of </w:t>
      </w:r>
      <w:r>
        <w:rPr>
          <w:shd w:val="clear" w:color="auto" w:fill="FFFFFF"/>
          <w:lang w:val="en-GB"/>
        </w:rPr>
        <w:t>price changes to</w:t>
      </w:r>
      <w:r w:rsidRPr="003420FE">
        <w:rPr>
          <w:shd w:val="clear" w:color="auto" w:fill="FFFFFF"/>
          <w:lang w:val="en-GB"/>
        </w:rPr>
        <w:t xml:space="preserve"> the total consumer price index</w:t>
      </w:r>
    </w:p>
    <w:p w:rsidR="00C23F3B" w:rsidRPr="005C40C4" w:rsidRDefault="00807D2B" w:rsidP="00C23F3B">
      <w:pPr>
        <w:spacing w:before="0" w:after="0"/>
        <w:rPr>
          <w:lang w:val="en-GB"/>
        </w:rPr>
      </w:pPr>
      <w:r w:rsidRPr="00807D2B">
        <w:rPr>
          <w:lang w:val="en-GB"/>
        </w:rPr>
        <w:t xml:space="preserve">In March of the current year, </w:t>
      </w:r>
      <w:r w:rsidRPr="00807D2B">
        <w:rPr>
          <w:color w:val="000000" w:themeColor="text1"/>
          <w:lang w:val="en-GB"/>
        </w:rPr>
        <w:t xml:space="preserve">compared with the previous month, </w:t>
      </w:r>
      <w:r w:rsidR="00DF42D5">
        <w:rPr>
          <w:lang w:val="en-GB"/>
        </w:rPr>
        <w:t>the highest contribution to </w:t>
      </w:r>
      <w:r w:rsidRPr="00807D2B">
        <w:rPr>
          <w:lang w:val="en-GB"/>
        </w:rPr>
        <w:t xml:space="preserve">the total consumer price index came from higher prices </w:t>
      </w:r>
      <w:r w:rsidR="008A1BFD">
        <w:rPr>
          <w:lang w:val="en-GB"/>
        </w:rPr>
        <w:t>of Food</w:t>
      </w:r>
      <w:r w:rsidR="00C662A5" w:rsidRPr="00807D2B">
        <w:rPr>
          <w:lang w:val="en-GB"/>
        </w:rPr>
        <w:t xml:space="preserve"> (</w:t>
      </w:r>
      <w:r w:rsidR="008A1BFD">
        <w:rPr>
          <w:lang w:val="en-GB"/>
        </w:rPr>
        <w:t>by</w:t>
      </w:r>
      <w:r w:rsidR="0022312E" w:rsidRPr="00807D2B">
        <w:rPr>
          <w:lang w:val="en-GB"/>
        </w:rPr>
        <w:t xml:space="preserve"> </w:t>
      </w:r>
      <w:r w:rsidR="00C23F3B" w:rsidRPr="00807D2B">
        <w:rPr>
          <w:lang w:val="en-GB"/>
        </w:rPr>
        <w:t>0,9</w:t>
      </w:r>
      <w:r w:rsidR="0022312E" w:rsidRPr="00807D2B">
        <w:rPr>
          <w:lang w:val="en-GB"/>
        </w:rPr>
        <w:t>%)</w:t>
      </w:r>
      <w:r w:rsidR="005112CE" w:rsidRPr="00807D2B">
        <w:rPr>
          <w:lang w:val="en-GB"/>
        </w:rPr>
        <w:t>,</w:t>
      </w:r>
      <w:r w:rsidR="00A07F00" w:rsidRPr="00807D2B">
        <w:rPr>
          <w:lang w:val="en-GB"/>
        </w:rPr>
        <w:t xml:space="preserve"> </w:t>
      </w:r>
      <w:r w:rsidR="008A1BFD">
        <w:rPr>
          <w:lang w:val="en-GB"/>
        </w:rPr>
        <w:t xml:space="preserve">Clothing and </w:t>
      </w:r>
      <w:r w:rsidR="00F91C2B">
        <w:rPr>
          <w:lang w:val="en-GB"/>
        </w:rPr>
        <w:t>footwear</w:t>
      </w:r>
      <w:r w:rsidR="008A1BFD">
        <w:rPr>
          <w:lang w:val="en-GB"/>
        </w:rPr>
        <w:t xml:space="preserve"> (by</w:t>
      </w:r>
      <w:r w:rsidR="00A07F00" w:rsidRPr="00807D2B">
        <w:rPr>
          <w:lang w:val="en-GB"/>
        </w:rPr>
        <w:t> </w:t>
      </w:r>
      <w:r w:rsidR="0022312E" w:rsidRPr="00807D2B">
        <w:rPr>
          <w:lang w:val="en-GB"/>
        </w:rPr>
        <w:t>2,5</w:t>
      </w:r>
      <w:r w:rsidR="00A07F00" w:rsidRPr="00807D2B">
        <w:rPr>
          <w:lang w:val="en-GB"/>
        </w:rPr>
        <w:t>%)</w:t>
      </w:r>
      <w:r w:rsidR="00F04C11" w:rsidRPr="00807D2B">
        <w:rPr>
          <w:lang w:val="en-GB"/>
        </w:rPr>
        <w:t xml:space="preserve"> </w:t>
      </w:r>
      <w:r w:rsidR="008A1BFD">
        <w:rPr>
          <w:lang w:val="en-GB"/>
        </w:rPr>
        <w:t>and Dwelling (by</w:t>
      </w:r>
      <w:r w:rsidR="00A07F00" w:rsidRPr="00807D2B">
        <w:rPr>
          <w:lang w:val="en-GB"/>
        </w:rPr>
        <w:t> </w:t>
      </w:r>
      <w:r w:rsidR="00F04C11" w:rsidRPr="00807D2B">
        <w:rPr>
          <w:lang w:val="en-GB"/>
        </w:rPr>
        <w:t>0</w:t>
      </w:r>
      <w:r w:rsidR="00A07F00" w:rsidRPr="00807D2B">
        <w:rPr>
          <w:lang w:val="en-GB"/>
        </w:rPr>
        <w:t>,</w:t>
      </w:r>
      <w:r w:rsidR="003A0271" w:rsidRPr="00807D2B">
        <w:rPr>
          <w:lang w:val="en-GB"/>
        </w:rPr>
        <w:t>4</w:t>
      </w:r>
      <w:r w:rsidR="00A07F00" w:rsidRPr="00807D2B">
        <w:rPr>
          <w:lang w:val="en-GB"/>
        </w:rPr>
        <w:t xml:space="preserve">%), </w:t>
      </w:r>
      <w:r w:rsidR="00997B59">
        <w:rPr>
          <w:lang w:val="en-GB"/>
        </w:rPr>
        <w:t>which increased the index by </w:t>
      </w:r>
      <w:r w:rsidR="00A07F00" w:rsidRPr="00807D2B">
        <w:rPr>
          <w:lang w:val="en-GB"/>
        </w:rPr>
        <w:t>0,</w:t>
      </w:r>
      <w:r w:rsidR="00C23F3B" w:rsidRPr="00807D2B">
        <w:rPr>
          <w:lang w:val="en-GB"/>
        </w:rPr>
        <w:t>20</w:t>
      </w:r>
      <w:r w:rsidR="00674A8B" w:rsidRPr="00807D2B">
        <w:rPr>
          <w:lang w:val="en-GB"/>
        </w:rPr>
        <w:t xml:space="preserve"> p</w:t>
      </w:r>
      <w:r w:rsidR="00997B59">
        <w:rPr>
          <w:lang w:val="en-GB"/>
        </w:rPr>
        <w:t>p</w:t>
      </w:r>
      <w:r w:rsidR="00C23F3B" w:rsidRPr="00807D2B">
        <w:rPr>
          <w:lang w:val="en-GB"/>
        </w:rPr>
        <w:t>,</w:t>
      </w:r>
      <w:r w:rsidR="00997B59">
        <w:rPr>
          <w:lang w:val="en-GB"/>
        </w:rPr>
        <w:t xml:space="preserve"> </w:t>
      </w:r>
      <w:r w:rsidR="00C23F3B" w:rsidRPr="00807D2B">
        <w:rPr>
          <w:lang w:val="en-GB"/>
        </w:rPr>
        <w:t>0,12 p</w:t>
      </w:r>
      <w:r w:rsidR="00997B59">
        <w:rPr>
          <w:lang w:val="en-GB"/>
        </w:rPr>
        <w:t xml:space="preserve">p and </w:t>
      </w:r>
      <w:r w:rsidR="00A07F00" w:rsidRPr="00807D2B">
        <w:rPr>
          <w:lang w:val="en-GB"/>
        </w:rPr>
        <w:t>0,0</w:t>
      </w:r>
      <w:r w:rsidR="003A0271" w:rsidRPr="00807D2B">
        <w:rPr>
          <w:lang w:val="en-GB"/>
        </w:rPr>
        <w:t>9</w:t>
      </w:r>
      <w:r w:rsidR="00A07F00" w:rsidRPr="00807D2B">
        <w:rPr>
          <w:lang w:val="en-GB"/>
        </w:rPr>
        <w:t xml:space="preserve"> p</w:t>
      </w:r>
      <w:r w:rsidR="00997B59">
        <w:rPr>
          <w:lang w:val="en-GB"/>
        </w:rPr>
        <w:t>p</w:t>
      </w:r>
      <w:r w:rsidR="005C40C4">
        <w:rPr>
          <w:lang w:val="en-GB"/>
        </w:rPr>
        <w:t>, respectively</w:t>
      </w:r>
      <w:r w:rsidR="00A07F00" w:rsidRPr="00807D2B">
        <w:rPr>
          <w:lang w:val="en-GB"/>
        </w:rPr>
        <w:t>.</w:t>
      </w:r>
      <w:r w:rsidR="00ED63E8" w:rsidRPr="00807D2B">
        <w:rPr>
          <w:lang w:val="en-GB"/>
        </w:rPr>
        <w:t xml:space="preserve"> </w:t>
      </w:r>
      <w:r w:rsidR="00997B59" w:rsidRPr="005C40C4">
        <w:rPr>
          <w:lang w:val="en-GB"/>
        </w:rPr>
        <w:t>Lower prices related to Transport (by</w:t>
      </w:r>
      <w:r w:rsidR="00ED63E8" w:rsidRPr="005C40C4">
        <w:rPr>
          <w:lang w:val="en-GB"/>
        </w:rPr>
        <w:t xml:space="preserve"> 2</w:t>
      </w:r>
      <w:proofErr w:type="gramStart"/>
      <w:r w:rsidR="00ED63E8" w:rsidRPr="005C40C4">
        <w:rPr>
          <w:lang w:val="en-GB"/>
        </w:rPr>
        <w:t>,5</w:t>
      </w:r>
      <w:proofErr w:type="gramEnd"/>
      <w:r w:rsidR="00ED63E8" w:rsidRPr="005C40C4">
        <w:rPr>
          <w:lang w:val="en-GB"/>
        </w:rPr>
        <w:t xml:space="preserve">%) </w:t>
      </w:r>
      <w:r w:rsidR="00997B59" w:rsidRPr="005C40C4">
        <w:rPr>
          <w:lang w:val="en-GB"/>
        </w:rPr>
        <w:t xml:space="preserve">and Recreation and culture </w:t>
      </w:r>
      <w:r w:rsidR="005C40C4" w:rsidRPr="005C40C4">
        <w:rPr>
          <w:lang w:val="en-GB"/>
        </w:rPr>
        <w:t>(by</w:t>
      </w:r>
      <w:r w:rsidR="00394B48" w:rsidRPr="005C40C4">
        <w:rPr>
          <w:lang w:val="en-GB"/>
        </w:rPr>
        <w:t xml:space="preserve"> 0,9%) </w:t>
      </w:r>
      <w:r w:rsidR="005C40C4">
        <w:rPr>
          <w:lang w:val="en-GB"/>
        </w:rPr>
        <w:t>decreased the index by</w:t>
      </w:r>
      <w:r w:rsidR="005C40C4" w:rsidRPr="005C40C4">
        <w:rPr>
          <w:lang w:val="en-GB"/>
        </w:rPr>
        <w:t xml:space="preserve"> </w:t>
      </w:r>
      <w:r w:rsidR="00B210CA" w:rsidRPr="005C40C4">
        <w:rPr>
          <w:lang w:val="en-GB"/>
        </w:rPr>
        <w:t>0,24 p</w:t>
      </w:r>
      <w:r w:rsidR="005C40C4">
        <w:rPr>
          <w:lang w:val="en-GB"/>
        </w:rPr>
        <w:t xml:space="preserve">p and </w:t>
      </w:r>
      <w:r w:rsidR="00B210CA" w:rsidRPr="005C40C4">
        <w:rPr>
          <w:lang w:val="en-GB"/>
        </w:rPr>
        <w:t>0,06 p</w:t>
      </w:r>
      <w:r w:rsidR="005C40C4">
        <w:rPr>
          <w:lang w:val="en-GB"/>
        </w:rPr>
        <w:t>p, respectively</w:t>
      </w:r>
      <w:r w:rsidR="00B210CA" w:rsidRPr="005C40C4">
        <w:rPr>
          <w:lang w:val="en-GB"/>
        </w:rPr>
        <w:t>.</w:t>
      </w:r>
    </w:p>
    <w:p w:rsidR="00A07F00" w:rsidRPr="0045556B" w:rsidRDefault="005C40C4" w:rsidP="00C23F3B">
      <w:pPr>
        <w:spacing w:before="0" w:after="0"/>
        <w:rPr>
          <w:lang w:val="en-GB"/>
        </w:rPr>
      </w:pPr>
      <w:r w:rsidRPr="005C40C4">
        <w:rPr>
          <w:color w:val="000000" w:themeColor="text1"/>
          <w:lang w:val="en-GB"/>
        </w:rPr>
        <w:t xml:space="preserve">Compared with the corresponding month of the previous year, higher prices of Food </w:t>
      </w:r>
      <w:r>
        <w:rPr>
          <w:lang w:val="en-GB"/>
        </w:rPr>
        <w:t>(by</w:t>
      </w:r>
      <w:r w:rsidR="00A07F00" w:rsidRPr="005C40C4">
        <w:rPr>
          <w:lang w:val="en-GB"/>
        </w:rPr>
        <w:t> </w:t>
      </w:r>
      <w:r w:rsidR="00FD6659" w:rsidRPr="005C40C4">
        <w:rPr>
          <w:lang w:val="en-GB"/>
        </w:rPr>
        <w:t>8</w:t>
      </w:r>
      <w:proofErr w:type="gramStart"/>
      <w:r w:rsidR="00FD6659" w:rsidRPr="005C40C4">
        <w:rPr>
          <w:lang w:val="en-GB"/>
        </w:rPr>
        <w:t>,6</w:t>
      </w:r>
      <w:proofErr w:type="gramEnd"/>
      <w:r w:rsidR="00674A8B" w:rsidRPr="005C40C4">
        <w:rPr>
          <w:lang w:val="en-GB"/>
        </w:rPr>
        <w:t xml:space="preserve">%) </w:t>
      </w:r>
      <w:r>
        <w:rPr>
          <w:lang w:val="en-GB"/>
        </w:rPr>
        <w:t>and related to Dwelling (by</w:t>
      </w:r>
      <w:r w:rsidR="00445F90" w:rsidRPr="005C40C4">
        <w:rPr>
          <w:lang w:val="en-GB"/>
        </w:rPr>
        <w:t xml:space="preserve"> 5,9</w:t>
      </w:r>
      <w:r w:rsidR="003A0271" w:rsidRPr="005C40C4">
        <w:rPr>
          <w:lang w:val="en-GB"/>
        </w:rPr>
        <w:t xml:space="preserve">%) </w:t>
      </w:r>
      <w:r w:rsidR="0045556B">
        <w:rPr>
          <w:lang w:val="en-GB"/>
        </w:rPr>
        <w:t>increased the index by</w:t>
      </w:r>
      <w:r w:rsidR="0045556B" w:rsidRPr="005C40C4">
        <w:rPr>
          <w:lang w:val="en-GB"/>
        </w:rPr>
        <w:t xml:space="preserve"> </w:t>
      </w:r>
      <w:r w:rsidR="00445F90" w:rsidRPr="005C40C4">
        <w:rPr>
          <w:lang w:val="en-GB"/>
        </w:rPr>
        <w:t>1,97</w:t>
      </w:r>
      <w:r w:rsidR="00A07F00" w:rsidRPr="005C40C4">
        <w:rPr>
          <w:lang w:val="en-GB"/>
        </w:rPr>
        <w:t xml:space="preserve"> p</w:t>
      </w:r>
      <w:r w:rsidR="0045556B">
        <w:rPr>
          <w:lang w:val="en-GB"/>
        </w:rPr>
        <w:t xml:space="preserve">p and </w:t>
      </w:r>
      <w:r w:rsidR="00445F90" w:rsidRPr="005C40C4">
        <w:rPr>
          <w:lang w:val="en-GB"/>
        </w:rPr>
        <w:t>1,42</w:t>
      </w:r>
      <w:r w:rsidR="0045556B">
        <w:rPr>
          <w:lang w:val="en-GB"/>
        </w:rPr>
        <w:t xml:space="preserve"> pp, respectively</w:t>
      </w:r>
      <w:r w:rsidR="003A0271" w:rsidRPr="005C40C4">
        <w:rPr>
          <w:lang w:val="en-GB"/>
        </w:rPr>
        <w:t>.</w:t>
      </w:r>
      <w:r w:rsidR="00A07F00" w:rsidRPr="005C40C4">
        <w:rPr>
          <w:lang w:val="en-GB"/>
        </w:rPr>
        <w:t xml:space="preserve"> </w:t>
      </w:r>
      <w:r w:rsidR="0045556B" w:rsidRPr="0045556B">
        <w:rPr>
          <w:color w:val="000000" w:themeColor="text1"/>
          <w:lang w:val="en-GB"/>
        </w:rPr>
        <w:t>Lower prices related to Transport</w:t>
      </w:r>
      <w:r w:rsidR="0045556B" w:rsidRPr="0045556B">
        <w:rPr>
          <w:lang w:val="en-GB"/>
        </w:rPr>
        <w:t xml:space="preserve"> (by</w:t>
      </w:r>
      <w:r w:rsidR="00A07F00" w:rsidRPr="0045556B">
        <w:rPr>
          <w:lang w:val="en-GB"/>
        </w:rPr>
        <w:t xml:space="preserve"> </w:t>
      </w:r>
      <w:r w:rsidR="004B2EAB" w:rsidRPr="0045556B">
        <w:rPr>
          <w:lang w:val="en-GB"/>
        </w:rPr>
        <w:t>1</w:t>
      </w:r>
      <w:proofErr w:type="gramStart"/>
      <w:r w:rsidR="004B2EAB" w:rsidRPr="0045556B">
        <w:rPr>
          <w:lang w:val="en-GB"/>
        </w:rPr>
        <w:t>,4</w:t>
      </w:r>
      <w:proofErr w:type="gramEnd"/>
      <w:r w:rsidR="00674A8B" w:rsidRPr="0045556B">
        <w:rPr>
          <w:lang w:val="en-GB"/>
        </w:rPr>
        <w:t>%)</w:t>
      </w:r>
      <w:r w:rsidR="0045556B" w:rsidRPr="0045556B">
        <w:rPr>
          <w:lang w:val="en-GB"/>
        </w:rPr>
        <w:t xml:space="preserve"> and Clothing and Footwear (by</w:t>
      </w:r>
      <w:r w:rsidR="00A07F00" w:rsidRPr="0045556B">
        <w:rPr>
          <w:lang w:val="en-GB"/>
        </w:rPr>
        <w:t xml:space="preserve"> </w:t>
      </w:r>
      <w:r w:rsidR="004B2EAB" w:rsidRPr="0045556B">
        <w:rPr>
          <w:lang w:val="en-GB"/>
        </w:rPr>
        <w:t>1,7</w:t>
      </w:r>
      <w:r w:rsidR="00A07F00" w:rsidRPr="0045556B">
        <w:rPr>
          <w:lang w:val="en-GB"/>
        </w:rPr>
        <w:t xml:space="preserve">%) </w:t>
      </w:r>
      <w:r w:rsidR="000B4505">
        <w:rPr>
          <w:lang w:val="en-GB"/>
        </w:rPr>
        <w:t xml:space="preserve">lowered the index by </w:t>
      </w:r>
      <w:r w:rsidR="00A07F00" w:rsidRPr="0045556B">
        <w:rPr>
          <w:lang w:val="en-GB"/>
        </w:rPr>
        <w:t>0,</w:t>
      </w:r>
      <w:r w:rsidR="00854143" w:rsidRPr="0045556B">
        <w:rPr>
          <w:lang w:val="en-GB"/>
        </w:rPr>
        <w:t>14</w:t>
      </w:r>
      <w:r w:rsidR="00674A8B" w:rsidRPr="0045556B">
        <w:rPr>
          <w:lang w:val="en-GB"/>
        </w:rPr>
        <w:t xml:space="preserve"> p</w:t>
      </w:r>
      <w:r w:rsidR="000B4505">
        <w:rPr>
          <w:lang w:val="en-GB"/>
        </w:rPr>
        <w:t xml:space="preserve">p and </w:t>
      </w:r>
      <w:r w:rsidR="00A07F00" w:rsidRPr="0045556B">
        <w:rPr>
          <w:lang w:val="en-GB"/>
        </w:rPr>
        <w:t>0,</w:t>
      </w:r>
      <w:r w:rsidR="00854143" w:rsidRPr="0045556B">
        <w:rPr>
          <w:lang w:val="en-GB"/>
        </w:rPr>
        <w:t>09</w:t>
      </w:r>
      <w:r w:rsidR="00A07F00" w:rsidRPr="0045556B">
        <w:rPr>
          <w:lang w:val="en-GB"/>
        </w:rPr>
        <w:t xml:space="preserve"> p</w:t>
      </w:r>
      <w:r w:rsidR="000B4505">
        <w:rPr>
          <w:lang w:val="en-GB"/>
        </w:rPr>
        <w:t>p, respectively</w:t>
      </w:r>
      <w:r w:rsidR="00A07F00" w:rsidRPr="0045556B">
        <w:rPr>
          <w:lang w:val="en-GB"/>
        </w:rPr>
        <w:t>.</w:t>
      </w:r>
    </w:p>
    <w:p w:rsidR="00A07F00" w:rsidRPr="0045556B" w:rsidRDefault="00A07F00" w:rsidP="00C27D75">
      <w:pPr>
        <w:rPr>
          <w:lang w:val="en-GB"/>
        </w:rPr>
      </w:pPr>
    </w:p>
    <w:p w:rsidR="00A55B73" w:rsidRPr="0045556B" w:rsidRDefault="00A55B73">
      <w:pPr>
        <w:spacing w:before="0" w:after="160" w:line="259" w:lineRule="auto"/>
        <w:rPr>
          <w:b/>
          <w:spacing w:val="-2"/>
          <w:sz w:val="18"/>
          <w:lang w:val="en-GB"/>
        </w:rPr>
      </w:pPr>
      <w:r w:rsidRPr="0045556B">
        <w:rPr>
          <w:lang w:val="en-GB"/>
        </w:rPr>
        <w:br w:type="page"/>
      </w:r>
    </w:p>
    <w:p w:rsidR="00A07F00" w:rsidRPr="000B4505" w:rsidRDefault="000B4505" w:rsidP="000B4505">
      <w:pPr>
        <w:pStyle w:val="tytuwykresu"/>
        <w:ind w:left="680" w:hanging="680"/>
        <w:rPr>
          <w:shd w:val="clear" w:color="auto" w:fill="FFFFFF"/>
          <w:lang w:val="en-GB"/>
        </w:rPr>
      </w:pPr>
      <w:r w:rsidRPr="003420FE">
        <w:rPr>
          <w:noProof/>
          <w:lang w:val="en-GB" w:eastAsia="pl-PL"/>
        </w:rPr>
        <w:lastRenderedPageBreak/>
        <w:t>Chart 1</w:t>
      </w:r>
      <w:r w:rsidRPr="003420FE">
        <w:rPr>
          <w:noProof/>
          <w:spacing w:val="-4"/>
          <w:lang w:val="en-GB" w:eastAsia="pl-PL"/>
        </w:rPr>
        <w:t xml:space="preserve">. </w:t>
      </w:r>
      <w:r>
        <w:rPr>
          <w:noProof/>
          <w:spacing w:val="-4"/>
          <w:lang w:val="en-GB" w:eastAsia="pl-PL"/>
        </w:rPr>
        <w:t>Contribution</w:t>
      </w:r>
      <w:r w:rsidRPr="003420FE">
        <w:rPr>
          <w:noProof/>
          <w:spacing w:val="-4"/>
          <w:lang w:val="en-GB" w:eastAsia="pl-PL"/>
        </w:rPr>
        <w:t xml:space="preserve"> of price changes of selected groups of consumer go</w:t>
      </w:r>
      <w:r>
        <w:rPr>
          <w:noProof/>
          <w:spacing w:val="-4"/>
          <w:lang w:val="en-GB" w:eastAsia="pl-PL"/>
        </w:rPr>
        <w:t>ods and services in March 2020</w:t>
      </w:r>
      <w:r w:rsidR="00A07F00" w:rsidRPr="000B4505">
        <w:rPr>
          <w:noProof/>
          <w:shd w:val="clear" w:color="auto" w:fill="FFFFFF"/>
          <w:lang w:val="en-GB" w:eastAsia="pl-PL"/>
        </w:rPr>
        <w:t xml:space="preserve"> </w:t>
      </w:r>
      <w:r w:rsidR="0051646A" w:rsidRPr="000B4505">
        <w:rPr>
          <w:noProof/>
          <w:shd w:val="clear" w:color="auto" w:fill="FFFFFF"/>
          <w:lang w:val="en-GB" w:eastAsia="pl-PL"/>
        </w:rPr>
        <w:t>(</w:t>
      </w:r>
      <w:r w:rsidR="00D97742" w:rsidRPr="003420FE">
        <w:rPr>
          <w:noProof/>
          <w:lang w:val="en-GB" w:eastAsia="pl-PL"/>
        </w:rPr>
        <w:t>change in pp compared with the previous period</w:t>
      </w:r>
      <w:r w:rsidR="0051646A" w:rsidRPr="000B4505">
        <w:rPr>
          <w:shd w:val="clear" w:color="auto" w:fill="FFFFFF"/>
          <w:lang w:val="en-GB"/>
        </w:rPr>
        <w:t>)</w:t>
      </w:r>
    </w:p>
    <w:p w:rsidR="00A55B73" w:rsidRPr="000B4505" w:rsidRDefault="00A578B3" w:rsidP="0080551D">
      <w:pPr>
        <w:pStyle w:val="tytuwykresu"/>
        <w:ind w:left="794" w:hanging="794"/>
        <w:rPr>
          <w:b w:val="0"/>
          <w:noProof/>
          <w:shd w:val="clear" w:color="auto" w:fill="FFFFFF"/>
          <w:lang w:val="en-GB" w:eastAsia="pl-PL"/>
        </w:rPr>
      </w:pPr>
      <w:r>
        <w:rPr>
          <w:noProof/>
          <w:lang w:eastAsia="pl-PL"/>
        </w:rPr>
        <w:drawing>
          <wp:anchor distT="0" distB="0" distL="114300" distR="114300" simplePos="0" relativeHeight="251773952" behindDoc="0" locked="0" layoutInCell="1" allowOverlap="1">
            <wp:simplePos x="0" y="0"/>
            <wp:positionH relativeFrom="column">
              <wp:posOffset>3810</wp:posOffset>
            </wp:positionH>
            <wp:positionV relativeFrom="paragraph">
              <wp:posOffset>69215</wp:posOffset>
            </wp:positionV>
            <wp:extent cx="5122545" cy="1962785"/>
            <wp:effectExtent l="0" t="0" r="0" b="0"/>
            <wp:wrapSquare wrapText="bothSides"/>
            <wp:docPr id="10" name="Wykres 10" descr="cccc"/>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A55B73" w:rsidRPr="000B4505" w:rsidRDefault="00A55B73" w:rsidP="0080551D">
      <w:pPr>
        <w:spacing w:before="0" w:after="160" w:line="259" w:lineRule="auto"/>
        <w:ind w:left="794" w:hanging="794"/>
        <w:rPr>
          <w:b/>
          <w:spacing w:val="-2"/>
          <w:sz w:val="18"/>
          <w:lang w:val="en-GB"/>
        </w:rPr>
      </w:pPr>
    </w:p>
    <w:p w:rsidR="00A55B73" w:rsidRPr="000B4505" w:rsidRDefault="00A55B73" w:rsidP="0080551D">
      <w:pPr>
        <w:spacing w:before="0" w:after="160" w:line="259" w:lineRule="auto"/>
        <w:ind w:left="794" w:hanging="794"/>
        <w:rPr>
          <w:b/>
          <w:spacing w:val="-2"/>
          <w:sz w:val="18"/>
          <w:lang w:val="en-GB"/>
        </w:rPr>
      </w:pPr>
    </w:p>
    <w:p w:rsidR="00D11CF3" w:rsidRPr="00D97742" w:rsidRDefault="00D97742" w:rsidP="0080551D">
      <w:pPr>
        <w:spacing w:before="0" w:after="160" w:line="259" w:lineRule="auto"/>
        <w:ind w:left="794" w:hanging="794"/>
        <w:rPr>
          <w:b/>
          <w:spacing w:val="-2"/>
          <w:sz w:val="18"/>
          <w:lang w:val="en-GB"/>
        </w:rPr>
      </w:pPr>
      <w:r w:rsidRPr="00C63D3F">
        <w:rPr>
          <w:b/>
          <w:spacing w:val="-2"/>
          <w:sz w:val="18"/>
          <w:lang w:val="en-GB"/>
        </w:rPr>
        <w:t xml:space="preserve">Chart 2. Weighting system used in the compilations of consumer price indices in </w:t>
      </w:r>
      <w:r w:rsidR="0022272D" w:rsidRPr="00D97742">
        <w:rPr>
          <w:b/>
          <w:spacing w:val="-2"/>
          <w:sz w:val="18"/>
          <w:lang w:val="en-GB"/>
        </w:rPr>
        <w:t>2020</w:t>
      </w:r>
    </w:p>
    <w:p w:rsidR="0022272D" w:rsidRDefault="00A578B3">
      <w:pPr>
        <w:spacing w:before="0" w:after="160" w:line="259" w:lineRule="auto"/>
        <w:rPr>
          <w:b/>
          <w:spacing w:val="-2"/>
          <w:sz w:val="18"/>
        </w:rPr>
      </w:pPr>
      <w:r>
        <w:rPr>
          <w:noProof/>
          <w:lang w:eastAsia="pl-PL"/>
        </w:rPr>
        <w:drawing>
          <wp:inline distT="0" distB="0" distL="0" distR="0" wp14:anchorId="5255C104" wp14:editId="3EDAA114">
            <wp:extent cx="5122545" cy="3599815"/>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55B73" w:rsidRDefault="00A55B73">
      <w:pPr>
        <w:spacing w:before="0" w:after="160" w:line="259" w:lineRule="auto"/>
        <w:rPr>
          <w:b/>
          <w:spacing w:val="-2"/>
          <w:sz w:val="18"/>
        </w:rPr>
      </w:pPr>
      <w:r>
        <w:br w:type="page"/>
      </w:r>
    </w:p>
    <w:p w:rsidR="003A440F" w:rsidRPr="000E4386" w:rsidRDefault="001335DA" w:rsidP="00C27D75">
      <w:pPr>
        <w:pStyle w:val="tytuwykresu"/>
        <w:rPr>
          <w:b w:val="0"/>
          <w:noProof/>
          <w:shd w:val="clear" w:color="auto" w:fill="FFFFFF"/>
          <w:lang w:val="en-GB" w:eastAsia="pl-PL"/>
        </w:rPr>
      </w:pPr>
      <w:r w:rsidRPr="001335DA">
        <w:rPr>
          <w:noProof/>
          <w:lang w:eastAsia="pl-PL"/>
        </w:rPr>
        <w:lastRenderedPageBreak/>
        <w:drawing>
          <wp:anchor distT="0" distB="0" distL="114300" distR="114300" simplePos="0" relativeHeight="251651072" behindDoc="0" locked="0" layoutInCell="1" allowOverlap="1" wp14:anchorId="7A9054E0" wp14:editId="0E150971">
            <wp:simplePos x="0" y="0"/>
            <wp:positionH relativeFrom="column">
              <wp:posOffset>0</wp:posOffset>
            </wp:positionH>
            <wp:positionV relativeFrom="paragraph">
              <wp:posOffset>339725</wp:posOffset>
            </wp:positionV>
            <wp:extent cx="5122800" cy="2494800"/>
            <wp:effectExtent l="0" t="0" r="1905" b="20320"/>
            <wp:wrapSquare wrapText="bothSides"/>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0E4386" w:rsidRPr="000E4386">
        <w:rPr>
          <w:lang w:val="en-GB"/>
        </w:rPr>
        <w:t xml:space="preserve"> </w:t>
      </w:r>
      <w:r w:rsidR="000E4386" w:rsidRPr="00C63D3F">
        <w:rPr>
          <w:lang w:val="en-GB"/>
        </w:rPr>
        <w:t>Chart 3. Consumer prices (change in % compared with the previous period)</w:t>
      </w:r>
      <w:r w:rsidR="003A440F" w:rsidRPr="000E4386">
        <w:rPr>
          <w:b w:val="0"/>
          <w:noProof/>
          <w:shd w:val="clear" w:color="auto" w:fill="FFFFFF"/>
          <w:lang w:val="en-GB" w:eastAsia="pl-PL"/>
        </w:rPr>
        <w:t xml:space="preserve"> </w:t>
      </w:r>
    </w:p>
    <w:p w:rsidR="00DA0243" w:rsidRPr="000E4386" w:rsidRDefault="00DA0243" w:rsidP="0026302B">
      <w:pPr>
        <w:pStyle w:val="LID"/>
        <w:rPr>
          <w:b w:val="0"/>
          <w:spacing w:val="-2"/>
          <w:sz w:val="18"/>
          <w:lang w:val="en-GB"/>
        </w:rPr>
      </w:pPr>
    </w:p>
    <w:p w:rsidR="00034160" w:rsidRPr="000E4386" w:rsidRDefault="009E3F12" w:rsidP="00453D2B">
      <w:pPr>
        <w:pStyle w:val="tytuwykresu"/>
        <w:ind w:left="709" w:hanging="709"/>
        <w:rPr>
          <w:shd w:val="clear" w:color="auto" w:fill="FFFFFF"/>
          <w:lang w:val="en-GB"/>
        </w:rPr>
      </w:pPr>
      <w:r>
        <w:rPr>
          <w:noProof/>
          <w:lang w:eastAsia="pl-PL"/>
        </w:rPr>
        <mc:AlternateContent>
          <mc:Choice Requires="wps">
            <w:drawing>
              <wp:anchor distT="45720" distB="45720" distL="114300" distR="114300" simplePos="0" relativeHeight="251750400" behindDoc="1" locked="0" layoutInCell="1" allowOverlap="1" wp14:anchorId="38930D95" wp14:editId="7C7CF128">
                <wp:simplePos x="0" y="0"/>
                <wp:positionH relativeFrom="column">
                  <wp:posOffset>5267325</wp:posOffset>
                </wp:positionH>
                <wp:positionV relativeFrom="page">
                  <wp:posOffset>4070985</wp:posOffset>
                </wp:positionV>
                <wp:extent cx="1725295" cy="1097280"/>
                <wp:effectExtent l="0" t="0" r="0" b="7620"/>
                <wp:wrapTight wrapText="bothSides">
                  <wp:wrapPolygon edited="0">
                    <wp:start x="477" y="0"/>
                    <wp:lineTo x="477" y="21375"/>
                    <wp:lineTo x="20749" y="21375"/>
                    <wp:lineTo x="20749" y="0"/>
                    <wp:lineTo x="477" y="0"/>
                  </wp:wrapPolygon>
                </wp:wrapTight>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3E6" w:rsidRPr="00571A70" w:rsidRDefault="008243E6" w:rsidP="008243E6">
                            <w:pPr>
                              <w:pStyle w:val="Tekstprzypisudolnego"/>
                              <w:rPr>
                                <w:rFonts w:eastAsia="Times New Roman" w:cs="Times New Roman"/>
                                <w:bCs/>
                                <w:color w:val="001D77"/>
                                <w:sz w:val="18"/>
                                <w:szCs w:val="18"/>
                                <w:lang w:val="en-GB" w:eastAsia="pl-PL"/>
                              </w:rPr>
                            </w:pPr>
                            <w:r>
                              <w:rPr>
                                <w:rFonts w:eastAsia="Times New Roman" w:cs="Times New Roman"/>
                                <w:bCs/>
                                <w:color w:val="001D77"/>
                                <w:sz w:val="18"/>
                                <w:szCs w:val="18"/>
                                <w:lang w:val="en-GB" w:eastAsia="pl-PL"/>
                              </w:rPr>
                              <w:t>In March 2020 the con</w:t>
                            </w:r>
                            <w:r w:rsidRPr="00FC0C8B">
                              <w:rPr>
                                <w:rFonts w:eastAsia="Times New Roman" w:cs="Times New Roman"/>
                                <w:bCs/>
                                <w:color w:val="001D77"/>
                                <w:sz w:val="18"/>
                                <w:szCs w:val="18"/>
                                <w:lang w:val="en-GB" w:eastAsia="pl-PL"/>
                              </w:rPr>
                              <w:t xml:space="preserve">sumer price index was above the upper </w:t>
                            </w:r>
                            <w:r>
                              <w:rPr>
                                <w:rFonts w:eastAsia="Times New Roman" w:cs="Times New Roman"/>
                                <w:bCs/>
                                <w:color w:val="001D77"/>
                                <w:sz w:val="18"/>
                                <w:szCs w:val="18"/>
                                <w:lang w:val="en-GB" w:eastAsia="pl-PL"/>
                              </w:rPr>
                              <w:t>band for devia</w:t>
                            </w:r>
                            <w:r w:rsidRPr="00FC0C8B">
                              <w:rPr>
                                <w:rFonts w:eastAsia="Times New Roman" w:cs="Times New Roman"/>
                                <w:bCs/>
                                <w:color w:val="001D77"/>
                                <w:sz w:val="18"/>
                                <w:szCs w:val="18"/>
                                <w:lang w:val="en-GB" w:eastAsia="pl-PL"/>
                              </w:rPr>
                              <w:t>tions from inflation target determined by the Monetary Policy Council (2</w:t>
                            </w:r>
                            <w:proofErr w:type="gramStart"/>
                            <w:r w:rsidRPr="00FC0C8B">
                              <w:rPr>
                                <w:rFonts w:eastAsia="Times New Roman" w:cs="Times New Roman"/>
                                <w:bCs/>
                                <w:color w:val="001D77"/>
                                <w:sz w:val="18"/>
                                <w:szCs w:val="18"/>
                                <w:lang w:val="en-GB" w:eastAsia="pl-PL"/>
                              </w:rPr>
                              <w:t>,5</w:t>
                            </w:r>
                            <w:proofErr w:type="gramEnd"/>
                            <w:r w:rsidRPr="00FC0C8B">
                              <w:rPr>
                                <w:rFonts w:eastAsia="Times New Roman" w:cs="Times New Roman"/>
                                <w:bCs/>
                                <w:color w:val="001D77"/>
                                <w:sz w:val="18"/>
                                <w:szCs w:val="18"/>
                                <w:lang w:val="en-GB" w:eastAsia="pl-PL"/>
                              </w:rPr>
                              <w:t>% +/- 1 pp)</w:t>
                            </w:r>
                          </w:p>
                          <w:p w:rsidR="008243E6" w:rsidRPr="008243E6" w:rsidRDefault="008243E6" w:rsidP="007364D7">
                            <w:pPr>
                              <w:pStyle w:val="Tekstprzypisudolnego"/>
                              <w:rPr>
                                <w:rFonts w:eastAsia="Times New Roman" w:cs="Times New Roman"/>
                                <w:bCs/>
                                <w:color w:val="001D77"/>
                                <w:sz w:val="18"/>
                                <w:szCs w:val="18"/>
                                <w:lang w:val="en-GB" w:eastAsia="pl-P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30D95" id="Text Box 25" o:spid="_x0000_s1027" type="#_x0000_t202" style="position:absolute;left:0;text-align:left;margin-left:414.75pt;margin-top:320.55pt;width:135.85pt;height:86.4pt;z-index:-251566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" filled="f" stroked="f">
                <v:textbox>
                  <w:txbxContent>
                    <w:p w:rsidR="008243E6" w:rsidRPr="00571A70" w:rsidRDefault="008243E6" w:rsidP="008243E6">
                      <w:pPr>
                        <w:pStyle w:val="Tekstprzypisudolnego"/>
                        <w:rPr>
                          <w:rFonts w:eastAsia="Times New Roman" w:cs="Times New Roman"/>
                          <w:bCs/>
                          <w:color w:val="001D77"/>
                          <w:sz w:val="18"/>
                          <w:szCs w:val="18"/>
                          <w:lang w:val="en-GB" w:eastAsia="pl-PL"/>
                        </w:rPr>
                      </w:pPr>
                      <w:r>
                        <w:rPr>
                          <w:rFonts w:eastAsia="Times New Roman" w:cs="Times New Roman"/>
                          <w:bCs/>
                          <w:color w:val="001D77"/>
                          <w:sz w:val="18"/>
                          <w:szCs w:val="18"/>
                          <w:lang w:val="en-GB" w:eastAsia="pl-PL"/>
                        </w:rPr>
                        <w:t>In March 2020 the con</w:t>
                      </w:r>
                      <w:r w:rsidRPr="00FC0C8B">
                        <w:rPr>
                          <w:rFonts w:eastAsia="Times New Roman" w:cs="Times New Roman"/>
                          <w:bCs/>
                          <w:color w:val="001D77"/>
                          <w:sz w:val="18"/>
                          <w:szCs w:val="18"/>
                          <w:lang w:val="en-GB" w:eastAsia="pl-PL"/>
                        </w:rPr>
                        <w:t xml:space="preserve">sumer price index was above the upper </w:t>
                      </w:r>
                      <w:r>
                        <w:rPr>
                          <w:rFonts w:eastAsia="Times New Roman" w:cs="Times New Roman"/>
                          <w:bCs/>
                          <w:color w:val="001D77"/>
                          <w:sz w:val="18"/>
                          <w:szCs w:val="18"/>
                          <w:lang w:val="en-GB" w:eastAsia="pl-PL"/>
                        </w:rPr>
                        <w:t>band for devia</w:t>
                      </w:r>
                      <w:r w:rsidRPr="00FC0C8B">
                        <w:rPr>
                          <w:rFonts w:eastAsia="Times New Roman" w:cs="Times New Roman"/>
                          <w:bCs/>
                          <w:color w:val="001D77"/>
                          <w:sz w:val="18"/>
                          <w:szCs w:val="18"/>
                          <w:lang w:val="en-GB" w:eastAsia="pl-PL"/>
                        </w:rPr>
                        <w:t>tions from inflation target determined by the Monetary Policy Council (2</w:t>
                      </w:r>
                      <w:proofErr w:type="gramStart"/>
                      <w:r w:rsidRPr="00FC0C8B">
                        <w:rPr>
                          <w:rFonts w:eastAsia="Times New Roman" w:cs="Times New Roman"/>
                          <w:bCs/>
                          <w:color w:val="001D77"/>
                          <w:sz w:val="18"/>
                          <w:szCs w:val="18"/>
                          <w:lang w:val="en-GB" w:eastAsia="pl-PL"/>
                        </w:rPr>
                        <w:t>,5</w:t>
                      </w:r>
                      <w:proofErr w:type="gramEnd"/>
                      <w:r w:rsidRPr="00FC0C8B">
                        <w:rPr>
                          <w:rFonts w:eastAsia="Times New Roman" w:cs="Times New Roman"/>
                          <w:bCs/>
                          <w:color w:val="001D77"/>
                          <w:sz w:val="18"/>
                          <w:szCs w:val="18"/>
                          <w:lang w:val="en-GB" w:eastAsia="pl-PL"/>
                        </w:rPr>
                        <w:t>% +/- 1 pp)</w:t>
                      </w:r>
                    </w:p>
                    <w:p w:rsidR="008243E6" w:rsidRPr="008243E6" w:rsidRDefault="008243E6" w:rsidP="007364D7">
                      <w:pPr>
                        <w:pStyle w:val="Tekstprzypisudolnego"/>
                        <w:rPr>
                          <w:rFonts w:eastAsia="Times New Roman" w:cs="Times New Roman"/>
                          <w:bCs/>
                          <w:color w:val="001D77"/>
                          <w:sz w:val="18"/>
                          <w:szCs w:val="18"/>
                          <w:lang w:val="en-GB" w:eastAsia="pl-PL"/>
                        </w:rPr>
                      </w:pPr>
                    </w:p>
                  </w:txbxContent>
                </v:textbox>
                <w10:wrap type="tight" anchory="page"/>
              </v:shape>
            </w:pict>
          </mc:Fallback>
        </mc:AlternateContent>
      </w:r>
      <w:r w:rsidR="000E4386" w:rsidRPr="000E4386">
        <w:rPr>
          <w:lang w:val="en-GB"/>
        </w:rPr>
        <w:t xml:space="preserve"> </w:t>
      </w:r>
      <w:r w:rsidR="000E4386" w:rsidRPr="00C63D3F">
        <w:rPr>
          <w:lang w:val="en-GB"/>
        </w:rPr>
        <w:t xml:space="preserve">Chart 4. Consumer prices </w:t>
      </w:r>
      <w:r w:rsidR="000E4386" w:rsidRPr="00C63D3F">
        <w:rPr>
          <w:lang w:val="en-GB"/>
        </w:rPr>
        <w:br/>
        <w:t>(change in % compared with the corresponding period of the previous year)</w:t>
      </w:r>
    </w:p>
    <w:p w:rsidR="00034160" w:rsidRPr="00502F8C" w:rsidRDefault="007364D7" w:rsidP="00034160">
      <w:pPr>
        <w:spacing w:before="0" w:after="160" w:line="259" w:lineRule="auto"/>
        <w:rPr>
          <w:sz w:val="18"/>
          <w:highlight w:val="yellow"/>
        </w:rPr>
      </w:pPr>
      <w:r>
        <w:rPr>
          <w:noProof/>
          <w:lang w:eastAsia="pl-PL"/>
        </w:rPr>
        <w:drawing>
          <wp:inline distT="0" distB="0" distL="0" distR="0" wp14:anchorId="561AC14D" wp14:editId="5B767D97">
            <wp:extent cx="5120559" cy="2578553"/>
            <wp:effectExtent l="0" t="0" r="0" b="1270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55B73" w:rsidRDefault="00A55B73" w:rsidP="00DE775D">
      <w:pPr>
        <w:pStyle w:val="tytuwykresu"/>
        <w:ind w:left="794" w:hanging="794"/>
      </w:pPr>
    </w:p>
    <w:p w:rsidR="001E7DBB" w:rsidRPr="00453D2B" w:rsidRDefault="00453D2B" w:rsidP="002664AF">
      <w:pPr>
        <w:pStyle w:val="tytuwykresu"/>
        <w:ind w:left="680" w:hanging="680"/>
        <w:rPr>
          <w:bCs/>
          <w:shd w:val="clear" w:color="auto" w:fill="FFFFFF"/>
          <w:lang w:val="en-GB"/>
        </w:rPr>
      </w:pPr>
      <w:r w:rsidRPr="00C63D3F">
        <w:rPr>
          <w:lang w:val="en-GB"/>
        </w:rPr>
        <w:t>Chart 5.</w:t>
      </w:r>
      <w:r w:rsidRPr="00C63D3F">
        <w:rPr>
          <w:shd w:val="clear" w:color="auto" w:fill="FFFFFF"/>
          <w:lang w:val="en-GB"/>
        </w:rPr>
        <w:t xml:space="preserve"> </w:t>
      </w:r>
      <w:r w:rsidRPr="00C63D3F">
        <w:rPr>
          <w:bCs/>
          <w:shd w:val="clear" w:color="auto" w:fill="FFFFFF"/>
          <w:lang w:val="en-GB"/>
        </w:rPr>
        <w:t xml:space="preserve">Consumer price index (CPI) and harmonised index of consumer prices (HICP) </w:t>
      </w:r>
      <w:r w:rsidRPr="00C63D3F">
        <w:rPr>
          <w:bCs/>
          <w:shd w:val="clear" w:color="auto" w:fill="FFFFFF"/>
          <w:lang w:val="en-GB"/>
        </w:rPr>
        <w:br/>
        <w:t>(change in % compared with the corresponding period of the previous year)</w:t>
      </w:r>
    </w:p>
    <w:p w:rsidR="00820461" w:rsidRPr="00502F8C" w:rsidRDefault="00571BA5">
      <w:pPr>
        <w:spacing w:before="0" w:after="160" w:line="259" w:lineRule="auto"/>
        <w:rPr>
          <w:b/>
          <w:noProof/>
          <w:sz w:val="18"/>
          <w:szCs w:val="19"/>
          <w:highlight w:val="yellow"/>
          <w:lang w:eastAsia="pl-PL"/>
        </w:rPr>
      </w:pPr>
      <w:r>
        <w:rPr>
          <w:noProof/>
          <w:lang w:eastAsia="pl-PL"/>
        </w:rPr>
        <w:drawing>
          <wp:inline distT="0" distB="0" distL="0" distR="0" wp14:anchorId="6BBCE2CB" wp14:editId="485576E3">
            <wp:extent cx="5122545" cy="2508250"/>
            <wp:effectExtent l="0" t="0" r="0" b="635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820461" w:rsidRPr="00502F8C">
        <w:rPr>
          <w:sz w:val="18"/>
          <w:highlight w:val="yellow"/>
        </w:rPr>
        <w:br w:type="page"/>
      </w:r>
    </w:p>
    <w:p w:rsidR="00516A50" w:rsidRPr="00453D2B" w:rsidRDefault="00453D2B" w:rsidP="00516A50">
      <w:pPr>
        <w:pStyle w:val="LID"/>
        <w:rPr>
          <w:bCs/>
          <w:sz w:val="18"/>
          <w:shd w:val="clear" w:color="auto" w:fill="FFFFFF"/>
          <w:lang w:val="en-GB"/>
        </w:rPr>
      </w:pPr>
      <w:r w:rsidRPr="00C63D3F">
        <w:rPr>
          <w:sz w:val="18"/>
          <w:lang w:val="en-GB"/>
        </w:rPr>
        <w:lastRenderedPageBreak/>
        <w:t>Table 2.</w:t>
      </w:r>
      <w:r w:rsidRPr="00C63D3F">
        <w:rPr>
          <w:sz w:val="18"/>
          <w:shd w:val="clear" w:color="auto" w:fill="FFFFFF"/>
          <w:lang w:val="en-GB"/>
        </w:rPr>
        <w:t xml:space="preserve"> </w:t>
      </w:r>
      <w:r w:rsidRPr="00C63D3F">
        <w:rPr>
          <w:bCs/>
          <w:sz w:val="18"/>
          <w:shd w:val="clear" w:color="auto" w:fill="FFFFFF"/>
          <w:lang w:val="en-GB"/>
        </w:rPr>
        <w:t xml:space="preserve">Consumer price indices in March </w:t>
      </w:r>
      <w:r w:rsidR="007364D7" w:rsidRPr="00453D2B">
        <w:rPr>
          <w:sz w:val="18"/>
          <w:lang w:val="en-GB"/>
        </w:rPr>
        <w:t>2020</w:t>
      </w:r>
    </w:p>
    <w:p w:rsidR="00DE775D" w:rsidRPr="00453D2B" w:rsidRDefault="00DE775D" w:rsidP="00516A50">
      <w:pPr>
        <w:pStyle w:val="LID"/>
        <w:rPr>
          <w:bCs/>
          <w:sz w:val="18"/>
          <w:shd w:val="clear" w:color="auto" w:fill="FFFFFF"/>
          <w:lang w:val="en-GB"/>
        </w:rPr>
      </w:pPr>
    </w:p>
    <w:tbl>
      <w:tblPr>
        <w:tblW w:w="8148" w:type="dxa"/>
        <w:tblInd w:w="70" w:type="dxa"/>
        <w:tblLayout w:type="fixed"/>
        <w:tblCellMar>
          <w:left w:w="70" w:type="dxa"/>
          <w:right w:w="70" w:type="dxa"/>
        </w:tblCellMar>
        <w:tblLook w:val="04A0" w:firstRow="1" w:lastRow="0" w:firstColumn="1" w:lastColumn="0" w:noHBand="0" w:noVBand="1"/>
      </w:tblPr>
      <w:tblGrid>
        <w:gridCol w:w="3259"/>
        <w:gridCol w:w="972"/>
        <w:gridCol w:w="972"/>
        <w:gridCol w:w="979"/>
        <w:gridCol w:w="972"/>
        <w:gridCol w:w="973"/>
        <w:gridCol w:w="21"/>
      </w:tblGrid>
      <w:tr w:rsidR="00593CF4" w:rsidRPr="00AA13BD" w:rsidTr="00BD71BA">
        <w:trPr>
          <w:cantSplit/>
          <w:trHeight w:val="315"/>
          <w:tblHeader/>
        </w:trPr>
        <w:tc>
          <w:tcPr>
            <w:tcW w:w="3259" w:type="dxa"/>
            <w:vMerge w:val="restart"/>
            <w:tcBorders>
              <w:top w:val="nil"/>
              <w:left w:val="nil"/>
              <w:bottom w:val="nil"/>
              <w:right w:val="single" w:sz="8" w:space="0" w:color="212492"/>
            </w:tcBorders>
            <w:shd w:val="clear" w:color="auto" w:fill="auto"/>
            <w:vAlign w:val="center"/>
            <w:hideMark/>
          </w:tcPr>
          <w:p w:rsidR="00593CF4" w:rsidRPr="00AA13BD" w:rsidRDefault="00453D2B" w:rsidP="00BD71BA">
            <w:pPr>
              <w:spacing w:before="0" w:after="0" w:line="240" w:lineRule="auto"/>
              <w:jc w:val="center"/>
              <w:rPr>
                <w:rFonts w:eastAsia="Times New Roman" w:cs="Calibri"/>
                <w:sz w:val="16"/>
                <w:szCs w:val="16"/>
                <w:lang w:eastAsia="pl-PL"/>
              </w:rPr>
            </w:pPr>
            <w:r w:rsidRPr="00C63D3F">
              <w:rPr>
                <w:rFonts w:eastAsia="Times New Roman" w:cs="Arial"/>
                <w:sz w:val="16"/>
                <w:szCs w:val="16"/>
                <w:lang w:val="en-GB" w:eastAsia="pl-PL"/>
              </w:rPr>
              <w:t>SPECIFICATION</w:t>
            </w:r>
          </w:p>
        </w:tc>
        <w:tc>
          <w:tcPr>
            <w:tcW w:w="2923" w:type="dxa"/>
            <w:gridSpan w:val="3"/>
            <w:tcBorders>
              <w:top w:val="nil"/>
              <w:left w:val="nil"/>
              <w:bottom w:val="single" w:sz="8" w:space="0" w:color="212492"/>
              <w:right w:val="single" w:sz="8" w:space="0" w:color="212492"/>
            </w:tcBorders>
            <w:shd w:val="clear" w:color="auto" w:fill="auto"/>
            <w:vAlign w:val="center"/>
            <w:hideMark/>
          </w:tcPr>
          <w:p w:rsidR="00593CF4" w:rsidRPr="00AA13BD" w:rsidRDefault="00247B43" w:rsidP="00BD71BA">
            <w:pPr>
              <w:spacing w:before="0" w:after="0" w:line="240" w:lineRule="auto"/>
              <w:jc w:val="center"/>
              <w:rPr>
                <w:rFonts w:eastAsia="Times New Roman" w:cs="Calibri"/>
                <w:sz w:val="16"/>
                <w:szCs w:val="16"/>
                <w:lang w:eastAsia="pl-PL"/>
              </w:rPr>
            </w:pPr>
            <w:r>
              <w:rPr>
                <w:rFonts w:eastAsia="Times New Roman" w:cs="Calibri"/>
                <w:sz w:val="16"/>
                <w:szCs w:val="16"/>
                <w:lang w:eastAsia="pl-PL"/>
              </w:rPr>
              <w:t>III 2020</w:t>
            </w:r>
          </w:p>
        </w:tc>
        <w:tc>
          <w:tcPr>
            <w:tcW w:w="1966" w:type="dxa"/>
            <w:gridSpan w:val="3"/>
            <w:tcBorders>
              <w:top w:val="nil"/>
              <w:left w:val="nil"/>
              <w:bottom w:val="single" w:sz="8" w:space="0" w:color="212492"/>
              <w:right w:val="nil"/>
            </w:tcBorders>
            <w:shd w:val="clear" w:color="auto" w:fill="auto"/>
            <w:vAlign w:val="center"/>
            <w:hideMark/>
          </w:tcPr>
          <w:p w:rsidR="00593CF4" w:rsidRPr="00AA13BD" w:rsidRDefault="00247B43" w:rsidP="00BD71BA">
            <w:pPr>
              <w:spacing w:before="0" w:after="0" w:line="240" w:lineRule="auto"/>
              <w:jc w:val="center"/>
              <w:rPr>
                <w:rFonts w:eastAsia="Times New Roman" w:cs="Calibri"/>
                <w:sz w:val="16"/>
                <w:szCs w:val="16"/>
                <w:lang w:eastAsia="pl-PL"/>
              </w:rPr>
            </w:pPr>
            <w:r>
              <w:rPr>
                <w:rFonts w:eastAsia="Times New Roman" w:cs="Calibri"/>
                <w:sz w:val="16"/>
                <w:szCs w:val="16"/>
                <w:lang w:eastAsia="pl-PL"/>
              </w:rPr>
              <w:t>I-III 2020</w:t>
            </w:r>
          </w:p>
        </w:tc>
      </w:tr>
      <w:tr w:rsidR="00593CF4" w:rsidRPr="00AA13BD" w:rsidTr="00BD71BA">
        <w:trPr>
          <w:gridAfter w:val="1"/>
          <w:wAfter w:w="21" w:type="dxa"/>
          <w:cantSplit/>
          <w:trHeight w:val="465"/>
          <w:tblHeader/>
        </w:trPr>
        <w:tc>
          <w:tcPr>
            <w:tcW w:w="3259" w:type="dxa"/>
            <w:vMerge/>
            <w:tcBorders>
              <w:top w:val="nil"/>
              <w:left w:val="nil"/>
              <w:bottom w:val="single" w:sz="12" w:space="0" w:color="212492"/>
              <w:right w:val="single" w:sz="8" w:space="0" w:color="212492"/>
            </w:tcBorders>
            <w:vAlign w:val="center"/>
            <w:hideMark/>
          </w:tcPr>
          <w:p w:rsidR="00593CF4" w:rsidRPr="00AA13BD" w:rsidRDefault="00593CF4" w:rsidP="00BD71BA">
            <w:pPr>
              <w:spacing w:before="0" w:after="0" w:line="240" w:lineRule="auto"/>
              <w:rPr>
                <w:rFonts w:eastAsia="Times New Roman" w:cs="Calibri"/>
                <w:sz w:val="16"/>
                <w:szCs w:val="16"/>
                <w:lang w:eastAsia="pl-PL"/>
              </w:rPr>
            </w:pPr>
          </w:p>
        </w:tc>
        <w:tc>
          <w:tcPr>
            <w:tcW w:w="972" w:type="dxa"/>
            <w:tcBorders>
              <w:top w:val="nil"/>
              <w:left w:val="nil"/>
              <w:bottom w:val="single" w:sz="12" w:space="0" w:color="212492"/>
              <w:right w:val="nil"/>
            </w:tcBorders>
            <w:shd w:val="clear" w:color="auto" w:fill="auto"/>
            <w:vAlign w:val="center"/>
            <w:hideMark/>
          </w:tcPr>
          <w:p w:rsidR="00593CF4" w:rsidRPr="00AA13BD" w:rsidRDefault="00593CF4" w:rsidP="00247B43">
            <w:pPr>
              <w:spacing w:before="0" w:after="0" w:line="240" w:lineRule="auto"/>
              <w:jc w:val="center"/>
              <w:rPr>
                <w:rFonts w:eastAsia="Times New Roman" w:cs="Calibri"/>
                <w:sz w:val="16"/>
                <w:szCs w:val="16"/>
                <w:lang w:eastAsia="pl-PL"/>
              </w:rPr>
            </w:pPr>
            <w:r w:rsidRPr="00AA13BD">
              <w:rPr>
                <w:rFonts w:eastAsia="Times New Roman" w:cs="Calibri"/>
                <w:sz w:val="16"/>
                <w:szCs w:val="16"/>
                <w:lang w:eastAsia="pl-PL"/>
              </w:rPr>
              <w:t>III 201</w:t>
            </w:r>
            <w:r w:rsidR="00247B43">
              <w:rPr>
                <w:rFonts w:eastAsia="Times New Roman" w:cs="Calibri"/>
                <w:sz w:val="16"/>
                <w:szCs w:val="16"/>
                <w:lang w:eastAsia="pl-PL"/>
              </w:rPr>
              <w:t>9</w:t>
            </w:r>
            <w:r w:rsidRPr="00AA13BD">
              <w:rPr>
                <w:rFonts w:eastAsia="Times New Roman" w:cs="Calibri"/>
                <w:sz w:val="16"/>
                <w:szCs w:val="16"/>
                <w:lang w:eastAsia="pl-PL"/>
              </w:rPr>
              <w:t>=</w:t>
            </w:r>
            <w:r w:rsidRPr="00AA13BD">
              <w:rPr>
                <w:rFonts w:eastAsia="Times New Roman" w:cs="Calibri"/>
                <w:sz w:val="16"/>
                <w:szCs w:val="16"/>
                <w:lang w:eastAsia="pl-PL"/>
              </w:rPr>
              <w:br/>
              <w:t>=100</w:t>
            </w:r>
          </w:p>
        </w:tc>
        <w:tc>
          <w:tcPr>
            <w:tcW w:w="972" w:type="dxa"/>
            <w:tcBorders>
              <w:top w:val="nil"/>
              <w:left w:val="single" w:sz="8" w:space="0" w:color="212492"/>
              <w:bottom w:val="single" w:sz="12" w:space="0" w:color="212492"/>
              <w:right w:val="nil"/>
            </w:tcBorders>
            <w:shd w:val="clear" w:color="auto" w:fill="auto"/>
            <w:vAlign w:val="center"/>
            <w:hideMark/>
          </w:tcPr>
          <w:p w:rsidR="00593CF4" w:rsidRPr="00AA13BD" w:rsidRDefault="00593CF4" w:rsidP="00BD71BA">
            <w:pPr>
              <w:spacing w:before="0" w:after="0" w:line="240" w:lineRule="auto"/>
              <w:jc w:val="center"/>
              <w:rPr>
                <w:rFonts w:eastAsia="Times New Roman" w:cs="Calibri"/>
                <w:sz w:val="16"/>
                <w:szCs w:val="16"/>
                <w:lang w:eastAsia="pl-PL"/>
              </w:rPr>
            </w:pPr>
            <w:r w:rsidRPr="00AA13BD">
              <w:rPr>
                <w:rFonts w:eastAsia="Times New Roman" w:cs="Calibri"/>
                <w:sz w:val="16"/>
                <w:szCs w:val="16"/>
                <w:lang w:eastAsia="pl-PL"/>
              </w:rPr>
              <w:t>X</w:t>
            </w:r>
            <w:r w:rsidR="00247B43">
              <w:rPr>
                <w:rFonts w:eastAsia="Times New Roman" w:cs="Calibri"/>
                <w:sz w:val="16"/>
                <w:szCs w:val="16"/>
                <w:lang w:eastAsia="pl-PL"/>
              </w:rPr>
              <w:t>II 2019</w:t>
            </w:r>
            <w:r w:rsidRPr="00AA13BD">
              <w:rPr>
                <w:rFonts w:eastAsia="Times New Roman" w:cs="Calibri"/>
                <w:sz w:val="16"/>
                <w:szCs w:val="16"/>
                <w:lang w:eastAsia="pl-PL"/>
              </w:rPr>
              <w:t>=</w:t>
            </w:r>
            <w:r w:rsidRPr="00AA13BD">
              <w:rPr>
                <w:rFonts w:eastAsia="Times New Roman" w:cs="Calibri"/>
                <w:sz w:val="16"/>
                <w:szCs w:val="16"/>
                <w:lang w:eastAsia="pl-PL"/>
              </w:rPr>
              <w:br/>
              <w:t>=100</w:t>
            </w:r>
          </w:p>
        </w:tc>
        <w:tc>
          <w:tcPr>
            <w:tcW w:w="979" w:type="dxa"/>
            <w:tcBorders>
              <w:top w:val="nil"/>
              <w:left w:val="single" w:sz="8" w:space="0" w:color="212492"/>
              <w:bottom w:val="single" w:sz="12" w:space="0" w:color="212492"/>
              <w:right w:val="nil"/>
            </w:tcBorders>
            <w:shd w:val="clear" w:color="auto" w:fill="auto"/>
            <w:vAlign w:val="center"/>
            <w:hideMark/>
          </w:tcPr>
          <w:p w:rsidR="00593CF4" w:rsidRPr="00AA13BD" w:rsidRDefault="00247B43" w:rsidP="00BD71BA">
            <w:pPr>
              <w:spacing w:before="0" w:after="0" w:line="240" w:lineRule="auto"/>
              <w:jc w:val="center"/>
              <w:rPr>
                <w:rFonts w:eastAsia="Times New Roman" w:cs="Calibri"/>
                <w:sz w:val="16"/>
                <w:szCs w:val="16"/>
                <w:lang w:eastAsia="pl-PL"/>
              </w:rPr>
            </w:pPr>
            <w:r>
              <w:rPr>
                <w:rFonts w:eastAsia="Times New Roman" w:cs="Calibri"/>
                <w:sz w:val="16"/>
                <w:szCs w:val="16"/>
                <w:lang w:eastAsia="pl-PL"/>
              </w:rPr>
              <w:t>II 2020</w:t>
            </w:r>
            <w:r w:rsidR="00593CF4" w:rsidRPr="00AA13BD">
              <w:rPr>
                <w:rFonts w:eastAsia="Times New Roman" w:cs="Calibri"/>
                <w:sz w:val="16"/>
                <w:szCs w:val="16"/>
                <w:lang w:eastAsia="pl-PL"/>
              </w:rPr>
              <w:t>=</w:t>
            </w:r>
            <w:r w:rsidR="00593CF4" w:rsidRPr="00AA13BD">
              <w:rPr>
                <w:rFonts w:eastAsia="Times New Roman" w:cs="Calibri"/>
                <w:sz w:val="16"/>
                <w:szCs w:val="16"/>
                <w:lang w:eastAsia="pl-PL"/>
              </w:rPr>
              <w:br/>
              <w:t>=100</w:t>
            </w:r>
          </w:p>
        </w:tc>
        <w:tc>
          <w:tcPr>
            <w:tcW w:w="972" w:type="dxa"/>
            <w:tcBorders>
              <w:top w:val="nil"/>
              <w:left w:val="single" w:sz="8" w:space="0" w:color="212492"/>
              <w:bottom w:val="single" w:sz="12" w:space="0" w:color="212492"/>
              <w:right w:val="nil"/>
            </w:tcBorders>
            <w:shd w:val="clear" w:color="auto" w:fill="auto"/>
            <w:vAlign w:val="center"/>
            <w:hideMark/>
          </w:tcPr>
          <w:p w:rsidR="00593CF4" w:rsidRPr="00AA13BD" w:rsidRDefault="00593CF4" w:rsidP="00BD71BA">
            <w:pPr>
              <w:spacing w:before="0" w:after="0" w:line="240" w:lineRule="auto"/>
              <w:jc w:val="center"/>
              <w:rPr>
                <w:rFonts w:eastAsia="Times New Roman" w:cs="Calibri"/>
                <w:sz w:val="16"/>
                <w:szCs w:val="16"/>
                <w:lang w:eastAsia="pl-PL"/>
              </w:rPr>
            </w:pPr>
            <w:r w:rsidRPr="00AA13BD">
              <w:rPr>
                <w:rFonts w:eastAsia="Times New Roman" w:cs="Calibri"/>
                <w:sz w:val="16"/>
                <w:szCs w:val="16"/>
                <w:lang w:eastAsia="pl-PL"/>
              </w:rPr>
              <w:t>I-III</w:t>
            </w:r>
            <w:r w:rsidR="00247B43">
              <w:rPr>
                <w:rFonts w:eastAsia="Times New Roman" w:cs="Calibri"/>
                <w:sz w:val="16"/>
                <w:szCs w:val="16"/>
                <w:lang w:eastAsia="pl-PL"/>
              </w:rPr>
              <w:t xml:space="preserve"> 2019</w:t>
            </w:r>
            <w:r w:rsidRPr="00AA13BD">
              <w:rPr>
                <w:rFonts w:eastAsia="Times New Roman" w:cs="Calibri"/>
                <w:sz w:val="16"/>
                <w:szCs w:val="16"/>
                <w:lang w:eastAsia="pl-PL"/>
              </w:rPr>
              <w:t>= =100</w:t>
            </w:r>
          </w:p>
        </w:tc>
        <w:tc>
          <w:tcPr>
            <w:tcW w:w="973" w:type="dxa"/>
            <w:tcBorders>
              <w:top w:val="nil"/>
              <w:left w:val="single" w:sz="8" w:space="0" w:color="212492"/>
              <w:bottom w:val="single" w:sz="12" w:space="0" w:color="212492"/>
              <w:right w:val="nil"/>
            </w:tcBorders>
            <w:shd w:val="clear" w:color="auto" w:fill="auto"/>
            <w:vAlign w:val="center"/>
            <w:hideMark/>
          </w:tcPr>
          <w:p w:rsidR="00593CF4" w:rsidRPr="00AA13BD" w:rsidRDefault="00247B43" w:rsidP="00BD71BA">
            <w:pPr>
              <w:spacing w:before="0" w:after="0" w:line="240" w:lineRule="auto"/>
              <w:jc w:val="center"/>
              <w:rPr>
                <w:rFonts w:eastAsia="Times New Roman" w:cs="Calibri"/>
                <w:sz w:val="16"/>
                <w:szCs w:val="16"/>
                <w:lang w:eastAsia="pl-PL"/>
              </w:rPr>
            </w:pPr>
            <w:r>
              <w:rPr>
                <w:rFonts w:eastAsia="Times New Roman" w:cs="Calibri"/>
                <w:sz w:val="16"/>
                <w:szCs w:val="16"/>
                <w:lang w:eastAsia="pl-PL"/>
              </w:rPr>
              <w:t>X-XII 2019</w:t>
            </w:r>
            <w:r w:rsidR="00593CF4" w:rsidRPr="00AA13BD">
              <w:rPr>
                <w:rFonts w:eastAsia="Times New Roman" w:cs="Calibri"/>
                <w:sz w:val="16"/>
                <w:szCs w:val="16"/>
                <w:lang w:eastAsia="pl-PL"/>
              </w:rPr>
              <w:t>= =100</w:t>
            </w:r>
          </w:p>
        </w:tc>
      </w:tr>
      <w:tr w:rsidR="00453D2B" w:rsidRPr="00DB51F0" w:rsidTr="00DB51F0">
        <w:trPr>
          <w:gridAfter w:val="1"/>
          <w:wAfter w:w="21" w:type="dxa"/>
          <w:trHeight w:val="330"/>
        </w:trPr>
        <w:tc>
          <w:tcPr>
            <w:tcW w:w="3259" w:type="dxa"/>
            <w:tcBorders>
              <w:top w:val="single" w:sz="12" w:space="0" w:color="212492"/>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line="240" w:lineRule="auto"/>
              <w:rPr>
                <w:rFonts w:eastAsia="Times New Roman" w:cs="Calibri"/>
                <w:b/>
                <w:bCs/>
                <w:color w:val="000000"/>
                <w:sz w:val="16"/>
                <w:szCs w:val="16"/>
                <w:lang w:val="en-GB" w:eastAsia="pl-PL"/>
              </w:rPr>
            </w:pPr>
            <w:r w:rsidRPr="00C63D3F">
              <w:rPr>
                <w:rFonts w:cs="Arial"/>
                <w:b/>
                <w:bCs/>
                <w:color w:val="000000"/>
                <w:sz w:val="16"/>
                <w:szCs w:val="16"/>
                <w:lang w:val="en-GB"/>
              </w:rPr>
              <w:t>TOTAL</w:t>
            </w:r>
          </w:p>
        </w:tc>
        <w:tc>
          <w:tcPr>
            <w:tcW w:w="972" w:type="dxa"/>
            <w:tcBorders>
              <w:top w:val="single" w:sz="12" w:space="0" w:color="212492"/>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b/>
                <w:color w:val="000000"/>
                <w:sz w:val="16"/>
                <w:szCs w:val="16"/>
                <w:lang w:eastAsia="pl-PL"/>
              </w:rPr>
            </w:pPr>
            <w:r w:rsidRPr="002147B5">
              <w:rPr>
                <w:rFonts w:eastAsia="Times New Roman" w:cs="Arial"/>
                <w:b/>
                <w:color w:val="000000"/>
                <w:sz w:val="16"/>
                <w:szCs w:val="16"/>
                <w:lang w:eastAsia="pl-PL"/>
              </w:rPr>
              <w:t>104,6</w:t>
            </w:r>
          </w:p>
        </w:tc>
        <w:tc>
          <w:tcPr>
            <w:tcW w:w="972" w:type="dxa"/>
            <w:tcBorders>
              <w:top w:val="single" w:sz="12"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b/>
                <w:color w:val="000000"/>
                <w:sz w:val="16"/>
                <w:szCs w:val="16"/>
                <w:lang w:eastAsia="pl-PL"/>
              </w:rPr>
            </w:pPr>
            <w:r w:rsidRPr="00DB51F0">
              <w:rPr>
                <w:rFonts w:eastAsia="Times New Roman" w:cs="Arial"/>
                <w:b/>
                <w:color w:val="000000"/>
                <w:sz w:val="16"/>
                <w:szCs w:val="16"/>
                <w:lang w:eastAsia="pl-PL"/>
              </w:rPr>
              <w:t>101,8</w:t>
            </w:r>
          </w:p>
        </w:tc>
        <w:tc>
          <w:tcPr>
            <w:tcW w:w="979" w:type="dxa"/>
            <w:tcBorders>
              <w:top w:val="single" w:sz="12"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b/>
                <w:color w:val="000000"/>
                <w:sz w:val="16"/>
                <w:szCs w:val="16"/>
                <w:lang w:eastAsia="pl-PL"/>
              </w:rPr>
            </w:pPr>
            <w:r w:rsidRPr="00DB51F0">
              <w:rPr>
                <w:rFonts w:eastAsia="Times New Roman" w:cs="Arial"/>
                <w:b/>
                <w:color w:val="000000"/>
                <w:sz w:val="16"/>
                <w:szCs w:val="16"/>
                <w:lang w:eastAsia="pl-PL"/>
              </w:rPr>
              <w:t>100,2</w:t>
            </w:r>
          </w:p>
        </w:tc>
        <w:tc>
          <w:tcPr>
            <w:tcW w:w="972" w:type="dxa"/>
            <w:tcBorders>
              <w:top w:val="single" w:sz="12" w:space="0" w:color="212492"/>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b/>
                <w:color w:val="000000"/>
                <w:sz w:val="16"/>
                <w:szCs w:val="16"/>
                <w:lang w:eastAsia="pl-PL"/>
              </w:rPr>
            </w:pPr>
            <w:r w:rsidRPr="00DB51F0">
              <w:rPr>
                <w:rFonts w:eastAsia="Times New Roman" w:cs="Arial"/>
                <w:b/>
                <w:color w:val="000000"/>
                <w:sz w:val="16"/>
                <w:szCs w:val="16"/>
                <w:lang w:eastAsia="pl-PL"/>
              </w:rPr>
              <w:t>104,5</w:t>
            </w:r>
          </w:p>
        </w:tc>
        <w:tc>
          <w:tcPr>
            <w:tcW w:w="973" w:type="dxa"/>
            <w:tcBorders>
              <w:top w:val="single" w:sz="12" w:space="0" w:color="212492"/>
              <w:left w:val="single" w:sz="8" w:space="0" w:color="212492"/>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b/>
                <w:color w:val="000000"/>
                <w:sz w:val="16"/>
                <w:szCs w:val="16"/>
                <w:lang w:eastAsia="pl-PL"/>
              </w:rPr>
            </w:pPr>
            <w:r w:rsidRPr="00DB51F0">
              <w:rPr>
                <w:rFonts w:eastAsia="Times New Roman" w:cs="Arial"/>
                <w:b/>
                <w:color w:val="000000"/>
                <w:sz w:val="16"/>
                <w:szCs w:val="16"/>
                <w:lang w:eastAsia="pl-PL"/>
              </w:rPr>
              <w:t>102,0</w:t>
            </w:r>
          </w:p>
        </w:tc>
      </w:tr>
      <w:tr w:rsidR="00453D2B" w:rsidRPr="00DB51F0" w:rsidTr="002664AF">
        <w:trPr>
          <w:gridAfter w:val="1"/>
          <w:wAfter w:w="21" w:type="dxa"/>
          <w:trHeight w:val="258"/>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2664AF">
            <w:pPr>
              <w:spacing w:before="0" w:after="40"/>
              <w:ind w:left="113"/>
              <w:rPr>
                <w:rFonts w:cs="Arial"/>
                <w:color w:val="000000"/>
                <w:sz w:val="16"/>
                <w:szCs w:val="16"/>
                <w:lang w:val="en-GB"/>
              </w:rPr>
            </w:pPr>
            <w:r w:rsidRPr="00C63D3F">
              <w:rPr>
                <w:rFonts w:cs="Arial"/>
                <w:color w:val="000000"/>
                <w:sz w:val="16"/>
                <w:szCs w:val="16"/>
                <w:lang w:val="en-GB"/>
              </w:rPr>
              <w:t>Goods</w:t>
            </w:r>
          </w:p>
        </w:tc>
        <w:tc>
          <w:tcPr>
            <w:tcW w:w="972" w:type="dxa"/>
            <w:tcBorders>
              <w:top w:val="nil"/>
              <w:left w:val="nil"/>
              <w:bottom w:val="nil"/>
              <w:right w:val="nil"/>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103,8</w:t>
            </w:r>
          </w:p>
        </w:tc>
        <w:tc>
          <w:tcPr>
            <w:tcW w:w="972" w:type="dxa"/>
            <w:tcBorders>
              <w:top w:val="nil"/>
              <w:left w:val="single" w:sz="8" w:space="0" w:color="212492"/>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101,7</w:t>
            </w:r>
          </w:p>
        </w:tc>
        <w:tc>
          <w:tcPr>
            <w:tcW w:w="979" w:type="dxa"/>
            <w:tcBorders>
              <w:top w:val="nil"/>
              <w:left w:val="single" w:sz="8" w:space="0" w:color="212492"/>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100,2</w:t>
            </w:r>
          </w:p>
        </w:tc>
        <w:tc>
          <w:tcPr>
            <w:tcW w:w="972" w:type="dxa"/>
            <w:tcBorders>
              <w:top w:val="nil"/>
              <w:left w:val="single" w:sz="8" w:space="0" w:color="212492"/>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103,9</w:t>
            </w:r>
          </w:p>
        </w:tc>
        <w:tc>
          <w:tcPr>
            <w:tcW w:w="973" w:type="dxa"/>
            <w:tcBorders>
              <w:top w:val="nil"/>
              <w:left w:val="single" w:sz="8" w:space="0" w:color="212492"/>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101,8</w:t>
            </w:r>
          </w:p>
        </w:tc>
      </w:tr>
      <w:tr w:rsidR="00453D2B" w:rsidRPr="00DB51F0" w:rsidTr="002664AF">
        <w:trPr>
          <w:gridAfter w:val="1"/>
          <w:wAfter w:w="21" w:type="dxa"/>
          <w:trHeight w:val="249"/>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2664AF">
            <w:pPr>
              <w:spacing w:before="0" w:after="40"/>
              <w:ind w:left="113"/>
              <w:rPr>
                <w:rFonts w:cs="Arial"/>
                <w:color w:val="000000"/>
                <w:sz w:val="16"/>
                <w:szCs w:val="16"/>
                <w:lang w:val="en-GB"/>
              </w:rPr>
            </w:pPr>
            <w:r w:rsidRPr="00C63D3F">
              <w:rPr>
                <w:rFonts w:cs="Arial"/>
                <w:color w:val="000000"/>
                <w:sz w:val="16"/>
                <w:szCs w:val="16"/>
                <w:lang w:val="en-GB"/>
              </w:rPr>
              <w:t>Services</w:t>
            </w:r>
          </w:p>
        </w:tc>
        <w:tc>
          <w:tcPr>
            <w:tcW w:w="972" w:type="dxa"/>
            <w:tcBorders>
              <w:top w:val="single" w:sz="8" w:space="0" w:color="212492"/>
              <w:left w:val="nil"/>
              <w:bottom w:val="nil"/>
              <w:right w:val="nil"/>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106,5</w:t>
            </w:r>
          </w:p>
        </w:tc>
        <w:tc>
          <w:tcPr>
            <w:tcW w:w="972" w:type="dxa"/>
            <w:tcBorders>
              <w:top w:val="single" w:sz="8" w:space="0" w:color="212492"/>
              <w:left w:val="single" w:sz="8" w:space="0" w:color="212492"/>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102,0</w:t>
            </w:r>
          </w:p>
        </w:tc>
        <w:tc>
          <w:tcPr>
            <w:tcW w:w="979" w:type="dxa"/>
            <w:tcBorders>
              <w:top w:val="single" w:sz="8" w:space="0" w:color="212492"/>
              <w:left w:val="single" w:sz="8" w:space="0" w:color="212492"/>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100,3</w:t>
            </w:r>
          </w:p>
        </w:tc>
        <w:tc>
          <w:tcPr>
            <w:tcW w:w="972" w:type="dxa"/>
            <w:tcBorders>
              <w:top w:val="single" w:sz="8" w:space="0" w:color="212492"/>
              <w:left w:val="single" w:sz="8" w:space="0" w:color="212492"/>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106,3</w:t>
            </w:r>
          </w:p>
        </w:tc>
        <w:tc>
          <w:tcPr>
            <w:tcW w:w="973" w:type="dxa"/>
            <w:tcBorders>
              <w:top w:val="single" w:sz="8" w:space="0" w:color="212492"/>
              <w:left w:val="single" w:sz="8" w:space="0" w:color="212492"/>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102,3</w:t>
            </w:r>
          </w:p>
        </w:tc>
      </w:tr>
      <w:tr w:rsidR="00453D2B" w:rsidRPr="00DB51F0" w:rsidTr="00DB51F0">
        <w:trPr>
          <w:gridAfter w:val="1"/>
          <w:wAfter w:w="21" w:type="dxa"/>
          <w:trHeight w:val="46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line="240" w:lineRule="auto"/>
              <w:rPr>
                <w:rFonts w:eastAsia="Times New Roman" w:cs="Arial"/>
                <w:caps/>
                <w:color w:val="000000"/>
                <w:sz w:val="16"/>
                <w:szCs w:val="16"/>
                <w:lang w:val="en-GB" w:eastAsia="pl-PL"/>
              </w:rPr>
            </w:pPr>
            <w:r w:rsidRPr="00C63D3F">
              <w:rPr>
                <w:rFonts w:eastAsia="Times New Roman" w:cs="Arial"/>
                <w:caps/>
                <w:color w:val="000000"/>
                <w:sz w:val="16"/>
                <w:szCs w:val="16"/>
                <w:lang w:val="en-GB" w:eastAsia="pl-PL"/>
              </w:rPr>
              <w:t xml:space="preserve">FOOD, NON-ALCOHOLIC BEVERAGES, </w:t>
            </w:r>
          </w:p>
          <w:p w:rsidR="00453D2B" w:rsidRPr="00C63D3F" w:rsidRDefault="00453D2B" w:rsidP="001D4EE2">
            <w:pPr>
              <w:spacing w:before="0" w:after="0" w:line="240" w:lineRule="auto"/>
              <w:rPr>
                <w:rFonts w:eastAsia="Times New Roman" w:cs="Calibri"/>
                <w:color w:val="000000"/>
                <w:sz w:val="16"/>
                <w:szCs w:val="16"/>
                <w:lang w:val="en-GB" w:eastAsia="pl-PL"/>
              </w:rPr>
            </w:pPr>
            <w:r w:rsidRPr="00C63D3F">
              <w:rPr>
                <w:rFonts w:eastAsia="Times New Roman" w:cs="Arial"/>
                <w:caps/>
                <w:color w:val="000000"/>
                <w:sz w:val="16"/>
                <w:szCs w:val="16"/>
                <w:lang w:val="en-GB" w:eastAsia="pl-PL"/>
              </w:rPr>
              <w:t>ALCOHOLIC BEVERAGES AND TOBACCO</w:t>
            </w:r>
          </w:p>
        </w:tc>
        <w:tc>
          <w:tcPr>
            <w:tcW w:w="972" w:type="dxa"/>
            <w:tcBorders>
              <w:top w:val="single" w:sz="8" w:space="0" w:color="212492"/>
              <w:left w:val="nil"/>
              <w:bottom w:val="nil"/>
              <w:right w:val="nil"/>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107,3</w:t>
            </w:r>
          </w:p>
        </w:tc>
        <w:tc>
          <w:tcPr>
            <w:tcW w:w="972" w:type="dxa"/>
            <w:tcBorders>
              <w:top w:val="single" w:sz="8" w:space="0" w:color="212492"/>
              <w:left w:val="single" w:sz="8" w:space="0" w:color="212492"/>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103,5</w:t>
            </w:r>
          </w:p>
        </w:tc>
        <w:tc>
          <w:tcPr>
            <w:tcW w:w="979" w:type="dxa"/>
            <w:tcBorders>
              <w:top w:val="single" w:sz="8" w:space="0" w:color="212492"/>
              <w:left w:val="single" w:sz="8" w:space="0" w:color="212492"/>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100,7</w:t>
            </w:r>
          </w:p>
        </w:tc>
        <w:tc>
          <w:tcPr>
            <w:tcW w:w="972" w:type="dxa"/>
            <w:tcBorders>
              <w:top w:val="single" w:sz="8" w:space="0" w:color="212492"/>
              <w:left w:val="single" w:sz="8" w:space="0" w:color="212492"/>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106,9</w:t>
            </w:r>
          </w:p>
        </w:tc>
        <w:tc>
          <w:tcPr>
            <w:tcW w:w="973" w:type="dxa"/>
            <w:tcBorders>
              <w:top w:val="single" w:sz="8" w:space="0" w:color="212492"/>
              <w:left w:val="single" w:sz="8" w:space="0" w:color="212492"/>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103,4</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rPr>
                <w:rFonts w:cs="Arial"/>
                <w:color w:val="000000"/>
                <w:sz w:val="16"/>
                <w:szCs w:val="16"/>
                <w:lang w:val="en-GB"/>
              </w:rPr>
            </w:pPr>
            <w:r w:rsidRPr="00C63D3F">
              <w:rPr>
                <w:rFonts w:cs="Arial"/>
                <w:color w:val="000000"/>
                <w:sz w:val="16"/>
                <w:szCs w:val="16"/>
                <w:lang w:val="en-GB"/>
              </w:rPr>
              <w:t>FOOD AND NON-ALCOHOLIC BEVERAGES</w:t>
            </w:r>
          </w:p>
        </w:tc>
        <w:tc>
          <w:tcPr>
            <w:tcW w:w="972" w:type="dxa"/>
            <w:tcBorders>
              <w:top w:val="single" w:sz="8" w:space="0" w:color="212492"/>
              <w:left w:val="nil"/>
              <w:bottom w:val="nil"/>
              <w:right w:val="nil"/>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108,0</w:t>
            </w:r>
          </w:p>
        </w:tc>
        <w:tc>
          <w:tcPr>
            <w:tcW w:w="972" w:type="dxa"/>
            <w:tcBorders>
              <w:top w:val="single" w:sz="8" w:space="0" w:color="212492"/>
              <w:left w:val="single" w:sz="8" w:space="0" w:color="212492"/>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103,6</w:t>
            </w:r>
          </w:p>
        </w:tc>
        <w:tc>
          <w:tcPr>
            <w:tcW w:w="979" w:type="dxa"/>
            <w:tcBorders>
              <w:top w:val="single" w:sz="8" w:space="0" w:color="212492"/>
              <w:left w:val="single" w:sz="8" w:space="0" w:color="212492"/>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100,8</w:t>
            </w:r>
          </w:p>
        </w:tc>
        <w:tc>
          <w:tcPr>
            <w:tcW w:w="972" w:type="dxa"/>
            <w:tcBorders>
              <w:top w:val="single" w:sz="8" w:space="0" w:color="212492"/>
              <w:left w:val="single" w:sz="8" w:space="0" w:color="212492"/>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107,7</w:t>
            </w:r>
          </w:p>
        </w:tc>
        <w:tc>
          <w:tcPr>
            <w:tcW w:w="973" w:type="dxa"/>
            <w:tcBorders>
              <w:top w:val="single" w:sz="8" w:space="0" w:color="212492"/>
              <w:left w:val="single" w:sz="8" w:space="0" w:color="212492"/>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103,6</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Food</w:t>
            </w:r>
          </w:p>
        </w:tc>
        <w:tc>
          <w:tcPr>
            <w:tcW w:w="972" w:type="dxa"/>
            <w:tcBorders>
              <w:top w:val="single" w:sz="8" w:space="0" w:color="212492"/>
              <w:left w:val="nil"/>
              <w:bottom w:val="nil"/>
              <w:right w:val="nil"/>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108,6</w:t>
            </w:r>
          </w:p>
        </w:tc>
        <w:tc>
          <w:tcPr>
            <w:tcW w:w="972" w:type="dxa"/>
            <w:tcBorders>
              <w:top w:val="single" w:sz="8" w:space="0" w:color="212492"/>
              <w:left w:val="single" w:sz="8" w:space="0" w:color="212492"/>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103,8</w:t>
            </w:r>
          </w:p>
        </w:tc>
        <w:tc>
          <w:tcPr>
            <w:tcW w:w="979" w:type="dxa"/>
            <w:tcBorders>
              <w:top w:val="single" w:sz="8" w:space="0" w:color="212492"/>
              <w:left w:val="single" w:sz="8" w:space="0" w:color="212492"/>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100,9</w:t>
            </w:r>
          </w:p>
        </w:tc>
        <w:tc>
          <w:tcPr>
            <w:tcW w:w="972" w:type="dxa"/>
            <w:tcBorders>
              <w:top w:val="single" w:sz="8" w:space="0" w:color="212492"/>
              <w:left w:val="single" w:sz="8" w:space="0" w:color="212492"/>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108,3</w:t>
            </w:r>
          </w:p>
        </w:tc>
        <w:tc>
          <w:tcPr>
            <w:tcW w:w="973" w:type="dxa"/>
            <w:tcBorders>
              <w:top w:val="single" w:sz="8" w:space="0" w:color="212492"/>
              <w:left w:val="single" w:sz="8" w:space="0" w:color="212492"/>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103,9</w:t>
            </w:r>
          </w:p>
        </w:tc>
      </w:tr>
      <w:tr w:rsidR="00453D2B" w:rsidRPr="00DB51F0" w:rsidTr="00DB51F0">
        <w:trPr>
          <w:gridAfter w:val="1"/>
          <w:wAfter w:w="21" w:type="dxa"/>
          <w:trHeight w:val="315"/>
        </w:trPr>
        <w:tc>
          <w:tcPr>
            <w:tcW w:w="3259" w:type="dxa"/>
            <w:tcBorders>
              <w:top w:val="nil"/>
              <w:left w:val="nil"/>
              <w:bottom w:val="single" w:sz="8" w:space="0" w:color="212492"/>
              <w:right w:val="nil"/>
            </w:tcBorders>
            <w:shd w:val="clear" w:color="auto" w:fill="auto"/>
            <w:vAlign w:val="center"/>
            <w:hideMark/>
          </w:tcPr>
          <w:p w:rsidR="00453D2B" w:rsidRPr="00C63D3F" w:rsidRDefault="00453D2B" w:rsidP="001D4EE2">
            <w:pPr>
              <w:spacing w:before="0" w:after="0"/>
              <w:ind w:left="227"/>
              <w:rPr>
                <w:rFonts w:cs="Arial"/>
                <w:color w:val="000000" w:themeColor="text1"/>
                <w:sz w:val="16"/>
                <w:szCs w:val="16"/>
                <w:lang w:val="en-GB"/>
              </w:rPr>
            </w:pPr>
            <w:r w:rsidRPr="00C63D3F">
              <w:rPr>
                <w:rFonts w:cs="Arial"/>
                <w:color w:val="000000" w:themeColor="text1"/>
                <w:sz w:val="16"/>
                <w:szCs w:val="16"/>
                <w:lang w:val="en-GB"/>
              </w:rPr>
              <w:t>of which:</w:t>
            </w:r>
          </w:p>
        </w:tc>
        <w:tc>
          <w:tcPr>
            <w:tcW w:w="972" w:type="dxa"/>
            <w:tcBorders>
              <w:top w:val="single" w:sz="8" w:space="0" w:color="212492"/>
              <w:left w:val="nil"/>
              <w:bottom w:val="single" w:sz="8" w:space="0" w:color="212492"/>
              <w:right w:val="nil"/>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single" w:sz="8" w:space="0" w:color="212492"/>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9" w:type="dxa"/>
            <w:tcBorders>
              <w:top w:val="single" w:sz="8" w:space="0" w:color="212492"/>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single" w:sz="8" w:space="0" w:color="212492"/>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3" w:type="dxa"/>
            <w:tcBorders>
              <w:top w:val="single" w:sz="8" w:space="0" w:color="212492"/>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Rice</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106,3</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101,7</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100,3</w:t>
            </w: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106,2</w:t>
            </w:r>
          </w:p>
        </w:tc>
        <w:tc>
          <w:tcPr>
            <w:tcW w:w="973" w:type="dxa"/>
            <w:tcBorders>
              <w:top w:val="nil"/>
              <w:left w:val="single" w:sz="8" w:space="0" w:color="212492"/>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100,6</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Flour</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104,8</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103,7</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101,3</w:t>
            </w: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104,8</w:t>
            </w:r>
          </w:p>
        </w:tc>
        <w:tc>
          <w:tcPr>
            <w:tcW w:w="973" w:type="dxa"/>
            <w:tcBorders>
              <w:top w:val="nil"/>
              <w:left w:val="single" w:sz="8" w:space="0" w:color="212492"/>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101,8</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Bread</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108,5</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104,2</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101,1</w:t>
            </w: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107,5</w:t>
            </w:r>
          </w:p>
        </w:tc>
        <w:tc>
          <w:tcPr>
            <w:tcW w:w="973" w:type="dxa"/>
            <w:tcBorders>
              <w:top w:val="nil"/>
              <w:left w:val="single" w:sz="8" w:space="0" w:color="212492"/>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103,5</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Pasta products and couscous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104,3</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101,5</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100,5</w:t>
            </w:r>
          </w:p>
        </w:tc>
        <w:tc>
          <w:tcPr>
            <w:tcW w:w="972" w:type="dxa"/>
            <w:tcBorders>
              <w:top w:val="nil"/>
              <w:left w:val="nil"/>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104,0</w:t>
            </w:r>
          </w:p>
        </w:tc>
        <w:tc>
          <w:tcPr>
            <w:tcW w:w="973" w:type="dxa"/>
            <w:tcBorders>
              <w:top w:val="nil"/>
              <w:left w:val="single" w:sz="8" w:space="0" w:color="212492"/>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101,1</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Meat</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115,3</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103,6</w:t>
            </w:r>
          </w:p>
        </w:tc>
        <w:tc>
          <w:tcPr>
            <w:tcW w:w="979"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102,0</w:t>
            </w:r>
          </w:p>
        </w:tc>
        <w:tc>
          <w:tcPr>
            <w:tcW w:w="972" w:type="dxa"/>
            <w:tcBorders>
              <w:top w:val="single" w:sz="8" w:space="0" w:color="212492"/>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114,5</w:t>
            </w:r>
          </w:p>
        </w:tc>
        <w:tc>
          <w:tcPr>
            <w:tcW w:w="973" w:type="dxa"/>
            <w:tcBorders>
              <w:top w:val="single" w:sz="8" w:space="0" w:color="212492"/>
              <w:left w:val="single" w:sz="8" w:space="0" w:color="212492"/>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104,4</w:t>
            </w:r>
          </w:p>
        </w:tc>
      </w:tr>
      <w:tr w:rsidR="00453D2B" w:rsidRPr="00DB51F0" w:rsidTr="00867A5A">
        <w:trPr>
          <w:gridAfter w:val="1"/>
          <w:wAfter w:w="21" w:type="dxa"/>
          <w:trHeight w:val="313"/>
        </w:trPr>
        <w:tc>
          <w:tcPr>
            <w:tcW w:w="3259" w:type="dxa"/>
            <w:tcBorders>
              <w:top w:val="nil"/>
              <w:left w:val="nil"/>
              <w:bottom w:val="single" w:sz="8" w:space="0" w:color="212492"/>
              <w:right w:val="nil"/>
            </w:tcBorders>
            <w:shd w:val="clear" w:color="auto" w:fill="auto"/>
            <w:vAlign w:val="center"/>
            <w:hideMark/>
          </w:tcPr>
          <w:p w:rsidR="00453D2B" w:rsidRPr="00C63D3F" w:rsidRDefault="00453D2B" w:rsidP="001D4EE2">
            <w:pPr>
              <w:spacing w:before="0" w:after="0"/>
              <w:ind w:left="340"/>
              <w:rPr>
                <w:rFonts w:cs="Arial"/>
                <w:color w:val="000000" w:themeColor="text1"/>
                <w:sz w:val="16"/>
                <w:szCs w:val="16"/>
                <w:lang w:val="en-GB"/>
              </w:rPr>
            </w:pPr>
            <w:r w:rsidRPr="00C63D3F">
              <w:rPr>
                <w:rFonts w:cs="Arial"/>
                <w:color w:val="000000" w:themeColor="text1"/>
                <w:sz w:val="16"/>
                <w:szCs w:val="16"/>
                <w:lang w:val="en-GB"/>
              </w:rPr>
              <w:t>of which:</w:t>
            </w:r>
          </w:p>
        </w:tc>
        <w:tc>
          <w:tcPr>
            <w:tcW w:w="972" w:type="dxa"/>
            <w:tcBorders>
              <w:top w:val="nil"/>
              <w:left w:val="nil"/>
              <w:bottom w:val="single" w:sz="8" w:space="0" w:color="212492"/>
              <w:right w:val="nil"/>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9"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340"/>
              <w:rPr>
                <w:rFonts w:cs="Arial"/>
                <w:color w:val="000000"/>
                <w:sz w:val="16"/>
                <w:szCs w:val="16"/>
                <w:lang w:val="en-GB"/>
              </w:rPr>
            </w:pPr>
            <w:r w:rsidRPr="00C63D3F">
              <w:rPr>
                <w:rFonts w:cs="Arial"/>
                <w:color w:val="000000"/>
                <w:sz w:val="16"/>
                <w:szCs w:val="16"/>
                <w:lang w:val="en-GB"/>
              </w:rPr>
              <w:t>Beef</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103,1</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101,9</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100,7</w:t>
            </w: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102,4</w:t>
            </w:r>
          </w:p>
        </w:tc>
        <w:tc>
          <w:tcPr>
            <w:tcW w:w="973" w:type="dxa"/>
            <w:tcBorders>
              <w:top w:val="nil"/>
              <w:left w:val="single" w:sz="8" w:space="0" w:color="212492"/>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102,0</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340"/>
              <w:rPr>
                <w:rFonts w:cs="Arial"/>
                <w:color w:val="000000"/>
                <w:sz w:val="16"/>
                <w:szCs w:val="16"/>
                <w:lang w:val="en-GB"/>
              </w:rPr>
            </w:pPr>
            <w:r w:rsidRPr="00C63D3F">
              <w:rPr>
                <w:rFonts w:cs="Arial"/>
                <w:color w:val="000000"/>
                <w:sz w:val="16"/>
                <w:szCs w:val="16"/>
                <w:lang w:val="en-GB"/>
              </w:rPr>
              <w:t>Veal</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104,2</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101,5</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100,6</w:t>
            </w: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103,9</w:t>
            </w:r>
          </w:p>
        </w:tc>
        <w:tc>
          <w:tcPr>
            <w:tcW w:w="973" w:type="dxa"/>
            <w:tcBorders>
              <w:top w:val="nil"/>
              <w:left w:val="single" w:sz="8" w:space="0" w:color="212492"/>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101,3</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340"/>
              <w:rPr>
                <w:rFonts w:cs="Arial"/>
                <w:color w:val="000000"/>
                <w:sz w:val="16"/>
                <w:szCs w:val="16"/>
                <w:lang w:val="en-GB"/>
              </w:rPr>
            </w:pPr>
            <w:r w:rsidRPr="00C63D3F">
              <w:rPr>
                <w:rFonts w:cs="Arial"/>
                <w:color w:val="000000"/>
                <w:sz w:val="16"/>
                <w:szCs w:val="16"/>
                <w:lang w:val="en-GB"/>
              </w:rPr>
              <w:t>Pork</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127,1</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101,7</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102,1</w:t>
            </w: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125,8</w:t>
            </w:r>
          </w:p>
        </w:tc>
        <w:tc>
          <w:tcPr>
            <w:tcW w:w="973" w:type="dxa"/>
            <w:tcBorders>
              <w:top w:val="nil"/>
              <w:left w:val="single" w:sz="8" w:space="0" w:color="212492"/>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106,0</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340"/>
              <w:rPr>
                <w:rFonts w:cs="Arial"/>
                <w:color w:val="000000"/>
                <w:sz w:val="16"/>
                <w:szCs w:val="16"/>
                <w:lang w:val="en-GB"/>
              </w:rPr>
            </w:pPr>
            <w:r w:rsidRPr="00C63D3F">
              <w:rPr>
                <w:rFonts w:cs="Arial"/>
                <w:color w:val="000000"/>
                <w:sz w:val="16"/>
                <w:szCs w:val="16"/>
                <w:lang w:val="en-GB"/>
              </w:rPr>
              <w:t>Poultry</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108,3</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107,1</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105,2</w:t>
            </w: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108,4</w:t>
            </w:r>
          </w:p>
        </w:tc>
        <w:tc>
          <w:tcPr>
            <w:tcW w:w="973" w:type="dxa"/>
            <w:tcBorders>
              <w:top w:val="nil"/>
              <w:left w:val="single" w:sz="8" w:space="0" w:color="212492"/>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104,3</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340"/>
              <w:rPr>
                <w:rFonts w:cs="Arial"/>
                <w:color w:val="000000"/>
                <w:sz w:val="16"/>
                <w:szCs w:val="16"/>
                <w:lang w:val="en-GB"/>
              </w:rPr>
            </w:pPr>
            <w:r w:rsidRPr="00C63D3F">
              <w:rPr>
                <w:rFonts w:cs="Arial"/>
                <w:color w:val="000000"/>
                <w:sz w:val="16"/>
                <w:szCs w:val="16"/>
                <w:lang w:val="en-GB"/>
              </w:rPr>
              <w:t>Dried, salted or smoked meat</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115,2</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103,6</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101,1</w:t>
            </w: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114,1</w:t>
            </w:r>
          </w:p>
        </w:tc>
        <w:tc>
          <w:tcPr>
            <w:tcW w:w="973" w:type="dxa"/>
            <w:tcBorders>
              <w:top w:val="nil"/>
              <w:left w:val="single" w:sz="8" w:space="0" w:color="212492"/>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104,1</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Fish and seafood</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104,7</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101,8</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100,1</w:t>
            </w: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104,9</w:t>
            </w:r>
          </w:p>
        </w:tc>
        <w:tc>
          <w:tcPr>
            <w:tcW w:w="973" w:type="dxa"/>
            <w:tcBorders>
              <w:top w:val="nil"/>
              <w:left w:val="single" w:sz="8" w:space="0" w:color="212492"/>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101,5</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Milk, cheese and eggs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103,3</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101,8</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100,4</w:t>
            </w: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102,8</w:t>
            </w:r>
          </w:p>
        </w:tc>
        <w:tc>
          <w:tcPr>
            <w:tcW w:w="973" w:type="dxa"/>
            <w:tcBorders>
              <w:top w:val="nil"/>
              <w:left w:val="single" w:sz="8" w:space="0" w:color="212492"/>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101,8</w:t>
            </w:r>
          </w:p>
        </w:tc>
      </w:tr>
      <w:tr w:rsidR="00453D2B" w:rsidRPr="00DB51F0" w:rsidTr="00DB51F0">
        <w:trPr>
          <w:gridAfter w:val="1"/>
          <w:wAfter w:w="21" w:type="dxa"/>
          <w:trHeight w:val="315"/>
        </w:trPr>
        <w:tc>
          <w:tcPr>
            <w:tcW w:w="3259" w:type="dxa"/>
            <w:tcBorders>
              <w:top w:val="nil"/>
              <w:left w:val="nil"/>
              <w:bottom w:val="single" w:sz="8" w:space="0" w:color="212492"/>
              <w:right w:val="nil"/>
            </w:tcBorders>
            <w:shd w:val="clear" w:color="auto" w:fill="auto"/>
            <w:vAlign w:val="center"/>
            <w:hideMark/>
          </w:tcPr>
          <w:p w:rsidR="00453D2B" w:rsidRPr="00C63D3F" w:rsidRDefault="00453D2B" w:rsidP="001D4EE2">
            <w:pPr>
              <w:spacing w:before="0" w:after="0"/>
              <w:ind w:left="340"/>
              <w:rPr>
                <w:rFonts w:cs="Arial"/>
                <w:color w:val="000000" w:themeColor="text1"/>
                <w:sz w:val="16"/>
                <w:szCs w:val="16"/>
                <w:lang w:val="en-GB"/>
              </w:rPr>
            </w:pPr>
            <w:r w:rsidRPr="00C63D3F">
              <w:rPr>
                <w:rFonts w:cs="Arial"/>
                <w:color w:val="000000" w:themeColor="text1"/>
                <w:sz w:val="16"/>
                <w:szCs w:val="16"/>
                <w:lang w:val="en-GB"/>
              </w:rPr>
              <w:t>of which:</w:t>
            </w:r>
          </w:p>
        </w:tc>
        <w:tc>
          <w:tcPr>
            <w:tcW w:w="972" w:type="dxa"/>
            <w:tcBorders>
              <w:top w:val="nil"/>
              <w:left w:val="nil"/>
              <w:bottom w:val="single" w:sz="8" w:space="0" w:color="212492"/>
              <w:right w:val="nil"/>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9"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340"/>
              <w:rPr>
                <w:rFonts w:cs="Arial"/>
                <w:color w:val="000000"/>
                <w:sz w:val="16"/>
                <w:szCs w:val="16"/>
                <w:lang w:val="en-GB"/>
              </w:rPr>
            </w:pPr>
            <w:r w:rsidRPr="00C63D3F">
              <w:rPr>
                <w:rFonts w:cs="Arial"/>
                <w:color w:val="000000"/>
                <w:sz w:val="16"/>
                <w:szCs w:val="16"/>
                <w:lang w:val="en-GB"/>
              </w:rPr>
              <w:t>Milk</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107,0</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103,0</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100,4</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105,6</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103,5</w:t>
            </w:r>
          </w:p>
        </w:tc>
      </w:tr>
      <w:tr w:rsidR="00453D2B" w:rsidRPr="00DB51F0" w:rsidTr="00DB51F0">
        <w:trPr>
          <w:gridAfter w:val="1"/>
          <w:wAfter w:w="21" w:type="dxa"/>
          <w:trHeight w:val="300"/>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340"/>
              <w:rPr>
                <w:rFonts w:cs="Arial"/>
                <w:color w:val="000000"/>
                <w:sz w:val="16"/>
                <w:szCs w:val="16"/>
                <w:lang w:val="en-GB"/>
              </w:rPr>
            </w:pPr>
            <w:r w:rsidRPr="00C63D3F">
              <w:rPr>
                <w:rFonts w:cs="Arial"/>
                <w:color w:val="000000"/>
                <w:sz w:val="16"/>
                <w:szCs w:val="16"/>
                <w:lang w:val="en-GB"/>
              </w:rPr>
              <w:t>Yoghurt, cream, milk-based desserts, milk-based beverages and other similar milk-based products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103,5</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101,6</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100,3</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103,6</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101,4</w:t>
            </w:r>
          </w:p>
        </w:tc>
      </w:tr>
      <w:tr w:rsidR="00453D2B" w:rsidRPr="00DB51F0" w:rsidTr="00DB51F0">
        <w:trPr>
          <w:gridAfter w:val="1"/>
          <w:wAfter w:w="21" w:type="dxa"/>
          <w:trHeight w:val="315"/>
        </w:trPr>
        <w:tc>
          <w:tcPr>
            <w:tcW w:w="3259" w:type="dxa"/>
            <w:tcBorders>
              <w:top w:val="single" w:sz="8" w:space="0" w:color="212492"/>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340"/>
              <w:rPr>
                <w:rFonts w:cs="Arial"/>
                <w:color w:val="000000"/>
                <w:sz w:val="16"/>
                <w:szCs w:val="16"/>
                <w:lang w:val="en-GB"/>
              </w:rPr>
            </w:pPr>
            <w:r w:rsidRPr="00C63D3F">
              <w:rPr>
                <w:rFonts w:cs="Arial"/>
                <w:color w:val="000000"/>
                <w:sz w:val="16"/>
                <w:szCs w:val="16"/>
                <w:lang w:val="en-GB"/>
              </w:rPr>
              <w:t>Cheese and curd</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102,5</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101,6</w:t>
            </w:r>
          </w:p>
        </w:tc>
        <w:tc>
          <w:tcPr>
            <w:tcW w:w="979"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100,6</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102,3</w:t>
            </w:r>
          </w:p>
        </w:tc>
        <w:tc>
          <w:tcPr>
            <w:tcW w:w="973" w:type="dxa"/>
            <w:tcBorders>
              <w:top w:val="single" w:sz="8" w:space="0" w:color="212492"/>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101,4</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340"/>
              <w:rPr>
                <w:rFonts w:cs="Arial"/>
                <w:color w:val="000000"/>
                <w:sz w:val="16"/>
                <w:szCs w:val="16"/>
                <w:lang w:val="en-GB"/>
              </w:rPr>
            </w:pPr>
            <w:r w:rsidRPr="00C63D3F">
              <w:rPr>
                <w:rFonts w:cs="Arial"/>
                <w:color w:val="000000"/>
                <w:sz w:val="16"/>
                <w:szCs w:val="16"/>
                <w:lang w:val="en-GB"/>
              </w:rPr>
              <w:t>Eggs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100,7</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101,0</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100,2</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99,1</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101,4</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Oils and fats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99,3</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102,4</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100,7</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97,9</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101,2</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340"/>
              <w:rPr>
                <w:rFonts w:cs="Arial"/>
                <w:color w:val="000000"/>
                <w:sz w:val="16"/>
                <w:szCs w:val="16"/>
                <w:lang w:val="en-GB"/>
              </w:rPr>
            </w:pPr>
            <w:r w:rsidRPr="00C63D3F">
              <w:rPr>
                <w:rFonts w:cs="Arial"/>
                <w:color w:val="000000"/>
                <w:sz w:val="16"/>
                <w:szCs w:val="16"/>
                <w:lang w:val="en-GB"/>
              </w:rPr>
              <w:t>Vegetable fats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101,3</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102,0</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100,6</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100,8</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100,7</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340"/>
              <w:rPr>
                <w:rFonts w:cs="Arial"/>
                <w:color w:val="000000"/>
                <w:sz w:val="16"/>
                <w:szCs w:val="16"/>
                <w:lang w:val="en-GB"/>
              </w:rPr>
            </w:pPr>
            <w:r w:rsidRPr="00C63D3F">
              <w:rPr>
                <w:rFonts w:cs="Arial"/>
                <w:color w:val="000000"/>
                <w:sz w:val="16"/>
                <w:szCs w:val="16"/>
                <w:lang w:val="en-GB"/>
              </w:rPr>
              <w:t>Animal fats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97,8</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102,7</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100,9</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95,7</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101,5</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454"/>
              <w:rPr>
                <w:rFonts w:cs="Arial"/>
                <w:color w:val="000000"/>
                <w:sz w:val="16"/>
                <w:szCs w:val="16"/>
                <w:lang w:val="en-GB"/>
              </w:rPr>
            </w:pPr>
            <w:r w:rsidRPr="00C63D3F">
              <w:rPr>
                <w:rFonts w:cs="Arial"/>
                <w:color w:val="000000"/>
                <w:sz w:val="16"/>
                <w:szCs w:val="16"/>
                <w:lang w:val="en-GB"/>
              </w:rPr>
              <w:t>of which butter</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95,6</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102,3</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100,8</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93,8</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100,9</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Fruit</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119,3</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114,9</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101,7</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118,0</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112,1</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Vegetables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107,9</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104,8</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99,4</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109,3</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107,6</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Sugar</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106,8</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101,6</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100,7</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110,2</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101,3</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Non-alcoholic beverages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102,1</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101,1</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100,4</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102,0</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100,6</w:t>
            </w:r>
          </w:p>
        </w:tc>
      </w:tr>
      <w:tr w:rsidR="00453D2B" w:rsidRPr="00DB51F0" w:rsidTr="00867A5A">
        <w:trPr>
          <w:gridAfter w:val="1"/>
          <w:wAfter w:w="21" w:type="dxa"/>
          <w:trHeight w:val="249"/>
        </w:trPr>
        <w:tc>
          <w:tcPr>
            <w:tcW w:w="3259" w:type="dxa"/>
            <w:tcBorders>
              <w:top w:val="nil"/>
              <w:left w:val="nil"/>
              <w:bottom w:val="single" w:sz="8" w:space="0" w:color="212492"/>
              <w:right w:val="nil"/>
            </w:tcBorders>
            <w:shd w:val="clear" w:color="auto" w:fill="auto"/>
            <w:vAlign w:val="center"/>
            <w:hideMark/>
          </w:tcPr>
          <w:p w:rsidR="00453D2B" w:rsidRPr="00C63D3F" w:rsidRDefault="00453D2B" w:rsidP="001D4EE2">
            <w:pPr>
              <w:spacing w:before="0" w:after="0"/>
              <w:ind w:left="227"/>
              <w:rPr>
                <w:rFonts w:cs="Arial"/>
                <w:color w:val="000000" w:themeColor="text1"/>
                <w:sz w:val="16"/>
                <w:szCs w:val="16"/>
                <w:lang w:val="en-GB"/>
              </w:rPr>
            </w:pPr>
            <w:r w:rsidRPr="00C63D3F">
              <w:rPr>
                <w:rFonts w:cs="Arial"/>
                <w:color w:val="000000" w:themeColor="text1"/>
                <w:sz w:val="16"/>
                <w:szCs w:val="16"/>
                <w:lang w:val="en-GB"/>
              </w:rPr>
              <w:t>of which:</w:t>
            </w:r>
          </w:p>
        </w:tc>
        <w:tc>
          <w:tcPr>
            <w:tcW w:w="972" w:type="dxa"/>
            <w:tcBorders>
              <w:top w:val="nil"/>
              <w:left w:val="nil"/>
              <w:bottom w:val="single" w:sz="8" w:space="0" w:color="212492"/>
              <w:right w:val="nil"/>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9"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Coffee</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101,3</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101,0</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100,6</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101,1</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100,3</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Tea</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101,3</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101,5</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100,2</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101,4</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101,3</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Cocoa and powdered chocolate</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104,9</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103,0</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100,6</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104,6</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101,8</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Mineral or spring waters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102,5</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101,6</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100,6</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102,6</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100,4</w:t>
            </w:r>
          </w:p>
        </w:tc>
      </w:tr>
      <w:tr w:rsidR="00DB51F0"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DB51F0" w:rsidRPr="00AA13BD" w:rsidRDefault="00453D2B" w:rsidP="00DB51F0">
            <w:pPr>
              <w:spacing w:before="0" w:after="0" w:line="240" w:lineRule="auto"/>
              <w:ind w:firstLineChars="100" w:firstLine="160"/>
              <w:rPr>
                <w:rFonts w:eastAsia="Times New Roman" w:cs="Calibri"/>
                <w:color w:val="000000"/>
                <w:sz w:val="16"/>
                <w:szCs w:val="16"/>
                <w:lang w:eastAsia="pl-PL"/>
              </w:rPr>
            </w:pPr>
            <w:r w:rsidRPr="00C63D3F">
              <w:rPr>
                <w:rFonts w:cs="Arial"/>
                <w:color w:val="000000"/>
                <w:sz w:val="16"/>
                <w:szCs w:val="16"/>
                <w:lang w:val="en-GB"/>
              </w:rPr>
              <w:t>Fruit and vegetable juices</w:t>
            </w:r>
          </w:p>
        </w:tc>
        <w:tc>
          <w:tcPr>
            <w:tcW w:w="972" w:type="dxa"/>
            <w:tcBorders>
              <w:top w:val="nil"/>
              <w:left w:val="nil"/>
              <w:bottom w:val="single" w:sz="8" w:space="0" w:color="212492"/>
              <w:right w:val="single" w:sz="8" w:space="0" w:color="212492"/>
            </w:tcBorders>
            <w:shd w:val="clear" w:color="auto" w:fill="auto"/>
            <w:vAlign w:val="center"/>
            <w:hideMark/>
          </w:tcPr>
          <w:p w:rsidR="00DB51F0" w:rsidRPr="002147B5" w:rsidRDefault="00DB51F0"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103,5</w:t>
            </w:r>
          </w:p>
        </w:tc>
        <w:tc>
          <w:tcPr>
            <w:tcW w:w="972" w:type="dxa"/>
            <w:tcBorders>
              <w:top w:val="nil"/>
              <w:left w:val="nil"/>
              <w:bottom w:val="single" w:sz="8" w:space="0" w:color="212492"/>
              <w:right w:val="single" w:sz="8" w:space="0" w:color="212492"/>
            </w:tcBorders>
            <w:shd w:val="clear" w:color="auto" w:fill="auto"/>
            <w:vAlign w:val="center"/>
            <w:hideMark/>
          </w:tcPr>
          <w:p w:rsidR="00DB51F0" w:rsidRPr="00DB51F0" w:rsidRDefault="00DB51F0"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101,9</w:t>
            </w:r>
          </w:p>
        </w:tc>
        <w:tc>
          <w:tcPr>
            <w:tcW w:w="979" w:type="dxa"/>
            <w:tcBorders>
              <w:top w:val="nil"/>
              <w:left w:val="nil"/>
              <w:bottom w:val="single" w:sz="8" w:space="0" w:color="212492"/>
              <w:right w:val="single" w:sz="8" w:space="0" w:color="212492"/>
            </w:tcBorders>
            <w:shd w:val="clear" w:color="auto" w:fill="auto"/>
            <w:vAlign w:val="center"/>
            <w:hideMark/>
          </w:tcPr>
          <w:p w:rsidR="00DB51F0" w:rsidRPr="00DB51F0" w:rsidRDefault="00DB51F0"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100,1</w:t>
            </w:r>
          </w:p>
        </w:tc>
        <w:tc>
          <w:tcPr>
            <w:tcW w:w="972" w:type="dxa"/>
            <w:tcBorders>
              <w:top w:val="nil"/>
              <w:left w:val="nil"/>
              <w:bottom w:val="single" w:sz="8" w:space="0" w:color="212492"/>
              <w:right w:val="single" w:sz="8" w:space="0" w:color="212492"/>
            </w:tcBorders>
            <w:shd w:val="clear" w:color="auto" w:fill="auto"/>
            <w:vAlign w:val="center"/>
            <w:hideMark/>
          </w:tcPr>
          <w:p w:rsidR="00DB51F0" w:rsidRPr="00DB51F0" w:rsidRDefault="00DB51F0"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103,8</w:t>
            </w:r>
          </w:p>
        </w:tc>
        <w:tc>
          <w:tcPr>
            <w:tcW w:w="973" w:type="dxa"/>
            <w:tcBorders>
              <w:top w:val="nil"/>
              <w:left w:val="nil"/>
              <w:bottom w:val="single" w:sz="8" w:space="0" w:color="212492"/>
              <w:right w:val="nil"/>
            </w:tcBorders>
            <w:shd w:val="clear" w:color="auto" w:fill="auto"/>
            <w:vAlign w:val="center"/>
            <w:hideMark/>
          </w:tcPr>
          <w:p w:rsidR="00DB51F0" w:rsidRPr="00DB51F0" w:rsidRDefault="00DB51F0"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101,5</w:t>
            </w:r>
          </w:p>
        </w:tc>
      </w:tr>
      <w:tr w:rsidR="00453D2B" w:rsidRPr="00DB51F0" w:rsidTr="00DB51F0">
        <w:trPr>
          <w:gridAfter w:val="1"/>
          <w:wAfter w:w="21" w:type="dxa"/>
          <w:cantSplit/>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rPr>
                <w:rFonts w:cs="Arial"/>
                <w:color w:val="000000"/>
                <w:sz w:val="16"/>
                <w:szCs w:val="16"/>
                <w:lang w:val="en-GB"/>
              </w:rPr>
            </w:pPr>
            <w:r w:rsidRPr="00C63D3F">
              <w:rPr>
                <w:rFonts w:cs="Arial"/>
                <w:color w:val="000000"/>
                <w:sz w:val="16"/>
                <w:szCs w:val="16"/>
                <w:lang w:val="en-GB"/>
              </w:rPr>
              <w:lastRenderedPageBreak/>
              <w:t>ALCOHOLIC BEVERAGES AND TOBACCO</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104,3</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103,4</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100,4</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103,6</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102,7</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Alcoholic beverages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103,5</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103,0</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100,3</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103,1</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102,3</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Tobacco</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106,1</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104,6</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100,6</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105,2</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103,8</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rPr>
                <w:rFonts w:cs="Arial"/>
                <w:color w:val="000000"/>
                <w:sz w:val="16"/>
                <w:szCs w:val="16"/>
                <w:lang w:val="en-GB"/>
              </w:rPr>
            </w:pPr>
            <w:r w:rsidRPr="00C63D3F">
              <w:rPr>
                <w:rFonts w:cs="Arial"/>
                <w:color w:val="000000"/>
                <w:sz w:val="16"/>
                <w:szCs w:val="16"/>
                <w:lang w:val="en-GB"/>
              </w:rPr>
              <w:t>CLOTHING AND FOOTWEAR</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98,3</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96,7</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102,5</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98,5</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94,9</w:t>
            </w:r>
          </w:p>
        </w:tc>
      </w:tr>
      <w:tr w:rsidR="00453D2B" w:rsidRPr="00DB51F0" w:rsidTr="00DE775D">
        <w:trPr>
          <w:gridAfter w:val="1"/>
          <w:wAfter w:w="21" w:type="dxa"/>
          <w:trHeight w:val="307"/>
        </w:trPr>
        <w:tc>
          <w:tcPr>
            <w:tcW w:w="3259" w:type="dxa"/>
            <w:tcBorders>
              <w:top w:val="nil"/>
              <w:left w:val="nil"/>
              <w:bottom w:val="single" w:sz="8" w:space="0" w:color="212492"/>
              <w:right w:val="nil"/>
            </w:tcBorders>
            <w:shd w:val="clear" w:color="auto" w:fill="auto"/>
            <w:vAlign w:val="center"/>
            <w:hideMark/>
          </w:tcPr>
          <w:p w:rsidR="00453D2B" w:rsidRPr="00C63D3F" w:rsidRDefault="00453D2B" w:rsidP="001D4EE2">
            <w:pPr>
              <w:spacing w:before="0" w:after="0"/>
              <w:ind w:left="113"/>
              <w:rPr>
                <w:rFonts w:cs="Arial"/>
                <w:color w:val="000000" w:themeColor="text1"/>
                <w:sz w:val="16"/>
                <w:szCs w:val="16"/>
                <w:lang w:val="en-GB"/>
              </w:rPr>
            </w:pPr>
            <w:r w:rsidRPr="00C63D3F">
              <w:rPr>
                <w:rFonts w:cs="Arial"/>
                <w:color w:val="000000" w:themeColor="text1"/>
                <w:sz w:val="16"/>
                <w:szCs w:val="16"/>
                <w:lang w:val="en-GB"/>
              </w:rPr>
              <w:t>of which:</w:t>
            </w:r>
          </w:p>
        </w:tc>
        <w:tc>
          <w:tcPr>
            <w:tcW w:w="972" w:type="dxa"/>
            <w:tcBorders>
              <w:top w:val="nil"/>
              <w:left w:val="nil"/>
              <w:bottom w:val="single" w:sz="8" w:space="0" w:color="212492"/>
              <w:right w:val="nil"/>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9"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Garments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97,4</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96,5</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102,9</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97,9</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94,7</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Footwear</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100,4</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97,0</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101,8</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99,8</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95,4</w:t>
            </w:r>
          </w:p>
        </w:tc>
      </w:tr>
      <w:tr w:rsidR="00453D2B" w:rsidRPr="00DB51F0" w:rsidTr="00DE775D">
        <w:trPr>
          <w:gridAfter w:val="1"/>
          <w:wAfter w:w="21" w:type="dxa"/>
          <w:trHeight w:val="292"/>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rPr>
                <w:rFonts w:cs="Arial"/>
                <w:color w:val="000000"/>
                <w:sz w:val="16"/>
                <w:szCs w:val="16"/>
                <w:lang w:val="en-GB"/>
              </w:rPr>
            </w:pPr>
            <w:r w:rsidRPr="00C63D3F">
              <w:rPr>
                <w:rFonts w:cs="Arial"/>
                <w:color w:val="000000"/>
                <w:sz w:val="16"/>
                <w:szCs w:val="16"/>
                <w:lang w:val="en-GB"/>
              </w:rPr>
              <w:t>DWELLING</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105,9</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103,8</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100,4</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105,4</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103,3</w:t>
            </w:r>
          </w:p>
        </w:tc>
      </w:tr>
      <w:tr w:rsidR="00453D2B" w:rsidRPr="00DB51F0" w:rsidTr="00DB51F0">
        <w:trPr>
          <w:gridAfter w:val="1"/>
          <w:wAfter w:w="21" w:type="dxa"/>
          <w:trHeight w:val="46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rPr>
                <w:rFonts w:cs="Arial"/>
                <w:color w:val="000000"/>
                <w:sz w:val="16"/>
                <w:szCs w:val="16"/>
                <w:lang w:val="en-GB"/>
              </w:rPr>
            </w:pPr>
            <w:r w:rsidRPr="00C63D3F">
              <w:rPr>
                <w:rFonts w:cs="Arial"/>
                <w:color w:val="000000"/>
                <w:sz w:val="16"/>
                <w:szCs w:val="16"/>
                <w:lang w:val="en-GB"/>
              </w:rPr>
              <w:t xml:space="preserve">HOUSING, WATER, ELECTRICITY, GAS </w:t>
            </w:r>
            <w:r w:rsidRPr="00C63D3F">
              <w:rPr>
                <w:rFonts w:cs="Arial"/>
                <w:color w:val="000000"/>
                <w:sz w:val="16"/>
                <w:szCs w:val="16"/>
                <w:lang w:val="en-GB"/>
              </w:rPr>
              <w:br/>
              <w:t>AND OTHER FUELS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107,5</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104,9</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100,4</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107,0</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104,3</w:t>
            </w:r>
          </w:p>
        </w:tc>
      </w:tr>
      <w:tr w:rsidR="00453D2B" w:rsidRPr="00DB51F0" w:rsidTr="00DB51F0">
        <w:trPr>
          <w:gridAfter w:val="1"/>
          <w:wAfter w:w="21" w:type="dxa"/>
          <w:trHeight w:val="315"/>
        </w:trPr>
        <w:tc>
          <w:tcPr>
            <w:tcW w:w="3259" w:type="dxa"/>
            <w:tcBorders>
              <w:top w:val="nil"/>
              <w:left w:val="nil"/>
              <w:bottom w:val="single" w:sz="8" w:space="0" w:color="212492"/>
              <w:right w:val="nil"/>
            </w:tcBorders>
            <w:shd w:val="clear" w:color="auto" w:fill="auto"/>
            <w:vAlign w:val="center"/>
            <w:hideMark/>
          </w:tcPr>
          <w:p w:rsidR="00453D2B" w:rsidRPr="00C63D3F" w:rsidRDefault="00453D2B" w:rsidP="001D4EE2">
            <w:pPr>
              <w:spacing w:before="0" w:after="0"/>
              <w:ind w:left="113"/>
              <w:rPr>
                <w:rFonts w:cs="Arial"/>
                <w:color w:val="000000" w:themeColor="text1"/>
                <w:sz w:val="16"/>
                <w:szCs w:val="16"/>
                <w:lang w:val="en-GB"/>
              </w:rPr>
            </w:pPr>
            <w:r w:rsidRPr="00C63D3F">
              <w:rPr>
                <w:rFonts w:cs="Arial"/>
                <w:color w:val="000000" w:themeColor="text1"/>
                <w:sz w:val="16"/>
                <w:szCs w:val="16"/>
                <w:lang w:val="en-GB"/>
              </w:rPr>
              <w:t>of which:</w:t>
            </w:r>
          </w:p>
        </w:tc>
        <w:tc>
          <w:tcPr>
            <w:tcW w:w="972" w:type="dxa"/>
            <w:tcBorders>
              <w:top w:val="nil"/>
              <w:left w:val="nil"/>
              <w:bottom w:val="single" w:sz="8" w:space="0" w:color="212492"/>
              <w:right w:val="nil"/>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9"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Actual rentals for housing</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106,3</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102,9</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100,3</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106,4</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102,5</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Water supply</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103,2</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100,9</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100,1</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103,0</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100,7</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Refuse collection</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152,9</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126,8</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104,0</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150,3</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122,0</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Sewage collection</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104,9</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102,1</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100,4</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104,7</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101,7</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Electricity, gas and other fuels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105,5</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104,6</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99,9</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105,0</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104,2</w:t>
            </w:r>
          </w:p>
        </w:tc>
      </w:tr>
      <w:tr w:rsidR="00453D2B" w:rsidRPr="00DB51F0" w:rsidTr="00DE775D">
        <w:trPr>
          <w:gridAfter w:val="1"/>
          <w:wAfter w:w="21" w:type="dxa"/>
          <w:trHeight w:val="176"/>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Electricity</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113,2</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111,7</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100,0</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111,9</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110,3</w:t>
            </w:r>
          </w:p>
        </w:tc>
      </w:tr>
      <w:tr w:rsidR="00453D2B" w:rsidRPr="00DB51F0" w:rsidTr="00DE775D">
        <w:trPr>
          <w:gridAfter w:val="1"/>
          <w:wAfter w:w="21" w:type="dxa"/>
          <w:trHeight w:val="266"/>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Gas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98,8</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98,9</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99,9</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98,9</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99,2</w:t>
            </w:r>
          </w:p>
        </w:tc>
      </w:tr>
      <w:tr w:rsidR="00453D2B" w:rsidRPr="00DB51F0" w:rsidTr="00DE775D">
        <w:trPr>
          <w:gridAfter w:val="1"/>
          <w:wAfter w:w="21" w:type="dxa"/>
          <w:trHeight w:val="270"/>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Liquid and solid fuels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99,8</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99,7</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99,8</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99,7</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100,0</w:t>
            </w:r>
          </w:p>
        </w:tc>
      </w:tr>
      <w:tr w:rsidR="00453D2B" w:rsidRPr="00DB51F0" w:rsidTr="00DE775D">
        <w:trPr>
          <w:gridAfter w:val="1"/>
          <w:wAfter w:w="21" w:type="dxa"/>
          <w:trHeight w:val="260"/>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Heat energy</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102,6</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100,9</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99,9</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102,6</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101,1</w:t>
            </w:r>
          </w:p>
        </w:tc>
      </w:tr>
      <w:tr w:rsidR="00453D2B" w:rsidRPr="00DB51F0" w:rsidTr="00DB51F0">
        <w:trPr>
          <w:gridAfter w:val="1"/>
          <w:wAfter w:w="21" w:type="dxa"/>
          <w:trHeight w:val="465"/>
        </w:trPr>
        <w:tc>
          <w:tcPr>
            <w:tcW w:w="3259" w:type="dxa"/>
            <w:tcBorders>
              <w:top w:val="nil"/>
              <w:left w:val="nil"/>
              <w:bottom w:val="nil"/>
              <w:right w:val="single" w:sz="8" w:space="0" w:color="212492"/>
            </w:tcBorders>
            <w:shd w:val="clear" w:color="auto" w:fill="auto"/>
            <w:vAlign w:val="center"/>
            <w:hideMark/>
          </w:tcPr>
          <w:p w:rsidR="00453D2B" w:rsidRPr="00C63D3F" w:rsidRDefault="00453D2B" w:rsidP="001D4EE2">
            <w:pPr>
              <w:spacing w:before="0" w:after="0"/>
              <w:rPr>
                <w:rFonts w:cs="Arial"/>
                <w:color w:val="000000"/>
                <w:sz w:val="16"/>
                <w:szCs w:val="16"/>
                <w:lang w:val="en-GB"/>
              </w:rPr>
            </w:pPr>
            <w:r w:rsidRPr="00C63D3F">
              <w:rPr>
                <w:rFonts w:cs="Arial"/>
                <w:color w:val="000000"/>
                <w:sz w:val="16"/>
                <w:szCs w:val="16"/>
                <w:lang w:val="en-GB"/>
              </w:rPr>
              <w:t>FURNISHINGS, HOUSEHOLD EQUIPMENT AND ROUTINE HOUSEHOLD MAINTENANCE</w:t>
            </w:r>
          </w:p>
        </w:tc>
        <w:tc>
          <w:tcPr>
            <w:tcW w:w="972" w:type="dxa"/>
            <w:tcBorders>
              <w:top w:val="nil"/>
              <w:left w:val="nil"/>
              <w:bottom w:val="nil"/>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100,6</w:t>
            </w:r>
          </w:p>
        </w:tc>
        <w:tc>
          <w:tcPr>
            <w:tcW w:w="972" w:type="dxa"/>
            <w:tcBorders>
              <w:top w:val="nil"/>
              <w:left w:val="nil"/>
              <w:bottom w:val="nil"/>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100,5</w:t>
            </w:r>
          </w:p>
        </w:tc>
        <w:tc>
          <w:tcPr>
            <w:tcW w:w="979" w:type="dxa"/>
            <w:tcBorders>
              <w:top w:val="nil"/>
              <w:left w:val="nil"/>
              <w:bottom w:val="nil"/>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100,4</w:t>
            </w:r>
          </w:p>
        </w:tc>
        <w:tc>
          <w:tcPr>
            <w:tcW w:w="972" w:type="dxa"/>
            <w:tcBorders>
              <w:top w:val="nil"/>
              <w:left w:val="nil"/>
              <w:bottom w:val="nil"/>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100,4</w:t>
            </w:r>
          </w:p>
        </w:tc>
        <w:tc>
          <w:tcPr>
            <w:tcW w:w="973" w:type="dxa"/>
            <w:tcBorders>
              <w:top w:val="nil"/>
              <w:left w:val="nil"/>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100,1</w:t>
            </w:r>
          </w:p>
        </w:tc>
      </w:tr>
      <w:tr w:rsidR="00453D2B" w:rsidRPr="00DB51F0" w:rsidTr="00DB51F0">
        <w:trPr>
          <w:gridAfter w:val="1"/>
          <w:wAfter w:w="21" w:type="dxa"/>
          <w:trHeight w:val="315"/>
        </w:trPr>
        <w:tc>
          <w:tcPr>
            <w:tcW w:w="3259" w:type="dxa"/>
            <w:tcBorders>
              <w:top w:val="single" w:sz="8" w:space="0" w:color="212492"/>
              <w:left w:val="nil"/>
              <w:bottom w:val="single" w:sz="8" w:space="0" w:color="212492"/>
              <w:right w:val="nil"/>
            </w:tcBorders>
            <w:shd w:val="clear" w:color="auto" w:fill="auto"/>
            <w:vAlign w:val="center"/>
            <w:hideMark/>
          </w:tcPr>
          <w:p w:rsidR="00453D2B" w:rsidRPr="00C63D3F" w:rsidRDefault="00453D2B" w:rsidP="001D4EE2">
            <w:pPr>
              <w:spacing w:before="0" w:after="0"/>
              <w:ind w:left="113"/>
              <w:rPr>
                <w:rFonts w:cs="Arial"/>
                <w:color w:val="000000" w:themeColor="text1"/>
                <w:sz w:val="16"/>
                <w:szCs w:val="16"/>
                <w:lang w:val="en-GB"/>
              </w:rPr>
            </w:pPr>
            <w:r w:rsidRPr="00C63D3F">
              <w:rPr>
                <w:rFonts w:cs="Arial"/>
                <w:color w:val="000000" w:themeColor="text1"/>
                <w:sz w:val="16"/>
                <w:szCs w:val="16"/>
                <w:lang w:val="en-GB"/>
              </w:rPr>
              <w:t>of which:</w:t>
            </w:r>
          </w:p>
        </w:tc>
        <w:tc>
          <w:tcPr>
            <w:tcW w:w="972" w:type="dxa"/>
            <w:tcBorders>
              <w:top w:val="single" w:sz="8" w:space="0" w:color="212492"/>
              <w:left w:val="nil"/>
              <w:bottom w:val="single" w:sz="8" w:space="0" w:color="212492"/>
              <w:right w:val="nil"/>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single" w:sz="8" w:space="0" w:color="212492"/>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9" w:type="dxa"/>
            <w:tcBorders>
              <w:top w:val="single" w:sz="8" w:space="0" w:color="212492"/>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single" w:sz="8" w:space="0" w:color="212492"/>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3" w:type="dxa"/>
            <w:tcBorders>
              <w:top w:val="single" w:sz="8" w:space="0" w:color="212492"/>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r>
      <w:tr w:rsidR="00453D2B" w:rsidRPr="00DB51F0" w:rsidTr="00867A5A">
        <w:trPr>
          <w:gridAfter w:val="1"/>
          <w:wAfter w:w="21" w:type="dxa"/>
          <w:trHeight w:val="302"/>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60" w:after="60"/>
              <w:ind w:left="113"/>
              <w:rPr>
                <w:rFonts w:cs="Arial"/>
                <w:color w:val="000000"/>
                <w:sz w:val="16"/>
                <w:szCs w:val="16"/>
                <w:lang w:val="en-GB"/>
              </w:rPr>
            </w:pPr>
            <w:r w:rsidRPr="00C63D3F">
              <w:rPr>
                <w:rFonts w:cs="Arial"/>
                <w:color w:val="000000"/>
                <w:sz w:val="16"/>
                <w:szCs w:val="16"/>
                <w:lang w:val="en-GB"/>
              </w:rPr>
              <w:t>Furniture and furnishings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99,3</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100,6</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100,6</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98,9</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100,0</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60" w:after="60"/>
              <w:ind w:left="113"/>
              <w:rPr>
                <w:rFonts w:cs="Arial"/>
                <w:color w:val="000000"/>
                <w:sz w:val="16"/>
                <w:szCs w:val="16"/>
                <w:lang w:val="en-GB"/>
              </w:rPr>
            </w:pPr>
            <w:r w:rsidRPr="00C63D3F">
              <w:rPr>
                <w:rFonts w:cs="Arial"/>
                <w:color w:val="000000"/>
                <w:sz w:val="16"/>
                <w:szCs w:val="16"/>
                <w:lang w:val="en-GB"/>
              </w:rPr>
              <w:t>Household appliances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98,6</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100,0</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100,2</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98,5</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99,6</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60" w:after="60"/>
              <w:ind w:left="113"/>
              <w:rPr>
                <w:rFonts w:cs="Arial"/>
                <w:color w:val="000000"/>
                <w:sz w:val="16"/>
                <w:szCs w:val="16"/>
                <w:lang w:val="en-GB"/>
              </w:rPr>
            </w:pPr>
            <w:r w:rsidRPr="00C63D3F">
              <w:rPr>
                <w:rFonts w:cs="Arial"/>
                <w:color w:val="000000"/>
                <w:sz w:val="16"/>
                <w:szCs w:val="16"/>
                <w:lang w:val="en-GB"/>
              </w:rPr>
              <w:t>Cleaning and maintenance products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101,6</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100,5</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100,4</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101,3</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100,1</w:t>
            </w:r>
          </w:p>
        </w:tc>
      </w:tr>
      <w:tr w:rsidR="00453D2B" w:rsidRPr="00DB51F0" w:rsidTr="00867A5A">
        <w:trPr>
          <w:gridAfter w:val="1"/>
          <w:wAfter w:w="21" w:type="dxa"/>
          <w:trHeight w:val="476"/>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60" w:after="60"/>
              <w:ind w:left="113"/>
              <w:rPr>
                <w:rFonts w:cs="Arial"/>
                <w:color w:val="000000"/>
                <w:sz w:val="16"/>
                <w:szCs w:val="16"/>
                <w:lang w:val="en-GB"/>
              </w:rPr>
            </w:pPr>
            <w:r w:rsidRPr="00C63D3F">
              <w:rPr>
                <w:rFonts w:cs="Arial"/>
                <w:color w:val="000000"/>
                <w:sz w:val="16"/>
                <w:szCs w:val="16"/>
                <w:lang w:val="en-GB"/>
              </w:rPr>
              <w:t xml:space="preserve">Domestic services and household </w:t>
            </w:r>
            <w:r>
              <w:rPr>
                <w:rFonts w:cs="Arial"/>
                <w:color w:val="000000"/>
                <w:sz w:val="16"/>
                <w:szCs w:val="16"/>
                <w:lang w:val="en-GB"/>
              </w:rPr>
              <w:br/>
            </w:r>
            <w:r w:rsidRPr="00C63D3F">
              <w:rPr>
                <w:rFonts w:cs="Arial"/>
                <w:color w:val="000000"/>
                <w:sz w:val="16"/>
                <w:szCs w:val="16"/>
                <w:lang w:val="en-GB"/>
              </w:rPr>
              <w:t>services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106,7</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103,0</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100,4</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106,6</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102,6</w:t>
            </w:r>
          </w:p>
        </w:tc>
      </w:tr>
      <w:tr w:rsidR="00453D2B" w:rsidRPr="00DB51F0" w:rsidTr="00DE775D">
        <w:trPr>
          <w:gridAfter w:val="1"/>
          <w:wAfter w:w="21" w:type="dxa"/>
          <w:trHeight w:val="257"/>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rPr>
                <w:rFonts w:cs="Arial"/>
                <w:color w:val="000000"/>
                <w:sz w:val="16"/>
                <w:szCs w:val="16"/>
                <w:lang w:val="en-GB"/>
              </w:rPr>
            </w:pPr>
            <w:r w:rsidRPr="00C63D3F">
              <w:rPr>
                <w:rFonts w:cs="Arial"/>
                <w:color w:val="000000"/>
                <w:sz w:val="16"/>
                <w:szCs w:val="16"/>
                <w:lang w:val="en-GB"/>
              </w:rPr>
              <w:t>HEALTH</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104,2</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101,6</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100,6</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103,9</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101,2</w:t>
            </w:r>
          </w:p>
        </w:tc>
      </w:tr>
      <w:tr w:rsidR="00453D2B" w:rsidRPr="00DB51F0" w:rsidTr="00DE775D">
        <w:trPr>
          <w:gridAfter w:val="1"/>
          <w:wAfter w:w="21" w:type="dxa"/>
          <w:trHeight w:val="279"/>
        </w:trPr>
        <w:tc>
          <w:tcPr>
            <w:tcW w:w="3259" w:type="dxa"/>
            <w:tcBorders>
              <w:top w:val="nil"/>
              <w:left w:val="nil"/>
              <w:bottom w:val="single" w:sz="8" w:space="0" w:color="212492"/>
              <w:right w:val="nil"/>
            </w:tcBorders>
            <w:shd w:val="clear" w:color="auto" w:fill="auto"/>
            <w:vAlign w:val="center"/>
            <w:hideMark/>
          </w:tcPr>
          <w:p w:rsidR="00453D2B" w:rsidRPr="00C63D3F" w:rsidRDefault="00453D2B" w:rsidP="001D4EE2">
            <w:pPr>
              <w:spacing w:before="0" w:after="0"/>
              <w:ind w:left="113"/>
              <w:rPr>
                <w:rFonts w:cs="Arial"/>
                <w:color w:val="000000" w:themeColor="text1"/>
                <w:sz w:val="16"/>
                <w:szCs w:val="16"/>
                <w:lang w:val="en-GB"/>
              </w:rPr>
            </w:pPr>
            <w:r w:rsidRPr="00C63D3F">
              <w:rPr>
                <w:rFonts w:cs="Arial"/>
                <w:color w:val="000000" w:themeColor="text1"/>
                <w:sz w:val="16"/>
                <w:szCs w:val="16"/>
                <w:lang w:val="en-GB"/>
              </w:rPr>
              <w:t>of which:</w:t>
            </w:r>
          </w:p>
        </w:tc>
        <w:tc>
          <w:tcPr>
            <w:tcW w:w="972" w:type="dxa"/>
            <w:tcBorders>
              <w:top w:val="nil"/>
              <w:left w:val="nil"/>
              <w:bottom w:val="single" w:sz="8" w:space="0" w:color="212492"/>
              <w:right w:val="nil"/>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9"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Pharmaceutical products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103,8</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101,2</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100,8</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103,3</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100,7</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Therapeutic appliances and equipment</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101,5</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100,6</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99,9</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101,5</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100,6</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Medical services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107,3</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103,1</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100,5</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107,3</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102,7</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Dental services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105,9</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103,0</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100,5</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105,6</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102,4</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Hospital services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103,2</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102,2</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99,1</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102,8</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102,7</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rPr>
                <w:rFonts w:cs="Arial"/>
                <w:color w:val="000000"/>
                <w:sz w:val="16"/>
                <w:szCs w:val="16"/>
                <w:lang w:val="en-GB"/>
              </w:rPr>
            </w:pPr>
            <w:r w:rsidRPr="00C63D3F">
              <w:rPr>
                <w:rFonts w:cs="Arial"/>
                <w:color w:val="000000"/>
                <w:sz w:val="16"/>
                <w:szCs w:val="16"/>
                <w:lang w:val="en-GB"/>
              </w:rPr>
              <w:t>TRANSPORT</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98,6</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96,3</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97,5</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100,7</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100,2</w:t>
            </w:r>
          </w:p>
        </w:tc>
      </w:tr>
      <w:tr w:rsidR="00453D2B" w:rsidRPr="00DB51F0" w:rsidTr="00DB51F0">
        <w:trPr>
          <w:gridAfter w:val="1"/>
          <w:wAfter w:w="21" w:type="dxa"/>
          <w:trHeight w:val="315"/>
        </w:trPr>
        <w:tc>
          <w:tcPr>
            <w:tcW w:w="3259" w:type="dxa"/>
            <w:tcBorders>
              <w:top w:val="nil"/>
              <w:left w:val="nil"/>
              <w:bottom w:val="single" w:sz="8" w:space="0" w:color="212492"/>
              <w:right w:val="nil"/>
            </w:tcBorders>
            <w:shd w:val="clear" w:color="auto" w:fill="auto"/>
            <w:vAlign w:val="center"/>
            <w:hideMark/>
          </w:tcPr>
          <w:p w:rsidR="00453D2B" w:rsidRPr="00C63D3F" w:rsidRDefault="00453D2B" w:rsidP="001D4EE2">
            <w:pPr>
              <w:spacing w:before="0" w:after="0"/>
              <w:ind w:left="113"/>
              <w:rPr>
                <w:rFonts w:cs="Arial"/>
                <w:color w:val="000000" w:themeColor="text1"/>
                <w:sz w:val="16"/>
                <w:szCs w:val="16"/>
                <w:lang w:val="en-GB"/>
              </w:rPr>
            </w:pPr>
            <w:r w:rsidRPr="00C63D3F">
              <w:rPr>
                <w:rFonts w:cs="Arial"/>
                <w:color w:val="000000" w:themeColor="text1"/>
                <w:sz w:val="16"/>
                <w:szCs w:val="16"/>
                <w:lang w:val="en-GB"/>
              </w:rPr>
              <w:t>of which:</w:t>
            </w:r>
          </w:p>
        </w:tc>
        <w:tc>
          <w:tcPr>
            <w:tcW w:w="972" w:type="dxa"/>
            <w:tcBorders>
              <w:top w:val="nil"/>
              <w:left w:val="nil"/>
              <w:bottom w:val="single" w:sz="8" w:space="0" w:color="212492"/>
              <w:right w:val="nil"/>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9"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Purchase of vehicles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96,8</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100,3</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99,9</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97,3</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100,3</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of which motor cars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96,6</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100,3</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99,8</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97,1</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100,3</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Fuels for personal transport equipment</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97,1</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95,2</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95,4</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101,0</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100,3</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Diesel</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94,8</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95,7</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94,5</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99,9</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101,5</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Petrol</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98,4</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95,9</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96,3</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101,5</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98,9</w:t>
            </w:r>
          </w:p>
        </w:tc>
      </w:tr>
      <w:tr w:rsidR="00453D2B" w:rsidRPr="00DB51F0" w:rsidTr="00DB51F0">
        <w:trPr>
          <w:gridAfter w:val="1"/>
          <w:wAfter w:w="21" w:type="dxa"/>
          <w:trHeight w:val="46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line="240" w:lineRule="auto"/>
              <w:ind w:left="170"/>
              <w:rPr>
                <w:rFonts w:eastAsia="Times New Roman" w:cs="Calibri"/>
                <w:color w:val="000000"/>
                <w:sz w:val="16"/>
                <w:szCs w:val="16"/>
                <w:lang w:val="en-GB" w:eastAsia="pl-PL"/>
              </w:rPr>
            </w:pPr>
            <w:r w:rsidRPr="00C63D3F">
              <w:rPr>
                <w:rFonts w:cs="Arial"/>
                <w:color w:val="000000"/>
                <w:sz w:val="16"/>
                <w:szCs w:val="16"/>
                <w:lang w:val="en-GB"/>
              </w:rPr>
              <w:t>Liquid petroleum gas and other fuels for personal transport equipment</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96,7</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88,6</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92,1</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101,1</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105,5</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Transport services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103,6</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86,3</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101,1</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101,8</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96,1</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rPr>
                <w:rFonts w:cs="Arial"/>
                <w:color w:val="000000"/>
                <w:sz w:val="16"/>
                <w:szCs w:val="16"/>
                <w:lang w:val="en-GB"/>
              </w:rPr>
            </w:pPr>
            <w:r w:rsidRPr="00C63D3F">
              <w:rPr>
                <w:rFonts w:cs="Arial"/>
                <w:color w:val="000000"/>
                <w:sz w:val="16"/>
                <w:szCs w:val="16"/>
                <w:lang w:val="en-GB"/>
              </w:rPr>
              <w:lastRenderedPageBreak/>
              <w:t>COMMUNICATION</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102,4</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100,9</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100,4</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102,1</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100,6</w:t>
            </w:r>
          </w:p>
        </w:tc>
      </w:tr>
      <w:tr w:rsidR="00453D2B" w:rsidRPr="00DB51F0" w:rsidTr="00DB51F0">
        <w:trPr>
          <w:gridAfter w:val="1"/>
          <w:wAfter w:w="21" w:type="dxa"/>
          <w:trHeight w:val="315"/>
        </w:trPr>
        <w:tc>
          <w:tcPr>
            <w:tcW w:w="3259" w:type="dxa"/>
            <w:tcBorders>
              <w:top w:val="nil"/>
              <w:left w:val="nil"/>
              <w:bottom w:val="single" w:sz="8" w:space="0" w:color="212492"/>
              <w:right w:val="nil"/>
            </w:tcBorders>
            <w:shd w:val="clear" w:color="auto" w:fill="auto"/>
            <w:vAlign w:val="center"/>
            <w:hideMark/>
          </w:tcPr>
          <w:p w:rsidR="00453D2B" w:rsidRPr="00C63D3F" w:rsidRDefault="00453D2B" w:rsidP="001D4EE2">
            <w:pPr>
              <w:spacing w:before="0" w:after="0"/>
              <w:ind w:left="113"/>
              <w:rPr>
                <w:rFonts w:cs="Arial"/>
                <w:color w:val="000000" w:themeColor="text1"/>
                <w:sz w:val="16"/>
                <w:szCs w:val="16"/>
                <w:lang w:val="en-GB"/>
              </w:rPr>
            </w:pPr>
            <w:r w:rsidRPr="00C63D3F">
              <w:rPr>
                <w:rFonts w:cs="Arial"/>
                <w:color w:val="000000" w:themeColor="text1"/>
                <w:sz w:val="16"/>
                <w:szCs w:val="16"/>
                <w:lang w:val="en-GB"/>
              </w:rPr>
              <w:t>of which:</w:t>
            </w:r>
          </w:p>
        </w:tc>
        <w:tc>
          <w:tcPr>
            <w:tcW w:w="972" w:type="dxa"/>
            <w:tcBorders>
              <w:top w:val="nil"/>
              <w:left w:val="nil"/>
              <w:bottom w:val="single" w:sz="8" w:space="0" w:color="212492"/>
              <w:right w:val="nil"/>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9"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Telephone and telefax equipment</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90,1</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96,3</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99,2</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90,4</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94,8</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Telephone and telefax services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102,9</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101,0</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100,5</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102,5</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100,8</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rPr>
                <w:rFonts w:cs="Arial"/>
                <w:color w:val="000000"/>
                <w:sz w:val="16"/>
                <w:szCs w:val="16"/>
                <w:lang w:val="en-GB"/>
              </w:rPr>
            </w:pPr>
            <w:r w:rsidRPr="00C63D3F">
              <w:rPr>
                <w:rFonts w:cs="Arial"/>
                <w:color w:val="000000"/>
                <w:sz w:val="16"/>
                <w:szCs w:val="16"/>
                <w:lang w:val="en-GB"/>
              </w:rPr>
              <w:t>RECREATION AND CULTURE</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102,5</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100,5</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99,1</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103,1</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101,4</w:t>
            </w:r>
          </w:p>
        </w:tc>
      </w:tr>
      <w:tr w:rsidR="00453D2B" w:rsidRPr="00DB51F0" w:rsidTr="00DB51F0">
        <w:trPr>
          <w:gridAfter w:val="1"/>
          <w:wAfter w:w="21" w:type="dxa"/>
          <w:trHeight w:val="315"/>
        </w:trPr>
        <w:tc>
          <w:tcPr>
            <w:tcW w:w="3259" w:type="dxa"/>
            <w:tcBorders>
              <w:top w:val="nil"/>
              <w:left w:val="nil"/>
              <w:bottom w:val="single" w:sz="8" w:space="0" w:color="212492"/>
              <w:right w:val="nil"/>
            </w:tcBorders>
            <w:shd w:val="clear" w:color="auto" w:fill="auto"/>
            <w:vAlign w:val="center"/>
            <w:hideMark/>
          </w:tcPr>
          <w:p w:rsidR="00453D2B" w:rsidRPr="00C63D3F" w:rsidRDefault="00453D2B" w:rsidP="001D4EE2">
            <w:pPr>
              <w:spacing w:before="0" w:after="0"/>
              <w:ind w:left="113"/>
              <w:rPr>
                <w:rFonts w:cs="Arial"/>
                <w:color w:val="000000" w:themeColor="text1"/>
                <w:sz w:val="16"/>
                <w:szCs w:val="16"/>
                <w:lang w:val="en-GB"/>
              </w:rPr>
            </w:pPr>
            <w:r w:rsidRPr="00C63D3F">
              <w:rPr>
                <w:rFonts w:cs="Arial"/>
                <w:color w:val="000000" w:themeColor="text1"/>
                <w:sz w:val="16"/>
                <w:szCs w:val="16"/>
                <w:lang w:val="en-GB"/>
              </w:rPr>
              <w:t>of which:</w:t>
            </w:r>
          </w:p>
        </w:tc>
        <w:tc>
          <w:tcPr>
            <w:tcW w:w="972" w:type="dxa"/>
            <w:tcBorders>
              <w:top w:val="nil"/>
              <w:left w:val="nil"/>
              <w:bottom w:val="single" w:sz="8" w:space="0" w:color="212492"/>
              <w:right w:val="nil"/>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9"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r>
      <w:tr w:rsidR="00453D2B" w:rsidRPr="00DB51F0" w:rsidTr="00DB51F0">
        <w:trPr>
          <w:gridAfter w:val="1"/>
          <w:wAfter w:w="21" w:type="dxa"/>
          <w:trHeight w:val="300"/>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Audio-visual, photographic and information processing equipment</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95,9</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99,1</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100,1</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95,6</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98,8</w:t>
            </w:r>
          </w:p>
        </w:tc>
      </w:tr>
      <w:tr w:rsidR="00453D2B" w:rsidRPr="00DB51F0" w:rsidTr="00DB51F0">
        <w:trPr>
          <w:gridAfter w:val="1"/>
          <w:wAfter w:w="21" w:type="dxa"/>
          <w:trHeight w:val="300"/>
        </w:trPr>
        <w:tc>
          <w:tcPr>
            <w:tcW w:w="3259" w:type="dxa"/>
            <w:tcBorders>
              <w:top w:val="single" w:sz="8" w:space="0" w:color="212492"/>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Recreational and cultural services</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102,2</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101,7</w:t>
            </w:r>
          </w:p>
        </w:tc>
        <w:tc>
          <w:tcPr>
            <w:tcW w:w="979"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100,4</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102,4</w:t>
            </w:r>
          </w:p>
        </w:tc>
        <w:tc>
          <w:tcPr>
            <w:tcW w:w="973" w:type="dxa"/>
            <w:tcBorders>
              <w:top w:val="single" w:sz="8" w:space="0" w:color="212492"/>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101,2</w:t>
            </w:r>
          </w:p>
        </w:tc>
      </w:tr>
      <w:tr w:rsidR="00453D2B" w:rsidRPr="00DB51F0" w:rsidTr="00DB51F0">
        <w:trPr>
          <w:gridAfter w:val="1"/>
          <w:wAfter w:w="21" w:type="dxa"/>
          <w:trHeight w:val="315"/>
        </w:trPr>
        <w:tc>
          <w:tcPr>
            <w:tcW w:w="3259" w:type="dxa"/>
            <w:tcBorders>
              <w:top w:val="single" w:sz="8" w:space="0" w:color="212492"/>
              <w:left w:val="nil"/>
              <w:bottom w:val="single" w:sz="8" w:space="0" w:color="212492"/>
              <w:right w:val="nil"/>
            </w:tcBorders>
            <w:shd w:val="clear" w:color="auto" w:fill="auto"/>
            <w:vAlign w:val="center"/>
            <w:hideMark/>
          </w:tcPr>
          <w:p w:rsidR="00453D2B" w:rsidRPr="00C63D3F" w:rsidRDefault="00453D2B" w:rsidP="001D4EE2">
            <w:pPr>
              <w:spacing w:before="0" w:after="0"/>
              <w:ind w:left="113"/>
              <w:rPr>
                <w:rFonts w:cs="Arial"/>
                <w:color w:val="000000" w:themeColor="text1"/>
                <w:sz w:val="16"/>
                <w:szCs w:val="16"/>
                <w:lang w:val="en-GB"/>
              </w:rPr>
            </w:pPr>
            <w:r w:rsidRPr="00C63D3F">
              <w:rPr>
                <w:rFonts w:cs="Arial"/>
                <w:color w:val="000000" w:themeColor="text1"/>
                <w:sz w:val="16"/>
                <w:szCs w:val="16"/>
                <w:lang w:val="en-GB"/>
              </w:rPr>
              <w:t>of which:</w:t>
            </w:r>
          </w:p>
        </w:tc>
        <w:tc>
          <w:tcPr>
            <w:tcW w:w="972" w:type="dxa"/>
            <w:tcBorders>
              <w:top w:val="single" w:sz="8" w:space="0" w:color="212492"/>
              <w:left w:val="nil"/>
              <w:bottom w:val="single" w:sz="8" w:space="0" w:color="212492"/>
              <w:right w:val="nil"/>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single" w:sz="8" w:space="0" w:color="212492"/>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9" w:type="dxa"/>
            <w:tcBorders>
              <w:top w:val="single" w:sz="8" w:space="0" w:color="212492"/>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single" w:sz="8" w:space="0" w:color="212492"/>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3" w:type="dxa"/>
            <w:tcBorders>
              <w:top w:val="single" w:sz="8" w:space="0" w:color="212492"/>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r>
      <w:tr w:rsidR="00453D2B" w:rsidRPr="00DB51F0" w:rsidTr="00DB51F0">
        <w:trPr>
          <w:gridAfter w:val="1"/>
          <w:wAfter w:w="21" w:type="dxa"/>
          <w:trHeight w:val="300"/>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Recreational and sporting services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104,6</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102,4</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100,9</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104,4</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101,7</w:t>
            </w:r>
          </w:p>
        </w:tc>
      </w:tr>
      <w:tr w:rsidR="00453D2B" w:rsidRPr="00DB51F0" w:rsidTr="00DB51F0">
        <w:trPr>
          <w:gridAfter w:val="1"/>
          <w:wAfter w:w="21" w:type="dxa"/>
          <w:trHeight w:val="315"/>
        </w:trPr>
        <w:tc>
          <w:tcPr>
            <w:tcW w:w="3259" w:type="dxa"/>
            <w:tcBorders>
              <w:top w:val="single" w:sz="8" w:space="0" w:color="212492"/>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Cultural services</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101,3</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101,5</w:t>
            </w:r>
          </w:p>
        </w:tc>
        <w:tc>
          <w:tcPr>
            <w:tcW w:w="979"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100,2</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101,5</w:t>
            </w:r>
          </w:p>
        </w:tc>
        <w:tc>
          <w:tcPr>
            <w:tcW w:w="973" w:type="dxa"/>
            <w:tcBorders>
              <w:top w:val="single" w:sz="8" w:space="0" w:color="212492"/>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101,0</w:t>
            </w:r>
          </w:p>
        </w:tc>
      </w:tr>
      <w:tr w:rsidR="00453D2B" w:rsidRPr="00DB51F0" w:rsidTr="00DB51F0">
        <w:trPr>
          <w:gridAfter w:val="1"/>
          <w:wAfter w:w="21" w:type="dxa"/>
          <w:trHeight w:val="300"/>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340"/>
              <w:rPr>
                <w:rFonts w:cs="Arial"/>
                <w:color w:val="000000"/>
                <w:sz w:val="16"/>
                <w:szCs w:val="16"/>
                <w:lang w:val="en-GB"/>
              </w:rPr>
            </w:pPr>
            <w:r w:rsidRPr="00C63D3F">
              <w:rPr>
                <w:rFonts w:cs="Arial"/>
                <w:color w:val="000000"/>
                <w:sz w:val="16"/>
                <w:szCs w:val="16"/>
                <w:lang w:val="en-GB"/>
              </w:rPr>
              <w:t>of which television and radio licence fees, subscriptions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98,6</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100,9</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100,6</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99,3</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99,9</w:t>
            </w:r>
          </w:p>
        </w:tc>
      </w:tr>
      <w:tr w:rsidR="00453D2B" w:rsidRPr="00DB51F0" w:rsidTr="00DB51F0">
        <w:trPr>
          <w:gridAfter w:val="1"/>
          <w:wAfter w:w="21" w:type="dxa"/>
          <w:trHeight w:val="315"/>
        </w:trPr>
        <w:tc>
          <w:tcPr>
            <w:tcW w:w="3259" w:type="dxa"/>
            <w:tcBorders>
              <w:top w:val="single" w:sz="8" w:space="0" w:color="212492"/>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Books</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104,5</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95,9</w:t>
            </w:r>
          </w:p>
        </w:tc>
        <w:tc>
          <w:tcPr>
            <w:tcW w:w="979"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100,7</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105,2</w:t>
            </w:r>
          </w:p>
        </w:tc>
        <w:tc>
          <w:tcPr>
            <w:tcW w:w="973" w:type="dxa"/>
            <w:tcBorders>
              <w:top w:val="single" w:sz="8" w:space="0" w:color="212492"/>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97,3</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Newspapers and periodicals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105,9</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103,9</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100,3</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104,8</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103,5</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Stationery and drawing materials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103,3</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100,6</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100,1</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103,2</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100,7</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Package holidays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104,9</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99,0</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95,7</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107,7</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103,0</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Package domestic holidays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107,4</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102,4</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99,7</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107,0</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103,0</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Package international holidays</w:t>
            </w:r>
            <w:r w:rsidR="00A25EC4" w:rsidRPr="009E3F12">
              <w:rPr>
                <w:rFonts w:eastAsia="Times New Roman" w:cs="Arial"/>
                <w:color w:val="000000"/>
                <w:sz w:val="20"/>
                <w:szCs w:val="20"/>
                <w:vertAlign w:val="superscript"/>
                <w:lang w:eastAsia="pl-PL"/>
              </w:rPr>
              <w:t>u</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103,0</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96,5</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92,9</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108,1</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102,9</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rPr>
                <w:rFonts w:cs="Arial"/>
                <w:color w:val="000000"/>
                <w:sz w:val="16"/>
                <w:szCs w:val="16"/>
                <w:lang w:val="en-GB"/>
              </w:rPr>
            </w:pPr>
            <w:r w:rsidRPr="00C63D3F">
              <w:rPr>
                <w:rFonts w:cs="Arial"/>
                <w:color w:val="000000"/>
                <w:sz w:val="16"/>
                <w:szCs w:val="16"/>
                <w:lang w:val="en-GB"/>
              </w:rPr>
              <w:t>EDUCATION</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105,0</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100,9</w:t>
            </w:r>
          </w:p>
        </w:tc>
        <w:tc>
          <w:tcPr>
            <w:tcW w:w="979"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100,1</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104,9</w:t>
            </w:r>
          </w:p>
        </w:tc>
        <w:tc>
          <w:tcPr>
            <w:tcW w:w="973" w:type="dxa"/>
            <w:tcBorders>
              <w:top w:val="single" w:sz="8" w:space="0" w:color="212492"/>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100,8</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rPr>
                <w:rFonts w:cs="Arial"/>
                <w:color w:val="000000"/>
                <w:sz w:val="16"/>
                <w:szCs w:val="16"/>
                <w:lang w:val="en-GB"/>
              </w:rPr>
            </w:pPr>
            <w:r w:rsidRPr="00C63D3F">
              <w:rPr>
                <w:rFonts w:cs="Arial"/>
                <w:color w:val="000000"/>
                <w:sz w:val="16"/>
                <w:szCs w:val="16"/>
                <w:lang w:val="en-GB"/>
              </w:rPr>
              <w:t>RESTAURANTS AND HOTELS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106,3</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102,0</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100,4</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106,0</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101,7</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rPr>
                <w:rFonts w:cs="Arial"/>
                <w:color w:val="000000"/>
                <w:sz w:val="16"/>
                <w:szCs w:val="16"/>
                <w:lang w:val="en-GB"/>
              </w:rPr>
            </w:pPr>
            <w:r w:rsidRPr="00C63D3F">
              <w:rPr>
                <w:rFonts w:cs="Arial"/>
                <w:color w:val="000000"/>
                <w:sz w:val="16"/>
                <w:szCs w:val="16"/>
                <w:lang w:val="en-GB"/>
              </w:rPr>
              <w:t>MISCELLANEOUS GOODS AND SERVICES</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102,6</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100,0</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100,2</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102,1</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100,6</w:t>
            </w:r>
          </w:p>
        </w:tc>
      </w:tr>
      <w:tr w:rsidR="00453D2B" w:rsidRPr="00DB51F0" w:rsidTr="00DB51F0">
        <w:trPr>
          <w:gridAfter w:val="1"/>
          <w:wAfter w:w="21" w:type="dxa"/>
          <w:trHeight w:val="315"/>
        </w:trPr>
        <w:tc>
          <w:tcPr>
            <w:tcW w:w="3259" w:type="dxa"/>
            <w:tcBorders>
              <w:top w:val="nil"/>
              <w:left w:val="nil"/>
              <w:bottom w:val="single" w:sz="8" w:space="0" w:color="212492"/>
              <w:right w:val="nil"/>
            </w:tcBorders>
            <w:shd w:val="clear" w:color="auto" w:fill="auto"/>
            <w:vAlign w:val="center"/>
            <w:hideMark/>
          </w:tcPr>
          <w:p w:rsidR="00453D2B" w:rsidRPr="00C63D3F" w:rsidRDefault="00453D2B" w:rsidP="001D4EE2">
            <w:pPr>
              <w:spacing w:before="0" w:after="0"/>
              <w:ind w:left="113"/>
              <w:rPr>
                <w:rFonts w:cs="Arial"/>
                <w:color w:val="000000" w:themeColor="text1"/>
                <w:sz w:val="16"/>
                <w:szCs w:val="16"/>
                <w:lang w:val="en-GB"/>
              </w:rPr>
            </w:pPr>
            <w:r w:rsidRPr="00C63D3F">
              <w:rPr>
                <w:rFonts w:cs="Arial"/>
                <w:color w:val="000000" w:themeColor="text1"/>
                <w:sz w:val="16"/>
                <w:szCs w:val="16"/>
                <w:lang w:val="en-GB"/>
              </w:rPr>
              <w:t>of which:</w:t>
            </w:r>
          </w:p>
        </w:tc>
        <w:tc>
          <w:tcPr>
            <w:tcW w:w="972" w:type="dxa"/>
            <w:tcBorders>
              <w:top w:val="nil"/>
              <w:left w:val="nil"/>
              <w:bottom w:val="single" w:sz="8" w:space="0" w:color="212492"/>
              <w:right w:val="nil"/>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9"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Personal care</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102,4</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100,8</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99,9</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102,2</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100,7</w:t>
            </w:r>
          </w:p>
        </w:tc>
      </w:tr>
      <w:tr w:rsidR="00453D2B" w:rsidRPr="00DB51F0" w:rsidTr="00DB51F0">
        <w:trPr>
          <w:gridAfter w:val="1"/>
          <w:wAfter w:w="21" w:type="dxa"/>
          <w:trHeight w:val="315"/>
        </w:trPr>
        <w:tc>
          <w:tcPr>
            <w:tcW w:w="3259" w:type="dxa"/>
            <w:tcBorders>
              <w:top w:val="nil"/>
              <w:left w:val="nil"/>
              <w:bottom w:val="single" w:sz="8" w:space="0" w:color="212492"/>
              <w:right w:val="nil"/>
            </w:tcBorders>
            <w:shd w:val="clear" w:color="auto" w:fill="auto"/>
            <w:vAlign w:val="center"/>
            <w:hideMark/>
          </w:tcPr>
          <w:p w:rsidR="00453D2B" w:rsidRPr="00C63D3F" w:rsidRDefault="00453D2B" w:rsidP="001D4EE2">
            <w:pPr>
              <w:spacing w:before="0" w:after="0"/>
              <w:ind w:left="227"/>
              <w:rPr>
                <w:rFonts w:cs="Arial"/>
                <w:color w:val="000000" w:themeColor="text1"/>
                <w:sz w:val="16"/>
                <w:szCs w:val="16"/>
                <w:lang w:val="en-GB"/>
              </w:rPr>
            </w:pPr>
            <w:r w:rsidRPr="00C63D3F">
              <w:rPr>
                <w:rFonts w:cs="Arial"/>
                <w:color w:val="000000" w:themeColor="text1"/>
                <w:sz w:val="16"/>
                <w:szCs w:val="16"/>
                <w:lang w:val="en-GB"/>
              </w:rPr>
              <w:t>of which:</w:t>
            </w:r>
          </w:p>
        </w:tc>
        <w:tc>
          <w:tcPr>
            <w:tcW w:w="972" w:type="dxa"/>
            <w:tcBorders>
              <w:top w:val="nil"/>
              <w:left w:val="nil"/>
              <w:bottom w:val="single" w:sz="8" w:space="0" w:color="212492"/>
              <w:right w:val="nil"/>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9"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2"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Hairdressing salons and personal grooming establishments</w:t>
            </w:r>
          </w:p>
        </w:tc>
        <w:tc>
          <w:tcPr>
            <w:tcW w:w="972" w:type="dxa"/>
            <w:tcBorders>
              <w:top w:val="nil"/>
              <w:left w:val="nil"/>
              <w:bottom w:val="nil"/>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107,7</w:t>
            </w:r>
          </w:p>
        </w:tc>
        <w:tc>
          <w:tcPr>
            <w:tcW w:w="972" w:type="dxa"/>
            <w:tcBorders>
              <w:top w:val="nil"/>
              <w:left w:val="nil"/>
              <w:bottom w:val="nil"/>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104,3</w:t>
            </w:r>
          </w:p>
        </w:tc>
        <w:tc>
          <w:tcPr>
            <w:tcW w:w="979" w:type="dxa"/>
            <w:tcBorders>
              <w:top w:val="nil"/>
              <w:left w:val="nil"/>
              <w:bottom w:val="nil"/>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100,6</w:t>
            </w:r>
          </w:p>
        </w:tc>
        <w:tc>
          <w:tcPr>
            <w:tcW w:w="972" w:type="dxa"/>
            <w:tcBorders>
              <w:top w:val="nil"/>
              <w:left w:val="nil"/>
              <w:bottom w:val="nil"/>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107,5</w:t>
            </w:r>
          </w:p>
        </w:tc>
        <w:tc>
          <w:tcPr>
            <w:tcW w:w="973" w:type="dxa"/>
            <w:tcBorders>
              <w:top w:val="nil"/>
              <w:left w:val="nil"/>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103,7</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227"/>
              <w:rPr>
                <w:rFonts w:cs="Arial"/>
                <w:color w:val="000000"/>
                <w:sz w:val="16"/>
                <w:szCs w:val="16"/>
                <w:lang w:val="en-GB"/>
              </w:rPr>
            </w:pPr>
            <w:r w:rsidRPr="00C63D3F">
              <w:rPr>
                <w:rFonts w:cs="Arial"/>
                <w:color w:val="000000"/>
                <w:sz w:val="16"/>
                <w:szCs w:val="16"/>
                <w:lang w:val="en-GB"/>
              </w:rPr>
              <w:t>Articles for personal hygiene and wellness, esoteric products and beauty products</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101,3</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100,1</w:t>
            </w:r>
          </w:p>
        </w:tc>
        <w:tc>
          <w:tcPr>
            <w:tcW w:w="979"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99,8</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101,1</w:t>
            </w:r>
          </w:p>
        </w:tc>
        <w:tc>
          <w:tcPr>
            <w:tcW w:w="973" w:type="dxa"/>
            <w:tcBorders>
              <w:top w:val="single" w:sz="8" w:space="0" w:color="212492"/>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100,0</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Social protection</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108,2</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104,7</w:t>
            </w:r>
          </w:p>
        </w:tc>
        <w:tc>
          <w:tcPr>
            <w:tcW w:w="979"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100,4</w:t>
            </w:r>
          </w:p>
        </w:tc>
        <w:tc>
          <w:tcPr>
            <w:tcW w:w="972" w:type="dxa"/>
            <w:tcBorders>
              <w:top w:val="single" w:sz="8" w:space="0" w:color="212492"/>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108,0</w:t>
            </w:r>
          </w:p>
        </w:tc>
        <w:tc>
          <w:tcPr>
            <w:tcW w:w="973" w:type="dxa"/>
            <w:tcBorders>
              <w:top w:val="single" w:sz="8" w:space="0" w:color="212492"/>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104,0</w:t>
            </w:r>
          </w:p>
        </w:tc>
      </w:tr>
      <w:tr w:rsidR="00453D2B" w:rsidRPr="00DB51F0" w:rsidTr="00DB51F0">
        <w:trPr>
          <w:gridAfter w:val="1"/>
          <w:wAfter w:w="21" w:type="dxa"/>
          <w:trHeight w:val="315"/>
        </w:trPr>
        <w:tc>
          <w:tcPr>
            <w:tcW w:w="3259" w:type="dxa"/>
            <w:tcBorders>
              <w:top w:val="nil"/>
              <w:left w:val="nil"/>
              <w:bottom w:val="single" w:sz="8" w:space="0" w:color="212492"/>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Insurance</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103,6</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95,7</w:t>
            </w:r>
          </w:p>
        </w:tc>
        <w:tc>
          <w:tcPr>
            <w:tcW w:w="979"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100,9</w:t>
            </w:r>
          </w:p>
        </w:tc>
        <w:tc>
          <w:tcPr>
            <w:tcW w:w="972" w:type="dxa"/>
            <w:tcBorders>
              <w:top w:val="nil"/>
              <w:left w:val="nil"/>
              <w:bottom w:val="single" w:sz="8" w:space="0" w:color="212492"/>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101,3</w:t>
            </w:r>
          </w:p>
        </w:tc>
        <w:tc>
          <w:tcPr>
            <w:tcW w:w="973" w:type="dxa"/>
            <w:tcBorders>
              <w:top w:val="nil"/>
              <w:left w:val="nil"/>
              <w:bottom w:val="single" w:sz="8" w:space="0" w:color="212492"/>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99,4</w:t>
            </w:r>
          </w:p>
        </w:tc>
      </w:tr>
      <w:tr w:rsidR="00453D2B" w:rsidRPr="00DB51F0" w:rsidTr="00DB51F0">
        <w:trPr>
          <w:gridAfter w:val="1"/>
          <w:wAfter w:w="21" w:type="dxa"/>
          <w:trHeight w:val="450"/>
        </w:trPr>
        <w:tc>
          <w:tcPr>
            <w:tcW w:w="3259" w:type="dxa"/>
            <w:tcBorders>
              <w:top w:val="nil"/>
              <w:left w:val="nil"/>
              <w:bottom w:val="nil"/>
              <w:right w:val="single" w:sz="8" w:space="0" w:color="212492"/>
            </w:tcBorders>
            <w:shd w:val="clear" w:color="auto" w:fill="auto"/>
            <w:vAlign w:val="center"/>
            <w:hideMark/>
          </w:tcPr>
          <w:p w:rsidR="00453D2B" w:rsidRPr="00C63D3F" w:rsidRDefault="00453D2B" w:rsidP="001D4EE2">
            <w:pPr>
              <w:spacing w:before="0" w:after="0"/>
              <w:ind w:left="113"/>
              <w:rPr>
                <w:rFonts w:cs="Arial"/>
                <w:color w:val="000000"/>
                <w:sz w:val="16"/>
                <w:szCs w:val="16"/>
                <w:lang w:val="en-GB"/>
              </w:rPr>
            </w:pPr>
            <w:r w:rsidRPr="00C63D3F">
              <w:rPr>
                <w:rFonts w:cs="Arial"/>
                <w:color w:val="000000"/>
                <w:sz w:val="16"/>
                <w:szCs w:val="16"/>
                <w:lang w:val="en-GB"/>
              </w:rPr>
              <w:t>Charges by banks and post offices</w:t>
            </w:r>
          </w:p>
        </w:tc>
        <w:tc>
          <w:tcPr>
            <w:tcW w:w="972" w:type="dxa"/>
            <w:tcBorders>
              <w:top w:val="nil"/>
              <w:left w:val="nil"/>
              <w:bottom w:val="nil"/>
              <w:right w:val="single" w:sz="8" w:space="0" w:color="212492"/>
            </w:tcBorders>
            <w:shd w:val="clear" w:color="auto" w:fill="auto"/>
            <w:vAlign w:val="center"/>
            <w:hideMark/>
          </w:tcPr>
          <w:p w:rsidR="00453D2B" w:rsidRPr="002147B5" w:rsidRDefault="00453D2B" w:rsidP="00DB51F0">
            <w:pPr>
              <w:spacing w:before="0" w:after="0" w:line="240" w:lineRule="auto"/>
              <w:jc w:val="right"/>
              <w:rPr>
                <w:rFonts w:eastAsia="Times New Roman" w:cs="Arial"/>
                <w:color w:val="000000"/>
                <w:sz w:val="16"/>
                <w:szCs w:val="16"/>
                <w:lang w:eastAsia="pl-PL"/>
              </w:rPr>
            </w:pPr>
            <w:r w:rsidRPr="002147B5">
              <w:rPr>
                <w:rFonts w:eastAsia="Times New Roman" w:cs="Arial"/>
                <w:color w:val="000000"/>
                <w:sz w:val="16"/>
                <w:szCs w:val="16"/>
                <w:lang w:eastAsia="pl-PL"/>
              </w:rPr>
              <w:t>101,1</w:t>
            </w:r>
          </w:p>
        </w:tc>
        <w:tc>
          <w:tcPr>
            <w:tcW w:w="972" w:type="dxa"/>
            <w:tcBorders>
              <w:top w:val="nil"/>
              <w:left w:val="nil"/>
              <w:bottom w:val="nil"/>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100,0</w:t>
            </w:r>
          </w:p>
        </w:tc>
        <w:tc>
          <w:tcPr>
            <w:tcW w:w="979" w:type="dxa"/>
            <w:tcBorders>
              <w:top w:val="nil"/>
              <w:left w:val="nil"/>
              <w:bottom w:val="nil"/>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100,0</w:t>
            </w:r>
          </w:p>
        </w:tc>
        <w:tc>
          <w:tcPr>
            <w:tcW w:w="972" w:type="dxa"/>
            <w:tcBorders>
              <w:top w:val="nil"/>
              <w:left w:val="nil"/>
              <w:bottom w:val="nil"/>
              <w:right w:val="single" w:sz="8" w:space="0" w:color="212492"/>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101,1</w:t>
            </w:r>
          </w:p>
        </w:tc>
        <w:tc>
          <w:tcPr>
            <w:tcW w:w="973" w:type="dxa"/>
            <w:tcBorders>
              <w:top w:val="nil"/>
              <w:left w:val="nil"/>
              <w:bottom w:val="nil"/>
              <w:right w:val="nil"/>
            </w:tcBorders>
            <w:shd w:val="clear" w:color="auto" w:fill="auto"/>
            <w:vAlign w:val="center"/>
            <w:hideMark/>
          </w:tcPr>
          <w:p w:rsidR="00453D2B" w:rsidRPr="00DB51F0" w:rsidRDefault="00453D2B" w:rsidP="00DB51F0">
            <w:pPr>
              <w:spacing w:before="0" w:after="0" w:line="240" w:lineRule="auto"/>
              <w:jc w:val="right"/>
              <w:rPr>
                <w:rFonts w:eastAsia="Times New Roman" w:cs="Arial"/>
                <w:color w:val="000000"/>
                <w:sz w:val="16"/>
                <w:szCs w:val="16"/>
                <w:lang w:eastAsia="pl-PL"/>
              </w:rPr>
            </w:pPr>
            <w:r w:rsidRPr="00DB51F0">
              <w:rPr>
                <w:rFonts w:eastAsia="Times New Roman" w:cs="Arial"/>
                <w:color w:val="000000"/>
                <w:sz w:val="16"/>
                <w:szCs w:val="16"/>
                <w:lang w:eastAsia="pl-PL"/>
              </w:rPr>
              <w:t>100,0</w:t>
            </w:r>
          </w:p>
        </w:tc>
      </w:tr>
    </w:tbl>
    <w:p w:rsidR="009E3FA7" w:rsidRPr="00AA13BD" w:rsidRDefault="009E3FA7" w:rsidP="00516A50">
      <w:pPr>
        <w:pStyle w:val="LID"/>
        <w:rPr>
          <w:bCs/>
          <w:sz w:val="18"/>
          <w:shd w:val="clear" w:color="auto" w:fill="FFFFFF"/>
        </w:rPr>
      </w:pPr>
    </w:p>
    <w:p w:rsidR="001A78D0" w:rsidRPr="00502F8C" w:rsidRDefault="001A78D0" w:rsidP="00516A50">
      <w:pPr>
        <w:pStyle w:val="LID"/>
        <w:rPr>
          <w:bCs/>
          <w:sz w:val="18"/>
          <w:highlight w:val="yellow"/>
          <w:shd w:val="clear" w:color="auto" w:fill="FFFFFF"/>
        </w:rPr>
      </w:pPr>
    </w:p>
    <w:p w:rsidR="00685123" w:rsidRPr="008243E6" w:rsidRDefault="00A55B73" w:rsidP="00A25EC4">
      <w:pPr>
        <w:spacing w:before="0" w:after="160" w:line="259" w:lineRule="auto"/>
        <w:ind w:left="708" w:hanging="708"/>
        <w:rPr>
          <w:noProof/>
          <w:szCs w:val="19"/>
          <w:highlight w:val="yellow"/>
          <w:lang w:val="en-GB" w:eastAsia="pl-PL"/>
        </w:rPr>
        <w:sectPr w:rsidR="00685123" w:rsidRPr="008243E6" w:rsidSect="00EF7B36">
          <w:headerReference w:type="default" r:id="rId17"/>
          <w:footerReference w:type="default" r:id="rId18"/>
          <w:headerReference w:type="first" r:id="rId19"/>
          <w:footerReference w:type="first" r:id="rId20"/>
          <w:footnotePr>
            <w:numFmt w:val="lowerLetter"/>
          </w:footnotePr>
          <w:pgSz w:w="11906" w:h="16838"/>
          <w:pgMar w:top="720" w:right="3119" w:bottom="720" w:left="720" w:header="284" w:footer="283" w:gutter="0"/>
          <w:cols w:space="708"/>
          <w:titlePg/>
          <w:docGrid w:linePitch="360"/>
        </w:sectPr>
      </w:pPr>
      <w:r w:rsidRPr="008243E6">
        <w:rPr>
          <w:noProof/>
          <w:sz w:val="24"/>
          <w:szCs w:val="24"/>
          <w:vertAlign w:val="superscript"/>
          <w:lang w:val="en-GB" w:eastAsia="pl-PL"/>
        </w:rPr>
        <w:t xml:space="preserve">u </w:t>
      </w:r>
      <w:r w:rsidR="008B0AF7" w:rsidRPr="008243E6">
        <w:rPr>
          <w:noProof/>
          <w:sz w:val="24"/>
          <w:szCs w:val="24"/>
          <w:vertAlign w:val="superscript"/>
          <w:lang w:val="en-GB" w:eastAsia="pl-PL"/>
        </w:rPr>
        <w:t xml:space="preserve"> </w:t>
      </w:r>
      <w:r w:rsidR="00A25EC4" w:rsidRPr="008243E6">
        <w:rPr>
          <w:noProof/>
          <w:sz w:val="16"/>
          <w:szCs w:val="16"/>
          <w:lang w:val="en-GB" w:eastAsia="pl-PL"/>
        </w:rPr>
        <w:t xml:space="preserve">The share of estimated data </w:t>
      </w:r>
      <w:r w:rsidR="008243E6" w:rsidRPr="008243E6">
        <w:rPr>
          <w:noProof/>
          <w:sz w:val="16"/>
          <w:szCs w:val="16"/>
          <w:lang w:val="en-GB" w:eastAsia="pl-PL"/>
        </w:rPr>
        <w:t>for an</w:t>
      </w:r>
      <w:r w:rsidR="008243E6">
        <w:rPr>
          <w:noProof/>
          <w:sz w:val="16"/>
          <w:szCs w:val="16"/>
          <w:lang w:val="en-GB" w:eastAsia="pl-PL"/>
        </w:rPr>
        <w:t xml:space="preserve"> agregtae </w:t>
      </w:r>
      <w:r w:rsidR="00A25EC4" w:rsidRPr="008243E6">
        <w:rPr>
          <w:noProof/>
          <w:sz w:val="16"/>
          <w:szCs w:val="16"/>
          <w:lang w:val="en-GB" w:eastAsia="pl-PL"/>
        </w:rPr>
        <w:t>more than 50%</w:t>
      </w:r>
    </w:p>
    <w:p w:rsidR="000470AA" w:rsidRPr="008243E6" w:rsidRDefault="000470AA" w:rsidP="000470AA">
      <w:pPr>
        <w:rPr>
          <w:sz w:val="18"/>
          <w:highlight w:val="yellow"/>
          <w:lang w:val="en-GB"/>
        </w:rPr>
      </w:pPr>
    </w:p>
    <w:tbl>
      <w:tblPr>
        <w:tblpPr w:leftFromText="141" w:rightFromText="141" w:vertAnchor="text" w:horzAnchor="margin" w:tblpXSpec="center" w:tblpY="-47"/>
        <w:tblW w:w="0" w:type="auto"/>
        <w:tblLook w:val="04A0" w:firstRow="1" w:lastRow="0" w:firstColumn="1" w:lastColumn="0" w:noHBand="0" w:noVBand="1"/>
      </w:tblPr>
      <w:tblGrid>
        <w:gridCol w:w="4358"/>
        <w:gridCol w:w="3925"/>
      </w:tblGrid>
      <w:tr w:rsidR="00883763" w:rsidRPr="00DE368C" w:rsidTr="00EE696D">
        <w:trPr>
          <w:trHeight w:val="1912"/>
        </w:trPr>
        <w:tc>
          <w:tcPr>
            <w:tcW w:w="4379" w:type="dxa"/>
          </w:tcPr>
          <w:p w:rsidR="00453D2B" w:rsidRPr="00D45A29" w:rsidRDefault="00453D2B" w:rsidP="00453D2B">
            <w:pPr>
              <w:spacing w:before="0" w:after="0" w:line="240" w:lineRule="auto"/>
              <w:rPr>
                <w:rFonts w:cs="Arial"/>
                <w:color w:val="000000" w:themeColor="text1"/>
                <w:sz w:val="20"/>
                <w:lang w:val="en-GB"/>
              </w:rPr>
            </w:pPr>
            <w:r w:rsidRPr="00D45A29">
              <w:rPr>
                <w:rFonts w:cs="Arial"/>
                <w:color w:val="000000" w:themeColor="text1"/>
                <w:sz w:val="20"/>
                <w:lang w:val="en-GB"/>
              </w:rPr>
              <w:t>Prepared by:</w:t>
            </w:r>
          </w:p>
          <w:p w:rsidR="00453D2B" w:rsidRPr="00D45A29" w:rsidRDefault="00453D2B" w:rsidP="00453D2B">
            <w:pPr>
              <w:spacing w:before="0" w:after="0" w:line="240" w:lineRule="auto"/>
              <w:rPr>
                <w:rFonts w:cs="Arial"/>
                <w:b/>
                <w:color w:val="000000" w:themeColor="text1"/>
                <w:sz w:val="20"/>
                <w:lang w:val="en-GB"/>
              </w:rPr>
            </w:pPr>
            <w:r w:rsidRPr="00D45A29">
              <w:rPr>
                <w:rFonts w:cs="Arial"/>
                <w:b/>
                <w:color w:val="000000" w:themeColor="text1"/>
                <w:sz w:val="20"/>
                <w:lang w:val="en-GB"/>
              </w:rPr>
              <w:t>Trade and Services Department</w:t>
            </w:r>
          </w:p>
          <w:p w:rsidR="00453D2B" w:rsidRPr="00D45A29" w:rsidRDefault="00453D2B" w:rsidP="00453D2B">
            <w:pPr>
              <w:pStyle w:val="Nagwek3"/>
              <w:spacing w:before="0" w:line="240" w:lineRule="auto"/>
              <w:rPr>
                <w:rFonts w:ascii="Fira Sans" w:hAnsi="Fira Sans" w:cs="Arial"/>
                <w:b/>
                <w:color w:val="000000" w:themeColor="text1"/>
                <w:sz w:val="20"/>
                <w:szCs w:val="28"/>
                <w:lang w:val="en-GB"/>
              </w:rPr>
            </w:pPr>
            <w:r w:rsidRPr="00D45A29">
              <w:rPr>
                <w:rFonts w:cs="Arial"/>
                <w:b/>
                <w:color w:val="000000" w:themeColor="text1"/>
                <w:sz w:val="20"/>
                <w:lang w:val="en-GB"/>
              </w:rPr>
              <w:t>Director</w:t>
            </w:r>
            <w:r w:rsidRPr="00D45A29">
              <w:rPr>
                <w:rFonts w:ascii="Fira Sans" w:hAnsi="Fira Sans" w:cs="Arial"/>
                <w:b/>
                <w:color w:val="000000" w:themeColor="text1"/>
                <w:sz w:val="20"/>
                <w:szCs w:val="28"/>
                <w:lang w:val="en-GB"/>
              </w:rPr>
              <w:t xml:space="preserve"> Ewa Adach-Stankiewicz</w:t>
            </w:r>
          </w:p>
          <w:p w:rsidR="00883763" w:rsidRPr="00BA0B97" w:rsidRDefault="00453D2B" w:rsidP="00453D2B">
            <w:pPr>
              <w:pStyle w:val="Nagwek3"/>
              <w:spacing w:before="0" w:line="240" w:lineRule="auto"/>
              <w:rPr>
                <w:rFonts w:ascii="Fira Sans" w:hAnsi="Fira Sans"/>
                <w:color w:val="000000" w:themeColor="text1"/>
                <w:lang w:val="fi-FI"/>
              </w:rPr>
            </w:pPr>
            <w:r w:rsidRPr="00D45A29">
              <w:rPr>
                <w:rFonts w:ascii="Fira Sans" w:hAnsi="Fira Sans" w:cs="Arial"/>
                <w:color w:val="000000" w:themeColor="text1"/>
                <w:sz w:val="20"/>
                <w:lang w:val="en-GB"/>
              </w:rPr>
              <w:t>Office: tel. (+48 22) 608 31 24</w:t>
            </w:r>
          </w:p>
        </w:tc>
        <w:tc>
          <w:tcPr>
            <w:tcW w:w="3942" w:type="dxa"/>
          </w:tcPr>
          <w:p w:rsidR="00453D2B" w:rsidRPr="00D45A29" w:rsidRDefault="00453D2B" w:rsidP="00453D2B">
            <w:pPr>
              <w:spacing w:before="0" w:after="0" w:line="276" w:lineRule="auto"/>
              <w:rPr>
                <w:rFonts w:cs="Arial"/>
                <w:b/>
                <w:color w:val="000000" w:themeColor="text1"/>
                <w:sz w:val="20"/>
                <w:lang w:val="en-GB"/>
              </w:rPr>
            </w:pPr>
            <w:r w:rsidRPr="00D45A29">
              <w:rPr>
                <w:rFonts w:cs="Arial"/>
                <w:color w:val="000000" w:themeColor="text1"/>
                <w:sz w:val="20"/>
                <w:lang w:val="en-GB"/>
              </w:rPr>
              <w:t>Issued by:</w:t>
            </w:r>
            <w:r w:rsidRPr="00D45A29">
              <w:rPr>
                <w:rFonts w:cs="Arial"/>
                <w:color w:val="000000" w:themeColor="text1"/>
                <w:sz w:val="20"/>
                <w:lang w:val="en-GB"/>
              </w:rPr>
              <w:br/>
            </w:r>
            <w:r w:rsidRPr="00D45A29">
              <w:rPr>
                <w:rFonts w:cs="Arial"/>
                <w:b/>
                <w:color w:val="000000" w:themeColor="text1"/>
                <w:sz w:val="20"/>
                <w:lang w:val="en-GB"/>
              </w:rPr>
              <w:t xml:space="preserve">The Spokesperson for the President </w:t>
            </w:r>
          </w:p>
          <w:p w:rsidR="00453D2B" w:rsidRPr="00D45A29" w:rsidRDefault="00453D2B" w:rsidP="00453D2B">
            <w:pPr>
              <w:spacing w:before="0" w:after="0" w:line="276" w:lineRule="auto"/>
              <w:rPr>
                <w:rFonts w:cs="Arial"/>
                <w:b/>
                <w:color w:val="000000" w:themeColor="text1"/>
                <w:sz w:val="20"/>
                <w:lang w:val="en-GB"/>
              </w:rPr>
            </w:pPr>
            <w:r>
              <w:rPr>
                <w:rFonts w:cs="Arial"/>
                <w:b/>
                <w:color w:val="000000" w:themeColor="text1"/>
                <w:sz w:val="20"/>
                <w:lang w:val="en-GB"/>
              </w:rPr>
              <w:t>of</w:t>
            </w:r>
            <w:r w:rsidRPr="00D45A29">
              <w:rPr>
                <w:rFonts w:cs="Arial"/>
                <w:b/>
                <w:color w:val="000000" w:themeColor="text1"/>
                <w:sz w:val="20"/>
                <w:lang w:val="en-GB"/>
              </w:rPr>
              <w:t xml:space="preserve"> Statistics Poland</w:t>
            </w:r>
          </w:p>
          <w:p w:rsidR="00453D2B" w:rsidRPr="00D45A29" w:rsidRDefault="00453D2B" w:rsidP="00453D2B">
            <w:pPr>
              <w:pStyle w:val="Nagwek3"/>
              <w:spacing w:before="0" w:line="240" w:lineRule="auto"/>
              <w:rPr>
                <w:rFonts w:ascii="Fira Sans" w:hAnsi="Fira Sans" w:cs="Arial"/>
                <w:b/>
                <w:color w:val="000000" w:themeColor="text1"/>
                <w:sz w:val="20"/>
                <w:szCs w:val="28"/>
                <w:lang w:val="en-GB"/>
              </w:rPr>
            </w:pPr>
            <w:r w:rsidRPr="00D45A29">
              <w:rPr>
                <w:rFonts w:ascii="Fira Sans" w:hAnsi="Fira Sans" w:cs="Arial"/>
                <w:b/>
                <w:color w:val="000000" w:themeColor="text1"/>
                <w:sz w:val="20"/>
                <w:szCs w:val="28"/>
                <w:lang w:val="en-GB"/>
              </w:rPr>
              <w:t>Karolina</w:t>
            </w:r>
            <w:r w:rsidRPr="00D45A29">
              <w:rPr>
                <w:rFonts w:ascii="Fira Sans" w:hAnsi="Fira Sans" w:cs="Arial"/>
                <w:b/>
                <w:color w:val="auto"/>
                <w:sz w:val="20"/>
                <w:szCs w:val="28"/>
                <w:lang w:val="en-GB"/>
              </w:rPr>
              <w:t xml:space="preserve"> Banaszek</w:t>
            </w:r>
          </w:p>
          <w:p w:rsidR="00BA0B97" w:rsidRPr="00FF39EB" w:rsidRDefault="00453D2B" w:rsidP="00453D2B">
            <w:pPr>
              <w:pStyle w:val="Nagwek3"/>
              <w:spacing w:before="0"/>
              <w:rPr>
                <w:rFonts w:ascii="Fira Sans" w:hAnsi="Fira Sans" w:cs="Arial"/>
                <w:color w:val="000000" w:themeColor="text1"/>
                <w:sz w:val="20"/>
                <w:lang w:val="fi-FI"/>
              </w:rPr>
            </w:pPr>
            <w:r w:rsidRPr="00D45A29">
              <w:rPr>
                <w:rFonts w:ascii="Fira Sans" w:hAnsi="Fira Sans" w:cs="Arial"/>
                <w:color w:val="000000" w:themeColor="text1"/>
                <w:sz w:val="20"/>
                <w:lang w:val="en-GB"/>
              </w:rPr>
              <w:t>Mobile: (+48) 695 255</w:t>
            </w:r>
            <w:r>
              <w:rPr>
                <w:rFonts w:ascii="Fira Sans" w:hAnsi="Fira Sans" w:cs="Arial"/>
                <w:color w:val="000000" w:themeColor="text1"/>
                <w:sz w:val="20"/>
                <w:lang w:val="en-GB"/>
              </w:rPr>
              <w:t> </w:t>
            </w:r>
            <w:r w:rsidRPr="00D45A29">
              <w:rPr>
                <w:rFonts w:ascii="Fira Sans" w:hAnsi="Fira Sans" w:cs="Arial"/>
                <w:color w:val="000000" w:themeColor="text1"/>
                <w:sz w:val="20"/>
                <w:lang w:val="en-GB"/>
              </w:rPr>
              <w:t>011</w:t>
            </w:r>
          </w:p>
          <w:p w:rsidR="00883763" w:rsidRPr="0058676C" w:rsidRDefault="00883763" w:rsidP="00EE696D">
            <w:pPr>
              <w:pStyle w:val="Nagwek3"/>
              <w:spacing w:before="0" w:line="240" w:lineRule="auto"/>
              <w:rPr>
                <w:rFonts w:ascii="Fira Sans" w:hAnsi="Fira Sans" w:cs="Arial"/>
                <w:color w:val="000000" w:themeColor="text1"/>
                <w:sz w:val="20"/>
                <w:szCs w:val="20"/>
                <w:lang w:val="en-US"/>
              </w:rPr>
            </w:pPr>
          </w:p>
        </w:tc>
      </w:tr>
    </w:tbl>
    <w:p w:rsidR="000470AA" w:rsidRPr="0058676C" w:rsidRDefault="000470AA" w:rsidP="000470AA">
      <w:pPr>
        <w:rPr>
          <w:sz w:val="18"/>
          <w:lang w:val="en-U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452"/>
        <w:gridCol w:w="604"/>
        <w:gridCol w:w="3125"/>
      </w:tblGrid>
      <w:tr w:rsidR="000470AA" w:rsidRPr="00DE368C" w:rsidTr="000470AA">
        <w:trPr>
          <w:trHeight w:val="610"/>
        </w:trPr>
        <w:tc>
          <w:tcPr>
            <w:tcW w:w="2721" w:type="pct"/>
            <w:vMerge w:val="restart"/>
            <w:vAlign w:val="center"/>
          </w:tcPr>
          <w:p w:rsidR="00453D2B" w:rsidRPr="00D45A29" w:rsidRDefault="00453D2B" w:rsidP="00453D2B">
            <w:pPr>
              <w:rPr>
                <w:b/>
                <w:sz w:val="20"/>
                <w:lang w:val="en-GB"/>
              </w:rPr>
            </w:pPr>
            <w:r w:rsidRPr="00D45A29">
              <w:rPr>
                <w:b/>
                <w:sz w:val="20"/>
                <w:lang w:val="en-GB"/>
              </w:rPr>
              <w:t>Press Office</w:t>
            </w:r>
          </w:p>
          <w:p w:rsidR="00453D2B" w:rsidRPr="00D45A29" w:rsidRDefault="00453D2B" w:rsidP="00453D2B">
            <w:pPr>
              <w:rPr>
                <w:sz w:val="20"/>
                <w:lang w:val="en-GB"/>
              </w:rPr>
            </w:pPr>
            <w:r w:rsidRPr="00D45A29">
              <w:rPr>
                <w:rFonts w:cs="Arial"/>
                <w:color w:val="000000" w:themeColor="text1"/>
                <w:sz w:val="20"/>
                <w:szCs w:val="24"/>
                <w:lang w:val="en-GB"/>
              </w:rPr>
              <w:t xml:space="preserve">Office: tel. (+48 22) </w:t>
            </w:r>
            <w:r w:rsidRPr="00D45A29">
              <w:rPr>
                <w:sz w:val="20"/>
                <w:lang w:val="en-GB"/>
              </w:rPr>
              <w:t xml:space="preserve">608 34 91, 608 38 04 </w:t>
            </w:r>
          </w:p>
          <w:p w:rsidR="000470AA" w:rsidRPr="0058676C" w:rsidRDefault="00453D2B" w:rsidP="00453D2B">
            <w:pPr>
              <w:rPr>
                <w:sz w:val="18"/>
                <w:lang w:val="en-US"/>
              </w:rPr>
            </w:pPr>
            <w:r w:rsidRPr="00D45A29">
              <w:rPr>
                <w:b/>
                <w:sz w:val="20"/>
                <w:lang w:val="en-GB"/>
              </w:rPr>
              <w:t>e-mail:</w:t>
            </w:r>
            <w:r w:rsidRPr="00D45A29">
              <w:rPr>
                <w:sz w:val="20"/>
                <w:lang w:val="en-GB"/>
              </w:rPr>
              <w:t xml:space="preserve"> </w:t>
            </w:r>
            <w:hyperlink r:id="rId21" w:history="1">
              <w:r w:rsidRPr="00D45A29">
                <w:rPr>
                  <w:rStyle w:val="Hipercze"/>
                  <w:rFonts w:cstheme="minorBidi"/>
                  <w:b/>
                  <w:color w:val="auto"/>
                  <w:sz w:val="20"/>
                  <w:lang w:val="en-GB"/>
                </w:rPr>
                <w:t>obslugaprasowa@stat.gov.pl</w:t>
              </w:r>
            </w:hyperlink>
          </w:p>
        </w:tc>
        <w:tc>
          <w:tcPr>
            <w:tcW w:w="369" w:type="pct"/>
            <w:vAlign w:val="center"/>
          </w:tcPr>
          <w:p w:rsidR="000470AA" w:rsidRPr="0058676C" w:rsidRDefault="000470AA" w:rsidP="000470AA">
            <w:pPr>
              <w:rPr>
                <w:sz w:val="18"/>
                <w:lang w:val="en-US"/>
              </w:rPr>
            </w:pPr>
            <w:r w:rsidRPr="0058676C">
              <w:rPr>
                <w:noProof/>
                <w:sz w:val="20"/>
                <w:lang w:eastAsia="pl-PL"/>
              </w:rPr>
              <w:drawing>
                <wp:anchor distT="0" distB="0" distL="114300" distR="114300" simplePos="0" relativeHeight="251732992" behindDoc="0" locked="0" layoutInCell="1" allowOverlap="1" wp14:anchorId="73BA9D2F" wp14:editId="592D128D">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rsidR="000470AA" w:rsidRPr="00453D2B" w:rsidRDefault="00BC5E8D" w:rsidP="000470AA">
            <w:pPr>
              <w:rPr>
                <w:sz w:val="18"/>
                <w:lang w:val="en-US"/>
              </w:rPr>
            </w:pPr>
            <w:hyperlink r:id="rId23" w:history="1">
              <w:r w:rsidR="00453D2B" w:rsidRPr="00D45A29">
                <w:rPr>
                  <w:rStyle w:val="Hipercze"/>
                  <w:rFonts w:cstheme="minorBidi"/>
                  <w:color w:val="000000" w:themeColor="text1"/>
                  <w:sz w:val="20"/>
                  <w:u w:val="none"/>
                  <w:lang w:val="en-GB"/>
                </w:rPr>
                <w:t>www.stat.gov.pl/en/</w:t>
              </w:r>
            </w:hyperlink>
          </w:p>
        </w:tc>
      </w:tr>
      <w:tr w:rsidR="000470AA" w:rsidRPr="0058676C" w:rsidTr="000470AA">
        <w:trPr>
          <w:trHeight w:val="436"/>
        </w:trPr>
        <w:tc>
          <w:tcPr>
            <w:tcW w:w="2721" w:type="pct"/>
            <w:vMerge/>
            <w:vAlign w:val="center"/>
          </w:tcPr>
          <w:p w:rsidR="000470AA" w:rsidRPr="00453D2B" w:rsidRDefault="000470AA" w:rsidP="000470AA">
            <w:pPr>
              <w:rPr>
                <w:sz w:val="18"/>
                <w:lang w:val="en-US"/>
              </w:rPr>
            </w:pPr>
          </w:p>
        </w:tc>
        <w:tc>
          <w:tcPr>
            <w:tcW w:w="369" w:type="pct"/>
            <w:vAlign w:val="center"/>
          </w:tcPr>
          <w:p w:rsidR="000470AA" w:rsidRPr="00453D2B" w:rsidRDefault="000470AA" w:rsidP="000470AA">
            <w:pPr>
              <w:rPr>
                <w:sz w:val="18"/>
                <w:lang w:val="en-US"/>
              </w:rPr>
            </w:pPr>
            <w:r w:rsidRPr="0058676C">
              <w:rPr>
                <w:noProof/>
                <w:sz w:val="20"/>
                <w:lang w:eastAsia="pl-PL"/>
              </w:rPr>
              <w:drawing>
                <wp:anchor distT="0" distB="0" distL="114300" distR="114300" simplePos="0" relativeHeight="251735040" behindDoc="0" locked="0" layoutInCell="1" allowOverlap="1" wp14:anchorId="44DCB897" wp14:editId="62A255EA">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0470AA" w:rsidRPr="0058676C" w:rsidRDefault="00BC5E8D" w:rsidP="000470AA">
            <w:pPr>
              <w:rPr>
                <w:sz w:val="18"/>
              </w:rPr>
            </w:pPr>
            <w:hyperlink r:id="rId25" w:history="1">
              <w:r w:rsidR="00453D2B" w:rsidRPr="00D45A29">
                <w:rPr>
                  <w:rStyle w:val="Hipercze"/>
                  <w:rFonts w:cstheme="minorBidi"/>
                  <w:color w:val="000000" w:themeColor="text1"/>
                  <w:sz w:val="20"/>
                  <w:u w:val="none"/>
                  <w:lang w:val="en-GB"/>
                </w:rPr>
                <w:t>@</w:t>
              </w:r>
              <w:proofErr w:type="spellStart"/>
              <w:r w:rsidR="00453D2B" w:rsidRPr="00D45A29">
                <w:rPr>
                  <w:rStyle w:val="Hipercze"/>
                  <w:rFonts w:cstheme="minorBidi"/>
                  <w:color w:val="000000" w:themeColor="text1"/>
                  <w:sz w:val="20"/>
                  <w:u w:val="none"/>
                  <w:lang w:val="en-GB"/>
                </w:rPr>
                <w:t>StatPoland</w:t>
              </w:r>
              <w:proofErr w:type="spellEnd"/>
            </w:hyperlink>
          </w:p>
        </w:tc>
      </w:tr>
      <w:tr w:rsidR="000470AA" w:rsidRPr="0058676C" w:rsidTr="000470AA">
        <w:trPr>
          <w:trHeight w:val="436"/>
        </w:trPr>
        <w:tc>
          <w:tcPr>
            <w:tcW w:w="2721" w:type="pct"/>
            <w:vMerge/>
            <w:vAlign w:val="center"/>
          </w:tcPr>
          <w:p w:rsidR="000470AA" w:rsidRPr="0058676C" w:rsidRDefault="000470AA" w:rsidP="000470AA">
            <w:pPr>
              <w:rPr>
                <w:sz w:val="18"/>
              </w:rPr>
            </w:pPr>
          </w:p>
        </w:tc>
        <w:tc>
          <w:tcPr>
            <w:tcW w:w="369" w:type="pct"/>
            <w:vAlign w:val="center"/>
          </w:tcPr>
          <w:p w:rsidR="000470AA" w:rsidRPr="0058676C" w:rsidRDefault="000470AA" w:rsidP="000470AA">
            <w:pPr>
              <w:rPr>
                <w:sz w:val="18"/>
              </w:rPr>
            </w:pPr>
            <w:r w:rsidRPr="0058676C">
              <w:rPr>
                <w:noProof/>
                <w:sz w:val="20"/>
                <w:lang w:eastAsia="pl-PL"/>
              </w:rPr>
              <w:drawing>
                <wp:anchor distT="0" distB="0" distL="114300" distR="114300" simplePos="0" relativeHeight="251734016" behindDoc="0" locked="0" layoutInCell="1" allowOverlap="1" wp14:anchorId="08C6E2C7" wp14:editId="50F6ADEE">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0470AA" w:rsidRPr="0058676C" w:rsidRDefault="00BC5E8D" w:rsidP="000470AA">
            <w:pPr>
              <w:rPr>
                <w:sz w:val="20"/>
              </w:rPr>
            </w:pPr>
            <w:hyperlink r:id="rId27" w:history="1">
              <w:r w:rsidR="00453D2B" w:rsidRPr="00D45A29">
                <w:rPr>
                  <w:rStyle w:val="Hipercze"/>
                  <w:rFonts w:cstheme="minorBidi"/>
                  <w:color w:val="000000" w:themeColor="text1"/>
                  <w:sz w:val="20"/>
                  <w:u w:val="none"/>
                  <w:lang w:val="en-GB"/>
                </w:rPr>
                <w:t>@</w:t>
              </w:r>
              <w:proofErr w:type="spellStart"/>
              <w:r w:rsidR="00453D2B" w:rsidRPr="00D45A29">
                <w:rPr>
                  <w:rStyle w:val="Hipercze"/>
                  <w:rFonts w:cstheme="minorBidi"/>
                  <w:color w:val="000000" w:themeColor="text1"/>
                  <w:sz w:val="20"/>
                  <w:u w:val="none"/>
                  <w:lang w:val="en-GB"/>
                </w:rPr>
                <w:t>GlownyUrzadStatystyczny</w:t>
              </w:r>
              <w:proofErr w:type="spellEnd"/>
            </w:hyperlink>
          </w:p>
        </w:tc>
      </w:tr>
    </w:tbl>
    <w:p w:rsidR="00D261A2" w:rsidRPr="00001C5B" w:rsidRDefault="009E3F12" w:rsidP="00E76D26">
      <w:pPr>
        <w:rPr>
          <w:sz w:val="18"/>
        </w:rPr>
      </w:pPr>
      <w:r>
        <w:rPr>
          <w:noProof/>
          <w:sz w:val="18"/>
          <w:lang w:eastAsia="pl-PL"/>
        </w:rPr>
        <mc:AlternateContent>
          <mc:Choice Requires="wps">
            <w:drawing>
              <wp:anchor distT="45720" distB="45720" distL="114300" distR="114300" simplePos="0" relativeHeight="251744256" behindDoc="0" locked="0" layoutInCell="1" allowOverlap="1" wp14:anchorId="227B61CC" wp14:editId="72639CE2">
                <wp:simplePos x="0" y="0"/>
                <wp:positionH relativeFrom="margin">
                  <wp:posOffset>19050</wp:posOffset>
                </wp:positionH>
                <wp:positionV relativeFrom="paragraph">
                  <wp:posOffset>440690</wp:posOffset>
                </wp:positionV>
                <wp:extent cx="6559550" cy="4443095"/>
                <wp:effectExtent l="0" t="0" r="12700" b="14605"/>
                <wp:wrapSquare wrapText="bothSides"/>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A578B3" w:rsidRDefault="00A578B3" w:rsidP="00883763">
                            <w:pPr>
                              <w:rPr>
                                <w:b/>
                              </w:rPr>
                            </w:pPr>
                          </w:p>
                          <w:p w:rsidR="00A578B3" w:rsidRPr="00941435" w:rsidRDefault="00A578B3" w:rsidP="00453D2B">
                            <w:pPr>
                              <w:rPr>
                                <w:b/>
                                <w:lang w:val="en-GB"/>
                              </w:rPr>
                            </w:pPr>
                            <w:r w:rsidRPr="00941435">
                              <w:rPr>
                                <w:b/>
                                <w:lang w:val="en-GB"/>
                              </w:rPr>
                              <w:t>Related information</w:t>
                            </w:r>
                          </w:p>
                          <w:p w:rsidR="00A578B3" w:rsidRPr="00941435" w:rsidRDefault="00BC5E8D" w:rsidP="00453D2B">
                            <w:pPr>
                              <w:rPr>
                                <w:rStyle w:val="Hipercze"/>
                                <w:rFonts w:cs="Arial"/>
                                <w:color w:val="001D77"/>
                                <w:sz w:val="18"/>
                                <w:szCs w:val="30"/>
                                <w:shd w:val="clear" w:color="auto" w:fill="F0F0F0"/>
                                <w:lang w:val="en-GB"/>
                              </w:rPr>
                            </w:pPr>
                            <w:hyperlink r:id="rId28" w:history="1">
                              <w:r w:rsidR="00A578B3" w:rsidRPr="00941435">
                                <w:rPr>
                                  <w:rStyle w:val="Hipercze"/>
                                  <w:rFonts w:cs="Arial"/>
                                  <w:color w:val="001D77"/>
                                  <w:sz w:val="18"/>
                                  <w:szCs w:val="30"/>
                                  <w:shd w:val="clear" w:color="auto" w:fill="F0F0F0"/>
                                  <w:lang w:val="en-GB"/>
                                </w:rPr>
                                <w:t>Communications and Announcements</w:t>
                              </w:r>
                            </w:hyperlink>
                          </w:p>
                          <w:p w:rsidR="00A578B3" w:rsidRPr="00941435" w:rsidRDefault="00BC5E8D" w:rsidP="00453D2B">
                            <w:pPr>
                              <w:rPr>
                                <w:rStyle w:val="Hipercze"/>
                                <w:rFonts w:cs="Arial"/>
                                <w:color w:val="001D77"/>
                                <w:sz w:val="18"/>
                                <w:szCs w:val="30"/>
                                <w:shd w:val="clear" w:color="auto" w:fill="F0F0F0"/>
                                <w:lang w:val="en-GB"/>
                              </w:rPr>
                            </w:pPr>
                            <w:hyperlink r:id="rId29" w:history="1">
                              <w:r w:rsidR="00A578B3" w:rsidRPr="00941435">
                                <w:rPr>
                                  <w:rStyle w:val="Hipercze"/>
                                  <w:rFonts w:cs="Arial"/>
                                  <w:color w:val="001D77"/>
                                  <w:sz w:val="18"/>
                                  <w:szCs w:val="30"/>
                                  <w:shd w:val="clear" w:color="auto" w:fill="F0F0F0"/>
                                  <w:lang w:val="en-GB"/>
                                </w:rPr>
                                <w:t>News releases</w:t>
                              </w:r>
                            </w:hyperlink>
                          </w:p>
                          <w:p w:rsidR="00A578B3" w:rsidRPr="00941435" w:rsidRDefault="00A578B3" w:rsidP="00453D2B">
                            <w:pPr>
                              <w:rPr>
                                <w:b/>
                                <w:color w:val="000000" w:themeColor="text1"/>
                                <w:szCs w:val="24"/>
                                <w:lang w:val="en-GB"/>
                              </w:rPr>
                            </w:pPr>
                          </w:p>
                          <w:p w:rsidR="00A578B3" w:rsidRPr="00941435" w:rsidRDefault="00A578B3" w:rsidP="00453D2B">
                            <w:pPr>
                              <w:rPr>
                                <w:b/>
                                <w:color w:val="000000" w:themeColor="text1"/>
                                <w:szCs w:val="24"/>
                                <w:lang w:val="en-GB"/>
                              </w:rPr>
                            </w:pPr>
                            <w:r w:rsidRPr="00941435">
                              <w:rPr>
                                <w:b/>
                                <w:color w:val="000000" w:themeColor="text1"/>
                                <w:szCs w:val="24"/>
                                <w:lang w:val="en-GB"/>
                              </w:rPr>
                              <w:t>Data available in databases</w:t>
                            </w:r>
                          </w:p>
                          <w:p w:rsidR="00A578B3" w:rsidRPr="00941435" w:rsidRDefault="00BC5E8D" w:rsidP="00453D2B">
                            <w:pPr>
                              <w:rPr>
                                <w:rStyle w:val="Hipercze"/>
                                <w:rFonts w:cs="Arial"/>
                                <w:color w:val="001D77"/>
                                <w:sz w:val="18"/>
                                <w:szCs w:val="30"/>
                                <w:shd w:val="clear" w:color="auto" w:fill="F0F0F0"/>
                                <w:lang w:val="en-GB"/>
                              </w:rPr>
                            </w:pPr>
                            <w:hyperlink r:id="rId30" w:history="1">
                              <w:r w:rsidR="00A578B3" w:rsidRPr="00941435">
                                <w:rPr>
                                  <w:rStyle w:val="Hipercze"/>
                                  <w:rFonts w:cs="Arial"/>
                                  <w:color w:val="001D77"/>
                                  <w:sz w:val="18"/>
                                  <w:szCs w:val="30"/>
                                  <w:shd w:val="clear" w:color="auto" w:fill="F0F0F0"/>
                                  <w:lang w:val="en-GB"/>
                                </w:rPr>
                                <w:t>Knowledge Database Prices</w:t>
                              </w:r>
                            </w:hyperlink>
                          </w:p>
                          <w:p w:rsidR="00A578B3" w:rsidRPr="00941435" w:rsidRDefault="00BC5E8D" w:rsidP="00453D2B">
                            <w:pPr>
                              <w:rPr>
                                <w:rStyle w:val="Hipercze"/>
                                <w:rFonts w:cs="Arial"/>
                                <w:color w:val="001D77"/>
                                <w:sz w:val="18"/>
                                <w:szCs w:val="30"/>
                                <w:shd w:val="clear" w:color="auto" w:fill="F0F0F0"/>
                                <w:lang w:val="en-GB"/>
                              </w:rPr>
                            </w:pPr>
                            <w:hyperlink r:id="rId31" w:history="1">
                              <w:r w:rsidR="00A578B3" w:rsidRPr="00941435">
                                <w:rPr>
                                  <w:rStyle w:val="Hipercze"/>
                                  <w:rFonts w:cs="Arial"/>
                                  <w:color w:val="001D77"/>
                                  <w:sz w:val="18"/>
                                  <w:szCs w:val="30"/>
                                  <w:shd w:val="clear" w:color="auto" w:fill="F0F0F0"/>
                                  <w:lang w:val="en-GB"/>
                                </w:rPr>
                                <w:t>Macroeconomic Data Bank</w:t>
                              </w:r>
                            </w:hyperlink>
                          </w:p>
                          <w:p w:rsidR="00A578B3" w:rsidRPr="00941435" w:rsidRDefault="00BC5E8D" w:rsidP="00453D2B">
                            <w:pPr>
                              <w:rPr>
                                <w:rStyle w:val="Hipercze"/>
                                <w:rFonts w:cs="Arial"/>
                                <w:color w:val="001D77"/>
                                <w:sz w:val="18"/>
                                <w:szCs w:val="30"/>
                                <w:shd w:val="clear" w:color="auto" w:fill="F0F0F0"/>
                                <w:lang w:val="en-GB"/>
                              </w:rPr>
                            </w:pPr>
                            <w:hyperlink r:id="rId32" w:history="1">
                              <w:r w:rsidR="00A578B3" w:rsidRPr="00941435">
                                <w:rPr>
                                  <w:rStyle w:val="Hipercze"/>
                                  <w:rFonts w:cs="Arial"/>
                                  <w:color w:val="001D77"/>
                                  <w:sz w:val="18"/>
                                  <w:szCs w:val="30"/>
                                  <w:shd w:val="clear" w:color="auto" w:fill="F0F0F0"/>
                                  <w:lang w:val="en-GB"/>
                                </w:rPr>
                                <w:t>Local Data Bank</w:t>
                              </w:r>
                            </w:hyperlink>
                          </w:p>
                          <w:p w:rsidR="00A578B3" w:rsidRPr="00941435" w:rsidRDefault="00BC5E8D" w:rsidP="00453D2B">
                            <w:pPr>
                              <w:rPr>
                                <w:rStyle w:val="Hipercze"/>
                                <w:rFonts w:cs="Arial"/>
                                <w:color w:val="001D77"/>
                                <w:sz w:val="18"/>
                                <w:szCs w:val="30"/>
                                <w:shd w:val="clear" w:color="auto" w:fill="F0F0F0"/>
                                <w:lang w:val="en-GB"/>
                              </w:rPr>
                            </w:pPr>
                            <w:hyperlink r:id="rId33" w:history="1">
                              <w:r w:rsidR="00A578B3" w:rsidRPr="00941435">
                                <w:rPr>
                                  <w:rStyle w:val="Hipercze"/>
                                  <w:rFonts w:cs="Arial"/>
                                  <w:color w:val="001D77"/>
                                  <w:sz w:val="18"/>
                                  <w:szCs w:val="30"/>
                                  <w:shd w:val="clear" w:color="auto" w:fill="F0F0F0"/>
                                  <w:lang w:val="en-GB"/>
                                </w:rPr>
                                <w:t>Price indices (Topics: Prices, Trade)</w:t>
                              </w:r>
                            </w:hyperlink>
                          </w:p>
                          <w:p w:rsidR="00A578B3" w:rsidRPr="00941435" w:rsidRDefault="00BC5E8D" w:rsidP="00453D2B">
                            <w:pPr>
                              <w:rPr>
                                <w:rStyle w:val="Hipercze"/>
                                <w:rFonts w:cs="Arial"/>
                                <w:color w:val="001D77"/>
                                <w:sz w:val="18"/>
                                <w:szCs w:val="30"/>
                                <w:shd w:val="clear" w:color="auto" w:fill="F0F0F0"/>
                                <w:lang w:val="en-GB"/>
                              </w:rPr>
                            </w:pPr>
                            <w:hyperlink r:id="rId34" w:history="1">
                              <w:r w:rsidR="00A578B3" w:rsidRPr="00941435">
                                <w:rPr>
                                  <w:rStyle w:val="Hipercze"/>
                                  <w:rFonts w:cs="Arial"/>
                                  <w:color w:val="001D77"/>
                                  <w:sz w:val="18"/>
                                  <w:szCs w:val="30"/>
                                  <w:shd w:val="clear" w:color="auto" w:fill="F0F0F0"/>
                                  <w:lang w:val="en-GB"/>
                                </w:rPr>
                                <w:t>Prices (Topics: Prices, Trade)</w:t>
                              </w:r>
                            </w:hyperlink>
                          </w:p>
                          <w:p w:rsidR="00A578B3" w:rsidRPr="00941435" w:rsidRDefault="00A578B3" w:rsidP="00453D2B">
                            <w:pPr>
                              <w:rPr>
                                <w:b/>
                                <w:color w:val="000000" w:themeColor="text1"/>
                                <w:szCs w:val="24"/>
                                <w:lang w:val="en-GB"/>
                              </w:rPr>
                            </w:pPr>
                          </w:p>
                          <w:p w:rsidR="00A578B3" w:rsidRPr="00941435" w:rsidRDefault="00A578B3" w:rsidP="00453D2B">
                            <w:pPr>
                              <w:rPr>
                                <w:b/>
                                <w:color w:val="000000" w:themeColor="text1"/>
                                <w:szCs w:val="24"/>
                                <w:lang w:val="en-GB"/>
                              </w:rPr>
                            </w:pPr>
                            <w:r w:rsidRPr="00941435">
                              <w:rPr>
                                <w:b/>
                                <w:color w:val="000000" w:themeColor="text1"/>
                                <w:szCs w:val="24"/>
                                <w:lang w:val="en-GB"/>
                              </w:rPr>
                              <w:t>Terms used in official statistics</w:t>
                            </w:r>
                          </w:p>
                          <w:p w:rsidR="00A578B3" w:rsidRPr="00941435" w:rsidRDefault="00BC5E8D" w:rsidP="00453D2B">
                            <w:pPr>
                              <w:rPr>
                                <w:rStyle w:val="Hipercze"/>
                                <w:rFonts w:cs="Arial"/>
                                <w:color w:val="001D77"/>
                                <w:sz w:val="18"/>
                                <w:szCs w:val="30"/>
                                <w:shd w:val="clear" w:color="auto" w:fill="F0F0F0"/>
                                <w:lang w:val="en-GB"/>
                              </w:rPr>
                            </w:pPr>
                            <w:hyperlink r:id="rId35" w:history="1">
                              <w:r w:rsidR="00A578B3" w:rsidRPr="00941435">
                                <w:rPr>
                                  <w:rStyle w:val="Hipercze"/>
                                  <w:rFonts w:cs="Arial"/>
                                  <w:color w:val="001D77"/>
                                  <w:sz w:val="18"/>
                                  <w:szCs w:val="30"/>
                                  <w:shd w:val="clear" w:color="auto" w:fill="F0F0F0"/>
                                  <w:lang w:val="en-GB"/>
                                </w:rPr>
                                <w:t>Price index of consumer goods and services</w:t>
                              </w:r>
                            </w:hyperlink>
                          </w:p>
                          <w:p w:rsidR="00A578B3" w:rsidRPr="00E233EA" w:rsidRDefault="00BC5E8D" w:rsidP="00453D2B">
                            <w:pPr>
                              <w:rPr>
                                <w:rStyle w:val="Hipercze"/>
                                <w:rFonts w:cs="Arial"/>
                                <w:color w:val="001D77"/>
                                <w:sz w:val="18"/>
                                <w:szCs w:val="30"/>
                                <w:shd w:val="clear" w:color="auto" w:fill="F0F0F0"/>
                                <w:lang w:val="en-US"/>
                              </w:rPr>
                            </w:pPr>
                            <w:hyperlink r:id="rId36" w:history="1">
                              <w:r w:rsidR="00A578B3" w:rsidRPr="00941435">
                                <w:rPr>
                                  <w:rStyle w:val="Hipercze"/>
                                  <w:rFonts w:cs="Arial"/>
                                  <w:color w:val="001D77"/>
                                  <w:sz w:val="18"/>
                                  <w:szCs w:val="30"/>
                                  <w:shd w:val="clear" w:color="auto" w:fill="F0F0F0"/>
                                  <w:lang w:val="en-GB"/>
                                </w:rPr>
                                <w:t>Retail price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B61CC" id="_x0000_s1028" type="#_x0000_t202" style="position:absolute;margin-left:1.5pt;margin-top:34.7pt;width:516.5pt;height:349.85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" fillcolor="#f2f2f2 [3052]" strokecolor="white [3212]">
                <v:textbox>
                  <w:txbxContent>
                    <w:p w:rsidR="00A578B3" w:rsidRDefault="00A578B3" w:rsidP="00883763">
                      <w:pPr>
                        <w:rPr>
                          <w:b/>
                        </w:rPr>
                      </w:pPr>
                    </w:p>
                    <w:p w:rsidR="00A578B3" w:rsidRPr="00941435" w:rsidRDefault="00A578B3" w:rsidP="00453D2B">
                      <w:pPr>
                        <w:rPr>
                          <w:b/>
                          <w:lang w:val="en-GB"/>
                        </w:rPr>
                      </w:pPr>
                      <w:r w:rsidRPr="00941435">
                        <w:rPr>
                          <w:b/>
                          <w:lang w:val="en-GB"/>
                        </w:rPr>
                        <w:t>Related information</w:t>
                      </w:r>
                    </w:p>
                    <w:p w:rsidR="00A578B3" w:rsidRPr="00941435" w:rsidRDefault="00BC5E8D" w:rsidP="00453D2B">
                      <w:pPr>
                        <w:rPr>
                          <w:rStyle w:val="Hipercze"/>
                          <w:rFonts w:cs="Arial"/>
                          <w:color w:val="001D77"/>
                          <w:sz w:val="18"/>
                          <w:szCs w:val="30"/>
                          <w:shd w:val="clear" w:color="auto" w:fill="F0F0F0"/>
                          <w:lang w:val="en-GB"/>
                        </w:rPr>
                      </w:pPr>
                      <w:hyperlink r:id="rId37" w:history="1">
                        <w:r w:rsidR="00A578B3" w:rsidRPr="00941435">
                          <w:rPr>
                            <w:rStyle w:val="Hipercze"/>
                            <w:rFonts w:cs="Arial"/>
                            <w:color w:val="001D77"/>
                            <w:sz w:val="18"/>
                            <w:szCs w:val="30"/>
                            <w:shd w:val="clear" w:color="auto" w:fill="F0F0F0"/>
                            <w:lang w:val="en-GB"/>
                          </w:rPr>
                          <w:t>Communications and Announcements</w:t>
                        </w:r>
                      </w:hyperlink>
                    </w:p>
                    <w:p w:rsidR="00A578B3" w:rsidRPr="00941435" w:rsidRDefault="00BC5E8D" w:rsidP="00453D2B">
                      <w:pPr>
                        <w:rPr>
                          <w:rStyle w:val="Hipercze"/>
                          <w:rFonts w:cs="Arial"/>
                          <w:color w:val="001D77"/>
                          <w:sz w:val="18"/>
                          <w:szCs w:val="30"/>
                          <w:shd w:val="clear" w:color="auto" w:fill="F0F0F0"/>
                          <w:lang w:val="en-GB"/>
                        </w:rPr>
                      </w:pPr>
                      <w:hyperlink r:id="rId38" w:history="1">
                        <w:r w:rsidR="00A578B3" w:rsidRPr="00941435">
                          <w:rPr>
                            <w:rStyle w:val="Hipercze"/>
                            <w:rFonts w:cs="Arial"/>
                            <w:color w:val="001D77"/>
                            <w:sz w:val="18"/>
                            <w:szCs w:val="30"/>
                            <w:shd w:val="clear" w:color="auto" w:fill="F0F0F0"/>
                            <w:lang w:val="en-GB"/>
                          </w:rPr>
                          <w:t>News releases</w:t>
                        </w:r>
                      </w:hyperlink>
                    </w:p>
                    <w:p w:rsidR="00A578B3" w:rsidRPr="00941435" w:rsidRDefault="00A578B3" w:rsidP="00453D2B">
                      <w:pPr>
                        <w:rPr>
                          <w:b/>
                          <w:color w:val="000000" w:themeColor="text1"/>
                          <w:szCs w:val="24"/>
                          <w:lang w:val="en-GB"/>
                        </w:rPr>
                      </w:pPr>
                    </w:p>
                    <w:p w:rsidR="00A578B3" w:rsidRPr="00941435" w:rsidRDefault="00A578B3" w:rsidP="00453D2B">
                      <w:pPr>
                        <w:rPr>
                          <w:b/>
                          <w:color w:val="000000" w:themeColor="text1"/>
                          <w:szCs w:val="24"/>
                          <w:lang w:val="en-GB"/>
                        </w:rPr>
                      </w:pPr>
                      <w:r w:rsidRPr="00941435">
                        <w:rPr>
                          <w:b/>
                          <w:color w:val="000000" w:themeColor="text1"/>
                          <w:szCs w:val="24"/>
                          <w:lang w:val="en-GB"/>
                        </w:rPr>
                        <w:t>Data available in databases</w:t>
                      </w:r>
                    </w:p>
                    <w:p w:rsidR="00A578B3" w:rsidRPr="00941435" w:rsidRDefault="00BC5E8D" w:rsidP="00453D2B">
                      <w:pPr>
                        <w:rPr>
                          <w:rStyle w:val="Hipercze"/>
                          <w:rFonts w:cs="Arial"/>
                          <w:color w:val="001D77"/>
                          <w:sz w:val="18"/>
                          <w:szCs w:val="30"/>
                          <w:shd w:val="clear" w:color="auto" w:fill="F0F0F0"/>
                          <w:lang w:val="en-GB"/>
                        </w:rPr>
                      </w:pPr>
                      <w:hyperlink r:id="rId39" w:history="1">
                        <w:r w:rsidR="00A578B3" w:rsidRPr="00941435">
                          <w:rPr>
                            <w:rStyle w:val="Hipercze"/>
                            <w:rFonts w:cs="Arial"/>
                            <w:color w:val="001D77"/>
                            <w:sz w:val="18"/>
                            <w:szCs w:val="30"/>
                            <w:shd w:val="clear" w:color="auto" w:fill="F0F0F0"/>
                            <w:lang w:val="en-GB"/>
                          </w:rPr>
                          <w:t>Knowledge Database Prices</w:t>
                        </w:r>
                      </w:hyperlink>
                    </w:p>
                    <w:p w:rsidR="00A578B3" w:rsidRPr="00941435" w:rsidRDefault="00BC5E8D" w:rsidP="00453D2B">
                      <w:pPr>
                        <w:rPr>
                          <w:rStyle w:val="Hipercze"/>
                          <w:rFonts w:cs="Arial"/>
                          <w:color w:val="001D77"/>
                          <w:sz w:val="18"/>
                          <w:szCs w:val="30"/>
                          <w:shd w:val="clear" w:color="auto" w:fill="F0F0F0"/>
                          <w:lang w:val="en-GB"/>
                        </w:rPr>
                      </w:pPr>
                      <w:hyperlink r:id="rId40" w:history="1">
                        <w:r w:rsidR="00A578B3" w:rsidRPr="00941435">
                          <w:rPr>
                            <w:rStyle w:val="Hipercze"/>
                            <w:rFonts w:cs="Arial"/>
                            <w:color w:val="001D77"/>
                            <w:sz w:val="18"/>
                            <w:szCs w:val="30"/>
                            <w:shd w:val="clear" w:color="auto" w:fill="F0F0F0"/>
                            <w:lang w:val="en-GB"/>
                          </w:rPr>
                          <w:t>Macroeconomic Data Bank</w:t>
                        </w:r>
                      </w:hyperlink>
                    </w:p>
                    <w:p w:rsidR="00A578B3" w:rsidRPr="00941435" w:rsidRDefault="00BC5E8D" w:rsidP="00453D2B">
                      <w:pPr>
                        <w:rPr>
                          <w:rStyle w:val="Hipercze"/>
                          <w:rFonts w:cs="Arial"/>
                          <w:color w:val="001D77"/>
                          <w:sz w:val="18"/>
                          <w:szCs w:val="30"/>
                          <w:shd w:val="clear" w:color="auto" w:fill="F0F0F0"/>
                          <w:lang w:val="en-GB"/>
                        </w:rPr>
                      </w:pPr>
                      <w:hyperlink r:id="rId41" w:history="1">
                        <w:r w:rsidR="00A578B3" w:rsidRPr="00941435">
                          <w:rPr>
                            <w:rStyle w:val="Hipercze"/>
                            <w:rFonts w:cs="Arial"/>
                            <w:color w:val="001D77"/>
                            <w:sz w:val="18"/>
                            <w:szCs w:val="30"/>
                            <w:shd w:val="clear" w:color="auto" w:fill="F0F0F0"/>
                            <w:lang w:val="en-GB"/>
                          </w:rPr>
                          <w:t>Local Data Bank</w:t>
                        </w:r>
                      </w:hyperlink>
                    </w:p>
                    <w:p w:rsidR="00A578B3" w:rsidRPr="00941435" w:rsidRDefault="00BC5E8D" w:rsidP="00453D2B">
                      <w:pPr>
                        <w:rPr>
                          <w:rStyle w:val="Hipercze"/>
                          <w:rFonts w:cs="Arial"/>
                          <w:color w:val="001D77"/>
                          <w:sz w:val="18"/>
                          <w:szCs w:val="30"/>
                          <w:shd w:val="clear" w:color="auto" w:fill="F0F0F0"/>
                          <w:lang w:val="en-GB"/>
                        </w:rPr>
                      </w:pPr>
                      <w:hyperlink r:id="rId42" w:history="1">
                        <w:r w:rsidR="00A578B3" w:rsidRPr="00941435">
                          <w:rPr>
                            <w:rStyle w:val="Hipercze"/>
                            <w:rFonts w:cs="Arial"/>
                            <w:color w:val="001D77"/>
                            <w:sz w:val="18"/>
                            <w:szCs w:val="30"/>
                            <w:shd w:val="clear" w:color="auto" w:fill="F0F0F0"/>
                            <w:lang w:val="en-GB"/>
                          </w:rPr>
                          <w:t>Price indices (Topics: Prices, Trade)</w:t>
                        </w:r>
                      </w:hyperlink>
                    </w:p>
                    <w:p w:rsidR="00A578B3" w:rsidRPr="00941435" w:rsidRDefault="00BC5E8D" w:rsidP="00453D2B">
                      <w:pPr>
                        <w:rPr>
                          <w:rStyle w:val="Hipercze"/>
                          <w:rFonts w:cs="Arial"/>
                          <w:color w:val="001D77"/>
                          <w:sz w:val="18"/>
                          <w:szCs w:val="30"/>
                          <w:shd w:val="clear" w:color="auto" w:fill="F0F0F0"/>
                          <w:lang w:val="en-GB"/>
                        </w:rPr>
                      </w:pPr>
                      <w:hyperlink r:id="rId43" w:history="1">
                        <w:r w:rsidR="00A578B3" w:rsidRPr="00941435">
                          <w:rPr>
                            <w:rStyle w:val="Hipercze"/>
                            <w:rFonts w:cs="Arial"/>
                            <w:color w:val="001D77"/>
                            <w:sz w:val="18"/>
                            <w:szCs w:val="30"/>
                            <w:shd w:val="clear" w:color="auto" w:fill="F0F0F0"/>
                            <w:lang w:val="en-GB"/>
                          </w:rPr>
                          <w:t>Prices (Topics: Prices, Trade)</w:t>
                        </w:r>
                      </w:hyperlink>
                    </w:p>
                    <w:p w:rsidR="00A578B3" w:rsidRPr="00941435" w:rsidRDefault="00A578B3" w:rsidP="00453D2B">
                      <w:pPr>
                        <w:rPr>
                          <w:b/>
                          <w:color w:val="000000" w:themeColor="text1"/>
                          <w:szCs w:val="24"/>
                          <w:lang w:val="en-GB"/>
                        </w:rPr>
                      </w:pPr>
                    </w:p>
                    <w:p w:rsidR="00A578B3" w:rsidRPr="00941435" w:rsidRDefault="00A578B3" w:rsidP="00453D2B">
                      <w:pPr>
                        <w:rPr>
                          <w:b/>
                          <w:color w:val="000000" w:themeColor="text1"/>
                          <w:szCs w:val="24"/>
                          <w:lang w:val="en-GB"/>
                        </w:rPr>
                      </w:pPr>
                      <w:r w:rsidRPr="00941435">
                        <w:rPr>
                          <w:b/>
                          <w:color w:val="000000" w:themeColor="text1"/>
                          <w:szCs w:val="24"/>
                          <w:lang w:val="en-GB"/>
                        </w:rPr>
                        <w:t>Terms used in official statistics</w:t>
                      </w:r>
                    </w:p>
                    <w:p w:rsidR="00A578B3" w:rsidRPr="00941435" w:rsidRDefault="00BC5E8D" w:rsidP="00453D2B">
                      <w:pPr>
                        <w:rPr>
                          <w:rStyle w:val="Hipercze"/>
                          <w:rFonts w:cs="Arial"/>
                          <w:color w:val="001D77"/>
                          <w:sz w:val="18"/>
                          <w:szCs w:val="30"/>
                          <w:shd w:val="clear" w:color="auto" w:fill="F0F0F0"/>
                          <w:lang w:val="en-GB"/>
                        </w:rPr>
                      </w:pPr>
                      <w:hyperlink r:id="rId44" w:history="1">
                        <w:r w:rsidR="00A578B3" w:rsidRPr="00941435">
                          <w:rPr>
                            <w:rStyle w:val="Hipercze"/>
                            <w:rFonts w:cs="Arial"/>
                            <w:color w:val="001D77"/>
                            <w:sz w:val="18"/>
                            <w:szCs w:val="30"/>
                            <w:shd w:val="clear" w:color="auto" w:fill="F0F0F0"/>
                            <w:lang w:val="en-GB"/>
                          </w:rPr>
                          <w:t>Price index of consumer goods and services</w:t>
                        </w:r>
                      </w:hyperlink>
                    </w:p>
                    <w:p w:rsidR="00A578B3" w:rsidRPr="00E233EA" w:rsidRDefault="00BC5E8D" w:rsidP="00453D2B">
                      <w:pPr>
                        <w:rPr>
                          <w:rStyle w:val="Hipercze"/>
                          <w:rFonts w:cs="Arial"/>
                          <w:color w:val="001D77"/>
                          <w:sz w:val="18"/>
                          <w:szCs w:val="30"/>
                          <w:shd w:val="clear" w:color="auto" w:fill="F0F0F0"/>
                          <w:lang w:val="en-US"/>
                        </w:rPr>
                      </w:pPr>
                      <w:hyperlink r:id="rId45" w:history="1">
                        <w:r w:rsidR="00A578B3" w:rsidRPr="00941435">
                          <w:rPr>
                            <w:rStyle w:val="Hipercze"/>
                            <w:rFonts w:cs="Arial"/>
                            <w:color w:val="001D77"/>
                            <w:sz w:val="18"/>
                            <w:szCs w:val="30"/>
                            <w:shd w:val="clear" w:color="auto" w:fill="F0F0F0"/>
                            <w:lang w:val="en-GB"/>
                          </w:rPr>
                          <w:t>Retail price</w:t>
                        </w:r>
                      </w:hyperlink>
                    </w:p>
                  </w:txbxContent>
                </v:textbox>
                <w10:wrap type="square" anchorx="margin"/>
              </v:shape>
            </w:pict>
          </mc:Fallback>
        </mc:AlternateContent>
      </w:r>
    </w:p>
    <w:sectPr w:rsidR="00D261A2" w:rsidRPr="00001C5B" w:rsidSect="00EF7B36">
      <w:headerReference w:type="default" r:id="rId46"/>
      <w:footerReference w:type="default" r:id="rId47"/>
      <w:footnotePr>
        <w:numFmt w:val="lowerLetter"/>
      </w:footnotePr>
      <w:pgSz w:w="11906" w:h="16838" w:code="9"/>
      <w:pgMar w:top="720" w:right="3119" w:bottom="720" w:left="720" w:header="17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E8D" w:rsidRDefault="00BC5E8D" w:rsidP="000662E2">
      <w:pPr>
        <w:spacing w:after="0" w:line="240" w:lineRule="auto"/>
      </w:pPr>
      <w:r>
        <w:separator/>
      </w:r>
    </w:p>
  </w:endnote>
  <w:endnote w:type="continuationSeparator" w:id="0">
    <w:p w:rsidR="00BC5E8D" w:rsidRDefault="00BC5E8D"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138905"/>
      <w:docPartObj>
        <w:docPartGallery w:val="Page Numbers (Bottom of Page)"/>
        <w:docPartUnique/>
      </w:docPartObj>
    </w:sdtPr>
    <w:sdtEndPr/>
    <w:sdtContent>
      <w:p w:rsidR="00A578B3" w:rsidRDefault="00A578B3" w:rsidP="003B18B6">
        <w:pPr>
          <w:pStyle w:val="Stopka"/>
          <w:jc w:val="center"/>
        </w:pPr>
        <w:r>
          <w:fldChar w:fldCharType="begin"/>
        </w:r>
        <w:r>
          <w:instrText>PAGE   \* MERGEFORMAT</w:instrText>
        </w:r>
        <w:r>
          <w:fldChar w:fldCharType="separate"/>
        </w:r>
        <w:r w:rsidR="00685EDC">
          <w:rPr>
            <w:noProof/>
          </w:rPr>
          <w:t>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561874"/>
      <w:docPartObj>
        <w:docPartGallery w:val="Page Numbers (Bottom of Page)"/>
        <w:docPartUnique/>
      </w:docPartObj>
    </w:sdtPr>
    <w:sdtEndPr/>
    <w:sdtContent>
      <w:p w:rsidR="00A578B3" w:rsidRDefault="00A578B3" w:rsidP="003B18B6">
        <w:pPr>
          <w:pStyle w:val="Stopka"/>
          <w:jc w:val="center"/>
        </w:pPr>
        <w:r>
          <w:fldChar w:fldCharType="begin"/>
        </w:r>
        <w:r>
          <w:instrText>PAGE   \* MERGEFORMAT</w:instrText>
        </w:r>
        <w:r>
          <w:fldChar w:fldCharType="separate"/>
        </w:r>
        <w:r w:rsidR="00685EDC">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A578B3" w:rsidRDefault="00A578B3" w:rsidP="003B18B6">
        <w:pPr>
          <w:pStyle w:val="Stopka"/>
          <w:jc w:val="center"/>
        </w:pPr>
        <w:r>
          <w:fldChar w:fldCharType="begin"/>
        </w:r>
        <w:r>
          <w:instrText>PAGE   \* MERGEFORMAT</w:instrText>
        </w:r>
        <w:r>
          <w:fldChar w:fldCharType="separate"/>
        </w:r>
        <w:r w:rsidR="00685EDC">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E8D" w:rsidRDefault="00BC5E8D" w:rsidP="000662E2">
      <w:pPr>
        <w:spacing w:after="0" w:line="240" w:lineRule="auto"/>
      </w:pPr>
      <w:r>
        <w:separator/>
      </w:r>
    </w:p>
  </w:footnote>
  <w:footnote w:type="continuationSeparator" w:id="0">
    <w:p w:rsidR="00BC5E8D" w:rsidRDefault="00BC5E8D" w:rsidP="000662E2">
      <w:pPr>
        <w:spacing w:after="0" w:line="240" w:lineRule="auto"/>
      </w:pPr>
      <w:r>
        <w:continuationSeparator/>
      </w:r>
    </w:p>
  </w:footnote>
  <w:footnote w:id="1">
    <w:p w:rsidR="00A578B3" w:rsidRDefault="00A578B3" w:rsidP="009E3F12">
      <w:pPr>
        <w:pStyle w:val="NormalnyWeb"/>
        <w:rPr>
          <w:rStyle w:val="Hipercze"/>
          <w:rFonts w:ascii="Fira Sans" w:hAnsi="Fira Sans"/>
          <w:sz w:val="16"/>
          <w:szCs w:val="16"/>
        </w:rPr>
      </w:pPr>
      <w:r>
        <w:rPr>
          <w:rStyle w:val="Odwoanieprzypisudolnego"/>
        </w:rPr>
        <w:footnoteRef/>
      </w:r>
      <w:r w:rsidRPr="00D03312">
        <w:t xml:space="preserve"> </w:t>
      </w:r>
      <w:r w:rsidRPr="000A6453">
        <w:rPr>
          <w:rFonts w:ascii="Fira Sans" w:hAnsi="Fira Sans"/>
          <w:color w:val="222222"/>
          <w:sz w:val="16"/>
          <w:szCs w:val="16"/>
        </w:rPr>
        <w:t>Document ‘Guidance on the compilation of the HICP in the context of the CO</w:t>
      </w:r>
      <w:r>
        <w:rPr>
          <w:rFonts w:ascii="Fira Sans" w:hAnsi="Fira Sans"/>
          <w:color w:val="222222"/>
          <w:sz w:val="16"/>
          <w:szCs w:val="16"/>
        </w:rPr>
        <w:t>VID-19 crisis’ was published by </w:t>
      </w:r>
      <w:r w:rsidRPr="000A6453">
        <w:rPr>
          <w:rFonts w:ascii="Fira Sans" w:hAnsi="Fira Sans"/>
          <w:color w:val="222222"/>
          <w:sz w:val="16"/>
          <w:szCs w:val="16"/>
        </w:rPr>
        <w:t>Eurostat under the link</w:t>
      </w:r>
      <w:r w:rsidRPr="00F4410C">
        <w:rPr>
          <w:rFonts w:ascii="Fira Sans" w:hAnsi="Fira Sans"/>
          <w:color w:val="222222"/>
          <w:sz w:val="16"/>
          <w:szCs w:val="16"/>
        </w:rPr>
        <w:t xml:space="preserve"> </w:t>
      </w:r>
      <w:hyperlink r:id="rId1" w:history="1">
        <w:r w:rsidRPr="00F4410C">
          <w:rPr>
            <w:rStyle w:val="Hipercze"/>
            <w:rFonts w:ascii="Fira Sans" w:hAnsi="Fira Sans"/>
            <w:sz w:val="16"/>
            <w:szCs w:val="16"/>
          </w:rPr>
          <w:t>https://ec.europa.eu/eurostat/documents/10186/10693286/HICP_guidance.pdf</w:t>
        </w:r>
      </w:hyperlink>
    </w:p>
    <w:p w:rsidR="00A578B3" w:rsidRPr="00D03312" w:rsidRDefault="00A578B3" w:rsidP="009E3F12">
      <w:pPr>
        <w:pStyle w:val="NormalnyWeb"/>
        <w:rPr>
          <w:rFonts w:ascii="Fira Sans" w:hAnsi="Fira Sans"/>
          <w:color w:val="222222"/>
          <w:sz w:val="16"/>
          <w:szCs w:val="16"/>
        </w:rPr>
      </w:pPr>
      <w:r w:rsidRPr="00D03312">
        <w:rPr>
          <w:rFonts w:ascii="Fira Sans" w:hAnsi="Fira Sans"/>
          <w:color w:val="222222"/>
          <w:sz w:val="16"/>
          <w:szCs w:val="16"/>
        </w:rPr>
        <w:t xml:space="preserve">The guidelines recommended by Eurostat concerning consumer price indices </w:t>
      </w:r>
      <w:r>
        <w:rPr>
          <w:rFonts w:ascii="Fira Sans" w:hAnsi="Fira Sans"/>
          <w:color w:val="222222"/>
          <w:sz w:val="16"/>
          <w:szCs w:val="16"/>
        </w:rPr>
        <w:t>are also presented in</w:t>
      </w:r>
      <w:r w:rsidRPr="00D03312">
        <w:rPr>
          <w:rFonts w:ascii="Fira Sans" w:hAnsi="Fira Sans"/>
          <w:color w:val="222222"/>
          <w:sz w:val="16"/>
          <w:szCs w:val="16"/>
        </w:rPr>
        <w:t xml:space="preserve"> Polish under the link </w:t>
      </w:r>
      <w:hyperlink r:id="rId2" w:history="1">
        <w:r w:rsidRPr="00D03312">
          <w:rPr>
            <w:rStyle w:val="Hipercze"/>
            <w:rFonts w:ascii="Fira Sans" w:hAnsi="Fira Sans"/>
            <w:sz w:val="16"/>
            <w:szCs w:val="16"/>
          </w:rPr>
          <w:t>https://stat.gov.pl/obszary-tematyczne/ceny-handel/wskazniki-cen/wytyczne-dotyczace-opracowania-hicp-w-kontekscie-kryzysu-zwiazanego-z-covid-19,19,1.html</w:t>
        </w:r>
      </w:hyperlink>
    </w:p>
    <w:p w:rsidR="00A578B3" w:rsidRPr="00D03312" w:rsidRDefault="00A578B3" w:rsidP="009E3F12">
      <w:pPr>
        <w:pStyle w:val="Tekstprzypisudolnego"/>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8B3" w:rsidRDefault="00A578B3">
    <w:pPr>
      <w:pStyle w:val="Nagwek"/>
    </w:pPr>
    <w:r>
      <w:rPr>
        <w:noProof/>
        <w:lang w:eastAsia="pl-PL"/>
      </w:rPr>
      <mc:AlternateContent>
        <mc:Choice Requires="wps">
          <w:drawing>
            <wp:anchor distT="0" distB="0" distL="114300" distR="114300" simplePos="0" relativeHeight="251662336" behindDoc="1" locked="0" layoutInCell="1" allowOverlap="1" wp14:anchorId="659E26E7" wp14:editId="7F474E4C">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E798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" fillcolor="#f2f2f2 [3052]" stroked="f" strokeweight="1pt">
              <v:path arrowok="t"/>
            </v:rect>
          </w:pict>
        </mc:Fallback>
      </mc:AlternateContent>
    </w:r>
  </w:p>
  <w:p w:rsidR="00A578B3" w:rsidRDefault="00A578B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8B3" w:rsidRDefault="00A578B3" w:rsidP="00DE775D">
    <w:pPr>
      <w:pStyle w:val="Nagwek"/>
      <w:tabs>
        <w:tab w:val="clear" w:pos="4536"/>
        <w:tab w:val="clear" w:pos="9072"/>
        <w:tab w:val="right" w:pos="8067"/>
      </w:tabs>
      <w:rPr>
        <w:noProof/>
        <w:lang w:eastAsia="pl-PL"/>
      </w:rPr>
    </w:pPr>
    <w:r>
      <w:rPr>
        <w:noProof/>
        <w:lang w:eastAsia="pl-PL"/>
      </w:rPr>
      <mc:AlternateContent>
        <mc:Choice Requires="wps">
          <w:drawing>
            <wp:anchor distT="0" distB="0" distL="114300" distR="114300" simplePos="0" relativeHeight="251666432" behindDoc="1" locked="0" layoutInCell="1" allowOverlap="1" wp14:anchorId="6D93A667" wp14:editId="5463B3BB">
              <wp:simplePos x="0" y="0"/>
              <wp:positionH relativeFrom="column">
                <wp:posOffset>5206365</wp:posOffset>
              </wp:positionH>
              <wp:positionV relativeFrom="paragraph">
                <wp:posOffset>495935</wp:posOffset>
              </wp:positionV>
              <wp:extent cx="1871980" cy="10015855"/>
              <wp:effectExtent l="0" t="0" r="0" b="0"/>
              <wp:wrapTight wrapText="bothSides">
                <wp:wrapPolygon edited="0">
                  <wp:start x="-110" y="0"/>
                  <wp:lineTo x="-110" y="21590"/>
                  <wp:lineTo x="21600" y="21590"/>
                  <wp:lineTo x="21600" y="0"/>
                  <wp:lineTo x="-110" y="0"/>
                </wp:wrapPolygon>
              </wp:wrapTight>
              <wp:docPr id="11"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1980" cy="10015855"/>
                      </a:xfrm>
                      <a:prstGeom prst="rect">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D993FDF" id="Prostokąt 10" o:spid="_x0000_s1026" style="position:absolute;margin-left:409.95pt;margin-top:39.05pt;width:147.4pt;height:788.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" fillcolor="#f2f2f2" stroked="f" strokeweight="1pt">
              <v:path arrowok="t"/>
              <w10:wrap type="tight"/>
            </v:rect>
          </w:pict>
        </mc:Fallback>
      </mc:AlternateContent>
    </w:r>
    <w:r>
      <w:rPr>
        <w:noProof/>
        <w:lang w:eastAsia="pl-PL"/>
      </w:rPr>
      <mc:AlternateContent>
        <mc:Choice Requires="wps">
          <w:drawing>
            <wp:anchor distT="0" distB="0" distL="114300" distR="114300" simplePos="0" relativeHeight="251668480" behindDoc="0" locked="0" layoutInCell="1" allowOverlap="1" wp14:anchorId="0FF2DF95" wp14:editId="73781804">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578B3" w:rsidRPr="003C6C8D" w:rsidRDefault="00A578B3" w:rsidP="007F3714">
                          <w:pPr>
                            <w:spacing w:before="0" w:after="0" w:line="240" w:lineRule="auto"/>
                            <w:ind w:left="227"/>
                            <w:jc w:val="both"/>
                            <w:rPr>
                              <w:rFonts w:ascii="Fira Sans SemiBold" w:hAnsi="Fira Sans SemiBold"/>
                            </w:rPr>
                          </w:pPr>
                          <w:r w:rsidRPr="001D7F33">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2DF95" id="Schemat blokowy: opóźnienie 6" o:spid="_x0000_s1029"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xwRgYAACM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A578B3" w:rsidRPr="003C6C8D" w:rsidRDefault="00A578B3" w:rsidP="007F3714">
                    <w:pPr>
                      <w:spacing w:before="0" w:after="0" w:line="240" w:lineRule="auto"/>
                      <w:ind w:left="227"/>
                      <w:jc w:val="both"/>
                      <w:rPr>
                        <w:rFonts w:ascii="Fira Sans SemiBold" w:hAnsi="Fira Sans SemiBold"/>
                      </w:rPr>
                    </w:pPr>
                    <w:r w:rsidRPr="001D7F33">
                      <w:rPr>
                        <w:rFonts w:ascii="Fira Sans SemiBold" w:hAnsi="Fira Sans SemiBold"/>
                      </w:rPr>
                      <w:t>NEWS RELEASES</w:t>
                    </w:r>
                  </w:p>
                </w:txbxContent>
              </v:textbox>
            </v:shape>
          </w:pict>
        </mc:Fallback>
      </mc:AlternateContent>
    </w:r>
    <w:r>
      <w:rPr>
        <w:noProof/>
        <w:lang w:eastAsia="pl-PL"/>
      </w:rPr>
      <w:drawing>
        <wp:inline distT="0" distB="0" distL="0" distR="0" wp14:anchorId="613E36D4" wp14:editId="2ACA5A14">
          <wp:extent cx="1865630" cy="709295"/>
          <wp:effectExtent l="0" t="0" r="0" b="0"/>
          <wp:docPr id="14" name="Obraz 14" descr="logo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g-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709295"/>
                  </a:xfrm>
                  <a:prstGeom prst="rect">
                    <a:avLst/>
                  </a:prstGeom>
                  <a:noFill/>
                  <a:ln>
                    <a:noFill/>
                  </a:ln>
                </pic:spPr>
              </pic:pic>
            </a:graphicData>
          </a:graphic>
        </wp:inline>
      </w:drawing>
    </w:r>
    <w:r>
      <w:rPr>
        <w:noProof/>
        <w:lang w:eastAsia="pl-PL"/>
      </w:rPr>
      <w:tab/>
    </w:r>
  </w:p>
  <w:p w:rsidR="00A578B3" w:rsidRDefault="00A578B3">
    <w:pPr>
      <w:pStyle w:val="Nagwek"/>
      <w:rPr>
        <w:noProof/>
        <w:lang w:eastAsia="pl-PL"/>
      </w:rPr>
    </w:pPr>
    <w:r>
      <w:rPr>
        <w:noProof/>
        <w:lang w:eastAsia="pl-PL"/>
      </w:rPr>
      <mc:AlternateContent>
        <mc:Choice Requires="wps">
          <w:drawing>
            <wp:anchor distT="45720" distB="45720" distL="114300" distR="114300" simplePos="0" relativeHeight="251669504" behindDoc="0" locked="0" layoutInCell="1" allowOverlap="1" wp14:anchorId="2FEE7CCB" wp14:editId="6B36552E">
              <wp:simplePos x="0" y="0"/>
              <wp:positionH relativeFrom="column">
                <wp:posOffset>5219700</wp:posOffset>
              </wp:positionH>
              <wp:positionV relativeFrom="paragraph">
                <wp:posOffset>266065</wp:posOffset>
              </wp:positionV>
              <wp:extent cx="1432560" cy="336550"/>
              <wp:effectExtent l="0" t="0" r="0" b="635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rsidR="00A578B3" w:rsidRPr="00C97596" w:rsidRDefault="00A578B3" w:rsidP="00F37172">
                          <w:pPr>
                            <w:jc w:val="both"/>
                            <w:rPr>
                              <w:rFonts w:ascii="Fira Sans SemiBold" w:hAnsi="Fira Sans SemiBold"/>
                              <w:color w:val="001D77"/>
                            </w:rPr>
                          </w:pPr>
                          <w:r>
                            <w:rPr>
                              <w:rFonts w:ascii="Fira Sans SemiBold" w:hAnsi="Fira Sans SemiBold"/>
                              <w:color w:val="001D77"/>
                            </w:rPr>
                            <w:t>15.04.2020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EE7CCB" id="_x0000_t202" coordsize="21600,21600" o:spt="202" path="m,l,21600r21600,l21600,xe">
              <v:stroke joinstyle="miter"/>
              <v:path gradientshapeok="t" o:connecttype="rect"/>
            </v:shapetype>
            <v:shape id="_x0000_s1030"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AKeUfh&#10;EAIAAP4DAAAOAAAAAAAAAAAAAAAAAC4CAABkcnMvZTJvRG9jLnhtbFBLAQItABQABgAIAAAAIQBr&#10;Z3Ed3gAAAAoBAAAPAAAAAAAAAAAAAAAAAGoEAABkcnMvZG93bnJldi54bWxQSwUGAAAAAAQABADz&#10;AAAAdQUAAAAA&#10;" filled="f" stroked="f">
              <v:textbox>
                <w:txbxContent>
                  <w:p w:rsidR="00A578B3" w:rsidRPr="00C97596" w:rsidRDefault="00A578B3" w:rsidP="00F37172">
                    <w:pPr>
                      <w:jc w:val="both"/>
                      <w:rPr>
                        <w:rFonts w:ascii="Fira Sans SemiBold" w:hAnsi="Fira Sans SemiBold"/>
                        <w:color w:val="001D77"/>
                      </w:rPr>
                    </w:pPr>
                    <w:r>
                      <w:rPr>
                        <w:rFonts w:ascii="Fira Sans SemiBold" w:hAnsi="Fira Sans SemiBold"/>
                        <w:color w:val="001D77"/>
                      </w:rPr>
                      <w:t>15.04.2020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8B3" w:rsidRDefault="00A578B3">
    <w:pPr>
      <w:pStyle w:val="Nagwek"/>
    </w:pPr>
  </w:p>
  <w:p w:rsidR="00A578B3" w:rsidRDefault="00A578B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23.15pt;height:125.45pt;visibility:visible" o:bullet="t">
        <v:imagedata r:id="rId1" o:title=""/>
      </v:shape>
    </w:pict>
  </w:numPicBullet>
  <w:numPicBullet w:numPicBulletId="1">
    <w:pict>
      <v:shape id="_x0000_i1051" type="#_x0000_t75" style="width:123.9pt;height:125.4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autoHyphenation/>
  <w:hyphenationZone w:val="425"/>
  <w:drawingGridHorizontalSpacing w:val="57"/>
  <w:drawingGridVerticalSpacing w:val="57"/>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94D"/>
    <w:rsid w:val="00001C5B"/>
    <w:rsid w:val="00003437"/>
    <w:rsid w:val="0000709F"/>
    <w:rsid w:val="000108B8"/>
    <w:rsid w:val="000152F5"/>
    <w:rsid w:val="0002205C"/>
    <w:rsid w:val="00034160"/>
    <w:rsid w:val="0004015D"/>
    <w:rsid w:val="0004582E"/>
    <w:rsid w:val="0004646A"/>
    <w:rsid w:val="000470AA"/>
    <w:rsid w:val="000539AA"/>
    <w:rsid w:val="00057CA1"/>
    <w:rsid w:val="000662E2"/>
    <w:rsid w:val="00066883"/>
    <w:rsid w:val="00074DD8"/>
    <w:rsid w:val="000800B4"/>
    <w:rsid w:val="000806F7"/>
    <w:rsid w:val="00097840"/>
    <w:rsid w:val="000A4BF7"/>
    <w:rsid w:val="000A6453"/>
    <w:rsid w:val="000A6963"/>
    <w:rsid w:val="000A7F1A"/>
    <w:rsid w:val="000B0727"/>
    <w:rsid w:val="000B4505"/>
    <w:rsid w:val="000C135D"/>
    <w:rsid w:val="000D1D43"/>
    <w:rsid w:val="000D225C"/>
    <w:rsid w:val="000D2A5C"/>
    <w:rsid w:val="000E0918"/>
    <w:rsid w:val="000E4386"/>
    <w:rsid w:val="000F0AF2"/>
    <w:rsid w:val="001011C3"/>
    <w:rsid w:val="00110D87"/>
    <w:rsid w:val="001149A1"/>
    <w:rsid w:val="00114DB9"/>
    <w:rsid w:val="00116087"/>
    <w:rsid w:val="001179CF"/>
    <w:rsid w:val="00130296"/>
    <w:rsid w:val="001317AE"/>
    <w:rsid w:val="00132297"/>
    <w:rsid w:val="001335DA"/>
    <w:rsid w:val="00135B65"/>
    <w:rsid w:val="00142037"/>
    <w:rsid w:val="001423B6"/>
    <w:rsid w:val="001448A7"/>
    <w:rsid w:val="00146621"/>
    <w:rsid w:val="001539C9"/>
    <w:rsid w:val="001600F9"/>
    <w:rsid w:val="00162325"/>
    <w:rsid w:val="001660CA"/>
    <w:rsid w:val="00170D13"/>
    <w:rsid w:val="001951DA"/>
    <w:rsid w:val="001A4B7F"/>
    <w:rsid w:val="001A78D0"/>
    <w:rsid w:val="001B0E45"/>
    <w:rsid w:val="001C3269"/>
    <w:rsid w:val="001D1DB4"/>
    <w:rsid w:val="001D4EE2"/>
    <w:rsid w:val="001D5C9E"/>
    <w:rsid w:val="001E1D94"/>
    <w:rsid w:val="001E7DBB"/>
    <w:rsid w:val="001F60D1"/>
    <w:rsid w:val="00201740"/>
    <w:rsid w:val="002069C0"/>
    <w:rsid w:val="002147B5"/>
    <w:rsid w:val="0022272D"/>
    <w:rsid w:val="0022312E"/>
    <w:rsid w:val="00247B43"/>
    <w:rsid w:val="002574F9"/>
    <w:rsid w:val="00262B61"/>
    <w:rsid w:val="0026302B"/>
    <w:rsid w:val="002664AF"/>
    <w:rsid w:val="002724FF"/>
    <w:rsid w:val="00275FA6"/>
    <w:rsid w:val="00276811"/>
    <w:rsid w:val="00276C9A"/>
    <w:rsid w:val="00282699"/>
    <w:rsid w:val="00284859"/>
    <w:rsid w:val="00286FC8"/>
    <w:rsid w:val="00290CB6"/>
    <w:rsid w:val="002926DF"/>
    <w:rsid w:val="00292DBF"/>
    <w:rsid w:val="00296697"/>
    <w:rsid w:val="002A36C0"/>
    <w:rsid w:val="002A4D80"/>
    <w:rsid w:val="002B0472"/>
    <w:rsid w:val="002B6B12"/>
    <w:rsid w:val="002D0020"/>
    <w:rsid w:val="002D24A5"/>
    <w:rsid w:val="002E6140"/>
    <w:rsid w:val="002E6985"/>
    <w:rsid w:val="002E71B6"/>
    <w:rsid w:val="002F77C8"/>
    <w:rsid w:val="00304F22"/>
    <w:rsid w:val="00305162"/>
    <w:rsid w:val="00306C7C"/>
    <w:rsid w:val="00311E43"/>
    <w:rsid w:val="00317B04"/>
    <w:rsid w:val="00322EDD"/>
    <w:rsid w:val="00332320"/>
    <w:rsid w:val="00347D72"/>
    <w:rsid w:val="00357611"/>
    <w:rsid w:val="0036186D"/>
    <w:rsid w:val="00367237"/>
    <w:rsid w:val="0037077F"/>
    <w:rsid w:val="00370D51"/>
    <w:rsid w:val="003718C2"/>
    <w:rsid w:val="00372411"/>
    <w:rsid w:val="00373882"/>
    <w:rsid w:val="0038261F"/>
    <w:rsid w:val="003843DB"/>
    <w:rsid w:val="00384BFA"/>
    <w:rsid w:val="003901AC"/>
    <w:rsid w:val="00393761"/>
    <w:rsid w:val="00394B48"/>
    <w:rsid w:val="00397D18"/>
    <w:rsid w:val="003A0271"/>
    <w:rsid w:val="003A109E"/>
    <w:rsid w:val="003A1B36"/>
    <w:rsid w:val="003A440F"/>
    <w:rsid w:val="003B1454"/>
    <w:rsid w:val="003B18B6"/>
    <w:rsid w:val="003B4C47"/>
    <w:rsid w:val="003C59E0"/>
    <w:rsid w:val="003C6C8D"/>
    <w:rsid w:val="003D00E5"/>
    <w:rsid w:val="003D3B24"/>
    <w:rsid w:val="003D4F95"/>
    <w:rsid w:val="003D5F42"/>
    <w:rsid w:val="003D60A9"/>
    <w:rsid w:val="003F4C97"/>
    <w:rsid w:val="003F7FE6"/>
    <w:rsid w:val="00400193"/>
    <w:rsid w:val="00416429"/>
    <w:rsid w:val="004212E7"/>
    <w:rsid w:val="0042446D"/>
    <w:rsid w:val="004271EF"/>
    <w:rsid w:val="00427BF8"/>
    <w:rsid w:val="00431C02"/>
    <w:rsid w:val="00437395"/>
    <w:rsid w:val="00445047"/>
    <w:rsid w:val="00445F90"/>
    <w:rsid w:val="00453D2B"/>
    <w:rsid w:val="00454E14"/>
    <w:rsid w:val="0045556B"/>
    <w:rsid w:val="004566AB"/>
    <w:rsid w:val="00456C2F"/>
    <w:rsid w:val="0045762F"/>
    <w:rsid w:val="004601AC"/>
    <w:rsid w:val="00463E39"/>
    <w:rsid w:val="004657FC"/>
    <w:rsid w:val="004733F6"/>
    <w:rsid w:val="00474E69"/>
    <w:rsid w:val="00493217"/>
    <w:rsid w:val="004957AB"/>
    <w:rsid w:val="0049621B"/>
    <w:rsid w:val="0049705B"/>
    <w:rsid w:val="004B2EAB"/>
    <w:rsid w:val="004C1895"/>
    <w:rsid w:val="004C4610"/>
    <w:rsid w:val="004C6D40"/>
    <w:rsid w:val="004D6CB4"/>
    <w:rsid w:val="004F0C3C"/>
    <w:rsid w:val="004F63FC"/>
    <w:rsid w:val="00501F76"/>
    <w:rsid w:val="00502E6F"/>
    <w:rsid w:val="00502F8C"/>
    <w:rsid w:val="00505A92"/>
    <w:rsid w:val="005112CE"/>
    <w:rsid w:val="00511F19"/>
    <w:rsid w:val="0051646A"/>
    <w:rsid w:val="00516A50"/>
    <w:rsid w:val="005203F1"/>
    <w:rsid w:val="0052058B"/>
    <w:rsid w:val="00521BC3"/>
    <w:rsid w:val="00526A58"/>
    <w:rsid w:val="00533632"/>
    <w:rsid w:val="0053648F"/>
    <w:rsid w:val="00541E6E"/>
    <w:rsid w:val="0054251F"/>
    <w:rsid w:val="0055063A"/>
    <w:rsid w:val="005520D8"/>
    <w:rsid w:val="00556CF1"/>
    <w:rsid w:val="00564C34"/>
    <w:rsid w:val="00571BA5"/>
    <w:rsid w:val="005762A7"/>
    <w:rsid w:val="0058676C"/>
    <w:rsid w:val="005877DE"/>
    <w:rsid w:val="005916D7"/>
    <w:rsid w:val="00593CF4"/>
    <w:rsid w:val="005A047A"/>
    <w:rsid w:val="005A2784"/>
    <w:rsid w:val="005A698C"/>
    <w:rsid w:val="005C1AF8"/>
    <w:rsid w:val="005C40C4"/>
    <w:rsid w:val="005C5EF8"/>
    <w:rsid w:val="005D1C04"/>
    <w:rsid w:val="005D470D"/>
    <w:rsid w:val="005E0799"/>
    <w:rsid w:val="005E2757"/>
    <w:rsid w:val="005E782A"/>
    <w:rsid w:val="005F4399"/>
    <w:rsid w:val="005F5A80"/>
    <w:rsid w:val="00602227"/>
    <w:rsid w:val="006044FF"/>
    <w:rsid w:val="00607CC5"/>
    <w:rsid w:val="00612A16"/>
    <w:rsid w:val="0061348F"/>
    <w:rsid w:val="006149F0"/>
    <w:rsid w:val="00615A26"/>
    <w:rsid w:val="00633014"/>
    <w:rsid w:val="0063437B"/>
    <w:rsid w:val="006476FF"/>
    <w:rsid w:val="00664186"/>
    <w:rsid w:val="0066542B"/>
    <w:rsid w:val="006673CA"/>
    <w:rsid w:val="00673C26"/>
    <w:rsid w:val="0067430E"/>
    <w:rsid w:val="00674A8B"/>
    <w:rsid w:val="006812AF"/>
    <w:rsid w:val="00682B23"/>
    <w:rsid w:val="0068327D"/>
    <w:rsid w:val="00683EDE"/>
    <w:rsid w:val="00684997"/>
    <w:rsid w:val="00685123"/>
    <w:rsid w:val="006855FC"/>
    <w:rsid w:val="00685EDC"/>
    <w:rsid w:val="00691225"/>
    <w:rsid w:val="00694AF0"/>
    <w:rsid w:val="0069687E"/>
    <w:rsid w:val="0069693F"/>
    <w:rsid w:val="0069739D"/>
    <w:rsid w:val="006A4686"/>
    <w:rsid w:val="006B0E9E"/>
    <w:rsid w:val="006B208D"/>
    <w:rsid w:val="006B20B4"/>
    <w:rsid w:val="006B5AE4"/>
    <w:rsid w:val="006D1507"/>
    <w:rsid w:val="006D4054"/>
    <w:rsid w:val="006D6B72"/>
    <w:rsid w:val="006E02EC"/>
    <w:rsid w:val="007059D5"/>
    <w:rsid w:val="007162EB"/>
    <w:rsid w:val="007211B1"/>
    <w:rsid w:val="0072400B"/>
    <w:rsid w:val="00733D55"/>
    <w:rsid w:val="007364D7"/>
    <w:rsid w:val="00746187"/>
    <w:rsid w:val="00752A67"/>
    <w:rsid w:val="00756585"/>
    <w:rsid w:val="00761070"/>
    <w:rsid w:val="0076254F"/>
    <w:rsid w:val="007801F5"/>
    <w:rsid w:val="00783CA4"/>
    <w:rsid w:val="007842FB"/>
    <w:rsid w:val="00786124"/>
    <w:rsid w:val="0078756B"/>
    <w:rsid w:val="00792E24"/>
    <w:rsid w:val="0079514B"/>
    <w:rsid w:val="007A2DC1"/>
    <w:rsid w:val="007B5D1D"/>
    <w:rsid w:val="007B74D8"/>
    <w:rsid w:val="007D3319"/>
    <w:rsid w:val="007D335D"/>
    <w:rsid w:val="007E3314"/>
    <w:rsid w:val="007E4B03"/>
    <w:rsid w:val="007F324B"/>
    <w:rsid w:val="007F3714"/>
    <w:rsid w:val="00802A9A"/>
    <w:rsid w:val="0080551D"/>
    <w:rsid w:val="0080553C"/>
    <w:rsid w:val="00805B46"/>
    <w:rsid w:val="00807D2B"/>
    <w:rsid w:val="00820461"/>
    <w:rsid w:val="00820B10"/>
    <w:rsid w:val="008243E6"/>
    <w:rsid w:val="0082498D"/>
    <w:rsid w:val="00825DC2"/>
    <w:rsid w:val="00831172"/>
    <w:rsid w:val="00834AD3"/>
    <w:rsid w:val="008362A4"/>
    <w:rsid w:val="00843795"/>
    <w:rsid w:val="00847F0F"/>
    <w:rsid w:val="00852448"/>
    <w:rsid w:val="00854143"/>
    <w:rsid w:val="00867A5A"/>
    <w:rsid w:val="0088258A"/>
    <w:rsid w:val="008832C4"/>
    <w:rsid w:val="00883763"/>
    <w:rsid w:val="00886332"/>
    <w:rsid w:val="008A1BFD"/>
    <w:rsid w:val="008A26D9"/>
    <w:rsid w:val="008A7FA1"/>
    <w:rsid w:val="008B0AF7"/>
    <w:rsid w:val="008B22DF"/>
    <w:rsid w:val="008B4AE0"/>
    <w:rsid w:val="008C0C29"/>
    <w:rsid w:val="008C7A01"/>
    <w:rsid w:val="008D368B"/>
    <w:rsid w:val="008E5CBF"/>
    <w:rsid w:val="008F3638"/>
    <w:rsid w:val="008F4441"/>
    <w:rsid w:val="008F6F31"/>
    <w:rsid w:val="008F74DF"/>
    <w:rsid w:val="009127BA"/>
    <w:rsid w:val="00916782"/>
    <w:rsid w:val="00917CCF"/>
    <w:rsid w:val="009227A6"/>
    <w:rsid w:val="00930ED9"/>
    <w:rsid w:val="00933B26"/>
    <w:rsid w:val="00933EC1"/>
    <w:rsid w:val="00942DCA"/>
    <w:rsid w:val="0094377F"/>
    <w:rsid w:val="009530DB"/>
    <w:rsid w:val="00953676"/>
    <w:rsid w:val="00964D8C"/>
    <w:rsid w:val="009705EE"/>
    <w:rsid w:val="00971217"/>
    <w:rsid w:val="00977927"/>
    <w:rsid w:val="0098135C"/>
    <w:rsid w:val="0098156A"/>
    <w:rsid w:val="00990133"/>
    <w:rsid w:val="00991BAC"/>
    <w:rsid w:val="009963D7"/>
    <w:rsid w:val="00997B59"/>
    <w:rsid w:val="009A6EA0"/>
    <w:rsid w:val="009B1399"/>
    <w:rsid w:val="009B746F"/>
    <w:rsid w:val="009B76FA"/>
    <w:rsid w:val="009C1335"/>
    <w:rsid w:val="009C1AB2"/>
    <w:rsid w:val="009C5407"/>
    <w:rsid w:val="009C7251"/>
    <w:rsid w:val="009E2E91"/>
    <w:rsid w:val="009E3BF4"/>
    <w:rsid w:val="009E3F12"/>
    <w:rsid w:val="009E3FA7"/>
    <w:rsid w:val="009E410D"/>
    <w:rsid w:val="009F5815"/>
    <w:rsid w:val="00A07F00"/>
    <w:rsid w:val="00A12435"/>
    <w:rsid w:val="00A139F5"/>
    <w:rsid w:val="00A2136A"/>
    <w:rsid w:val="00A25EC4"/>
    <w:rsid w:val="00A34C24"/>
    <w:rsid w:val="00A365F4"/>
    <w:rsid w:val="00A37CE0"/>
    <w:rsid w:val="00A459FF"/>
    <w:rsid w:val="00A460E6"/>
    <w:rsid w:val="00A46BD5"/>
    <w:rsid w:val="00A47937"/>
    <w:rsid w:val="00A47D80"/>
    <w:rsid w:val="00A51BB2"/>
    <w:rsid w:val="00A53132"/>
    <w:rsid w:val="00A55B73"/>
    <w:rsid w:val="00A563F2"/>
    <w:rsid w:val="00A566E8"/>
    <w:rsid w:val="00A578B3"/>
    <w:rsid w:val="00A810F9"/>
    <w:rsid w:val="00A86ECC"/>
    <w:rsid w:val="00A86FCC"/>
    <w:rsid w:val="00A93892"/>
    <w:rsid w:val="00AA13BD"/>
    <w:rsid w:val="00AA710D"/>
    <w:rsid w:val="00AB6D25"/>
    <w:rsid w:val="00AD0B46"/>
    <w:rsid w:val="00AD4947"/>
    <w:rsid w:val="00AE20FD"/>
    <w:rsid w:val="00AE2D4B"/>
    <w:rsid w:val="00AE3075"/>
    <w:rsid w:val="00AE4F99"/>
    <w:rsid w:val="00B01B13"/>
    <w:rsid w:val="00B05BC8"/>
    <w:rsid w:val="00B06265"/>
    <w:rsid w:val="00B11B69"/>
    <w:rsid w:val="00B14952"/>
    <w:rsid w:val="00B210CA"/>
    <w:rsid w:val="00B31E5A"/>
    <w:rsid w:val="00B322EC"/>
    <w:rsid w:val="00B37F5A"/>
    <w:rsid w:val="00B40DD0"/>
    <w:rsid w:val="00B5056F"/>
    <w:rsid w:val="00B50A80"/>
    <w:rsid w:val="00B609CE"/>
    <w:rsid w:val="00B653AB"/>
    <w:rsid w:val="00B65F9E"/>
    <w:rsid w:val="00B66B19"/>
    <w:rsid w:val="00B914E9"/>
    <w:rsid w:val="00B94737"/>
    <w:rsid w:val="00B94D9A"/>
    <w:rsid w:val="00B956EE"/>
    <w:rsid w:val="00B97152"/>
    <w:rsid w:val="00B97C47"/>
    <w:rsid w:val="00BA0B97"/>
    <w:rsid w:val="00BA1932"/>
    <w:rsid w:val="00BA2BA1"/>
    <w:rsid w:val="00BA3562"/>
    <w:rsid w:val="00BA5A42"/>
    <w:rsid w:val="00BB4773"/>
    <w:rsid w:val="00BB4F09"/>
    <w:rsid w:val="00BC1505"/>
    <w:rsid w:val="00BC17C7"/>
    <w:rsid w:val="00BC5E8D"/>
    <w:rsid w:val="00BD4CA6"/>
    <w:rsid w:val="00BD4E33"/>
    <w:rsid w:val="00BD71BA"/>
    <w:rsid w:val="00BE4B65"/>
    <w:rsid w:val="00C00EDA"/>
    <w:rsid w:val="00C02080"/>
    <w:rsid w:val="00C030DE"/>
    <w:rsid w:val="00C22105"/>
    <w:rsid w:val="00C23F3B"/>
    <w:rsid w:val="00C244B6"/>
    <w:rsid w:val="00C27D75"/>
    <w:rsid w:val="00C3702F"/>
    <w:rsid w:val="00C4500A"/>
    <w:rsid w:val="00C55C91"/>
    <w:rsid w:val="00C64A37"/>
    <w:rsid w:val="00C662A5"/>
    <w:rsid w:val="00C7158E"/>
    <w:rsid w:val="00C7250B"/>
    <w:rsid w:val="00C7346B"/>
    <w:rsid w:val="00C73B5E"/>
    <w:rsid w:val="00C77C0E"/>
    <w:rsid w:val="00C8000E"/>
    <w:rsid w:val="00C91687"/>
    <w:rsid w:val="00C924A8"/>
    <w:rsid w:val="00C945FE"/>
    <w:rsid w:val="00C950B4"/>
    <w:rsid w:val="00C96FAA"/>
    <w:rsid w:val="00C97A04"/>
    <w:rsid w:val="00CA107B"/>
    <w:rsid w:val="00CA484D"/>
    <w:rsid w:val="00CA4FB6"/>
    <w:rsid w:val="00CC739E"/>
    <w:rsid w:val="00CD1E2E"/>
    <w:rsid w:val="00CD58B7"/>
    <w:rsid w:val="00CE019A"/>
    <w:rsid w:val="00CF031B"/>
    <w:rsid w:val="00CF08EF"/>
    <w:rsid w:val="00CF4099"/>
    <w:rsid w:val="00D00796"/>
    <w:rsid w:val="00D02D2C"/>
    <w:rsid w:val="00D03312"/>
    <w:rsid w:val="00D11CF3"/>
    <w:rsid w:val="00D261A2"/>
    <w:rsid w:val="00D3627A"/>
    <w:rsid w:val="00D538E4"/>
    <w:rsid w:val="00D616D2"/>
    <w:rsid w:val="00D63B5F"/>
    <w:rsid w:val="00D7066F"/>
    <w:rsid w:val="00D70EF7"/>
    <w:rsid w:val="00D815F5"/>
    <w:rsid w:val="00D8397C"/>
    <w:rsid w:val="00D83F2F"/>
    <w:rsid w:val="00D84DE7"/>
    <w:rsid w:val="00D94EED"/>
    <w:rsid w:val="00D96026"/>
    <w:rsid w:val="00D97742"/>
    <w:rsid w:val="00DA0243"/>
    <w:rsid w:val="00DA433C"/>
    <w:rsid w:val="00DA5DA2"/>
    <w:rsid w:val="00DA7C1C"/>
    <w:rsid w:val="00DB147A"/>
    <w:rsid w:val="00DB1B7A"/>
    <w:rsid w:val="00DB51F0"/>
    <w:rsid w:val="00DB5680"/>
    <w:rsid w:val="00DB78DA"/>
    <w:rsid w:val="00DC6708"/>
    <w:rsid w:val="00DC7CFA"/>
    <w:rsid w:val="00DD2337"/>
    <w:rsid w:val="00DD4A41"/>
    <w:rsid w:val="00DE0AFD"/>
    <w:rsid w:val="00DE368C"/>
    <w:rsid w:val="00DE775D"/>
    <w:rsid w:val="00DF42D5"/>
    <w:rsid w:val="00DF712D"/>
    <w:rsid w:val="00E01436"/>
    <w:rsid w:val="00E045BD"/>
    <w:rsid w:val="00E1531F"/>
    <w:rsid w:val="00E17A9F"/>
    <w:rsid w:val="00E17B77"/>
    <w:rsid w:val="00E23337"/>
    <w:rsid w:val="00E259EA"/>
    <w:rsid w:val="00E27E85"/>
    <w:rsid w:val="00E30793"/>
    <w:rsid w:val="00E32061"/>
    <w:rsid w:val="00E37F13"/>
    <w:rsid w:val="00E41FCF"/>
    <w:rsid w:val="00E42FF9"/>
    <w:rsid w:val="00E4714C"/>
    <w:rsid w:val="00E51AEB"/>
    <w:rsid w:val="00E522A7"/>
    <w:rsid w:val="00E54452"/>
    <w:rsid w:val="00E664C5"/>
    <w:rsid w:val="00E671A2"/>
    <w:rsid w:val="00E76D26"/>
    <w:rsid w:val="00E95BE5"/>
    <w:rsid w:val="00EB02C9"/>
    <w:rsid w:val="00EB1390"/>
    <w:rsid w:val="00EB2C71"/>
    <w:rsid w:val="00EB4340"/>
    <w:rsid w:val="00EB556D"/>
    <w:rsid w:val="00EB5A7D"/>
    <w:rsid w:val="00EC3EB6"/>
    <w:rsid w:val="00ED55C0"/>
    <w:rsid w:val="00ED63E8"/>
    <w:rsid w:val="00ED682B"/>
    <w:rsid w:val="00EE41D5"/>
    <w:rsid w:val="00EE696D"/>
    <w:rsid w:val="00EF7B36"/>
    <w:rsid w:val="00F037A4"/>
    <w:rsid w:val="00F04C11"/>
    <w:rsid w:val="00F12FEC"/>
    <w:rsid w:val="00F26013"/>
    <w:rsid w:val="00F27610"/>
    <w:rsid w:val="00F27C8F"/>
    <w:rsid w:val="00F30A0C"/>
    <w:rsid w:val="00F32749"/>
    <w:rsid w:val="00F3314D"/>
    <w:rsid w:val="00F37172"/>
    <w:rsid w:val="00F4477E"/>
    <w:rsid w:val="00F455A2"/>
    <w:rsid w:val="00F45717"/>
    <w:rsid w:val="00F479EB"/>
    <w:rsid w:val="00F52335"/>
    <w:rsid w:val="00F65EEC"/>
    <w:rsid w:val="00F6637E"/>
    <w:rsid w:val="00F67D8F"/>
    <w:rsid w:val="00F739B3"/>
    <w:rsid w:val="00F74897"/>
    <w:rsid w:val="00F74B10"/>
    <w:rsid w:val="00F75C6D"/>
    <w:rsid w:val="00F80247"/>
    <w:rsid w:val="00F802BE"/>
    <w:rsid w:val="00F80E93"/>
    <w:rsid w:val="00F86024"/>
    <w:rsid w:val="00F8611A"/>
    <w:rsid w:val="00F86C02"/>
    <w:rsid w:val="00F90BB1"/>
    <w:rsid w:val="00F91C2B"/>
    <w:rsid w:val="00F92824"/>
    <w:rsid w:val="00F93CA3"/>
    <w:rsid w:val="00FA5128"/>
    <w:rsid w:val="00FB42D4"/>
    <w:rsid w:val="00FB5906"/>
    <w:rsid w:val="00FB762F"/>
    <w:rsid w:val="00FC143D"/>
    <w:rsid w:val="00FC2AED"/>
    <w:rsid w:val="00FC303F"/>
    <w:rsid w:val="00FD5EA7"/>
    <w:rsid w:val="00FD6659"/>
    <w:rsid w:val="00FF5D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96DF93-86D6-4482-AB4F-390C7739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nhideWhenUsed/>
    <w:qFormat/>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table" w:customStyle="1" w:styleId="Siatkatabelijasna11">
    <w:name w:val="Siatka tabeli — jasna11"/>
    <w:basedOn w:val="Standardowy"/>
    <w:uiPriority w:val="40"/>
    <w:rsid w:val="006851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dwoaniedokomentarza">
    <w:name w:val="annotation reference"/>
    <w:basedOn w:val="Domylnaczcionkaakapitu"/>
    <w:uiPriority w:val="99"/>
    <w:semiHidden/>
    <w:unhideWhenUsed/>
    <w:rsid w:val="00930ED9"/>
    <w:rPr>
      <w:sz w:val="16"/>
      <w:szCs w:val="16"/>
    </w:rPr>
  </w:style>
  <w:style w:type="paragraph" w:styleId="Tekstkomentarza">
    <w:name w:val="annotation text"/>
    <w:basedOn w:val="Normalny"/>
    <w:link w:val="TekstkomentarzaZnak"/>
    <w:uiPriority w:val="99"/>
    <w:semiHidden/>
    <w:unhideWhenUsed/>
    <w:rsid w:val="00930E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0ED9"/>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30ED9"/>
    <w:rPr>
      <w:b/>
      <w:bCs/>
    </w:rPr>
  </w:style>
  <w:style w:type="character" w:customStyle="1" w:styleId="TematkomentarzaZnak">
    <w:name w:val="Temat komentarza Znak"/>
    <w:basedOn w:val="TekstkomentarzaZnak"/>
    <w:link w:val="Tematkomentarza"/>
    <w:uiPriority w:val="99"/>
    <w:semiHidden/>
    <w:rsid w:val="00930ED9"/>
    <w:rPr>
      <w:rFonts w:ascii="Fira Sans" w:hAnsi="Fira Sans"/>
      <w:b/>
      <w:bCs/>
      <w:sz w:val="20"/>
      <w:szCs w:val="20"/>
    </w:rPr>
  </w:style>
  <w:style w:type="paragraph" w:styleId="NormalnyWeb">
    <w:name w:val="Normal (Web)"/>
    <w:basedOn w:val="Normalny"/>
    <w:uiPriority w:val="99"/>
    <w:semiHidden/>
    <w:unhideWhenUsed/>
    <w:rsid w:val="00A55B73"/>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UyteHipercze">
    <w:name w:val="FollowedHyperlink"/>
    <w:basedOn w:val="Domylnaczcionkaakapitu"/>
    <w:uiPriority w:val="99"/>
    <w:semiHidden/>
    <w:unhideWhenUsed/>
    <w:rsid w:val="004C46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676995">
      <w:bodyDiv w:val="1"/>
      <w:marLeft w:val="0"/>
      <w:marRight w:val="0"/>
      <w:marTop w:val="0"/>
      <w:marBottom w:val="0"/>
      <w:divBdr>
        <w:top w:val="none" w:sz="0" w:space="0" w:color="auto"/>
        <w:left w:val="none" w:sz="0" w:space="0" w:color="auto"/>
        <w:bottom w:val="none" w:sz="0" w:space="0" w:color="auto"/>
        <w:right w:val="none" w:sz="0" w:space="0" w:color="auto"/>
      </w:divBdr>
    </w:div>
    <w:div w:id="370309215">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11229171">
      <w:bodyDiv w:val="1"/>
      <w:marLeft w:val="0"/>
      <w:marRight w:val="0"/>
      <w:marTop w:val="0"/>
      <w:marBottom w:val="0"/>
      <w:divBdr>
        <w:top w:val="none" w:sz="0" w:space="0" w:color="auto"/>
        <w:left w:val="none" w:sz="0" w:space="0" w:color="auto"/>
        <w:bottom w:val="none" w:sz="0" w:space="0" w:color="auto"/>
        <w:right w:val="none" w:sz="0" w:space="0" w:color="auto"/>
      </w:divBdr>
    </w:div>
    <w:div w:id="765999945">
      <w:bodyDiv w:val="1"/>
      <w:marLeft w:val="0"/>
      <w:marRight w:val="0"/>
      <w:marTop w:val="0"/>
      <w:marBottom w:val="0"/>
      <w:divBdr>
        <w:top w:val="none" w:sz="0" w:space="0" w:color="auto"/>
        <w:left w:val="none" w:sz="0" w:space="0" w:color="auto"/>
        <w:bottom w:val="none" w:sz="0" w:space="0" w:color="auto"/>
        <w:right w:val="none" w:sz="0" w:space="0" w:color="auto"/>
      </w:divBdr>
    </w:div>
    <w:div w:id="1022586831">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87951454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footer" Target="footer1.xml"/><Relationship Id="rId26" Type="http://schemas.openxmlformats.org/officeDocument/2006/relationships/image" Target="media/image7.png"/><Relationship Id="rId39" Type="http://schemas.openxmlformats.org/officeDocument/2006/relationships/hyperlink" Target="http://swaid.stat.gov.pl/EN/SitePagesDBW/Ceny.aspx" TargetMode="External"/><Relationship Id="rId21" Type="http://schemas.openxmlformats.org/officeDocument/2006/relationships/hyperlink" Target="mailto:obslugaprasowa@stat.gov.pl" TargetMode="External"/><Relationship Id="rId34" Type="http://schemas.openxmlformats.org/officeDocument/2006/relationships/hyperlink" Target="http://stat.gov.pl/en/topics/prices-trade/prices/" TargetMode="External"/><Relationship Id="rId42" Type="http://schemas.openxmlformats.org/officeDocument/2006/relationships/hyperlink" Target="http://stat.gov.pl/en/topics/prices-trade/price-indices/" TargetMode="External"/><Relationship Id="rId47"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5.xml"/><Relationship Id="rId29" Type="http://schemas.openxmlformats.org/officeDocument/2006/relationships/hyperlink" Target="http://stat.gov.pl/en/latest-statistical-news/news-releases/" TargetMode="External"/><Relationship Id="rId11" Type="http://schemas.openxmlformats.org/officeDocument/2006/relationships/image" Target="media/image3.emf"/><Relationship Id="rId24" Type="http://schemas.openxmlformats.org/officeDocument/2006/relationships/image" Target="media/image6.png"/><Relationship Id="rId32" Type="http://schemas.openxmlformats.org/officeDocument/2006/relationships/hyperlink" Target="https://bdl.stat.gov.pl/BDL/start?lang=en" TargetMode="External"/><Relationship Id="rId37" Type="http://schemas.openxmlformats.org/officeDocument/2006/relationships/hyperlink" Target="http://stat.gov.pl/en/latest-statistical-news/communications-and-announcements/" TargetMode="External"/><Relationship Id="rId40" Type="http://schemas.openxmlformats.org/officeDocument/2006/relationships/hyperlink" Target="http://bdm.stat.gov.pl/" TargetMode="External"/><Relationship Id="rId45" Type="http://schemas.openxmlformats.org/officeDocument/2006/relationships/hyperlink" Target="http://stat.gov.pl/en/metainformations/glossary/terms-used-in-official-statistics/32,term.html" TargetMode="Externa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hyperlink" Target="https://stat.gov.pl/en/" TargetMode="External"/><Relationship Id="rId28" Type="http://schemas.openxmlformats.org/officeDocument/2006/relationships/hyperlink" Target="http://stat.gov.pl/en/latest-statistical-news/communications-and-announcements/" TargetMode="External"/><Relationship Id="rId36" Type="http://schemas.openxmlformats.org/officeDocument/2006/relationships/hyperlink" Target="http://stat.gov.pl/en/metainformations/glossary/terms-used-in-official-statistics/32,term.htm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bdm.stat.gov.pl/" TargetMode="External"/><Relationship Id="rId44" Type="http://schemas.openxmlformats.org/officeDocument/2006/relationships/hyperlink" Target="http://stat.gov.pl/en/metainformations/glossary/terms-used-in-official-statistics/711,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image" Target="media/image5.png"/><Relationship Id="rId27" Type="http://schemas.openxmlformats.org/officeDocument/2006/relationships/hyperlink" Target="https://www.facebook.com/GlownyUrzadStatystyczny/" TargetMode="External"/><Relationship Id="rId30" Type="http://schemas.openxmlformats.org/officeDocument/2006/relationships/hyperlink" Target="http://swaid.stat.gov.pl/EN/SitePagesDBW/Ceny.aspx" TargetMode="External"/><Relationship Id="rId35" Type="http://schemas.openxmlformats.org/officeDocument/2006/relationships/hyperlink" Target="http://stat.gov.pl/en/metainformations/glossary/terms-used-in-official-statistics/711,term.html" TargetMode="External"/><Relationship Id="rId43" Type="http://schemas.openxmlformats.org/officeDocument/2006/relationships/hyperlink" Target="http://stat.gov.pl/en/topics/prices-trade/prices/"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header" Target="header1.xml"/><Relationship Id="rId25" Type="http://schemas.openxmlformats.org/officeDocument/2006/relationships/hyperlink" Target="https://twitter.com/StatPoland" TargetMode="External"/><Relationship Id="rId33" Type="http://schemas.openxmlformats.org/officeDocument/2006/relationships/hyperlink" Target="http://stat.gov.pl/en/topics/prices-trade/price-indices/" TargetMode="External"/><Relationship Id="rId38" Type="http://schemas.openxmlformats.org/officeDocument/2006/relationships/hyperlink" Target="http://stat.gov.pl/en/latest-statistical-news/news-releases/" TargetMode="External"/><Relationship Id="rId46" Type="http://schemas.openxmlformats.org/officeDocument/2006/relationships/header" Target="header3.xml"/><Relationship Id="rId20" Type="http://schemas.openxmlformats.org/officeDocument/2006/relationships/footer" Target="footer2.xml"/><Relationship Id="rId41" Type="http://schemas.openxmlformats.org/officeDocument/2006/relationships/hyperlink" Target="https://bdl.stat.gov.pl/BDL/start?lang=en"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stat.gov.pl/obszary-tematyczne/ceny-handel/wskazniki-cen/wytyczne-dotyczace-opracowania-hicp-w-kontekscie-kryzysu-zwiazanego-z-covid-19,19,1.html" TargetMode="External"/><Relationship Id="rId1" Type="http://schemas.openxmlformats.org/officeDocument/2006/relationships/hyperlink" Target="https://ec.europa.eu/eurostat/documents/10186/10693286/HICP_guidanc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9925199093703029"/>
          <c:y val="5.3855340776704272E-2"/>
          <c:w val="0.52658061332077077"/>
          <c:h val="0.790936210405628"/>
        </c:manualLayout>
      </c:layout>
      <c:barChart>
        <c:barDir val="bar"/>
        <c:grouping val="clustered"/>
        <c:varyColors val="0"/>
        <c:ser>
          <c:idx val="0"/>
          <c:order val="0"/>
          <c:spPr>
            <a:solidFill>
              <a:srgbClr val="334A92"/>
            </a:solidFill>
            <a:ln>
              <a:noFill/>
            </a:ln>
          </c:spPr>
          <c:invertIfNegative val="0"/>
          <c:dLbls>
            <c:dLbl>
              <c:idx val="0"/>
              <c:layout>
                <c:manualLayout>
                  <c:x val="-7.4279464360269484E-3"/>
                  <c:y val="9.1515413165415541E-4"/>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7.4383161526452015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7.4383161526452015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4.9547682090712985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4.9508571160382193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4.9588774350967924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4.9588774350967924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7"/>
              <c:layout>
                <c:manualLayout>
                  <c:x val="-4.9588774350968982E-3"/>
                  <c:y val="-3.9935070083662775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8"/>
              <c:layout>
                <c:manualLayout>
                  <c:x val="-4.948386428271628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9"/>
              <c:layout>
                <c:manualLayout>
                  <c:x val="-5.0098184276168717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0"/>
              <c:layout>
                <c:manualLayout>
                  <c:x val="-6.9129952044939755E-3"/>
                  <c:y val="-3.4169516067158572E-4"/>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latin typeface="Fira Sans" pitchFamily="34" charset="0"/>
                    <a:ea typeface="Fira Sans"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WPŁYWY!$A$90:$A$96</c:f>
              <c:strCache>
                <c:ptCount val="7"/>
                <c:pt idx="0">
                  <c:v>Fuels for personal transport equipment</c:v>
                </c:pt>
                <c:pt idx="1">
                  <c:v>Package holidays</c:v>
                </c:pt>
                <c:pt idx="2">
                  <c:v>Fruit</c:v>
                </c:pt>
                <c:pt idx="3">
                  <c:v>Catering services</c:v>
                </c:pt>
                <c:pt idx="4">
                  <c:v>Refuse collection</c:v>
                </c:pt>
                <c:pt idx="5">
                  <c:v>Garments</c:v>
                </c:pt>
                <c:pt idx="6">
                  <c:v>Meat</c:v>
                </c:pt>
              </c:strCache>
            </c:strRef>
          </c:cat>
          <c:val>
            <c:numRef>
              <c:f>WPŁYWY!$C$90:$C$96</c:f>
              <c:numCache>
                <c:formatCode>0.00</c:formatCode>
                <c:ptCount val="7"/>
                <c:pt idx="0">
                  <c:v>-0.25</c:v>
                </c:pt>
                <c:pt idx="1">
                  <c:v>-7.0000000000000007E-2</c:v>
                </c:pt>
                <c:pt idx="2">
                  <c:v>0.03</c:v>
                </c:pt>
                <c:pt idx="3">
                  <c:v>0.03</c:v>
                </c:pt>
                <c:pt idx="4">
                  <c:v>0.05</c:v>
                </c:pt>
                <c:pt idx="5">
                  <c:v>0.09</c:v>
                </c:pt>
                <c:pt idx="6">
                  <c:v>0.13</c:v>
                </c:pt>
              </c:numCache>
            </c:numRef>
          </c:val>
        </c:ser>
        <c:dLbls>
          <c:showLegendKey val="0"/>
          <c:showVal val="0"/>
          <c:showCatName val="0"/>
          <c:showSerName val="0"/>
          <c:showPercent val="0"/>
          <c:showBubbleSize val="0"/>
        </c:dLbls>
        <c:gapWidth val="150"/>
        <c:axId val="1097020336"/>
        <c:axId val="1097015440"/>
      </c:barChart>
      <c:catAx>
        <c:axId val="1097020336"/>
        <c:scaling>
          <c:orientation val="minMax"/>
        </c:scaling>
        <c:delete val="0"/>
        <c:axPos val="l"/>
        <c:numFmt formatCode="@" sourceLinked="0"/>
        <c:majorTickMark val="none"/>
        <c:minorTickMark val="none"/>
        <c:tickLblPos val="low"/>
        <c:spPr>
          <a:noFill/>
          <a:ln w="6350">
            <a:solidFill>
              <a:schemeClr val="bg1">
                <a:lumMod val="50000"/>
              </a:schemeClr>
            </a:solidFill>
          </a:ln>
        </c:spPr>
        <c:txPr>
          <a:bodyPr/>
          <a:lstStyle/>
          <a:p>
            <a:pPr>
              <a:defRPr sz="800">
                <a:latin typeface="Fira Sans" pitchFamily="34" charset="0"/>
                <a:ea typeface="Fira Sans" pitchFamily="34" charset="0"/>
              </a:defRPr>
            </a:pPr>
            <a:endParaRPr lang="pl-PL"/>
          </a:p>
        </c:txPr>
        <c:crossAx val="1097015440"/>
        <c:crossesAt val="0"/>
        <c:auto val="1"/>
        <c:lblAlgn val="ctr"/>
        <c:lblOffset val="100"/>
        <c:tickMarkSkip val="1"/>
        <c:noMultiLvlLbl val="0"/>
      </c:catAx>
      <c:valAx>
        <c:axId val="1097015440"/>
        <c:scaling>
          <c:orientation val="minMax"/>
          <c:max val="0.15000000000000002"/>
          <c:min val="-0.30000000000000004"/>
        </c:scaling>
        <c:delete val="0"/>
        <c:axPos val="b"/>
        <c:majorGridlines>
          <c:spPr>
            <a:ln w="3175">
              <a:solidFill>
                <a:srgbClr val="C0C0C0"/>
              </a:solidFill>
              <a:prstDash val="sysDot"/>
            </a:ln>
          </c:spPr>
        </c:majorGridlines>
        <c:numFmt formatCode="0.00" sourceLinked="1"/>
        <c:majorTickMark val="out"/>
        <c:minorTickMark val="none"/>
        <c:tickLblPos val="nextTo"/>
        <c:spPr>
          <a:ln w="6350">
            <a:noFill/>
          </a:ln>
        </c:spPr>
        <c:txPr>
          <a:bodyPr/>
          <a:lstStyle/>
          <a:p>
            <a:pPr>
              <a:defRPr sz="800">
                <a:latin typeface="Fira Sans" pitchFamily="34" charset="0"/>
                <a:ea typeface="Fira Sans" pitchFamily="34" charset="0"/>
              </a:defRPr>
            </a:pPr>
            <a:endParaRPr lang="pl-PL"/>
          </a:p>
        </c:txPr>
        <c:crossAx val="1097020336"/>
        <c:crosses val="autoZero"/>
        <c:crossBetween val="between"/>
        <c:majorUnit val="5.000000000000001E-2"/>
      </c:valAx>
      <c:spPr>
        <a:noFill/>
        <a:ln>
          <a:noFill/>
        </a:ln>
      </c:spPr>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2863205691702072"/>
          <c:y val="4.5267504380125223E-2"/>
          <c:w val="0.51626076491275064"/>
          <c:h val="0.87851429841506423"/>
        </c:manualLayout>
      </c:layout>
      <c:barChart>
        <c:barDir val="bar"/>
        <c:grouping val="clustered"/>
        <c:varyColors val="0"/>
        <c:ser>
          <c:idx val="0"/>
          <c:order val="0"/>
          <c:spPr>
            <a:solidFill>
              <a:srgbClr val="334A92"/>
            </a:solidFill>
          </c:spPr>
          <c:invertIfNegative val="0"/>
          <c:dLbls>
            <c:numFmt formatCode="#,##0.00" sourceLinked="0"/>
            <c:spPr>
              <a:noFill/>
              <a:ln>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'SYSTEM WAG'!$B$2:$B$13</c:f>
              <c:strCache>
                <c:ptCount val="12"/>
                <c:pt idx="0">
                  <c:v>Miscellaneous goods and services</c:v>
                </c:pt>
                <c:pt idx="1">
                  <c:v>Restaurants and hotels</c:v>
                </c:pt>
                <c:pt idx="2">
                  <c:v>Education</c:v>
                </c:pt>
                <c:pt idx="3">
                  <c:v>Recreation and culture</c:v>
                </c:pt>
                <c:pt idx="4">
                  <c:v>Communication</c:v>
                </c:pt>
                <c:pt idx="5">
                  <c:v>Transport</c:v>
                </c:pt>
                <c:pt idx="6">
                  <c:v>Health</c:v>
                </c:pt>
                <c:pt idx="7">
                  <c:v>Furnishings, household equipment and routine household maintenance</c:v>
                </c:pt>
                <c:pt idx="8">
                  <c:v>Housing, water, electricity, gas 
and other fuels</c:v>
                </c:pt>
                <c:pt idx="9">
                  <c:v>Clothing and footwear</c:v>
                </c:pt>
                <c:pt idx="10">
                  <c:v>Alcoholic beverages and tobacco</c:v>
                </c:pt>
                <c:pt idx="11">
                  <c:v>Food and non-alcoholic beverages</c:v>
                </c:pt>
              </c:strCache>
            </c:strRef>
          </c:cat>
          <c:val>
            <c:numRef>
              <c:f>'SYSTEM WAG'!$H$2:$H$13</c:f>
              <c:numCache>
                <c:formatCode>0.00</c:formatCode>
                <c:ptCount val="12"/>
                <c:pt idx="0">
                  <c:v>5.72</c:v>
                </c:pt>
                <c:pt idx="1">
                  <c:v>6.12</c:v>
                </c:pt>
                <c:pt idx="2">
                  <c:v>1.1499999999999999</c:v>
                </c:pt>
                <c:pt idx="3">
                  <c:v>6.62</c:v>
                </c:pt>
                <c:pt idx="4">
                  <c:v>4.54</c:v>
                </c:pt>
                <c:pt idx="5">
                  <c:v>9.89</c:v>
                </c:pt>
                <c:pt idx="6">
                  <c:v>5.29</c:v>
                </c:pt>
                <c:pt idx="7">
                  <c:v>5.8</c:v>
                </c:pt>
                <c:pt idx="8">
                  <c:v>18.440000000000001</c:v>
                </c:pt>
                <c:pt idx="9">
                  <c:v>4.9400000000000004</c:v>
                </c:pt>
                <c:pt idx="10">
                  <c:v>6.25</c:v>
                </c:pt>
                <c:pt idx="11">
                  <c:v>25.24</c:v>
                </c:pt>
              </c:numCache>
            </c:numRef>
          </c:val>
        </c:ser>
        <c:dLbls>
          <c:showLegendKey val="0"/>
          <c:showVal val="1"/>
          <c:showCatName val="0"/>
          <c:showSerName val="0"/>
          <c:showPercent val="0"/>
          <c:showBubbleSize val="0"/>
        </c:dLbls>
        <c:gapWidth val="150"/>
        <c:axId val="931714544"/>
        <c:axId val="931715088"/>
      </c:barChart>
      <c:catAx>
        <c:axId val="931714544"/>
        <c:scaling>
          <c:orientation val="minMax"/>
        </c:scaling>
        <c:delete val="0"/>
        <c:axPos val="l"/>
        <c:numFmt formatCode="General" sourceLinked="1"/>
        <c:majorTickMark val="none"/>
        <c:minorTickMark val="none"/>
        <c:tickLblPos val="nextTo"/>
        <c:spPr>
          <a:ln>
            <a:solidFill>
              <a:schemeClr val="bg1">
                <a:lumMod val="50000"/>
              </a:schemeClr>
            </a:solidFill>
          </a:ln>
        </c:spPr>
        <c:txPr>
          <a:bodyPr rot="0" vert="horz"/>
          <a:lstStyle/>
          <a:p>
            <a:pPr algn="r">
              <a:defRPr sz="800"/>
            </a:pPr>
            <a:endParaRPr lang="pl-PL"/>
          </a:p>
        </c:txPr>
        <c:crossAx val="931715088"/>
        <c:crosses val="autoZero"/>
        <c:auto val="0"/>
        <c:lblAlgn val="ctr"/>
        <c:lblOffset val="100"/>
        <c:noMultiLvlLbl val="0"/>
      </c:catAx>
      <c:valAx>
        <c:axId val="931715088"/>
        <c:scaling>
          <c:orientation val="minMax"/>
        </c:scaling>
        <c:delete val="0"/>
        <c:axPos val="b"/>
        <c:majorGridlines>
          <c:spPr>
            <a:ln w="3175">
              <a:solidFill>
                <a:srgbClr val="B2B2B2"/>
              </a:solidFill>
              <a:prstDash val="sysDot"/>
            </a:ln>
          </c:spPr>
        </c:majorGridlines>
        <c:title>
          <c:tx>
            <c:rich>
              <a:bodyPr anchor="b" anchorCtr="1"/>
              <a:lstStyle/>
              <a:p>
                <a:pPr algn="r">
                  <a:defRPr/>
                </a:pPr>
                <a:r>
                  <a:rPr lang="pl-PL" b="0"/>
                  <a:t>%</a:t>
                </a:r>
              </a:p>
            </c:rich>
          </c:tx>
          <c:layout>
            <c:manualLayout>
              <c:xMode val="edge"/>
              <c:yMode val="edge"/>
              <c:x val="0.96046223117610507"/>
              <c:y val="0.93581559052340313"/>
            </c:manualLayout>
          </c:layout>
          <c:overlay val="0"/>
          <c:spPr>
            <a:noFill/>
            <a:ln>
              <a:noFill/>
            </a:ln>
          </c:spPr>
        </c:title>
        <c:numFmt formatCode="#,##0" sourceLinked="0"/>
        <c:majorTickMark val="out"/>
        <c:minorTickMark val="none"/>
        <c:tickLblPos val="nextTo"/>
        <c:spPr>
          <a:noFill/>
          <a:ln w="6350">
            <a:noFill/>
            <a:prstDash val="sysDot"/>
          </a:ln>
        </c:spPr>
        <c:crossAx val="931714544"/>
        <c:crosses val="autoZero"/>
        <c:crossBetween val="between"/>
      </c:valAx>
      <c:spPr>
        <a:noFill/>
        <a:ln w="25400">
          <a:noFill/>
        </a:ln>
      </c:spPr>
    </c:plotArea>
    <c:plotVisOnly val="1"/>
    <c:dispBlanksAs val="gap"/>
    <c:showDLblsOverMax val="0"/>
  </c:chart>
  <c:spPr>
    <a:noFill/>
    <a:ln>
      <a:noFill/>
    </a:ln>
  </c:spPr>
  <c:txPr>
    <a:bodyPr/>
    <a:lstStyle/>
    <a:p>
      <a:pPr>
        <a:defRPr sz="800">
          <a:latin typeface="Fira Sans" pitchFamily="34" charset="0"/>
          <a:ea typeface="Fira Sans" pitchFamily="34" charset="0"/>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187331061229512E-2"/>
          <c:y val="4.8511576626240394E-2"/>
          <c:w val="0.85896472395921109"/>
          <c:h val="0.81880214256569661"/>
        </c:manualLayout>
      </c:layout>
      <c:lineChart>
        <c:grouping val="standard"/>
        <c:varyColors val="0"/>
        <c:ser>
          <c:idx val="0"/>
          <c:order val="0"/>
          <c:spPr>
            <a:ln w="22225">
              <a:solidFill>
                <a:srgbClr val="001D77"/>
              </a:solidFill>
            </a:ln>
          </c:spPr>
          <c:marker>
            <c:symbol val="diamond"/>
            <c:size val="6"/>
            <c:spPr>
              <a:solidFill>
                <a:srgbClr val="001D77"/>
              </a:solidFill>
              <a:ln>
                <a:noFill/>
              </a:ln>
            </c:spPr>
          </c:marker>
          <c:dPt>
            <c:idx val="24"/>
            <c:bubble3D val="0"/>
          </c:dPt>
          <c:dPt>
            <c:idx val="25"/>
            <c:bubble3D val="0"/>
          </c:dPt>
          <c:dLbls>
            <c:dLbl>
              <c:idx val="0"/>
              <c:layout>
                <c:manualLayout>
                  <c:x val="-9.3315604743701291E-3"/>
                  <c:y val="-1.791208578881267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3.3468604754157208E-2"/>
                  <c:y val="4.021265703146527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1.4886190088169113E-2"/>
                  <c:y val="2.093773104805799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7.8495937741364652E-3"/>
                  <c:y val="-9.7246642836440918E-3"/>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1.7181740856251772E-2"/>
                  <c:y val="-2.95990725533764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7.7604453834405965E-3"/>
                  <c:y val="-7.3843199385472177E-3"/>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4247716857724923E-2"/>
                  <c:y val="4.1073918008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2.1811489264836222E-2"/>
                  <c:y val="4.154522350127074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5.5603517024352331E-2"/>
                  <c:y val="-2.981412268899188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3.5270582150507206E-2"/>
                  <c:y val="-4.421105189879494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5.1731372759891675E-2"/>
                  <c:y val="4.548507390590281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4.4538584124439055E-2"/>
                  <c:y val="4.397797314269152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3.5493402701699026E-2"/>
                  <c:y val="5.112353798290867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4.0157504135215447E-2"/>
                  <c:y val="-4.297201017811704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8.8512639853230348E-3"/>
                  <c:y val="2.5045849536703634E-3"/>
                </c:manualLayout>
              </c:layout>
              <c:dLblPos val="r"/>
              <c:showLegendKey val="0"/>
              <c:showVal val="1"/>
              <c:showCatName val="0"/>
              <c:showSerName val="0"/>
              <c:showPercent val="0"/>
              <c:showBubbleSize val="0"/>
              <c:extLst>
                <c:ext xmlns:c15="http://schemas.microsoft.com/office/drawing/2012/chart" uri="{CE6537A1-D6FC-4f65-9D91-7224C49458BB}"/>
              </c:extLst>
            </c:dLbl>
            <c:dLbl>
              <c:idx val="15"/>
              <c:layout>
                <c:manualLayout>
                  <c:x val="-1.508219035579088E-2"/>
                  <c:y val="-2.597255942634520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6"/>
              <c:layout>
                <c:manualLayout>
                  <c:x val="-3.5976911103846362E-2"/>
                  <c:y val="4.17560132507561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7"/>
              <c:layout>
                <c:manualLayout>
                  <c:x val="-6.7581122962760186E-3"/>
                  <c:y val="-8.6438025311564096E-3"/>
                </c:manualLayout>
              </c:layout>
              <c:dLblPos val="r"/>
              <c:showLegendKey val="0"/>
              <c:showVal val="1"/>
              <c:showCatName val="0"/>
              <c:showSerName val="0"/>
              <c:showPercent val="0"/>
              <c:showBubbleSize val="0"/>
              <c:extLst>
                <c:ext xmlns:c15="http://schemas.microsoft.com/office/drawing/2012/chart" uri="{CE6537A1-D6FC-4f65-9D91-7224C49458BB}"/>
              </c:extLst>
            </c:dLbl>
            <c:dLbl>
              <c:idx val="18"/>
              <c:layout>
                <c:manualLayout>
                  <c:x val="-3.9165316280444451E-2"/>
                  <c:y val="4.09453217926033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9"/>
              <c:layout>
                <c:manualLayout>
                  <c:x val="-3.8587335297959095E-2"/>
                  <c:y val="4.046583700432718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0"/>
              <c:layout>
                <c:manualLayout>
                  <c:x val="-3.8013274159369878E-2"/>
                  <c:y val="4.069041081642036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1"/>
              <c:layout>
                <c:manualLayout>
                  <c:x val="-6.000355377514182E-2"/>
                  <c:y val="-2.898044871959397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2"/>
              <c:layout>
                <c:manualLayout>
                  <c:x val="-5.4348846744937977E-3"/>
                  <c:y val="-2.445543991355286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3"/>
              <c:layout>
                <c:manualLayout>
                  <c:x val="-6.4792085838631178E-2"/>
                  <c:y val="-3.530052226428100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4"/>
              <c:layout>
                <c:manualLayout>
                  <c:x val="-3.7605135728431861E-2"/>
                  <c:y val="-5.166541045913049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5"/>
              <c:layout>
                <c:manualLayout>
                  <c:x val="-5.8404562575829003E-3"/>
                  <c:y val="-4.4569976105328993E-3"/>
                </c:manualLayout>
              </c:layout>
              <c:tx>
                <c:rich>
                  <a:bodyPr anchor="t" anchorCtr="0"/>
                  <a:lstStyle/>
                  <a:p>
                    <a:pPr>
                      <a:defRPr sz="1000">
                        <a:latin typeface="Fira Sans" pitchFamily="34" charset="0"/>
                        <a:ea typeface="Fira Sans" pitchFamily="34" charset="0"/>
                      </a:defRPr>
                    </a:pPr>
                    <a:r>
                      <a:rPr lang="en-US" sz="800"/>
                      <a:t>0,7</a:t>
                    </a:r>
                  </a:p>
                </c:rich>
              </c:tx>
              <c:spPr/>
              <c:dLblPos val="r"/>
              <c:showLegendKey val="0"/>
              <c:showVal val="1"/>
              <c:showCatName val="0"/>
              <c:showSerName val="0"/>
              <c:showPercent val="0"/>
              <c:showBubbleSize val="0"/>
              <c:extLst>
                <c:ext xmlns:c15="http://schemas.microsoft.com/office/drawing/2012/chart" uri="{CE6537A1-D6FC-4f65-9D91-7224C49458BB}"/>
              </c:extLst>
            </c:dLbl>
            <c:dLbl>
              <c:idx val="26"/>
              <c:layout>
                <c:manualLayout>
                  <c:x val="-6.1754352826207557E-3"/>
                  <c:y val="1.7697130373666157E-3"/>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nchor="t" anchorCtr="0"/>
              <a:lstStyle/>
              <a:p>
                <a:pPr>
                  <a:defRPr sz="800">
                    <a:latin typeface="Fira Sans" pitchFamily="34" charset="0"/>
                    <a:ea typeface="Fira Sans" pitchFamily="34" charset="0"/>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'M-1'!$B$26:$B$52</c:f>
              <c:strCache>
                <c:ptCount val="27"/>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strCache>
            </c:strRef>
          </c:cat>
          <c:val>
            <c:numRef>
              <c:f>'M-1'!$C$26:$C$52</c:f>
              <c:numCache>
                <c:formatCode>0.0</c:formatCode>
                <c:ptCount val="27"/>
                <c:pt idx="0">
                  <c:v>0.29999999999999716</c:v>
                </c:pt>
                <c:pt idx="1">
                  <c:v>-0.2</c:v>
                </c:pt>
                <c:pt idx="2">
                  <c:v>-0.1</c:v>
                </c:pt>
                <c:pt idx="3">
                  <c:v>0.5</c:v>
                </c:pt>
                <c:pt idx="4">
                  <c:v>0.2</c:v>
                </c:pt>
                <c:pt idx="5">
                  <c:v>0.1</c:v>
                </c:pt>
                <c:pt idx="6">
                  <c:v>-0.2</c:v>
                </c:pt>
                <c:pt idx="7">
                  <c:v>0</c:v>
                </c:pt>
                <c:pt idx="8">
                  <c:v>0.2</c:v>
                </c:pt>
                <c:pt idx="9">
                  <c:v>0.4</c:v>
                </c:pt>
                <c:pt idx="10">
                  <c:v>0</c:v>
                </c:pt>
                <c:pt idx="11">
                  <c:v>0</c:v>
                </c:pt>
                <c:pt idx="12">
                  <c:v>-0.2</c:v>
                </c:pt>
                <c:pt idx="13">
                  <c:v>0.4</c:v>
                </c:pt>
                <c:pt idx="14">
                  <c:v>0.3</c:v>
                </c:pt>
                <c:pt idx="15">
                  <c:v>1.1000000000000001</c:v>
                </c:pt>
                <c:pt idx="16">
                  <c:v>0.2</c:v>
                </c:pt>
                <c:pt idx="17">
                  <c:v>0.3</c:v>
                </c:pt>
                <c:pt idx="18">
                  <c:v>0</c:v>
                </c:pt>
                <c:pt idx="19">
                  <c:v>0</c:v>
                </c:pt>
                <c:pt idx="20">
                  <c:v>0</c:v>
                </c:pt>
                <c:pt idx="21">
                  <c:v>0.2</c:v>
                </c:pt>
                <c:pt idx="22">
                  <c:v>0.1</c:v>
                </c:pt>
                <c:pt idx="23">
                  <c:v>0.8</c:v>
                </c:pt>
                <c:pt idx="24">
                  <c:v>0.9</c:v>
                </c:pt>
                <c:pt idx="25">
                  <c:v>0.7</c:v>
                </c:pt>
                <c:pt idx="26">
                  <c:v>0.2</c:v>
                </c:pt>
              </c:numCache>
            </c:numRef>
          </c:val>
          <c:smooth val="0"/>
        </c:ser>
        <c:dLbls>
          <c:showLegendKey val="0"/>
          <c:showVal val="0"/>
          <c:showCatName val="0"/>
          <c:showSerName val="0"/>
          <c:showPercent val="0"/>
          <c:showBubbleSize val="0"/>
        </c:dLbls>
        <c:marker val="1"/>
        <c:smooth val="0"/>
        <c:axId val="1247430144"/>
        <c:axId val="1247426880"/>
      </c:lineChart>
      <c:dateAx>
        <c:axId val="1247430144"/>
        <c:scaling>
          <c:orientation val="minMax"/>
        </c:scaling>
        <c:delete val="0"/>
        <c:axPos val="b"/>
        <c:numFmt formatCode="[$-415]mmmmm;@" sourceLinked="0"/>
        <c:majorTickMark val="out"/>
        <c:minorTickMark val="none"/>
        <c:tickLblPos val="low"/>
        <c:spPr>
          <a:ln w="6350">
            <a:solidFill>
              <a:schemeClr val="bg1">
                <a:lumMod val="50000"/>
              </a:schemeClr>
            </a:solidFill>
          </a:ln>
        </c:spPr>
        <c:txPr>
          <a:bodyPr/>
          <a:lstStyle/>
          <a:p>
            <a:pPr>
              <a:defRPr sz="800">
                <a:latin typeface="Fira Sans" pitchFamily="34" charset="0"/>
                <a:ea typeface="Fira Sans" pitchFamily="34" charset="0"/>
              </a:defRPr>
            </a:pPr>
            <a:endParaRPr lang="pl-PL"/>
          </a:p>
        </c:txPr>
        <c:crossAx val="1247426880"/>
        <c:crossesAt val="0"/>
        <c:auto val="0"/>
        <c:lblOffset val="100"/>
        <c:baseTimeUnit val="days"/>
      </c:dateAx>
      <c:valAx>
        <c:axId val="1247426880"/>
        <c:scaling>
          <c:orientation val="minMax"/>
          <c:max val="1.2000000000000011"/>
          <c:min val="-0.60000000000000064"/>
        </c:scaling>
        <c:delete val="0"/>
        <c:axPos val="l"/>
        <c:majorGridlines>
          <c:spPr>
            <a:ln w="3175">
              <a:solidFill>
                <a:schemeClr val="bg1">
                  <a:lumMod val="50000"/>
                </a:schemeClr>
              </a:solidFill>
              <a:prstDash val="sysDot"/>
            </a:ln>
          </c:spPr>
        </c:majorGridlines>
        <c:numFmt formatCode="0.0" sourceLinked="1"/>
        <c:majorTickMark val="out"/>
        <c:minorTickMark val="none"/>
        <c:tickLblPos val="nextTo"/>
        <c:spPr>
          <a:ln>
            <a:noFill/>
          </a:ln>
        </c:spPr>
        <c:txPr>
          <a:bodyPr/>
          <a:lstStyle/>
          <a:p>
            <a:pPr>
              <a:defRPr sz="800">
                <a:latin typeface="Fira Sans" pitchFamily="34" charset="0"/>
                <a:ea typeface="Fira Sans" pitchFamily="34" charset="0"/>
              </a:defRPr>
            </a:pPr>
            <a:endParaRPr lang="pl-PL"/>
          </a:p>
        </c:txPr>
        <c:crossAx val="1247430144"/>
        <c:crossesAt val="1"/>
        <c:crossBetween val="between"/>
      </c:valAx>
      <c:spPr>
        <a:noFill/>
        <a:ln>
          <a:noFill/>
        </a:ln>
      </c:spPr>
    </c:plotArea>
    <c:plotVisOnly val="1"/>
    <c:dispBlanksAs val="gap"/>
    <c:showDLblsOverMax val="0"/>
  </c:chart>
  <c:spPr>
    <a:noFill/>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187331061229512E-2"/>
          <c:y val="4.8511576626240394E-2"/>
          <c:w val="0.85896472395921109"/>
          <c:h val="0.81880214256569661"/>
        </c:manualLayout>
      </c:layout>
      <c:lineChart>
        <c:grouping val="standard"/>
        <c:varyColors val="0"/>
        <c:ser>
          <c:idx val="0"/>
          <c:order val="0"/>
          <c:spPr>
            <a:ln w="22225">
              <a:solidFill>
                <a:srgbClr val="001D77"/>
              </a:solidFill>
            </a:ln>
          </c:spPr>
          <c:marker>
            <c:symbol val="diamond"/>
            <c:size val="6"/>
            <c:spPr>
              <a:solidFill>
                <a:srgbClr val="001D77"/>
              </a:solidFill>
              <a:ln>
                <a:noFill/>
              </a:ln>
            </c:spPr>
          </c:marker>
          <c:dPt>
            <c:idx val="27"/>
            <c:marker>
              <c:symbol val="diamond"/>
              <c:size val="8"/>
              <c:spPr>
                <a:solidFill>
                  <a:srgbClr val="008542"/>
                </a:solidFill>
                <a:ln>
                  <a:noFill/>
                </a:ln>
              </c:spPr>
            </c:marker>
            <c:bubble3D val="0"/>
          </c:dPt>
          <c:dLbls>
            <c:dLbl>
              <c:idx val="0"/>
              <c:layout>
                <c:manualLayout>
                  <c:x val="-3.6712576468564982E-2"/>
                  <c:y val="-5.030812214701715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3.848856233161891E-2"/>
                  <c:y val="3.891486426086787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70225814352192E-2"/>
                  <c:y val="3.894090440933558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0186333578251285E-2"/>
                  <c:y val="-4.044967838473347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2107876545614117E-2"/>
                  <c:y val="-3.989099637966329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7613921579997982E-2"/>
                  <c:y val="-4.013104682864104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4265991626910811E-2"/>
                  <c:y val="-4.140957028175665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3.1682141402658591E-2"/>
                  <c:y val="-4.134083804511750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3.0799351293540451E-2"/>
                  <c:y val="-4.291460421342112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2.5253558114982807E-2"/>
                  <c:y val="-3.631252078157742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3.4620811718631676E-2"/>
                  <c:y val="3.82548056520349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3.4580698055750758E-2"/>
                  <c:y val="5.327970679012345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2.5632525104090129E-2"/>
                  <c:y val="3.845430342602848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1.2979867744305566E-2"/>
                  <c:y val="1.808624341708933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8.8097967180994375E-3"/>
                  <c:y val="9.7732175129714924E-3"/>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6889246059500914E-2"/>
                      <c:h val="5.7450489075958532E-2"/>
                    </c:manualLayout>
                  </c15:layout>
                </c:ext>
              </c:extLst>
            </c:dLbl>
            <c:dLbl>
              <c:idx val="15"/>
              <c:layout>
                <c:manualLayout>
                  <c:x val="-1.3013176585843743E-2"/>
                  <c:y val="2.149789152529198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6"/>
              <c:layout>
                <c:manualLayout>
                  <c:x val="-1.5974528532941464E-2"/>
                  <c:y val="2.314697137526963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7"/>
              <c:layout>
                <c:manualLayout>
                  <c:x val="-4.1914670585353905E-2"/>
                  <c:y val="-4.23366175013117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8"/>
              <c:layout>
                <c:manualLayout>
                  <c:x val="-4.164011868509418E-2"/>
                  <c:y val="-4.940663580246913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9"/>
              <c:layout>
                <c:manualLayout>
                  <c:x val="-3.3519862845946609E-2"/>
                  <c:y val="-4.984861734584815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0"/>
              <c:layout>
                <c:manualLayout>
                  <c:x val="-2.5646131022097288E-2"/>
                  <c:y val="-4.445285303466023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1"/>
              <c:layout>
                <c:manualLayout>
                  <c:x val="-3.5278363395018442E-2"/>
                  <c:y val="2.821797839506163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2"/>
              <c:layout>
                <c:manualLayout>
                  <c:x val="-3.0333682179759566E-3"/>
                  <c:y val="-3.531823405324979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3"/>
              <c:layout>
                <c:manualLayout>
                  <c:x val="-1.0334949791819741E-2"/>
                  <c:y val="1.659651372937678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4"/>
              <c:layout>
                <c:manualLayout>
                  <c:x val="-1.276433994611805E-2"/>
                  <c:y val="1.388794962980236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5"/>
              <c:layout>
                <c:manualLayout>
                  <c:x val="-2.3171964407618904E-2"/>
                  <c:y val="-3.6904977607304719E-2"/>
                </c:manualLayout>
              </c:layout>
              <c:spPr/>
              <c:txPr>
                <a:bodyPr anchor="t" anchorCtr="0"/>
                <a:lstStyle/>
                <a:p>
                  <a:pPr algn="ctr" rtl="0">
                    <a:defRPr lang="en-US" sz="800" b="0" i="0" u="none" strike="noStrike" kern="1200" baseline="0">
                      <a:solidFill>
                        <a:sysClr val="windowText" lastClr="000000"/>
                      </a:solidFill>
                      <a:latin typeface="Fira Sans" pitchFamily="34" charset="0"/>
                      <a:ea typeface="Fira Sans" pitchFamily="34" charset="0"/>
                      <a:cs typeface="+mn-cs"/>
                    </a:defRPr>
                  </a:pPr>
                  <a:endParaRPr lang="pl-PL"/>
                </a:p>
              </c:txPr>
              <c:dLblPos val="r"/>
              <c:showLegendKey val="0"/>
              <c:showVal val="1"/>
              <c:showCatName val="0"/>
              <c:showSerName val="0"/>
              <c:showPercent val="0"/>
              <c:showBubbleSize val="0"/>
              <c:extLst>
                <c:ext xmlns:c15="http://schemas.microsoft.com/office/drawing/2012/chart" uri="{CE6537A1-D6FC-4f65-9D91-7224C49458BB}">
                  <c15:layout>
                    <c:manualLayout>
                      <c:w val="4.3961411244358282E-2"/>
                      <c:h val="5.713281828994788E-2"/>
                    </c:manualLayout>
                  </c15:layout>
                </c:ext>
              </c:extLst>
            </c:dLbl>
            <c:dLbl>
              <c:idx val="26"/>
              <c:layout>
                <c:manualLayout>
                  <c:x val="-1.1591646670123945E-2"/>
                  <c:y val="-1.642661236911728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7"/>
              <c:layout>
                <c:manualLayout>
                  <c:x val="-2.9224093677136003E-2"/>
                  <c:y val="-3.4258992941855713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nchor="t" anchorCtr="0"/>
              <a:lstStyle/>
              <a:p>
                <a:pPr>
                  <a:defRPr sz="800">
                    <a:latin typeface="Fira Sans" pitchFamily="34" charset="0"/>
                    <a:ea typeface="Fira Sans" pitchFamily="34" charset="0"/>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'M-12 (+FE)'!$B$26:$B$52</c:f>
              <c:strCache>
                <c:ptCount val="27"/>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strCache>
            </c:strRef>
          </c:cat>
          <c:val>
            <c:numRef>
              <c:f>'M-12 (+FE)'!$C$26:$C$52</c:f>
              <c:numCache>
                <c:formatCode>0.0</c:formatCode>
                <c:ptCount val="27"/>
                <c:pt idx="0">
                  <c:v>1.9000000000000057</c:v>
                </c:pt>
                <c:pt idx="1">
                  <c:v>1.4</c:v>
                </c:pt>
                <c:pt idx="2">
                  <c:v>1.3</c:v>
                </c:pt>
                <c:pt idx="3">
                  <c:v>1.6</c:v>
                </c:pt>
                <c:pt idx="4">
                  <c:v>1.7</c:v>
                </c:pt>
                <c:pt idx="5">
                  <c:v>2</c:v>
                </c:pt>
                <c:pt idx="6">
                  <c:v>2</c:v>
                </c:pt>
                <c:pt idx="7">
                  <c:v>2</c:v>
                </c:pt>
                <c:pt idx="8">
                  <c:v>1.9</c:v>
                </c:pt>
                <c:pt idx="9">
                  <c:v>1.8</c:v>
                </c:pt>
                <c:pt idx="10">
                  <c:v>1.3</c:v>
                </c:pt>
                <c:pt idx="11">
                  <c:v>1.1000000000000001</c:v>
                </c:pt>
                <c:pt idx="12">
                  <c:v>0.7</c:v>
                </c:pt>
                <c:pt idx="13">
                  <c:v>1.2</c:v>
                </c:pt>
                <c:pt idx="14">
                  <c:v>1.7</c:v>
                </c:pt>
                <c:pt idx="15">
                  <c:v>2.2000000000000002</c:v>
                </c:pt>
                <c:pt idx="16">
                  <c:v>2.4</c:v>
                </c:pt>
                <c:pt idx="17">
                  <c:v>2.6</c:v>
                </c:pt>
                <c:pt idx="18">
                  <c:v>2.9</c:v>
                </c:pt>
                <c:pt idx="19">
                  <c:v>2.9</c:v>
                </c:pt>
                <c:pt idx="20">
                  <c:v>2.6</c:v>
                </c:pt>
                <c:pt idx="21">
                  <c:v>2.5</c:v>
                </c:pt>
                <c:pt idx="22">
                  <c:v>2.6</c:v>
                </c:pt>
                <c:pt idx="23">
                  <c:v>3.4</c:v>
                </c:pt>
                <c:pt idx="24">
                  <c:v>4.3</c:v>
                </c:pt>
                <c:pt idx="25">
                  <c:v>4.7</c:v>
                </c:pt>
                <c:pt idx="26">
                  <c:v>4.5999999999999996</c:v>
                </c:pt>
              </c:numCache>
            </c:numRef>
          </c:val>
          <c:smooth val="0"/>
        </c:ser>
        <c:dLbls>
          <c:showLegendKey val="0"/>
          <c:showVal val="0"/>
          <c:showCatName val="0"/>
          <c:showSerName val="0"/>
          <c:showPercent val="0"/>
          <c:showBubbleSize val="0"/>
        </c:dLbls>
        <c:marker val="1"/>
        <c:smooth val="0"/>
        <c:axId val="1247430688"/>
        <c:axId val="1247427424"/>
      </c:lineChart>
      <c:dateAx>
        <c:axId val="1247430688"/>
        <c:scaling>
          <c:orientation val="minMax"/>
        </c:scaling>
        <c:delete val="0"/>
        <c:axPos val="b"/>
        <c:numFmt formatCode="[$-415]mmmmm;@" sourceLinked="0"/>
        <c:majorTickMark val="out"/>
        <c:minorTickMark val="none"/>
        <c:tickLblPos val="low"/>
        <c:spPr>
          <a:ln w="6350">
            <a:solidFill>
              <a:schemeClr val="bg1">
                <a:lumMod val="50000"/>
              </a:schemeClr>
            </a:solidFill>
          </a:ln>
        </c:spPr>
        <c:txPr>
          <a:bodyPr/>
          <a:lstStyle/>
          <a:p>
            <a:pPr>
              <a:defRPr sz="800">
                <a:latin typeface="Fira Sans" pitchFamily="34" charset="0"/>
                <a:ea typeface="Fira Sans" pitchFamily="34" charset="0"/>
              </a:defRPr>
            </a:pPr>
            <a:endParaRPr lang="pl-PL"/>
          </a:p>
        </c:txPr>
        <c:crossAx val="1247427424"/>
        <c:crossesAt val="0"/>
        <c:auto val="0"/>
        <c:lblOffset val="100"/>
        <c:baseTimeUnit val="days"/>
      </c:dateAx>
      <c:valAx>
        <c:axId val="1247427424"/>
        <c:scaling>
          <c:orientation val="minMax"/>
          <c:max val="5"/>
          <c:min val="0"/>
        </c:scaling>
        <c:delete val="0"/>
        <c:axPos val="l"/>
        <c:majorGridlines>
          <c:spPr>
            <a:ln w="3175">
              <a:solidFill>
                <a:schemeClr val="bg1">
                  <a:lumMod val="50000"/>
                </a:schemeClr>
              </a:solidFill>
              <a:prstDash val="sysDot"/>
            </a:ln>
          </c:spPr>
        </c:majorGridlines>
        <c:numFmt formatCode="0.0" sourceLinked="1"/>
        <c:majorTickMark val="out"/>
        <c:minorTickMark val="none"/>
        <c:tickLblPos val="nextTo"/>
        <c:spPr>
          <a:ln>
            <a:noFill/>
          </a:ln>
        </c:spPr>
        <c:txPr>
          <a:bodyPr/>
          <a:lstStyle/>
          <a:p>
            <a:pPr>
              <a:defRPr sz="800">
                <a:latin typeface="Fira Sans" pitchFamily="34" charset="0"/>
                <a:ea typeface="Fira Sans" pitchFamily="34" charset="0"/>
              </a:defRPr>
            </a:pPr>
            <a:endParaRPr lang="pl-PL"/>
          </a:p>
        </c:txPr>
        <c:crossAx val="1247430688"/>
        <c:crossesAt val="1"/>
        <c:crossBetween val="between"/>
        <c:majorUnit val="0.5"/>
      </c:valAx>
      <c:spPr>
        <a:noFill/>
        <a:ln>
          <a:noFill/>
        </a:ln>
      </c:spPr>
    </c:plotArea>
    <c:plotVisOnly val="1"/>
    <c:dispBlanksAs val="gap"/>
    <c:showDLblsOverMax val="0"/>
  </c:chart>
  <c:spPr>
    <a:noFill/>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103308106031142E-2"/>
          <c:y val="5.2791985907422512E-2"/>
          <c:w val="0.86402212918953414"/>
          <c:h val="0.80215749189155816"/>
        </c:manualLayout>
      </c:layout>
      <c:lineChart>
        <c:grouping val="standard"/>
        <c:varyColors val="0"/>
        <c:ser>
          <c:idx val="0"/>
          <c:order val="0"/>
          <c:tx>
            <c:strRef>
              <c:f>'CPI_HICP m-12'!$B$2:$C$2</c:f>
              <c:strCache>
                <c:ptCount val="1"/>
                <c:pt idx="0">
                  <c:v>CPI</c:v>
                </c:pt>
              </c:strCache>
            </c:strRef>
          </c:tx>
          <c:spPr>
            <a:ln w="19050">
              <a:solidFill>
                <a:srgbClr val="001D77"/>
              </a:solidFill>
            </a:ln>
          </c:spPr>
          <c:marker>
            <c:symbol val="none"/>
          </c:marker>
          <c:cat>
            <c:strRef>
              <c:f>'CPI_HICP m-12'!$B$27:$B$53</c:f>
              <c:strCache>
                <c:ptCount val="27"/>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strCache>
            </c:strRef>
          </c:cat>
          <c:val>
            <c:numRef>
              <c:f>'CPI_HICP m-12'!$C$27:$C$53</c:f>
              <c:numCache>
                <c:formatCode>0.0</c:formatCode>
                <c:ptCount val="27"/>
                <c:pt idx="0">
                  <c:v>1.9</c:v>
                </c:pt>
                <c:pt idx="1">
                  <c:v>1.4</c:v>
                </c:pt>
                <c:pt idx="2">
                  <c:v>1.3</c:v>
                </c:pt>
                <c:pt idx="3">
                  <c:v>1.6</c:v>
                </c:pt>
                <c:pt idx="4">
                  <c:v>1.7</c:v>
                </c:pt>
                <c:pt idx="5">
                  <c:v>2</c:v>
                </c:pt>
                <c:pt idx="6">
                  <c:v>2</c:v>
                </c:pt>
                <c:pt idx="7">
                  <c:v>2</c:v>
                </c:pt>
                <c:pt idx="8">
                  <c:v>1.9</c:v>
                </c:pt>
                <c:pt idx="9">
                  <c:v>1.8</c:v>
                </c:pt>
                <c:pt idx="10">
                  <c:v>1.3</c:v>
                </c:pt>
                <c:pt idx="11">
                  <c:v>1.1000000000000001</c:v>
                </c:pt>
                <c:pt idx="12">
                  <c:v>0.7</c:v>
                </c:pt>
                <c:pt idx="13">
                  <c:v>1.2</c:v>
                </c:pt>
                <c:pt idx="14">
                  <c:v>1.7</c:v>
                </c:pt>
                <c:pt idx="15">
                  <c:v>2.2000000000000002</c:v>
                </c:pt>
                <c:pt idx="16">
                  <c:v>2.4</c:v>
                </c:pt>
                <c:pt idx="17">
                  <c:v>2.6</c:v>
                </c:pt>
                <c:pt idx="18">
                  <c:v>2.9</c:v>
                </c:pt>
                <c:pt idx="19">
                  <c:v>2.9</c:v>
                </c:pt>
                <c:pt idx="20">
                  <c:v>2.6</c:v>
                </c:pt>
                <c:pt idx="21">
                  <c:v>2.5</c:v>
                </c:pt>
                <c:pt idx="22">
                  <c:v>2.6</c:v>
                </c:pt>
                <c:pt idx="23">
                  <c:v>3.4</c:v>
                </c:pt>
                <c:pt idx="24">
                  <c:v>4.3</c:v>
                </c:pt>
                <c:pt idx="25">
                  <c:v>4.7</c:v>
                </c:pt>
                <c:pt idx="26">
                  <c:v>4.5999999999999996</c:v>
                </c:pt>
              </c:numCache>
            </c:numRef>
          </c:val>
          <c:smooth val="0"/>
        </c:ser>
        <c:ser>
          <c:idx val="1"/>
          <c:order val="1"/>
          <c:tx>
            <c:strRef>
              <c:f>'CPI_HICP m-12'!$D$2:$E$2</c:f>
              <c:strCache>
                <c:ptCount val="1"/>
                <c:pt idx="0">
                  <c:v>HICP</c:v>
                </c:pt>
              </c:strCache>
            </c:strRef>
          </c:tx>
          <c:spPr>
            <a:ln w="19050">
              <a:solidFill>
                <a:srgbClr val="99A5C9"/>
              </a:solidFill>
            </a:ln>
          </c:spPr>
          <c:marker>
            <c:symbol val="none"/>
          </c:marker>
          <c:cat>
            <c:strRef>
              <c:f>'CPI_HICP m-12'!$B$27:$B$53</c:f>
              <c:strCache>
                <c:ptCount val="27"/>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strCache>
            </c:strRef>
          </c:cat>
          <c:val>
            <c:numRef>
              <c:f>'CPI_HICP m-12'!$E$27:$E$52</c:f>
              <c:numCache>
                <c:formatCode>0.0</c:formatCode>
                <c:ptCount val="26"/>
                <c:pt idx="0">
                  <c:v>1.6</c:v>
                </c:pt>
                <c:pt idx="1">
                  <c:v>0.7</c:v>
                </c:pt>
                <c:pt idx="2">
                  <c:v>0.7</c:v>
                </c:pt>
                <c:pt idx="3">
                  <c:v>0.9</c:v>
                </c:pt>
                <c:pt idx="4">
                  <c:v>1.2</c:v>
                </c:pt>
                <c:pt idx="5">
                  <c:v>1.4</c:v>
                </c:pt>
                <c:pt idx="6">
                  <c:v>1.4</c:v>
                </c:pt>
                <c:pt idx="7">
                  <c:v>1.4</c:v>
                </c:pt>
                <c:pt idx="8">
                  <c:v>1.5</c:v>
                </c:pt>
                <c:pt idx="9">
                  <c:v>1.5</c:v>
                </c:pt>
                <c:pt idx="10">
                  <c:v>1.1000000000000001</c:v>
                </c:pt>
                <c:pt idx="11">
                  <c:v>0.9</c:v>
                </c:pt>
                <c:pt idx="12">
                  <c:v>0.6</c:v>
                </c:pt>
                <c:pt idx="13">
                  <c:v>1.3</c:v>
                </c:pt>
                <c:pt idx="14">
                  <c:v>1.7</c:v>
                </c:pt>
                <c:pt idx="15">
                  <c:v>2.1</c:v>
                </c:pt>
                <c:pt idx="16">
                  <c:v>2.2000000000000002</c:v>
                </c:pt>
                <c:pt idx="17">
                  <c:v>2.2999999999999998</c:v>
                </c:pt>
                <c:pt idx="18">
                  <c:v>2.5</c:v>
                </c:pt>
                <c:pt idx="19">
                  <c:v>2.6</c:v>
                </c:pt>
                <c:pt idx="20">
                  <c:v>2.4</c:v>
                </c:pt>
                <c:pt idx="21">
                  <c:v>2.2999999999999998</c:v>
                </c:pt>
                <c:pt idx="22">
                  <c:v>2.4</c:v>
                </c:pt>
                <c:pt idx="23">
                  <c:v>3</c:v>
                </c:pt>
                <c:pt idx="24">
                  <c:v>3.8</c:v>
                </c:pt>
                <c:pt idx="25">
                  <c:v>4.0999999999999996</c:v>
                </c:pt>
              </c:numCache>
            </c:numRef>
          </c:val>
          <c:smooth val="0"/>
        </c:ser>
        <c:dLbls>
          <c:showLegendKey val="0"/>
          <c:showVal val="0"/>
          <c:showCatName val="0"/>
          <c:showSerName val="0"/>
          <c:showPercent val="0"/>
          <c:showBubbleSize val="0"/>
        </c:dLbls>
        <c:smooth val="0"/>
        <c:axId val="1247431232"/>
        <c:axId val="1247427968"/>
      </c:lineChart>
      <c:catAx>
        <c:axId val="1247431232"/>
        <c:scaling>
          <c:orientation val="minMax"/>
        </c:scaling>
        <c:delete val="0"/>
        <c:axPos val="b"/>
        <c:numFmt formatCode="d/mm" sourceLinked="0"/>
        <c:majorTickMark val="out"/>
        <c:minorTickMark val="none"/>
        <c:tickLblPos val="low"/>
        <c:spPr>
          <a:ln w="3175">
            <a:solidFill>
              <a:schemeClr val="bg1">
                <a:lumMod val="50000"/>
              </a:schemeClr>
            </a:solidFill>
            <a:prstDash val="solid"/>
          </a:ln>
        </c:spPr>
        <c:txPr>
          <a:bodyPr rot="0" vert="horz"/>
          <a:lstStyle/>
          <a:p>
            <a:pPr>
              <a:defRPr sz="800" b="0" i="0" u="none" strike="noStrike" baseline="0">
                <a:solidFill>
                  <a:srgbClr val="000000"/>
                </a:solidFill>
                <a:latin typeface="Fira Sans" pitchFamily="34" charset="0"/>
                <a:ea typeface="Fira Sans" pitchFamily="34" charset="0"/>
                <a:cs typeface="Arial CE"/>
              </a:defRPr>
            </a:pPr>
            <a:endParaRPr lang="pl-PL"/>
          </a:p>
        </c:txPr>
        <c:crossAx val="1247427968"/>
        <c:crossesAt val="0"/>
        <c:auto val="0"/>
        <c:lblAlgn val="ctr"/>
        <c:lblOffset val="100"/>
        <c:tickLblSkip val="1"/>
        <c:tickMarkSkip val="1"/>
        <c:noMultiLvlLbl val="0"/>
      </c:catAx>
      <c:valAx>
        <c:axId val="1247427968"/>
        <c:scaling>
          <c:orientation val="minMax"/>
          <c:max val="5"/>
          <c:min val="0"/>
        </c:scaling>
        <c:delete val="0"/>
        <c:axPos val="l"/>
        <c:majorGridlines>
          <c:spPr>
            <a:ln w="3175">
              <a:solidFill>
                <a:srgbClr val="C0C0C0"/>
              </a:solidFill>
              <a:prstDash val="sysDot"/>
            </a:ln>
          </c:spPr>
        </c:majorGridlines>
        <c:numFmt formatCode="0.0" sourceLinked="0"/>
        <c:majorTickMark val="out"/>
        <c:minorTickMark val="none"/>
        <c:tickLblPos val="nextTo"/>
        <c:spPr>
          <a:ln w="3175">
            <a:noFill/>
            <a:prstDash val="solid"/>
          </a:ln>
        </c:spPr>
        <c:txPr>
          <a:bodyPr rot="0" vert="horz"/>
          <a:lstStyle/>
          <a:p>
            <a:pPr>
              <a:defRPr sz="800" b="0" i="0" u="none" strike="noStrike" baseline="0">
                <a:solidFill>
                  <a:srgbClr val="000000"/>
                </a:solidFill>
                <a:latin typeface="Fira Sans" pitchFamily="34" charset="0"/>
                <a:ea typeface="Fira Sans" pitchFamily="34" charset="0"/>
                <a:cs typeface="Arial CE"/>
              </a:defRPr>
            </a:pPr>
            <a:endParaRPr lang="pl-PL"/>
          </a:p>
        </c:txPr>
        <c:crossAx val="1247431232"/>
        <c:crosses val="autoZero"/>
        <c:crossBetween val="between"/>
        <c:majorUnit val="1"/>
        <c:minorUnit val="0.1"/>
      </c:valAx>
      <c:spPr>
        <a:noFill/>
        <a:ln w="3175">
          <a:noFill/>
          <a:prstDash val="solid"/>
        </a:ln>
      </c:spPr>
    </c:plotArea>
    <c:legend>
      <c:legendPos val="r"/>
      <c:layout>
        <c:manualLayout>
          <c:xMode val="edge"/>
          <c:yMode val="edge"/>
          <c:x val="0.81969141751675578"/>
          <c:y val="0.6191029602312369"/>
          <c:w val="0.11602738896666102"/>
          <c:h val="0.14737378640231696"/>
        </c:manualLayout>
      </c:layout>
      <c:overlay val="0"/>
      <c:spPr>
        <a:noFill/>
        <a:ln w="38100">
          <a:noFill/>
          <a:prstDash val="solid"/>
        </a:ln>
      </c:spPr>
      <c:txPr>
        <a:bodyPr/>
        <a:lstStyle/>
        <a:p>
          <a:pPr>
            <a:defRPr sz="800" b="0" i="0" u="none" strike="noStrike" baseline="0">
              <a:solidFill>
                <a:srgbClr val="000000"/>
              </a:solidFill>
              <a:latin typeface="Fira Sans" pitchFamily="34" charset="0"/>
              <a:ea typeface="Fira Sans" pitchFamily="34" charset="0"/>
              <a:cs typeface="Arial CE"/>
            </a:defRPr>
          </a:pPr>
          <a:endParaRPr lang="pl-PL"/>
        </a:p>
      </c:txPr>
    </c:legend>
    <c:plotVisOnly val="0"/>
    <c:dispBlanksAs val="gap"/>
    <c:showDLblsOverMax val="0"/>
  </c:chart>
  <c:spPr>
    <a:noFill/>
    <a:ln w="9525">
      <a:noFill/>
      <a:prstDash val="solid"/>
    </a:ln>
    <a:effectLst/>
  </c:spPr>
  <c:txPr>
    <a:bodyPr/>
    <a:lstStyle/>
    <a:p>
      <a:pPr>
        <a:defRPr sz="1000" b="0" i="0" u="none" strike="noStrike" baseline="0">
          <a:solidFill>
            <a:srgbClr val="000000"/>
          </a:solidFill>
          <a:latin typeface="MS Sans Serif"/>
          <a:ea typeface="MS Sans Serif"/>
          <a:cs typeface="MS Sans Serif"/>
        </a:defRPr>
      </a:pPr>
      <a:endParaRPr lang="pl-PL"/>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0.45272</cdr:x>
      <cdr:y>0.86677</cdr:y>
    </cdr:from>
    <cdr:to>
      <cdr:x>0.45315</cdr:x>
      <cdr:y>0.94324</cdr:y>
    </cdr:to>
    <cdr:sp macro="" textlink="">
      <cdr:nvSpPr>
        <cdr:cNvPr id="7" name="Łącznik prosty 6"/>
        <cdr:cNvSpPr/>
      </cdr:nvSpPr>
      <cdr:spPr bwMode="auto">
        <a:xfrm xmlns:a="http://schemas.openxmlformats.org/drawingml/2006/main" flipH="1" flipV="1">
          <a:off x="2324674" y="2196612"/>
          <a:ext cx="2208" cy="193794"/>
        </a:xfrm>
        <a:prstGeom xmlns:a="http://schemas.openxmlformats.org/drawingml/2006/main" prst="line">
          <a:avLst/>
        </a:prstGeom>
        <a:ln xmlns:a="http://schemas.openxmlformats.org/drawingml/2006/main" w="6350">
          <a:solidFill>
            <a:schemeClr val="tx1"/>
          </a:solidFill>
          <a:headEnd type="none" w="med" len="med"/>
          <a:tailEnd type="none" w="med" len="med"/>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wrap="square" lIns="18288" tIns="0" rIns="0" bIns="0" upright="1"/>
        <a:lstStyle xmlns:a="http://schemas.openxmlformats.org/drawingml/2006/main"/>
        <a:p xmlns:a="http://schemas.openxmlformats.org/drawingml/2006/main">
          <a:endParaRPr lang="pl-PL">
            <a:latin typeface="Fira Sans" panose="020B0503050000020004" pitchFamily="34" charset="0"/>
            <a:ea typeface="Fira Sans" panose="020B0503050000020004" pitchFamily="34" charset="0"/>
          </a:endParaRPr>
        </a:p>
      </cdr:txBody>
    </cdr:sp>
  </cdr:relSizeAnchor>
  <cdr:relSizeAnchor xmlns:cdr="http://schemas.openxmlformats.org/drawingml/2006/chartDrawing">
    <cdr:from>
      <cdr:x>0.06988</cdr:x>
      <cdr:y>0.93898</cdr:y>
    </cdr:from>
    <cdr:to>
      <cdr:x>0.64722</cdr:x>
      <cdr:y>0.99323</cdr:y>
    </cdr:to>
    <cdr:sp macro="" textlink="">
      <cdr:nvSpPr>
        <cdr:cNvPr id="12" name="pole tekstowe 1"/>
        <cdr:cNvSpPr txBox="1"/>
      </cdr:nvSpPr>
      <cdr:spPr>
        <a:xfrm xmlns:a="http://schemas.openxmlformats.org/drawingml/2006/main">
          <a:off x="358042" y="2444751"/>
          <a:ext cx="2958124" cy="14124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pl-PL" sz="700">
            <a:latin typeface="Fira Sans" pitchFamily="34" charset="0"/>
            <a:ea typeface="Fira Sans" pitchFamily="34" charset="0"/>
          </a:endParaRPr>
        </a:p>
      </cdr:txBody>
    </cdr:sp>
  </cdr:relSizeAnchor>
  <cdr:relSizeAnchor xmlns:cdr="http://schemas.openxmlformats.org/drawingml/2006/chartDrawing">
    <cdr:from>
      <cdr:x>0.06721</cdr:x>
      <cdr:y>0.9279</cdr:y>
    </cdr:from>
    <cdr:to>
      <cdr:x>0.45411</cdr:x>
      <cdr:y>0.99268</cdr:y>
    </cdr:to>
    <cdr:sp macro="" textlink="">
      <cdr:nvSpPr>
        <cdr:cNvPr id="13" name="pole tekstowe 1"/>
        <cdr:cNvSpPr txBox="1"/>
      </cdr:nvSpPr>
      <cdr:spPr>
        <a:xfrm xmlns:a="http://schemas.openxmlformats.org/drawingml/2006/main">
          <a:off x="344286" y="2314442"/>
          <a:ext cx="1981907" cy="16158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pl-PL" sz="800">
              <a:latin typeface="Fira Sans" pitchFamily="34" charset="0"/>
              <a:ea typeface="Fira Sans" pitchFamily="34" charset="0"/>
            </a:rPr>
            <a:t>2018</a:t>
          </a:r>
          <a:endParaRPr lang="pl-PL" sz="700">
            <a:latin typeface="Fira Sans" pitchFamily="34" charset="0"/>
            <a:ea typeface="Fira Sans" pitchFamily="34" charset="0"/>
          </a:endParaRPr>
        </a:p>
      </cdr:txBody>
    </cdr:sp>
  </cdr:relSizeAnchor>
  <cdr:relSizeAnchor xmlns:cdr="http://schemas.openxmlformats.org/drawingml/2006/chartDrawing">
    <cdr:from>
      <cdr:x>0.45313</cdr:x>
      <cdr:y>0.92748</cdr:y>
    </cdr:from>
    <cdr:to>
      <cdr:x>0.83564</cdr:x>
      <cdr:y>0.987</cdr:y>
    </cdr:to>
    <cdr:sp macro="" textlink="">
      <cdr:nvSpPr>
        <cdr:cNvPr id="6" name="pole tekstowe 1"/>
        <cdr:cNvSpPr txBox="1"/>
      </cdr:nvSpPr>
      <cdr:spPr>
        <a:xfrm xmlns:a="http://schemas.openxmlformats.org/drawingml/2006/main">
          <a:off x="2321178" y="2313399"/>
          <a:ext cx="1959425" cy="14844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pl-PL" sz="800">
              <a:latin typeface="Fira Sans" pitchFamily="34" charset="0"/>
              <a:ea typeface="Fira Sans" pitchFamily="34" charset="0"/>
            </a:rPr>
            <a:t>2019</a:t>
          </a:r>
          <a:endParaRPr lang="pl-PL" sz="700">
            <a:latin typeface="Fira Sans" pitchFamily="34" charset="0"/>
            <a:ea typeface="Fira Sans" pitchFamily="34" charset="0"/>
          </a:endParaRPr>
        </a:p>
      </cdr:txBody>
    </cdr:sp>
  </cdr:relSizeAnchor>
  <cdr:relSizeAnchor xmlns:cdr="http://schemas.openxmlformats.org/drawingml/2006/chartDrawing">
    <cdr:from>
      <cdr:x>0.83564</cdr:x>
      <cdr:y>0.86597</cdr:y>
    </cdr:from>
    <cdr:to>
      <cdr:x>0.83612</cdr:x>
      <cdr:y>0.9447</cdr:y>
    </cdr:to>
    <cdr:sp macro="" textlink="">
      <cdr:nvSpPr>
        <cdr:cNvPr id="10" name="Łącznik prosty 9"/>
        <cdr:cNvSpPr/>
      </cdr:nvSpPr>
      <cdr:spPr bwMode="auto">
        <a:xfrm xmlns:a="http://schemas.openxmlformats.org/drawingml/2006/main" flipV="1">
          <a:off x="4280598" y="2159967"/>
          <a:ext cx="2464" cy="196371"/>
        </a:xfrm>
        <a:prstGeom xmlns:a="http://schemas.openxmlformats.org/drawingml/2006/main" prst="line">
          <a:avLst/>
        </a:prstGeom>
        <a:noFill xmlns:a="http://schemas.openxmlformats.org/drawingml/2006/main"/>
        <a:ln xmlns:a="http://schemas.openxmlformats.org/drawingml/2006/main" w="6350" cap="flat" cmpd="sng" algn="ctr">
          <a:solidFill>
            <a:sysClr val="windowText" lastClr="000000"/>
          </a:solidFill>
          <a:prstDash val="solid"/>
          <a:miter lim="800000"/>
          <a:headEnd type="none" w="med" len="med"/>
          <a:tailEnd type="none" w="med" len="med"/>
        </a:ln>
        <a:effectLst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l-PL"/>
        </a:p>
      </cdr:txBody>
    </cdr:sp>
  </cdr:relSizeAnchor>
  <cdr:relSizeAnchor xmlns:cdr="http://schemas.openxmlformats.org/drawingml/2006/chartDrawing">
    <cdr:from>
      <cdr:x>0.83564</cdr:x>
      <cdr:y>0.92657</cdr:y>
    </cdr:from>
    <cdr:to>
      <cdr:x>0.92783</cdr:x>
      <cdr:y>0.97784</cdr:y>
    </cdr:to>
    <cdr:sp macro="" textlink="">
      <cdr:nvSpPr>
        <cdr:cNvPr id="56" name="pole tekstowe 1"/>
        <cdr:cNvSpPr txBox="1"/>
      </cdr:nvSpPr>
      <cdr:spPr>
        <a:xfrm xmlns:a="http://schemas.openxmlformats.org/drawingml/2006/main">
          <a:off x="4280607" y="2311120"/>
          <a:ext cx="472248" cy="12789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pl-PL" sz="800">
              <a:latin typeface="Fira Sans" pitchFamily="34" charset="0"/>
              <a:ea typeface="Fira Sans" pitchFamily="34" charset="0"/>
            </a:rPr>
            <a:t>2020</a:t>
          </a:r>
          <a:endParaRPr lang="pl-PL" sz="700">
            <a:latin typeface="Fira Sans" pitchFamily="34" charset="0"/>
            <a:ea typeface="Fira Sans"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0.09502</cdr:x>
      <cdr:y>0.93504</cdr:y>
    </cdr:from>
    <cdr:to>
      <cdr:x>0.44296</cdr:x>
      <cdr:y>1</cdr:y>
    </cdr:to>
    <cdr:sp macro="" textlink="">
      <cdr:nvSpPr>
        <cdr:cNvPr id="12" name="pole tekstowe 1"/>
        <cdr:cNvSpPr txBox="1"/>
      </cdr:nvSpPr>
      <cdr:spPr>
        <a:xfrm xmlns:a="http://schemas.openxmlformats.org/drawingml/2006/main">
          <a:off x="485657" y="2412651"/>
          <a:ext cx="1778364" cy="16762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pl-PL" sz="700">
            <a:latin typeface="Fira Sans" pitchFamily="34" charset="0"/>
            <a:ea typeface="Fira Sans" pitchFamily="34" charset="0"/>
          </a:endParaRPr>
        </a:p>
      </cdr:txBody>
    </cdr:sp>
  </cdr:relSizeAnchor>
  <cdr:relSizeAnchor xmlns:cdr="http://schemas.openxmlformats.org/drawingml/2006/chartDrawing">
    <cdr:from>
      <cdr:x>0.06639</cdr:x>
      <cdr:y>0.93049</cdr:y>
    </cdr:from>
    <cdr:to>
      <cdr:x>0.45139</cdr:x>
      <cdr:y>0.99633</cdr:y>
    </cdr:to>
    <cdr:sp macro="" textlink="">
      <cdr:nvSpPr>
        <cdr:cNvPr id="13" name="pole tekstowe 1"/>
        <cdr:cNvSpPr txBox="1"/>
      </cdr:nvSpPr>
      <cdr:spPr>
        <a:xfrm xmlns:a="http://schemas.openxmlformats.org/drawingml/2006/main">
          <a:off x="339917" y="2398896"/>
          <a:ext cx="1971204" cy="16974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pl-PL" sz="800">
              <a:latin typeface="Fira Sans" pitchFamily="34" charset="0"/>
              <a:ea typeface="Fira Sans" pitchFamily="34" charset="0"/>
            </a:rPr>
            <a:t>2018</a:t>
          </a:r>
          <a:endParaRPr lang="pl-PL" sz="700">
            <a:latin typeface="Fira Sans" pitchFamily="34" charset="0"/>
            <a:ea typeface="Fira Sans" pitchFamily="34" charset="0"/>
          </a:endParaRPr>
        </a:p>
      </cdr:txBody>
    </cdr:sp>
  </cdr:relSizeAnchor>
  <cdr:relSizeAnchor xmlns:cdr="http://schemas.openxmlformats.org/drawingml/2006/chartDrawing">
    <cdr:from>
      <cdr:x>0.06797</cdr:x>
      <cdr:y>0.45677</cdr:y>
    </cdr:from>
    <cdr:to>
      <cdr:x>0.92804</cdr:x>
      <cdr:y>0.45679</cdr:y>
    </cdr:to>
    <cdr:sp macro="" textlink="">
      <cdr:nvSpPr>
        <cdr:cNvPr id="11" name="Łącznik prosty 10"/>
        <cdr:cNvSpPr/>
      </cdr:nvSpPr>
      <cdr:spPr bwMode="auto">
        <a:xfrm xmlns:a="http://schemas.openxmlformats.org/drawingml/2006/main" flipV="1">
          <a:off x="349310" y="1172965"/>
          <a:ext cx="4419764" cy="51"/>
        </a:xfrm>
        <a:prstGeom xmlns:a="http://schemas.openxmlformats.org/drawingml/2006/main" prst="line">
          <a:avLst/>
        </a:prstGeom>
        <a:ln xmlns:a="http://schemas.openxmlformats.org/drawingml/2006/main" w="12700">
          <a:solidFill>
            <a:sysClr val="windowText" lastClr="000000"/>
          </a:solidFill>
          <a:headEnd type="none" w="med" len="med"/>
          <a:tailEnd type="none" w="med" len="med"/>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txBody>
        <a:bodyPr xmlns:a="http://schemas.openxmlformats.org/drawingml/2006/main" wrap="square" lIns="18288" tIns="0" rIns="0" bIns="0" upright="1"/>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0.067</cdr:x>
      <cdr:y>0.62248</cdr:y>
    </cdr:from>
    <cdr:to>
      <cdr:x>0.92803</cdr:x>
      <cdr:y>0.62276</cdr:y>
    </cdr:to>
    <cdr:sp macro="" textlink="">
      <cdr:nvSpPr>
        <cdr:cNvPr id="14" name="Łącznik prosty 13"/>
        <cdr:cNvSpPr/>
      </cdr:nvSpPr>
      <cdr:spPr bwMode="auto">
        <a:xfrm xmlns:a="http://schemas.openxmlformats.org/drawingml/2006/main">
          <a:off x="341960" y="1601600"/>
          <a:ext cx="4394482" cy="721"/>
        </a:xfrm>
        <a:prstGeom xmlns:a="http://schemas.openxmlformats.org/drawingml/2006/main" prst="line">
          <a:avLst/>
        </a:prstGeom>
        <a:ln xmlns:a="http://schemas.openxmlformats.org/drawingml/2006/main" w="12700">
          <a:solidFill>
            <a:sysClr val="windowText" lastClr="000000"/>
          </a:solidFill>
          <a:prstDash val="sysDot"/>
          <a:headEnd type="none" w="med" len="med"/>
          <a:tailEnd type="none" w="med" len="med"/>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txBody>
        <a:bodyPr xmlns:a="http://schemas.openxmlformats.org/drawingml/2006/main" wrap="square" lIns="18288" tIns="0" rIns="0" bIns="0" upright="1"/>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0.06743</cdr:x>
      <cdr:y>0.29385</cdr:y>
    </cdr:from>
    <cdr:to>
      <cdr:x>0.92846</cdr:x>
      <cdr:y>0.29509</cdr:y>
    </cdr:to>
    <cdr:sp macro="" textlink="">
      <cdr:nvSpPr>
        <cdr:cNvPr id="15" name="Łącznik prosty 14"/>
        <cdr:cNvSpPr/>
      </cdr:nvSpPr>
      <cdr:spPr bwMode="auto">
        <a:xfrm xmlns:a="http://schemas.openxmlformats.org/drawingml/2006/main" flipV="1">
          <a:off x="344123" y="756072"/>
          <a:ext cx="4394482" cy="3192"/>
        </a:xfrm>
        <a:prstGeom xmlns:a="http://schemas.openxmlformats.org/drawingml/2006/main" prst="line">
          <a:avLst/>
        </a:prstGeom>
        <a:ln xmlns:a="http://schemas.openxmlformats.org/drawingml/2006/main" w="12700">
          <a:solidFill>
            <a:sysClr val="windowText" lastClr="000000"/>
          </a:solidFill>
          <a:prstDash val="sysDot"/>
          <a:headEnd type="none" w="med" len="med"/>
          <a:tailEnd type="none" w="med" len="med"/>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txBody>
        <a:bodyPr xmlns:a="http://schemas.openxmlformats.org/drawingml/2006/main" wrap="square" lIns="18288" tIns="0" rIns="0" bIns="0" upright="1"/>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0.40108</cdr:x>
      <cdr:y>0.30414</cdr:y>
    </cdr:from>
    <cdr:to>
      <cdr:x>0.58253</cdr:x>
      <cdr:y>0.40044</cdr:y>
    </cdr:to>
    <cdr:sp macro="" textlink="">
      <cdr:nvSpPr>
        <cdr:cNvPr id="16" name="Tekst 6"/>
        <cdr:cNvSpPr txBox="1">
          <a:spLocks xmlns:a="http://schemas.openxmlformats.org/drawingml/2006/main" noChangeArrowheads="1"/>
        </cdr:cNvSpPr>
      </cdr:nvSpPr>
      <cdr:spPr bwMode="auto">
        <a:xfrm xmlns:a="http://schemas.openxmlformats.org/drawingml/2006/main">
          <a:off x="2053512" y="784103"/>
          <a:ext cx="929025" cy="248271"/>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pl-PL" sz="800" b="1" i="0" u="none" strike="noStrike" baseline="0">
              <a:solidFill>
                <a:sysClr val="windowText" lastClr="000000"/>
              </a:solidFill>
              <a:latin typeface="Fira Sans" pitchFamily="34" charset="0"/>
              <a:ea typeface="Fira Sans" pitchFamily="34" charset="0"/>
              <a:cs typeface="Arial CE"/>
            </a:rPr>
            <a:t>Inflation target 2,5</a:t>
          </a:r>
        </a:p>
      </cdr:txBody>
    </cdr:sp>
  </cdr:relSizeAnchor>
  <cdr:relSizeAnchor xmlns:cdr="http://schemas.openxmlformats.org/drawingml/2006/chartDrawing">
    <cdr:from>
      <cdr:x>0.51583</cdr:x>
      <cdr:y>0.38152</cdr:y>
    </cdr:from>
    <cdr:to>
      <cdr:x>0.55772</cdr:x>
      <cdr:y>0.4548</cdr:y>
    </cdr:to>
    <cdr:sp macro="" textlink="">
      <cdr:nvSpPr>
        <cdr:cNvPr id="17" name="Line 7"/>
        <cdr:cNvSpPr>
          <a:spLocks xmlns:a="http://schemas.openxmlformats.org/drawingml/2006/main" noChangeShapeType="1"/>
        </cdr:cNvSpPr>
      </cdr:nvSpPr>
      <cdr:spPr bwMode="auto">
        <a:xfrm xmlns:a="http://schemas.openxmlformats.org/drawingml/2006/main">
          <a:off x="2641032" y="983597"/>
          <a:ext cx="214477" cy="188923"/>
        </a:xfrm>
        <a:prstGeom xmlns:a="http://schemas.openxmlformats.org/drawingml/2006/main" prst="line">
          <a:avLst/>
        </a:prstGeom>
        <a:noFill xmlns:a="http://schemas.openxmlformats.org/drawingml/2006/main"/>
        <a:ln xmlns:a="http://schemas.openxmlformats.org/drawingml/2006/main" w="3175">
          <a:solidFill>
            <a:sysClr val="windowText" lastClr="000000"/>
          </a:solidFill>
          <a:round/>
          <a:headEnd/>
          <a:tailEnd type="arrow" w="med" len="med"/>
        </a:ln>
        <a:effectLst xmlns:a="http://schemas.openxmlformats.org/drawingml/2006/main"/>
      </cdr:spPr>
      <cdr:txBody>
        <a:bodyPr xmlns:a="http://schemas.openxmlformats.org/drawingml/2006/main"/>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0.12585</cdr:x>
      <cdr:y>0.31128</cdr:y>
    </cdr:from>
    <cdr:to>
      <cdr:x>0.33741</cdr:x>
      <cdr:y>0.45649</cdr:y>
    </cdr:to>
    <cdr:sp macro="" textlink="">
      <cdr:nvSpPr>
        <cdr:cNvPr id="18" name="pole tekstowe 1"/>
        <cdr:cNvSpPr txBox="1"/>
      </cdr:nvSpPr>
      <cdr:spPr>
        <a:xfrm xmlns:a="http://schemas.openxmlformats.org/drawingml/2006/main">
          <a:off x="644338" y="802511"/>
          <a:ext cx="1083189" cy="37436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pl-PL" sz="800" b="1">
              <a:solidFill>
                <a:sysClr val="windowText" lastClr="000000"/>
              </a:solidFill>
              <a:latin typeface="Fira Sans" pitchFamily="34" charset="0"/>
              <a:ea typeface="Fira Sans" pitchFamily="34" charset="0"/>
              <a:cs typeface="Arial" pitchFamily="34" charset="0"/>
            </a:rPr>
            <a:t>Deviations</a:t>
          </a:r>
          <a:r>
            <a:rPr lang="pl-PL" sz="800" b="1" baseline="0">
              <a:solidFill>
                <a:sysClr val="windowText" lastClr="000000"/>
              </a:solidFill>
              <a:latin typeface="Fira Sans" pitchFamily="34" charset="0"/>
              <a:ea typeface="Fira Sans" pitchFamily="34" charset="0"/>
              <a:cs typeface="Arial" pitchFamily="34" charset="0"/>
            </a:rPr>
            <a:t> </a:t>
          </a:r>
          <a:br>
            <a:rPr lang="pl-PL" sz="800" b="1" baseline="0">
              <a:solidFill>
                <a:sysClr val="windowText" lastClr="000000"/>
              </a:solidFill>
              <a:latin typeface="Fira Sans" pitchFamily="34" charset="0"/>
              <a:ea typeface="Fira Sans" pitchFamily="34" charset="0"/>
              <a:cs typeface="Arial" pitchFamily="34" charset="0"/>
            </a:rPr>
          </a:br>
          <a:r>
            <a:rPr lang="pl-PL" sz="800" b="1" baseline="0">
              <a:solidFill>
                <a:sysClr val="windowText" lastClr="000000"/>
              </a:solidFill>
              <a:latin typeface="Fira Sans" pitchFamily="34" charset="0"/>
              <a:ea typeface="Fira Sans" pitchFamily="34" charset="0"/>
              <a:cs typeface="Arial" pitchFamily="34" charset="0"/>
            </a:rPr>
            <a:t>from inflation target</a:t>
          </a:r>
          <a:endParaRPr lang="pl-PL" sz="800" b="1">
            <a:solidFill>
              <a:sysClr val="windowText" lastClr="000000"/>
            </a:solidFill>
            <a:latin typeface="Fira Sans" pitchFamily="34" charset="0"/>
            <a:ea typeface="Fira Sans" pitchFamily="34" charset="0"/>
            <a:cs typeface="Arial" pitchFamily="34" charset="0"/>
          </a:endParaRPr>
        </a:p>
      </cdr:txBody>
    </cdr:sp>
  </cdr:relSizeAnchor>
  <cdr:relSizeAnchor xmlns:cdr="http://schemas.openxmlformats.org/drawingml/2006/chartDrawing">
    <cdr:from>
      <cdr:x>0.34505</cdr:x>
      <cdr:y>0.29159</cdr:y>
    </cdr:from>
    <cdr:to>
      <cdr:x>0.39713</cdr:x>
      <cdr:y>0.37976</cdr:y>
    </cdr:to>
    <cdr:sp macro="" textlink="">
      <cdr:nvSpPr>
        <cdr:cNvPr id="19" name="Line 7"/>
        <cdr:cNvSpPr>
          <a:spLocks xmlns:a="http://schemas.openxmlformats.org/drawingml/2006/main" noChangeShapeType="1"/>
        </cdr:cNvSpPr>
      </cdr:nvSpPr>
      <cdr:spPr bwMode="auto">
        <a:xfrm xmlns:a="http://schemas.openxmlformats.org/drawingml/2006/main" flipV="1">
          <a:off x="1766643" y="751748"/>
          <a:ext cx="266650" cy="227311"/>
        </a:xfrm>
        <a:prstGeom xmlns:a="http://schemas.openxmlformats.org/drawingml/2006/main" prst="line">
          <a:avLst/>
        </a:prstGeom>
        <a:noFill xmlns:a="http://schemas.openxmlformats.org/drawingml/2006/main"/>
        <a:ln xmlns:a="http://schemas.openxmlformats.org/drawingml/2006/main" w="3175">
          <a:solidFill>
            <a:sysClr val="windowText" lastClr="000000"/>
          </a:solidFill>
          <a:round/>
          <a:headEnd/>
          <a:tailEnd type="arrow" w="med" len="med"/>
        </a:ln>
        <a:effectLst xmlns:a="http://schemas.openxmlformats.org/drawingml/2006/main"/>
      </cdr:spPr>
      <cdr:txBody>
        <a:bodyPr xmlns:a="http://schemas.openxmlformats.org/drawingml/2006/main"/>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0.34418</cdr:x>
      <cdr:y>0.37996</cdr:y>
    </cdr:from>
    <cdr:to>
      <cdr:x>0.48075</cdr:x>
      <cdr:y>0.61814</cdr:y>
    </cdr:to>
    <cdr:sp macro="" textlink="">
      <cdr:nvSpPr>
        <cdr:cNvPr id="20" name="Line 7"/>
        <cdr:cNvSpPr>
          <a:spLocks xmlns:a="http://schemas.openxmlformats.org/drawingml/2006/main" noChangeShapeType="1"/>
        </cdr:cNvSpPr>
      </cdr:nvSpPr>
      <cdr:spPr bwMode="auto">
        <a:xfrm xmlns:a="http://schemas.openxmlformats.org/drawingml/2006/main">
          <a:off x="1762189" y="979575"/>
          <a:ext cx="699239" cy="614052"/>
        </a:xfrm>
        <a:prstGeom xmlns:a="http://schemas.openxmlformats.org/drawingml/2006/main" prst="line">
          <a:avLst/>
        </a:prstGeom>
        <a:noFill xmlns:a="http://schemas.openxmlformats.org/drawingml/2006/main"/>
        <a:ln xmlns:a="http://schemas.openxmlformats.org/drawingml/2006/main" w="3175">
          <a:solidFill>
            <a:sysClr val="windowText" lastClr="000000"/>
          </a:solidFill>
          <a:round/>
          <a:headEnd/>
          <a:tailEnd type="arrow" w="med" len="med"/>
        </a:ln>
        <a:effectLst xmlns:a="http://schemas.openxmlformats.org/drawingml/2006/main"/>
      </cdr:spPr>
      <cdr:txBody>
        <a:bodyPr xmlns:a="http://schemas.openxmlformats.org/drawingml/2006/main"/>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0.45041</cdr:x>
      <cdr:y>0.93187</cdr:y>
    </cdr:from>
    <cdr:to>
      <cdr:x>0.83213</cdr:x>
      <cdr:y>0.99515</cdr:y>
    </cdr:to>
    <cdr:sp macro="" textlink="">
      <cdr:nvSpPr>
        <cdr:cNvPr id="21" name="pole tekstowe 1"/>
        <cdr:cNvSpPr txBox="1"/>
      </cdr:nvSpPr>
      <cdr:spPr>
        <a:xfrm xmlns:a="http://schemas.openxmlformats.org/drawingml/2006/main">
          <a:off x="2306097" y="2402454"/>
          <a:ext cx="1954404" cy="16314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pl-PL" sz="800">
              <a:latin typeface="Fira Sans" pitchFamily="34" charset="0"/>
              <a:ea typeface="Fira Sans" pitchFamily="34" charset="0"/>
            </a:rPr>
            <a:t>2019</a:t>
          </a:r>
          <a:endParaRPr lang="pl-PL" sz="700">
            <a:latin typeface="Fira Sans" pitchFamily="34" charset="0"/>
            <a:ea typeface="Fira Sans" pitchFamily="34" charset="0"/>
          </a:endParaRPr>
        </a:p>
      </cdr:txBody>
    </cdr:sp>
  </cdr:relSizeAnchor>
  <cdr:relSizeAnchor xmlns:cdr="http://schemas.openxmlformats.org/drawingml/2006/chartDrawing">
    <cdr:from>
      <cdr:x>0.83344</cdr:x>
      <cdr:y>0.93288</cdr:y>
    </cdr:from>
    <cdr:to>
      <cdr:x>0.93204</cdr:x>
      <cdr:y>0.99938</cdr:y>
    </cdr:to>
    <cdr:sp macro="" textlink="">
      <cdr:nvSpPr>
        <cdr:cNvPr id="22" name="pole tekstowe 1"/>
        <cdr:cNvSpPr txBox="1"/>
      </cdr:nvSpPr>
      <cdr:spPr>
        <a:xfrm xmlns:a="http://schemas.openxmlformats.org/drawingml/2006/main">
          <a:off x="4267199" y="2405063"/>
          <a:ext cx="504825" cy="1714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pl-PL" sz="800">
              <a:latin typeface="Fira Sans" pitchFamily="34" charset="0"/>
              <a:ea typeface="Fira Sans" pitchFamily="34" charset="0"/>
            </a:rPr>
            <a:t>2020</a:t>
          </a:r>
          <a:endParaRPr lang="pl-PL" sz="700">
            <a:latin typeface="Fira Sans" pitchFamily="34" charset="0"/>
            <a:ea typeface="Fira Sans" pitchFamily="34" charset="0"/>
          </a:endParaRPr>
        </a:p>
      </cdr:txBody>
    </cdr:sp>
  </cdr:relSizeAnchor>
  <cdr:relSizeAnchor xmlns:cdr="http://schemas.openxmlformats.org/drawingml/2006/chartDrawing">
    <cdr:from>
      <cdr:x>0.83213</cdr:x>
      <cdr:y>0.86867</cdr:y>
    </cdr:from>
    <cdr:to>
      <cdr:x>0.83239</cdr:x>
      <cdr:y>0.95101</cdr:y>
    </cdr:to>
    <cdr:sp macro="" textlink="">
      <cdr:nvSpPr>
        <cdr:cNvPr id="23" name="Łącznik prosty 22"/>
        <cdr:cNvSpPr/>
      </cdr:nvSpPr>
      <cdr:spPr bwMode="auto">
        <a:xfrm xmlns:a="http://schemas.openxmlformats.org/drawingml/2006/main" flipV="1">
          <a:off x="4260501" y="2239518"/>
          <a:ext cx="1340" cy="212280"/>
        </a:xfrm>
        <a:prstGeom xmlns:a="http://schemas.openxmlformats.org/drawingml/2006/main" prst="line">
          <a:avLst/>
        </a:prstGeom>
        <a:noFill xmlns:a="http://schemas.openxmlformats.org/drawingml/2006/main"/>
        <a:ln xmlns:a="http://schemas.openxmlformats.org/drawingml/2006/main" w="6350" cap="flat" cmpd="sng" algn="ctr">
          <a:solidFill>
            <a:sysClr val="windowText" lastClr="000000"/>
          </a:solidFill>
          <a:prstDash val="solid"/>
          <a:miter lim="800000"/>
          <a:headEnd type="none" w="med" len="med"/>
          <a:tailEnd type="none" w="med" len="med"/>
        </a:ln>
        <a:effectLst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wrap="square" lIns="18288" tIns="0" rIns="0" bIns="0" upright="1"/>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0.45085</cdr:x>
      <cdr:y>0.86735</cdr:y>
    </cdr:from>
    <cdr:to>
      <cdr:x>0.45113</cdr:x>
      <cdr:y>0.94923</cdr:y>
    </cdr:to>
    <cdr:sp macro="" textlink="">
      <cdr:nvSpPr>
        <cdr:cNvPr id="24" name="Łącznik prosty 23"/>
        <cdr:cNvSpPr/>
      </cdr:nvSpPr>
      <cdr:spPr bwMode="auto">
        <a:xfrm xmlns:a="http://schemas.openxmlformats.org/drawingml/2006/main" flipH="1" flipV="1">
          <a:off x="2308354" y="2236115"/>
          <a:ext cx="1431" cy="211095"/>
        </a:xfrm>
        <a:prstGeom xmlns:a="http://schemas.openxmlformats.org/drawingml/2006/main" prst="line">
          <a:avLst/>
        </a:prstGeom>
        <a:noFill xmlns:a="http://schemas.openxmlformats.org/drawingml/2006/main"/>
        <a:ln xmlns:a="http://schemas.openxmlformats.org/drawingml/2006/main" w="6350" cap="flat" cmpd="sng" algn="ctr">
          <a:solidFill>
            <a:sysClr val="windowText" lastClr="000000"/>
          </a:solidFill>
          <a:prstDash val="solid"/>
          <a:miter lim="800000"/>
          <a:headEnd type="none" w="med" len="med"/>
          <a:tailEnd type="none" w="med" len="med"/>
        </a:ln>
        <a:effectLst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sp>
  </cdr:relSizeAnchor>
</c:userShapes>
</file>

<file path=word/drawings/drawing3.xml><?xml version="1.0" encoding="utf-8"?>
<c:userShapes xmlns:c="http://schemas.openxmlformats.org/drawingml/2006/chart">
  <cdr:relSizeAnchor xmlns:cdr="http://schemas.openxmlformats.org/drawingml/2006/chartDrawing">
    <cdr:from>
      <cdr:x>0.06337</cdr:x>
      <cdr:y>0.0639</cdr:y>
    </cdr:from>
    <cdr:to>
      <cdr:x>0.12174</cdr:x>
      <cdr:y>0.18421</cdr:y>
    </cdr:to>
    <cdr:sp macro="" textlink="">
      <cdr:nvSpPr>
        <cdr:cNvPr id="1351681" name="Tekst 1"/>
        <cdr:cNvSpPr txBox="1">
          <a:spLocks xmlns:a="http://schemas.openxmlformats.org/drawingml/2006/main" noChangeArrowheads="1"/>
        </cdr:cNvSpPr>
      </cdr:nvSpPr>
      <cdr:spPr bwMode="auto">
        <a:xfrm xmlns:a="http://schemas.openxmlformats.org/drawingml/2006/main">
          <a:off x="324736" y="165552"/>
          <a:ext cx="299115" cy="311699"/>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pl-PL" sz="800" b="0" i="0" u="none" strike="noStrike" baseline="0">
            <a:solidFill>
              <a:srgbClr val="000000"/>
            </a:solidFill>
            <a:latin typeface="Arial CE"/>
            <a:cs typeface="Arial CE"/>
          </a:endParaRPr>
        </a:p>
      </cdr:txBody>
    </cdr:sp>
  </cdr:relSizeAnchor>
  <cdr:relSizeAnchor xmlns:cdr="http://schemas.openxmlformats.org/drawingml/2006/chartDrawing">
    <cdr:from>
      <cdr:x>0.50952</cdr:x>
      <cdr:y>0.48622</cdr:y>
    </cdr:from>
    <cdr:to>
      <cdr:x>0.52447</cdr:x>
      <cdr:y>0.5397</cdr:y>
    </cdr:to>
    <cdr:sp macro="" textlink="">
      <cdr:nvSpPr>
        <cdr:cNvPr id="1351684" name="Text Box 3076"/>
        <cdr:cNvSpPr txBox="1">
          <a:spLocks xmlns:a="http://schemas.openxmlformats.org/drawingml/2006/main" noChangeArrowheads="1"/>
        </cdr:cNvSpPr>
      </cdr:nvSpPr>
      <cdr:spPr bwMode="auto">
        <a:xfrm xmlns:a="http://schemas.openxmlformats.org/drawingml/2006/main">
          <a:off x="2232480" y="1407902"/>
          <a:ext cx="65467" cy="154851"/>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none" lIns="18288" tIns="18288" rIns="18288" bIns="18288" anchor="ctr" upright="1">
          <a:spAutoFit/>
        </a:bodyPr>
        <a:lstStyle xmlns:a="http://schemas.openxmlformats.org/drawingml/2006/main"/>
        <a:p xmlns:a="http://schemas.openxmlformats.org/drawingml/2006/main">
          <a:pPr algn="ctr" rtl="0">
            <a:defRPr sz="1000"/>
          </a:pPr>
          <a:r>
            <a:rPr lang="pl-PL" sz="800" b="0" i="0" u="none" strike="noStrike" baseline="0">
              <a:solidFill>
                <a:srgbClr val="000000"/>
              </a:solidFill>
              <a:latin typeface="MS Sans Serif"/>
            </a:rPr>
            <a:t> </a:t>
          </a:r>
        </a:p>
      </cdr:txBody>
    </cdr:sp>
  </cdr:relSizeAnchor>
  <cdr:relSizeAnchor xmlns:cdr="http://schemas.openxmlformats.org/drawingml/2006/chartDrawing">
    <cdr:from>
      <cdr:x>0.0649</cdr:x>
      <cdr:y>0.92017</cdr:y>
    </cdr:from>
    <cdr:to>
      <cdr:x>0.44998</cdr:x>
      <cdr:y>0.9836</cdr:y>
    </cdr:to>
    <cdr:sp macro="" textlink="">
      <cdr:nvSpPr>
        <cdr:cNvPr id="5" name="pole tekstowe 1"/>
        <cdr:cNvSpPr txBox="1"/>
      </cdr:nvSpPr>
      <cdr:spPr>
        <a:xfrm xmlns:a="http://schemas.openxmlformats.org/drawingml/2006/main">
          <a:off x="332453" y="2308016"/>
          <a:ext cx="1972597" cy="15909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pl-PL" sz="800">
              <a:latin typeface="Fira Sans" pitchFamily="34" charset="0"/>
              <a:ea typeface="Fira Sans" pitchFamily="34" charset="0"/>
            </a:rPr>
            <a:t>2018</a:t>
          </a:r>
          <a:endParaRPr lang="pl-PL" sz="700">
            <a:latin typeface="Fira Sans" pitchFamily="34" charset="0"/>
            <a:ea typeface="Fira Sans" pitchFamily="34" charset="0"/>
          </a:endParaRPr>
        </a:p>
      </cdr:txBody>
    </cdr:sp>
  </cdr:relSizeAnchor>
  <cdr:relSizeAnchor xmlns:cdr="http://schemas.openxmlformats.org/drawingml/2006/chartDrawing">
    <cdr:from>
      <cdr:x>0.08308</cdr:x>
      <cdr:y>0.92137</cdr:y>
    </cdr:from>
    <cdr:to>
      <cdr:x>0.45083</cdr:x>
      <cdr:y>1</cdr:y>
    </cdr:to>
    <cdr:sp macro="" textlink="">
      <cdr:nvSpPr>
        <cdr:cNvPr id="6" name="pole tekstowe 1"/>
        <cdr:cNvSpPr txBox="1"/>
      </cdr:nvSpPr>
      <cdr:spPr>
        <a:xfrm xmlns:a="http://schemas.openxmlformats.org/drawingml/2006/main">
          <a:off x="424455" y="2372591"/>
          <a:ext cx="1878863" cy="20246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pl-PL" sz="700">
            <a:latin typeface="Fira Sans" pitchFamily="34" charset="0"/>
            <a:ea typeface="Fira Sans" pitchFamily="34" charset="0"/>
          </a:endParaRPr>
        </a:p>
      </cdr:txBody>
    </cdr:sp>
  </cdr:relSizeAnchor>
  <cdr:relSizeAnchor xmlns:cdr="http://schemas.openxmlformats.org/drawingml/2006/chartDrawing">
    <cdr:from>
      <cdr:x>0.44998</cdr:x>
      <cdr:y>0.85565</cdr:y>
    </cdr:from>
    <cdr:to>
      <cdr:x>0.45039</cdr:x>
      <cdr:y>0.92848</cdr:y>
    </cdr:to>
    <cdr:sp macro="" textlink="">
      <cdr:nvSpPr>
        <cdr:cNvPr id="7" name="Łącznik prosty 6"/>
        <cdr:cNvSpPr/>
      </cdr:nvSpPr>
      <cdr:spPr bwMode="auto">
        <a:xfrm xmlns:a="http://schemas.openxmlformats.org/drawingml/2006/main" flipV="1">
          <a:off x="2305049" y="2146184"/>
          <a:ext cx="2093" cy="182678"/>
        </a:xfrm>
        <a:prstGeom xmlns:a="http://schemas.openxmlformats.org/drawingml/2006/main" prst="line">
          <a:avLst/>
        </a:prstGeom>
        <a:noFill xmlns:a="http://schemas.openxmlformats.org/drawingml/2006/main"/>
        <a:ln xmlns:a="http://schemas.openxmlformats.org/drawingml/2006/main" w="6350" cap="flat" cmpd="sng" algn="ctr">
          <a:solidFill>
            <a:sysClr val="windowText" lastClr="000000"/>
          </a:solidFill>
          <a:prstDash val="solid"/>
          <a:miter lim="800000"/>
          <a:headEnd type="none" w="med" len="med"/>
          <a:tailEnd type="none" w="med" len="med"/>
        </a:ln>
        <a:effectLst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wrap="square" lIns="18288" tIns="0" rIns="0" bIns="0" upright="1"/>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pl-PL"/>
        </a:p>
      </cdr:txBody>
    </cdr:sp>
  </cdr:relSizeAnchor>
  <cdr:relSizeAnchor xmlns:cdr="http://schemas.openxmlformats.org/drawingml/2006/chartDrawing">
    <cdr:from>
      <cdr:x>0.45167</cdr:x>
      <cdr:y>0.92338</cdr:y>
    </cdr:from>
    <cdr:to>
      <cdr:x>0.835</cdr:x>
      <cdr:y>1</cdr:y>
    </cdr:to>
    <cdr:sp macro="" textlink="">
      <cdr:nvSpPr>
        <cdr:cNvPr id="8" name="pole tekstowe 1"/>
        <cdr:cNvSpPr txBox="1"/>
      </cdr:nvSpPr>
      <cdr:spPr>
        <a:xfrm xmlns:a="http://schemas.openxmlformats.org/drawingml/2006/main">
          <a:off x="2313710" y="2317001"/>
          <a:ext cx="1963601" cy="19218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pl-PL" sz="800">
              <a:latin typeface="Fira Sans" pitchFamily="34" charset="0"/>
              <a:ea typeface="Fira Sans" pitchFamily="34" charset="0"/>
            </a:rPr>
            <a:t>2019</a:t>
          </a:r>
          <a:endParaRPr lang="pl-PL" sz="700">
            <a:latin typeface="Fira Sans" pitchFamily="34" charset="0"/>
            <a:ea typeface="Fira Sans" pitchFamily="34" charset="0"/>
          </a:endParaRPr>
        </a:p>
      </cdr:txBody>
    </cdr:sp>
  </cdr:relSizeAnchor>
  <cdr:relSizeAnchor xmlns:cdr="http://schemas.openxmlformats.org/drawingml/2006/chartDrawing">
    <cdr:from>
      <cdr:x>0.83418</cdr:x>
      <cdr:y>0.8553</cdr:y>
    </cdr:from>
    <cdr:to>
      <cdr:x>0.83445</cdr:x>
      <cdr:y>0.92991</cdr:y>
    </cdr:to>
    <cdr:sp macro="" textlink="">
      <cdr:nvSpPr>
        <cdr:cNvPr id="9" name="Łącznik prosty 8"/>
        <cdr:cNvSpPr/>
      </cdr:nvSpPr>
      <cdr:spPr bwMode="auto">
        <a:xfrm xmlns:a="http://schemas.openxmlformats.org/drawingml/2006/main" flipH="1" flipV="1">
          <a:off x="4289020" y="2190147"/>
          <a:ext cx="1389" cy="191052"/>
        </a:xfrm>
        <a:prstGeom xmlns:a="http://schemas.openxmlformats.org/drawingml/2006/main" prst="line">
          <a:avLst/>
        </a:prstGeom>
        <a:noFill xmlns:a="http://schemas.openxmlformats.org/drawingml/2006/main"/>
        <a:ln xmlns:a="http://schemas.openxmlformats.org/drawingml/2006/main" w="6350" cap="flat" cmpd="sng" algn="ctr">
          <a:solidFill>
            <a:sysClr val="windowText" lastClr="000000"/>
          </a:solidFill>
          <a:prstDash val="solid"/>
          <a:miter lim="800000"/>
          <a:headEnd type="none" w="med" len="med"/>
          <a:tailEnd type="none" w="med" len="med"/>
        </a:ln>
        <a:effectLst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wrap="square" lIns="18288" tIns="0" rIns="0" bIns="0" upright="1"/>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pl-PL"/>
        </a:p>
      </cdr:txBody>
    </cdr:sp>
  </cdr:relSizeAnchor>
  <cdr:relSizeAnchor xmlns:cdr="http://schemas.openxmlformats.org/drawingml/2006/chartDrawing">
    <cdr:from>
      <cdr:x>0.83448</cdr:x>
      <cdr:y>0.92301</cdr:y>
    </cdr:from>
    <cdr:to>
      <cdr:x>0.93303</cdr:x>
      <cdr:y>0.99136</cdr:y>
    </cdr:to>
    <cdr:sp macro="" textlink="">
      <cdr:nvSpPr>
        <cdr:cNvPr id="10" name="pole tekstowe 1"/>
        <cdr:cNvSpPr txBox="1"/>
      </cdr:nvSpPr>
      <cdr:spPr>
        <a:xfrm xmlns:a="http://schemas.openxmlformats.org/drawingml/2006/main">
          <a:off x="4274680" y="2315137"/>
          <a:ext cx="504832" cy="17144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pl-PL" sz="800">
              <a:latin typeface="Fira Sans" panose="020B0503050000020004" pitchFamily="34" charset="0"/>
              <a:ea typeface="Fira Sans" panose="020B0503050000020004" pitchFamily="34" charset="0"/>
            </a:rPr>
            <a:t>2020</a:t>
          </a:r>
          <a:endParaRPr lang="en-GB" sz="800">
            <a:latin typeface="Fira Sans" panose="020B0503050000020004" pitchFamily="34" charset="0"/>
            <a:ea typeface="Fira Sans" panose="020B0503050000020004" pitchFamily="34" charset="0"/>
          </a:endParaRPr>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4DC58-EFEE-42A1-9591-F32E189D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 ds:uri="30d47203-49ec-4c8c-a442-62231931aabb"/>
  </ds:schemaRefs>
</ds:datastoreItem>
</file>

<file path=customXml/itemProps3.xml><?xml version="1.0" encoding="utf-8"?>
<ds:datastoreItem xmlns:ds="http://schemas.openxmlformats.org/officeDocument/2006/customXml" ds:itemID="{FCFCB642-C1E9-4590-A884-732586E76322}">
  <ds:schemaRefs>
    <ds:schemaRef ds:uri="http://schemas.microsoft.com/sharepoint/v3/contenttype/forms"/>
  </ds:schemaRefs>
</ds:datastoreItem>
</file>

<file path=customXml/itemProps4.xml><?xml version="1.0" encoding="utf-8"?>
<ds:datastoreItem xmlns:ds="http://schemas.openxmlformats.org/officeDocument/2006/customXml" ds:itemID="{3B8E43B6-D6A5-42CB-9A43-35082817B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1499</Words>
  <Characters>8995</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10474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2019-04-12T07:02:00Z</cp:lastPrinted>
  <dcterms:created xsi:type="dcterms:W3CDTF">2020-04-15T14:57:00Z</dcterms:created>
  <dcterms:modified xsi:type="dcterms:W3CDTF">2020-04-15T14:57:00Z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