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2" w:rsidRPr="00D45A29" w:rsidRDefault="00B250EE" w:rsidP="003047EF">
      <w:pPr>
        <w:pStyle w:val="tytuinformacji"/>
        <w:rPr>
          <w:lang w:val="en-GB"/>
        </w:rPr>
      </w:pPr>
      <w:r w:rsidRPr="00D45A29">
        <w:rPr>
          <w:lang w:val="en-GB"/>
        </w:rPr>
        <w:t xml:space="preserve">Consumer price indices in December </w:t>
      </w:r>
      <w:r w:rsidR="00876337" w:rsidRPr="00D45A29">
        <w:rPr>
          <w:lang w:val="en-GB"/>
        </w:rPr>
        <w:t>2019</w:t>
      </w:r>
    </w:p>
    <w:p w:rsidR="00DA0C7E" w:rsidRPr="00D45A29" w:rsidRDefault="00DA0C7E" w:rsidP="003047EF">
      <w:pPr>
        <w:pStyle w:val="tytuinformacji"/>
        <w:rPr>
          <w:sz w:val="19"/>
          <w:szCs w:val="19"/>
          <w:lang w:val="en-GB"/>
        </w:rPr>
      </w:pPr>
    </w:p>
    <w:p w:rsidR="0061655B" w:rsidRPr="00D45A29" w:rsidRDefault="00E0479E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2pt;width:2in;height:95.6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E0479E" w:rsidRPr="00D538E4" w:rsidRDefault="00E0479E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6CD9EB2A" wp14:editId="7F1F9241">
                        <wp:extent cx="334645" cy="334645"/>
                        <wp:effectExtent l="0" t="0" r="8255" b="8255"/>
                        <wp:docPr id="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3,4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E0479E" w:rsidRPr="00D538E4" w:rsidRDefault="00E0479E" w:rsidP="00B250E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 w:rsidRPr="0078686B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78686B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B250EE" w:rsidRPr="00D45A29">
        <w:rPr>
          <w:lang w:val="en-GB"/>
        </w:rPr>
        <w:t>Consumer prices in December 2019</w:t>
      </w:r>
      <w:r w:rsidR="000F2650" w:rsidRPr="00D45A29">
        <w:rPr>
          <w:lang w:val="en-GB"/>
        </w:rPr>
        <w:t xml:space="preserve"> </w:t>
      </w:r>
      <w:r w:rsidR="004D35A5">
        <w:rPr>
          <w:lang w:val="en-GB"/>
        </w:rPr>
        <w:t>comapred with the</w:t>
      </w:r>
      <w:r w:rsidR="0066453D">
        <w:rPr>
          <w:lang w:val="en-GB"/>
        </w:rPr>
        <w:t xml:space="preserve"> </w:t>
      </w:r>
      <w:r w:rsidR="00BD0A7C" w:rsidRPr="00D45A29">
        <w:rPr>
          <w:lang w:val="en-GB"/>
        </w:rPr>
        <w:t>corresponding month of</w:t>
      </w:r>
      <w:r w:rsidR="0066453D">
        <w:rPr>
          <w:lang w:val="en-GB"/>
        </w:rPr>
        <w:t xml:space="preserve"> the previous year increased by </w:t>
      </w:r>
      <w:r w:rsidR="00E24A25" w:rsidRPr="00D45A29">
        <w:rPr>
          <w:lang w:val="en-GB"/>
        </w:rPr>
        <w:t>3,4% (</w:t>
      </w:r>
      <w:r w:rsidR="00BD0A7C" w:rsidRPr="00D45A29">
        <w:rPr>
          <w:lang w:val="en-GB"/>
        </w:rPr>
        <w:t xml:space="preserve">with an increase of prices of services – by </w:t>
      </w:r>
      <w:r w:rsidR="00E24A25" w:rsidRPr="00D45A29">
        <w:rPr>
          <w:lang w:val="en-GB"/>
        </w:rPr>
        <w:t>6,1</w:t>
      </w:r>
      <w:r w:rsidR="00145121" w:rsidRPr="00D45A29">
        <w:rPr>
          <w:lang w:val="en-GB"/>
        </w:rPr>
        <w:t xml:space="preserve">% </w:t>
      </w:r>
      <w:r w:rsidR="00BD0A7C" w:rsidRPr="00D45A29">
        <w:rPr>
          <w:lang w:val="en-GB"/>
        </w:rPr>
        <w:t>and goods – by</w:t>
      </w:r>
      <w:r w:rsidR="00E24A25" w:rsidRPr="00D45A29">
        <w:rPr>
          <w:lang w:val="en-GB"/>
        </w:rPr>
        <w:t xml:space="preserve"> 2,4%).</w:t>
      </w:r>
      <w:r w:rsidR="00917CCF" w:rsidRPr="00D45A29">
        <w:rPr>
          <w:highlight w:val="yellow"/>
          <w:lang w:val="en-GB"/>
        </w:rPr>
        <w:br/>
      </w:r>
      <w:r w:rsidR="00BD0A7C" w:rsidRPr="00D45A29">
        <w:rPr>
          <w:lang w:val="en-GB"/>
        </w:rPr>
        <w:t xml:space="preserve">As related to the previous </w:t>
      </w:r>
      <w:bookmarkStart w:id="0" w:name="_GoBack"/>
      <w:bookmarkEnd w:id="0"/>
      <w:r w:rsidR="00BD0A7C" w:rsidRPr="00D45A29">
        <w:rPr>
          <w:lang w:val="en-GB"/>
        </w:rPr>
        <w:t xml:space="preserve">month consumer prices increased by </w:t>
      </w:r>
      <w:r w:rsidR="00E24A25" w:rsidRPr="00D45A29">
        <w:rPr>
          <w:lang w:val="en-GB"/>
        </w:rPr>
        <w:t>0,8</w:t>
      </w:r>
      <w:r w:rsidR="00D538E4" w:rsidRPr="00D45A29">
        <w:rPr>
          <w:lang w:val="en-GB"/>
        </w:rPr>
        <w:t>% (</w:t>
      </w:r>
      <w:r w:rsidR="00972C54" w:rsidRPr="00D45A29">
        <w:rPr>
          <w:lang w:val="en-GB"/>
        </w:rPr>
        <w:t xml:space="preserve">of which services </w:t>
      </w:r>
      <w:r w:rsidR="00D538E4" w:rsidRPr="00D45A29">
        <w:rPr>
          <w:lang w:val="en-GB"/>
        </w:rPr>
        <w:t>–</w:t>
      </w:r>
      <w:r w:rsidR="00B94737" w:rsidRPr="00D45A29">
        <w:rPr>
          <w:lang w:val="en-GB"/>
        </w:rPr>
        <w:t xml:space="preserve"> </w:t>
      </w:r>
      <w:r w:rsidR="00972C54" w:rsidRPr="00D45A29">
        <w:rPr>
          <w:lang w:val="en-GB"/>
        </w:rPr>
        <w:t>by</w:t>
      </w:r>
      <w:r w:rsidR="0066453D">
        <w:rPr>
          <w:lang w:val="en-GB"/>
        </w:rPr>
        <w:t xml:space="preserve"> </w:t>
      </w:r>
      <w:r w:rsidR="00E24A25" w:rsidRPr="00D45A29">
        <w:rPr>
          <w:lang w:val="en-GB"/>
        </w:rPr>
        <w:t>1</w:t>
      </w:r>
      <w:r w:rsidR="00AA569E" w:rsidRPr="00D45A29">
        <w:rPr>
          <w:lang w:val="en-GB"/>
        </w:rPr>
        <w:t>,</w:t>
      </w:r>
      <w:r w:rsidR="00E24A25" w:rsidRPr="00D45A29">
        <w:rPr>
          <w:lang w:val="en-GB"/>
        </w:rPr>
        <w:t>5</w:t>
      </w:r>
      <w:r w:rsidR="00D538E4" w:rsidRPr="00D45A29">
        <w:rPr>
          <w:lang w:val="en-GB"/>
        </w:rPr>
        <w:t xml:space="preserve">% </w:t>
      </w:r>
      <w:r w:rsidR="00972C54" w:rsidRPr="00D45A29">
        <w:rPr>
          <w:lang w:val="en-GB"/>
        </w:rPr>
        <w:t>and goods – by</w:t>
      </w:r>
      <w:r w:rsidR="00E24A25" w:rsidRPr="00D45A29">
        <w:rPr>
          <w:lang w:val="en-GB"/>
        </w:rPr>
        <w:t> 0</w:t>
      </w:r>
      <w:r w:rsidR="00D538E4" w:rsidRPr="00D45A29">
        <w:rPr>
          <w:lang w:val="en-GB"/>
        </w:rPr>
        <w:t>,</w:t>
      </w:r>
      <w:r w:rsidR="00E24A25" w:rsidRPr="00D45A29">
        <w:rPr>
          <w:lang w:val="en-GB"/>
        </w:rPr>
        <w:t>5</w:t>
      </w:r>
      <w:r w:rsidR="00D538E4" w:rsidRPr="00D45A29">
        <w:rPr>
          <w:lang w:val="en-GB"/>
        </w:rPr>
        <w:t>%).</w:t>
      </w:r>
    </w:p>
    <w:p w:rsidR="00A27522" w:rsidRPr="00D45A29" w:rsidRDefault="00A27522" w:rsidP="00CF08EF">
      <w:pPr>
        <w:pStyle w:val="LID"/>
        <w:rPr>
          <w:lang w:val="en-GB"/>
        </w:rPr>
      </w:pPr>
    </w:p>
    <w:p w:rsidR="008251EB" w:rsidRPr="00D45A29" w:rsidRDefault="008251EB" w:rsidP="00A90732">
      <w:pPr>
        <w:pStyle w:val="tytuwykresu"/>
        <w:spacing w:before="0" w:after="0"/>
        <w:rPr>
          <w:lang w:val="en-GB"/>
        </w:rPr>
      </w:pPr>
    </w:p>
    <w:p w:rsidR="00491A82" w:rsidRPr="00D45A29" w:rsidRDefault="001B635A" w:rsidP="00A90732">
      <w:pPr>
        <w:pStyle w:val="tytuwykresu"/>
        <w:spacing w:before="0" w:after="0"/>
        <w:rPr>
          <w:lang w:val="en-GB"/>
        </w:rPr>
      </w:pPr>
      <w:r w:rsidRPr="00D45A29">
        <w:rPr>
          <w:lang w:val="en-GB"/>
        </w:rPr>
        <w:t>Table 1. Consumer price indices in December</w:t>
      </w:r>
      <w:r w:rsidR="00A90732" w:rsidRPr="00D45A29">
        <w:rPr>
          <w:bCs/>
          <w:shd w:val="clear" w:color="auto" w:fill="FFFFFF"/>
          <w:lang w:val="en-GB"/>
        </w:rPr>
        <w:t xml:space="preserve"> </w:t>
      </w:r>
      <w:r w:rsidR="00A27522" w:rsidRPr="00D45A29">
        <w:rPr>
          <w:lang w:val="en-GB"/>
        </w:rPr>
        <w:t>2019</w:t>
      </w:r>
    </w:p>
    <w:p w:rsidR="008251EB" w:rsidRPr="00D45A29" w:rsidRDefault="008251EB" w:rsidP="00A90732">
      <w:pPr>
        <w:pStyle w:val="tytuwykresu"/>
        <w:spacing w:before="0" w:after="0"/>
        <w:rPr>
          <w:bCs/>
          <w:shd w:val="clear" w:color="auto" w:fill="FFFFFF"/>
          <w:lang w:val="en-GB"/>
        </w:rPr>
      </w:pPr>
    </w:p>
    <w:tbl>
      <w:tblPr>
        <w:tblStyle w:val="Siatkatabelijasna112"/>
        <w:tblpPr w:leftFromText="141" w:rightFromText="141" w:vertAnchor="text" w:horzAnchor="margin" w:tblpY="201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45"/>
        <w:gridCol w:w="1033"/>
        <w:gridCol w:w="941"/>
        <w:gridCol w:w="975"/>
        <w:gridCol w:w="975"/>
        <w:gridCol w:w="976"/>
        <w:gridCol w:w="1238"/>
      </w:tblGrid>
      <w:tr w:rsidR="000B60D7" w:rsidRPr="00D45A29" w:rsidTr="000B60D7">
        <w:trPr>
          <w:cantSplit/>
          <w:trHeight w:val="367"/>
        </w:trPr>
        <w:tc>
          <w:tcPr>
            <w:tcW w:w="2270" w:type="dxa"/>
            <w:vMerge w:val="restart"/>
            <w:vAlign w:val="center"/>
          </w:tcPr>
          <w:p w:rsidR="000B60D7" w:rsidRPr="00D45A29" w:rsidRDefault="003A5EA3" w:rsidP="000B60D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091" w:type="dxa"/>
            <w:gridSpan w:val="2"/>
            <w:vAlign w:val="center"/>
          </w:tcPr>
          <w:p w:rsidR="000B60D7" w:rsidRPr="00D45A29" w:rsidRDefault="000B60D7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2019</w:t>
            </w:r>
          </w:p>
        </w:tc>
        <w:tc>
          <w:tcPr>
            <w:tcW w:w="1984" w:type="dxa"/>
            <w:gridSpan w:val="2"/>
          </w:tcPr>
          <w:p w:rsidR="000B60D7" w:rsidRPr="00D45A29" w:rsidRDefault="000B60D7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X-XII 2019</w:t>
            </w:r>
          </w:p>
        </w:tc>
        <w:tc>
          <w:tcPr>
            <w:tcW w:w="993" w:type="dxa"/>
          </w:tcPr>
          <w:p w:rsidR="000B60D7" w:rsidRPr="00D45A29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I-XII 2019</w:t>
            </w:r>
          </w:p>
        </w:tc>
        <w:tc>
          <w:tcPr>
            <w:tcW w:w="945" w:type="dxa"/>
            <w:vMerge w:val="restart"/>
            <w:vAlign w:val="center"/>
          </w:tcPr>
          <w:p w:rsidR="000B60D7" w:rsidRPr="00D45A29" w:rsidRDefault="003A5EA3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D45A29">
              <w:rPr>
                <w:rFonts w:cs="Arial"/>
                <w:color w:val="000000" w:themeColor="text1"/>
                <w:sz w:val="15"/>
                <w:szCs w:val="15"/>
                <w:lang w:val="en-GB"/>
              </w:rPr>
              <w:t>CONTRIBUTION OF CHANGES</w:t>
            </w:r>
          </w:p>
          <w:p w:rsidR="000B60D7" w:rsidRPr="00D45A29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XI 2019=</w:t>
            </w:r>
            <w:r w:rsidRPr="00D45A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0B60D7" w:rsidRPr="00D45A29" w:rsidTr="00145121">
        <w:trPr>
          <w:cantSplit/>
          <w:trHeight w:val="57"/>
        </w:trPr>
        <w:tc>
          <w:tcPr>
            <w:tcW w:w="2270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0B60D7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099" w:type="dxa"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2018=</w:t>
            </w: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 2019=</w:t>
            </w: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X-XII 2018=100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VII-IX 2019=100</w:t>
            </w: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I-XII 2018=100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D45A29" w:rsidRDefault="000B60D7" w:rsidP="000B60D7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0,30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-0,04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E0479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0,37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3A5EA3" w:rsidRPr="00D45A29" w:rsidTr="00B250D5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1099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center"/>
          </w:tcPr>
          <w:p w:rsidR="003A5EA3" w:rsidRPr="00D45A29" w:rsidRDefault="003A5EA3" w:rsidP="003A5EA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0,08</w:t>
            </w:r>
          </w:p>
        </w:tc>
      </w:tr>
    </w:tbl>
    <w:p w:rsidR="000B60D7" w:rsidRPr="00D45A29" w:rsidRDefault="000B60D7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FD39F6" w:rsidRPr="00D45A29" w:rsidRDefault="00FD39F6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A07F00" w:rsidRPr="00D45A29" w:rsidRDefault="003A5EA3" w:rsidP="00491A82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D45A2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D45A29" w:rsidRDefault="00A0107C" w:rsidP="00285768">
      <w:pPr>
        <w:rPr>
          <w:lang w:val="en-GB"/>
        </w:rPr>
      </w:pPr>
      <w:r w:rsidRPr="00D45A29">
        <w:rPr>
          <w:lang w:val="en-GB"/>
        </w:rPr>
        <w:t xml:space="preserve">In December </w:t>
      </w:r>
      <w:r w:rsidR="00CF4EE5" w:rsidRPr="00D45A29">
        <w:rPr>
          <w:lang w:val="en-GB"/>
        </w:rPr>
        <w:t>of the current year, compared with the previous month, the highest contrib</w:t>
      </w:r>
      <w:r w:rsidR="00CF4EE5" w:rsidRPr="00D45A29">
        <w:rPr>
          <w:lang w:val="en-GB"/>
        </w:rPr>
        <w:t>u</w:t>
      </w:r>
      <w:r w:rsidR="00CF4EE5" w:rsidRPr="00D45A29">
        <w:rPr>
          <w:lang w:val="en-GB"/>
        </w:rPr>
        <w:t>tion to the total consumer price index came from higher prices related to Transport</w:t>
      </w:r>
      <w:r w:rsidR="00A60AEE" w:rsidRPr="00D45A29">
        <w:rPr>
          <w:lang w:val="en-GB"/>
        </w:rPr>
        <w:t xml:space="preserve"> </w:t>
      </w:r>
      <w:r w:rsidR="00CF4EE5" w:rsidRPr="00D45A29">
        <w:rPr>
          <w:lang w:val="en-GB"/>
        </w:rPr>
        <w:t>(by</w:t>
      </w:r>
      <w:r w:rsidR="00FA0677" w:rsidRPr="00D45A29">
        <w:rPr>
          <w:lang w:val="en-GB"/>
        </w:rPr>
        <w:t> </w:t>
      </w:r>
      <w:r w:rsidR="005316C2" w:rsidRPr="00D45A29">
        <w:rPr>
          <w:lang w:val="en-GB"/>
        </w:rPr>
        <w:t>3,8</w:t>
      </w:r>
      <w:r w:rsidR="006920EA" w:rsidRPr="00D45A29">
        <w:rPr>
          <w:lang w:val="en-GB"/>
        </w:rPr>
        <w:t>%)</w:t>
      </w:r>
      <w:r w:rsidR="005316C2" w:rsidRPr="00D45A29">
        <w:rPr>
          <w:lang w:val="en-GB"/>
        </w:rPr>
        <w:t xml:space="preserve"> </w:t>
      </w:r>
      <w:r w:rsidR="00CF4EE5" w:rsidRPr="00D45A29">
        <w:rPr>
          <w:lang w:val="en-GB"/>
        </w:rPr>
        <w:t>and Food (by</w:t>
      </w:r>
      <w:r w:rsidR="005316C2" w:rsidRPr="00D45A29">
        <w:rPr>
          <w:lang w:val="en-GB"/>
        </w:rPr>
        <w:t xml:space="preserve"> 1,3</w:t>
      </w:r>
      <w:r w:rsidR="006920EA" w:rsidRPr="00D45A29">
        <w:rPr>
          <w:lang w:val="en-GB"/>
        </w:rPr>
        <w:t>%)</w:t>
      </w:r>
      <w:r w:rsidR="00B611C1" w:rsidRPr="00D45A29">
        <w:rPr>
          <w:lang w:val="en-GB"/>
        </w:rPr>
        <w:t xml:space="preserve">, </w:t>
      </w:r>
      <w:r w:rsidR="00CF4EE5" w:rsidRPr="00D45A29">
        <w:rPr>
          <w:lang w:val="en-GB"/>
        </w:rPr>
        <w:t xml:space="preserve">which increased the index by </w:t>
      </w:r>
      <w:r w:rsidR="005316C2" w:rsidRPr="00D45A29">
        <w:rPr>
          <w:lang w:val="en-GB"/>
        </w:rPr>
        <w:t>0,3</w:t>
      </w:r>
      <w:r w:rsidR="00A60AEE" w:rsidRPr="00D45A29">
        <w:rPr>
          <w:lang w:val="en-GB"/>
        </w:rPr>
        <w:t>7</w:t>
      </w:r>
      <w:r w:rsidR="00DE64C5" w:rsidRPr="00D45A29">
        <w:rPr>
          <w:lang w:val="en-GB"/>
        </w:rPr>
        <w:t xml:space="preserve"> p</w:t>
      </w:r>
      <w:r w:rsidR="00CF4EE5" w:rsidRPr="00D45A29">
        <w:rPr>
          <w:lang w:val="en-GB"/>
        </w:rPr>
        <w:t>p and</w:t>
      </w:r>
      <w:r w:rsidR="00030ACD" w:rsidRPr="00D45A29">
        <w:rPr>
          <w:lang w:val="en-GB"/>
        </w:rPr>
        <w:t> </w:t>
      </w:r>
      <w:r w:rsidR="005316C2" w:rsidRPr="00D45A29">
        <w:rPr>
          <w:lang w:val="en-GB"/>
        </w:rPr>
        <w:t>0,31</w:t>
      </w:r>
      <w:r w:rsidR="003A7D83" w:rsidRPr="00D45A29">
        <w:rPr>
          <w:lang w:val="en-GB"/>
        </w:rPr>
        <w:t> </w:t>
      </w:r>
      <w:r w:rsidR="00DE64C5" w:rsidRPr="00D45A29">
        <w:rPr>
          <w:lang w:val="en-GB"/>
        </w:rPr>
        <w:t>p</w:t>
      </w:r>
      <w:r w:rsidR="00CF4EE5" w:rsidRPr="00D45A29">
        <w:rPr>
          <w:lang w:val="en-GB"/>
        </w:rPr>
        <w:t>p</w:t>
      </w:r>
      <w:r w:rsidR="00A41507" w:rsidRPr="00D45A29">
        <w:rPr>
          <w:lang w:val="en-GB"/>
        </w:rPr>
        <w:t>, respectively</w:t>
      </w:r>
      <w:r w:rsidR="00B611C1" w:rsidRPr="00D45A29">
        <w:rPr>
          <w:lang w:val="en-GB"/>
        </w:rPr>
        <w:t xml:space="preserve">. </w:t>
      </w:r>
      <w:r w:rsidR="00A41507" w:rsidRPr="00D45A29">
        <w:rPr>
          <w:lang w:val="en-GB"/>
        </w:rPr>
        <w:t xml:space="preserve">Lower prices </w:t>
      </w:r>
      <w:r w:rsidR="008110EF" w:rsidRPr="00D45A29">
        <w:rPr>
          <w:lang w:val="en-GB"/>
        </w:rPr>
        <w:t>of Clothing and footwear</w:t>
      </w:r>
      <w:r w:rsidR="00B611C1" w:rsidRPr="00D45A29">
        <w:rPr>
          <w:lang w:val="en-GB"/>
        </w:rPr>
        <w:t xml:space="preserve"> </w:t>
      </w:r>
      <w:r w:rsidR="008110EF" w:rsidRPr="00D45A29">
        <w:rPr>
          <w:lang w:val="en-GB"/>
        </w:rPr>
        <w:t>(by</w:t>
      </w:r>
      <w:r w:rsidR="00486EE6" w:rsidRPr="00D45A29">
        <w:rPr>
          <w:lang w:val="en-GB"/>
        </w:rPr>
        <w:t xml:space="preserve"> </w:t>
      </w:r>
      <w:r w:rsidR="005316C2" w:rsidRPr="00D45A29">
        <w:rPr>
          <w:lang w:val="en-GB"/>
        </w:rPr>
        <w:t>0,8</w:t>
      </w:r>
      <w:r w:rsidR="00486EE6" w:rsidRPr="00D45A29">
        <w:rPr>
          <w:lang w:val="en-GB"/>
        </w:rPr>
        <w:t xml:space="preserve">%) </w:t>
      </w:r>
      <w:r w:rsidR="008110EF" w:rsidRPr="00D45A29">
        <w:rPr>
          <w:lang w:val="en-GB"/>
        </w:rPr>
        <w:t xml:space="preserve">decreased the index by </w:t>
      </w:r>
      <w:r w:rsidR="005316C2" w:rsidRPr="00D45A29">
        <w:rPr>
          <w:lang w:val="en-GB"/>
        </w:rPr>
        <w:t>0,04</w:t>
      </w:r>
      <w:r w:rsidR="00B611C1" w:rsidRPr="00D45A29">
        <w:rPr>
          <w:lang w:val="en-GB"/>
        </w:rPr>
        <w:t xml:space="preserve"> p</w:t>
      </w:r>
      <w:r w:rsidR="008110EF" w:rsidRPr="00D45A29">
        <w:rPr>
          <w:lang w:val="en-GB"/>
        </w:rPr>
        <w:t>p</w:t>
      </w:r>
      <w:r w:rsidR="005316C2" w:rsidRPr="00D45A29">
        <w:rPr>
          <w:lang w:val="en-GB"/>
        </w:rPr>
        <w:t>.</w:t>
      </w:r>
      <w:r w:rsidR="00917CCF" w:rsidRPr="00D45A29">
        <w:rPr>
          <w:highlight w:val="yellow"/>
          <w:lang w:val="en-GB"/>
        </w:rPr>
        <w:br/>
      </w:r>
      <w:r w:rsidR="00632402" w:rsidRPr="00D45A29">
        <w:rPr>
          <w:lang w:val="en-GB"/>
        </w:rPr>
        <w:t xml:space="preserve">Compared with the corresponding month of the previous year, higher prices of </w:t>
      </w:r>
      <w:r w:rsidR="00D45A29">
        <w:rPr>
          <w:lang w:val="en-GB"/>
        </w:rPr>
        <w:t>Food (</w:t>
      </w:r>
      <w:r w:rsidR="00632402" w:rsidRPr="00D45A29">
        <w:rPr>
          <w:lang w:val="en-GB"/>
        </w:rPr>
        <w:t>by</w:t>
      </w:r>
      <w:r w:rsidR="00A07F00" w:rsidRPr="00D45A29">
        <w:rPr>
          <w:lang w:val="en-GB"/>
        </w:rPr>
        <w:t> </w:t>
      </w:r>
      <w:r w:rsidR="005316C2" w:rsidRPr="00D45A29">
        <w:rPr>
          <w:lang w:val="en-GB"/>
        </w:rPr>
        <w:t>7</w:t>
      </w:r>
      <w:r w:rsidR="00C11CBD" w:rsidRPr="00D45A29">
        <w:rPr>
          <w:lang w:val="en-GB"/>
        </w:rPr>
        <w:t>,</w:t>
      </w:r>
      <w:r w:rsidR="005316C2" w:rsidRPr="00D45A29">
        <w:rPr>
          <w:lang w:val="en-GB"/>
        </w:rPr>
        <w:t>5</w:t>
      </w:r>
      <w:r w:rsidR="00674A8B" w:rsidRPr="00D45A29">
        <w:rPr>
          <w:lang w:val="en-GB"/>
        </w:rPr>
        <w:t>%)</w:t>
      </w:r>
      <w:r w:rsidR="004B4C23" w:rsidRPr="00D45A29">
        <w:rPr>
          <w:lang w:val="en-GB"/>
        </w:rPr>
        <w:t>,</w:t>
      </w:r>
      <w:r w:rsidR="00C11CBD" w:rsidRPr="00D45A29">
        <w:rPr>
          <w:lang w:val="en-GB"/>
        </w:rPr>
        <w:t xml:space="preserve"> </w:t>
      </w:r>
      <w:r w:rsidR="00632402" w:rsidRPr="00D45A29">
        <w:rPr>
          <w:lang w:val="en-GB"/>
        </w:rPr>
        <w:t>related to Dwelling</w:t>
      </w:r>
      <w:r w:rsidR="0094622C" w:rsidRPr="00D45A29">
        <w:rPr>
          <w:lang w:val="en-GB"/>
        </w:rPr>
        <w:t xml:space="preserve"> </w:t>
      </w:r>
      <w:r w:rsidR="00632402" w:rsidRPr="00D45A29">
        <w:rPr>
          <w:lang w:val="en-GB"/>
        </w:rPr>
        <w:t>(by</w:t>
      </w:r>
      <w:r w:rsidR="00C11CBD" w:rsidRPr="00D45A29">
        <w:rPr>
          <w:lang w:val="en-GB"/>
        </w:rPr>
        <w:t xml:space="preserve"> 1,6%)</w:t>
      </w:r>
      <w:r w:rsidR="004B4C23" w:rsidRPr="00D45A29">
        <w:rPr>
          <w:lang w:val="en-GB"/>
        </w:rPr>
        <w:t xml:space="preserve">, </w:t>
      </w:r>
      <w:r w:rsidR="00632402" w:rsidRPr="00D45A29">
        <w:rPr>
          <w:lang w:val="en-GB"/>
        </w:rPr>
        <w:t>Restaurants and hotels (by</w:t>
      </w:r>
      <w:r w:rsidR="004B4C23" w:rsidRPr="00D45A29">
        <w:rPr>
          <w:lang w:val="en-GB"/>
        </w:rPr>
        <w:t xml:space="preserve"> 5,4%) </w:t>
      </w:r>
      <w:r w:rsidR="00632402" w:rsidRPr="00D45A29">
        <w:rPr>
          <w:lang w:val="en-GB"/>
        </w:rPr>
        <w:t xml:space="preserve">and </w:t>
      </w:r>
      <w:r w:rsidR="00D45A29" w:rsidRPr="00D45A29">
        <w:rPr>
          <w:lang w:val="en-GB"/>
        </w:rPr>
        <w:t>Recreation</w:t>
      </w:r>
      <w:r w:rsidR="00632402" w:rsidRPr="00D45A29">
        <w:rPr>
          <w:lang w:val="en-GB"/>
        </w:rPr>
        <w:t xml:space="preserve"> and culture (by</w:t>
      </w:r>
      <w:r w:rsidR="004B4C23" w:rsidRPr="00D45A29">
        <w:rPr>
          <w:lang w:val="en-GB"/>
        </w:rPr>
        <w:t xml:space="preserve"> 3,6%)</w:t>
      </w:r>
      <w:r w:rsidR="00C11CBD" w:rsidRPr="00D45A29">
        <w:rPr>
          <w:lang w:val="en-GB"/>
        </w:rPr>
        <w:t xml:space="preserve"> </w:t>
      </w:r>
      <w:r w:rsidR="00632402" w:rsidRPr="00D45A29">
        <w:rPr>
          <w:lang w:val="en-GB"/>
        </w:rPr>
        <w:t xml:space="preserve">increased the consumer price index by </w:t>
      </w:r>
      <w:r w:rsidR="005316C2" w:rsidRPr="00D45A29">
        <w:rPr>
          <w:lang w:val="en-GB"/>
        </w:rPr>
        <w:t>1,69</w:t>
      </w:r>
      <w:r w:rsidR="00A07F00" w:rsidRPr="00D45A29">
        <w:rPr>
          <w:lang w:val="en-GB"/>
        </w:rPr>
        <w:t xml:space="preserve"> p</w:t>
      </w:r>
      <w:r w:rsidR="00632402" w:rsidRPr="00D45A29">
        <w:rPr>
          <w:lang w:val="en-GB"/>
        </w:rPr>
        <w:t>p,</w:t>
      </w:r>
      <w:r w:rsidR="00A8101D" w:rsidRPr="00D45A29">
        <w:rPr>
          <w:lang w:val="en-GB"/>
        </w:rPr>
        <w:t xml:space="preserve"> </w:t>
      </w:r>
      <w:r w:rsidR="004B4C23" w:rsidRPr="00D45A29">
        <w:rPr>
          <w:lang w:val="en-GB"/>
        </w:rPr>
        <w:t>0,41</w:t>
      </w:r>
      <w:r w:rsidR="00B250D5" w:rsidRPr="00D45A29">
        <w:rPr>
          <w:lang w:val="en-GB"/>
        </w:rPr>
        <w:t xml:space="preserve"> p</w:t>
      </w:r>
      <w:r w:rsidR="00A8101D" w:rsidRPr="00D45A29">
        <w:rPr>
          <w:lang w:val="en-GB"/>
        </w:rPr>
        <w:t>p</w:t>
      </w:r>
      <w:r w:rsidR="00A06D23" w:rsidRPr="00D45A29">
        <w:rPr>
          <w:lang w:val="en-GB"/>
        </w:rPr>
        <w:t>,</w:t>
      </w:r>
      <w:r w:rsidR="00C11CBD" w:rsidRPr="00D45A29">
        <w:rPr>
          <w:lang w:val="en-GB"/>
        </w:rPr>
        <w:t xml:space="preserve"> </w:t>
      </w:r>
      <w:r w:rsidR="009D1423" w:rsidRPr="00D45A29">
        <w:rPr>
          <w:lang w:val="en-GB"/>
        </w:rPr>
        <w:t>0,</w:t>
      </w:r>
      <w:r w:rsidR="004B4C23" w:rsidRPr="00D45A29">
        <w:rPr>
          <w:lang w:val="en-GB"/>
        </w:rPr>
        <w:t>34</w:t>
      </w:r>
      <w:r w:rsidR="00FA0677" w:rsidRPr="00D45A29">
        <w:rPr>
          <w:lang w:val="en-GB"/>
        </w:rPr>
        <w:t> </w:t>
      </w:r>
      <w:r w:rsidR="009D1423" w:rsidRPr="00D45A29">
        <w:rPr>
          <w:lang w:val="en-GB"/>
        </w:rPr>
        <w:t>p</w:t>
      </w:r>
      <w:r w:rsidR="00A8101D" w:rsidRPr="00D45A29">
        <w:rPr>
          <w:lang w:val="en-GB"/>
        </w:rPr>
        <w:t>p and 0</w:t>
      </w:r>
      <w:r w:rsidR="004B4C23" w:rsidRPr="00D45A29">
        <w:rPr>
          <w:lang w:val="en-GB"/>
        </w:rPr>
        <w:t>,23 p</w:t>
      </w:r>
      <w:r w:rsidR="00A8101D" w:rsidRPr="00D45A29">
        <w:rPr>
          <w:lang w:val="en-GB"/>
        </w:rPr>
        <w:t>p, respectively</w:t>
      </w:r>
      <w:r w:rsidR="004B4C23" w:rsidRPr="00D45A29">
        <w:rPr>
          <w:lang w:val="en-GB"/>
        </w:rPr>
        <w:t>.</w:t>
      </w:r>
      <w:r w:rsidR="00A07F00" w:rsidRPr="00D45A29">
        <w:rPr>
          <w:lang w:val="en-GB"/>
        </w:rPr>
        <w:t xml:space="preserve"> </w:t>
      </w:r>
      <w:r w:rsidR="00A8101D" w:rsidRPr="00D45A29">
        <w:rPr>
          <w:lang w:val="en-GB"/>
        </w:rPr>
        <w:t xml:space="preserve">Lower prices of Clothing and footwear </w:t>
      </w:r>
      <w:r w:rsidR="00A8101D" w:rsidRPr="00D45A29">
        <w:rPr>
          <w:spacing w:val="-2"/>
          <w:lang w:val="en-GB"/>
        </w:rPr>
        <w:t>(by</w:t>
      </w:r>
      <w:r w:rsidR="003405A4" w:rsidRPr="00D45A29">
        <w:rPr>
          <w:spacing w:val="-2"/>
          <w:lang w:val="en-GB"/>
        </w:rPr>
        <w:t xml:space="preserve"> 1,</w:t>
      </w:r>
      <w:r w:rsidR="00C11CBD" w:rsidRPr="00D45A29">
        <w:rPr>
          <w:spacing w:val="-2"/>
          <w:lang w:val="en-GB"/>
        </w:rPr>
        <w:t>2</w:t>
      </w:r>
      <w:r w:rsidR="003405A4" w:rsidRPr="00D45A29">
        <w:rPr>
          <w:spacing w:val="-2"/>
          <w:lang w:val="en-GB"/>
        </w:rPr>
        <w:t>%)</w:t>
      </w:r>
      <w:r w:rsidR="00674A8B" w:rsidRPr="00D45A29">
        <w:rPr>
          <w:spacing w:val="-2"/>
          <w:lang w:val="en-GB"/>
        </w:rPr>
        <w:t xml:space="preserve"> </w:t>
      </w:r>
      <w:r w:rsidR="00A8101D" w:rsidRPr="00D45A29">
        <w:rPr>
          <w:lang w:val="en-GB"/>
        </w:rPr>
        <w:t>decreased the index by</w:t>
      </w:r>
      <w:r w:rsidR="00A06D23" w:rsidRPr="00D45A29">
        <w:rPr>
          <w:spacing w:val="-2"/>
          <w:lang w:val="en-GB"/>
        </w:rPr>
        <w:t> </w:t>
      </w:r>
      <w:r w:rsidR="00C11CBD" w:rsidRPr="00D45A29">
        <w:rPr>
          <w:spacing w:val="-2"/>
          <w:lang w:val="en-GB"/>
        </w:rPr>
        <w:t>0,06</w:t>
      </w:r>
      <w:r w:rsidR="00A06D23" w:rsidRPr="00D45A29">
        <w:rPr>
          <w:spacing w:val="-2"/>
          <w:lang w:val="en-GB"/>
        </w:rPr>
        <w:t> </w:t>
      </w:r>
      <w:r w:rsidR="003A7D83" w:rsidRPr="00D45A29">
        <w:rPr>
          <w:spacing w:val="-2"/>
          <w:lang w:val="en-GB"/>
        </w:rPr>
        <w:t>p</w:t>
      </w:r>
      <w:r w:rsidR="00A8101D" w:rsidRPr="00D45A29">
        <w:rPr>
          <w:spacing w:val="-2"/>
          <w:lang w:val="en-GB"/>
        </w:rPr>
        <w:t>p</w:t>
      </w:r>
      <w:r w:rsidR="00A07F00" w:rsidRPr="00D45A29">
        <w:rPr>
          <w:spacing w:val="-2"/>
          <w:lang w:val="en-GB"/>
        </w:rPr>
        <w:t>.</w:t>
      </w:r>
    </w:p>
    <w:p w:rsidR="00A07F00" w:rsidRPr="00D45A29" w:rsidRDefault="00A07F00" w:rsidP="00C27D75">
      <w:pPr>
        <w:rPr>
          <w:highlight w:val="yellow"/>
          <w:lang w:val="en-GB"/>
        </w:rPr>
      </w:pPr>
    </w:p>
    <w:p w:rsidR="00A07F00" w:rsidRPr="00D45A29" w:rsidRDefault="000F50BC" w:rsidP="00E0479E">
      <w:pPr>
        <w:pStyle w:val="tytuwykresu"/>
        <w:ind w:left="680" w:hanging="680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13888" behindDoc="0" locked="0" layoutInCell="1" allowOverlap="1" wp14:anchorId="18D1965B" wp14:editId="3B81CD1E">
            <wp:simplePos x="0" y="0"/>
            <wp:positionH relativeFrom="column">
              <wp:posOffset>0</wp:posOffset>
            </wp:positionH>
            <wp:positionV relativeFrom="paragraph">
              <wp:posOffset>415290</wp:posOffset>
            </wp:positionV>
            <wp:extent cx="5122545" cy="2661920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74" w:rsidRPr="00D45A29">
        <w:rPr>
          <w:noProof/>
          <w:lang w:val="en-GB" w:eastAsia="en-GB"/>
        </w:rPr>
        <w:t xml:space="preserve"> Chart 1. Contribution of price changes of selected groups of consumer goods and services </w:t>
      </w:r>
      <w:r w:rsidR="00574374" w:rsidRPr="00D45A29">
        <w:rPr>
          <w:noProof/>
          <w:lang w:val="en-GB" w:eastAsia="en-GB"/>
        </w:rPr>
        <w:br/>
        <w:t xml:space="preserve">in </w:t>
      </w:r>
      <w:r w:rsidR="00574374" w:rsidRPr="00E331CF">
        <w:rPr>
          <w:noProof/>
          <w:lang w:val="en-GB" w:eastAsia="en-GB"/>
        </w:rPr>
        <w:t>December 2019 (change in pp compared with the previous period)</w:t>
      </w:r>
      <w:r w:rsidR="007A0E39" w:rsidRPr="007A0E39">
        <w:rPr>
          <w:noProof/>
          <w:lang w:val="en-GB" w:eastAsia="en-GB"/>
        </w:rPr>
        <w:t xml:space="preserve"> </w:t>
      </w:r>
    </w:p>
    <w:p w:rsidR="00F60B5D" w:rsidRPr="00D45A29" w:rsidRDefault="00574374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  <w:r w:rsidRPr="00D45A29">
        <w:rPr>
          <w:noProof/>
          <w:lang w:val="en-GB" w:eastAsia="en-GB"/>
        </w:rPr>
        <w:drawing>
          <wp:anchor distT="0" distB="0" distL="114300" distR="114300" simplePos="0" relativeHeight="251812864" behindDoc="0" locked="0" layoutInCell="1" allowOverlap="1" wp14:anchorId="7DA6CA3E" wp14:editId="02A99E45">
            <wp:simplePos x="0" y="0"/>
            <wp:positionH relativeFrom="column">
              <wp:posOffset>2540</wp:posOffset>
            </wp:positionH>
            <wp:positionV relativeFrom="paragraph">
              <wp:posOffset>3248660</wp:posOffset>
            </wp:positionV>
            <wp:extent cx="5122545" cy="3599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B5E" w:rsidRPr="00D45A29" w:rsidRDefault="00E0479E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E0479E" w:rsidRPr="00BF2F65" w:rsidRDefault="00E0479E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2019, similarly to previous years, the largest share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of expenditures in the compil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,89%) and goods and services 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tricity, gas and other fuels (19,17%)</w:t>
                  </w:r>
                </w:p>
              </w:txbxContent>
            </v:textbox>
            <w10:wrap type="tight" anchory="page"/>
          </v:shape>
        </w:pict>
      </w:r>
      <w:r w:rsidR="00574374" w:rsidRPr="00D45A29">
        <w:rPr>
          <w:b/>
          <w:noProof/>
          <w:spacing w:val="-2"/>
          <w:sz w:val="18"/>
          <w:lang w:val="en-GB" w:eastAsia="en-GB"/>
        </w:rPr>
        <w:t xml:space="preserve">Chart 2. </w:t>
      </w:r>
      <w:r w:rsidR="00574374" w:rsidRPr="00D45A29">
        <w:rPr>
          <w:b/>
          <w:spacing w:val="-2"/>
          <w:sz w:val="18"/>
          <w:lang w:val="en-GB"/>
        </w:rPr>
        <w:t>Weighting system used in the compilations of consumer price indices in 2019</w:t>
      </w:r>
      <w:r w:rsidR="00C73B5E" w:rsidRPr="00D45A29">
        <w:rPr>
          <w:highlight w:val="yellow"/>
          <w:lang w:val="en-GB"/>
        </w:rPr>
        <w:br w:type="page"/>
      </w:r>
    </w:p>
    <w:p w:rsidR="003A440F" w:rsidRPr="00D45A29" w:rsidRDefault="00171DA5" w:rsidP="00C27D75">
      <w:pPr>
        <w:pStyle w:val="tytuwykresu"/>
        <w:rPr>
          <w:b w:val="0"/>
          <w:noProof/>
          <w:highlight w:val="yellow"/>
          <w:shd w:val="clear" w:color="auto" w:fill="FFFFFF"/>
          <w:lang w:val="en-GB" w:eastAsia="pl-PL"/>
        </w:rPr>
      </w:pPr>
      <w:r w:rsidRPr="00D45A29">
        <w:rPr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0" wp14:anchorId="40296634" wp14:editId="0F42A805">
            <wp:simplePos x="0" y="0"/>
            <wp:positionH relativeFrom="column">
              <wp:posOffset>0</wp:posOffset>
            </wp:positionH>
            <wp:positionV relativeFrom="paragraph">
              <wp:posOffset>282161</wp:posOffset>
            </wp:positionV>
            <wp:extent cx="5112000" cy="2530800"/>
            <wp:effectExtent l="0" t="0" r="0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2D2" w:rsidRPr="00D45A29">
        <w:rPr>
          <w:noProof/>
          <w:lang w:val="en-GB" w:eastAsia="en-GB"/>
        </w:rPr>
        <w:t xml:space="preserve"> Chart 3. Consumer prices (change in % compared with the previous period)</w:t>
      </w:r>
    </w:p>
    <w:p w:rsidR="00DA0243" w:rsidRPr="00D45A29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D45A29" w:rsidRDefault="00E0479E" w:rsidP="002902D2">
      <w:pPr>
        <w:pStyle w:val="tytuwykresu"/>
        <w:ind w:left="737" w:hanging="737"/>
        <w:rPr>
          <w:highlight w:val="yellow"/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E0479E" w:rsidRPr="00BF2F65" w:rsidRDefault="00E0479E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December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2019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the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n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sumer price index was within the 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2902D2" w:rsidRPr="00D45A29">
        <w:rPr>
          <w:spacing w:val="0"/>
          <w:lang w:val="en-GB"/>
        </w:rPr>
        <w:t xml:space="preserve"> Chart 4. Consumer prices</w:t>
      </w:r>
      <w:r w:rsidR="002902D2" w:rsidRPr="00D45A29">
        <w:rPr>
          <w:bCs/>
          <w:spacing w:val="0"/>
          <w:shd w:val="clear" w:color="auto" w:fill="FFFFFF"/>
          <w:lang w:val="en-GB"/>
        </w:rPr>
        <w:t xml:space="preserve"> </w:t>
      </w:r>
      <w:r w:rsidR="002902D2" w:rsidRPr="00D45A29">
        <w:rPr>
          <w:bCs/>
          <w:spacing w:val="0"/>
          <w:shd w:val="clear" w:color="auto" w:fill="FFFFFF"/>
          <w:lang w:val="en-GB"/>
        </w:rPr>
        <w:br/>
      </w:r>
      <w:r w:rsidR="002902D2" w:rsidRPr="00D45A29">
        <w:rPr>
          <w:spacing w:val="0"/>
          <w:lang w:val="en-GB"/>
        </w:rPr>
        <w:t>(change in % compared with the corresponding period of the previous year)</w:t>
      </w:r>
    </w:p>
    <w:p w:rsidR="00034160" w:rsidRPr="00D45A29" w:rsidRDefault="00696549" w:rsidP="00740107">
      <w:pPr>
        <w:spacing w:before="0" w:line="259" w:lineRule="auto"/>
        <w:rPr>
          <w:sz w:val="18"/>
          <w:highlight w:val="yellow"/>
          <w:lang w:val="en-GB"/>
        </w:rPr>
      </w:pPr>
      <w:r w:rsidRPr="00D45A29">
        <w:rPr>
          <w:noProof/>
          <w:lang w:val="en-GB" w:eastAsia="en-GB"/>
        </w:rPr>
        <w:drawing>
          <wp:inline distT="0" distB="0" distL="0" distR="0" wp14:anchorId="0B348B1B" wp14:editId="79C942A1">
            <wp:extent cx="5122545" cy="255968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D7D57" w:rsidRDefault="003D7D57" w:rsidP="002902D2">
      <w:pPr>
        <w:pStyle w:val="tytuwykresu"/>
        <w:ind w:left="680" w:hanging="680"/>
        <w:rPr>
          <w:lang w:val="en-GB"/>
        </w:rPr>
      </w:pPr>
    </w:p>
    <w:p w:rsidR="001E7DBB" w:rsidRPr="00D45A29" w:rsidRDefault="002902D2" w:rsidP="002902D2">
      <w:pPr>
        <w:pStyle w:val="tytuwykresu"/>
        <w:ind w:left="680" w:hanging="680"/>
        <w:rPr>
          <w:bCs/>
          <w:shd w:val="clear" w:color="auto" w:fill="FFFFFF"/>
          <w:lang w:val="en-GB"/>
        </w:rPr>
      </w:pPr>
      <w:r w:rsidRPr="00D45A29">
        <w:rPr>
          <w:lang w:val="en-GB"/>
        </w:rPr>
        <w:t>Chart 5.</w:t>
      </w:r>
      <w:r w:rsidRPr="00D45A29">
        <w:rPr>
          <w:shd w:val="clear" w:color="auto" w:fill="FFFFFF"/>
          <w:lang w:val="en-GB"/>
        </w:rPr>
        <w:t xml:space="preserve"> </w:t>
      </w:r>
      <w:r w:rsidRPr="00D45A29">
        <w:rPr>
          <w:bCs/>
          <w:shd w:val="clear" w:color="auto" w:fill="FFFFFF"/>
          <w:lang w:val="en-GB"/>
        </w:rPr>
        <w:t>Consumer price index (CPI) and harmonised index of consumer prices (HICP)</w:t>
      </w:r>
      <w:r w:rsidRPr="00D45A29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D45A29" w:rsidRDefault="000A0FD3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D45A29">
        <w:rPr>
          <w:sz w:val="18"/>
          <w:highlight w:val="yellow"/>
          <w:lang w:val="en-GB"/>
        </w:rPr>
        <w:t xml:space="preserve"> </w:t>
      </w:r>
      <w:r w:rsidR="005A6C7D" w:rsidRPr="00D45A29">
        <w:rPr>
          <w:noProof/>
          <w:lang w:val="en-GB" w:eastAsia="en-GB"/>
        </w:rPr>
        <w:drawing>
          <wp:inline distT="0" distB="0" distL="0" distR="0" wp14:anchorId="390E00B1" wp14:editId="693D56D9">
            <wp:extent cx="5122545" cy="247078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20461" w:rsidRPr="00D45A29">
        <w:rPr>
          <w:sz w:val="18"/>
          <w:highlight w:val="yellow"/>
          <w:lang w:val="en-GB"/>
        </w:rPr>
        <w:br w:type="page"/>
      </w:r>
    </w:p>
    <w:p w:rsidR="00516A50" w:rsidRPr="00D45A29" w:rsidRDefault="002902D2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D45A29">
        <w:rPr>
          <w:sz w:val="18"/>
          <w:lang w:val="en-GB"/>
        </w:rPr>
        <w:lastRenderedPageBreak/>
        <w:t>Table 2.</w:t>
      </w:r>
      <w:r w:rsidRPr="00D45A29">
        <w:rPr>
          <w:sz w:val="18"/>
          <w:shd w:val="clear" w:color="auto" w:fill="FFFFFF"/>
          <w:lang w:val="en-GB"/>
        </w:rPr>
        <w:t xml:space="preserve"> </w:t>
      </w:r>
      <w:r w:rsidRPr="00D45A29">
        <w:rPr>
          <w:bCs/>
          <w:sz w:val="18"/>
          <w:shd w:val="clear" w:color="auto" w:fill="FFFFFF"/>
          <w:lang w:val="en-GB"/>
        </w:rPr>
        <w:t xml:space="preserve">Consumer price indices in December </w:t>
      </w:r>
      <w:r w:rsidRPr="00D45A29">
        <w:rPr>
          <w:sz w:val="18"/>
          <w:lang w:val="en-GB"/>
        </w:rPr>
        <w:t>2019</w:t>
      </w:r>
    </w:p>
    <w:p w:rsidR="00460C26" w:rsidRPr="00D45A29" w:rsidRDefault="00460C26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21"/>
        <w:gridCol w:w="922"/>
        <w:gridCol w:w="921"/>
        <w:gridCol w:w="922"/>
        <w:gridCol w:w="992"/>
      </w:tblGrid>
      <w:tr w:rsidR="000B60D7" w:rsidRPr="00D45A29" w:rsidTr="000B60D7">
        <w:trPr>
          <w:trHeight w:val="315"/>
          <w:tblHeader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B60D7" w:rsidRPr="00D45A29" w:rsidRDefault="002902D2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XII 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X-XII 2019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I-XII 2019</w:t>
            </w:r>
          </w:p>
        </w:tc>
      </w:tr>
      <w:tr w:rsidR="000B60D7" w:rsidRPr="00D45A29" w:rsidTr="000B60D7">
        <w:trPr>
          <w:trHeight w:val="465"/>
          <w:tblHeader/>
        </w:trPr>
        <w:tc>
          <w:tcPr>
            <w:tcW w:w="3402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0B60D7" w:rsidRPr="00D45A29" w:rsidRDefault="000B60D7" w:rsidP="000B60D7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XI 2019=</w:t>
            </w: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X-XII</w:t>
            </w: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2018=100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VII-IX 2019=100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I-XII </w:t>
            </w:r>
          </w:p>
          <w:p w:rsidR="000B60D7" w:rsidRPr="00D45A29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Calibri"/>
                <w:sz w:val="16"/>
                <w:szCs w:val="16"/>
                <w:lang w:val="en-GB" w:eastAsia="pl-PL"/>
              </w:rPr>
              <w:t>2018=100</w:t>
            </w:r>
          </w:p>
        </w:tc>
      </w:tr>
      <w:tr w:rsidR="002902D2" w:rsidRPr="00D45A29" w:rsidTr="00892238">
        <w:trPr>
          <w:trHeight w:val="330"/>
        </w:trPr>
        <w:tc>
          <w:tcPr>
            <w:tcW w:w="340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highlight w:val="yellow"/>
                <w:lang w:val="en-GB" w:eastAsia="pl-PL"/>
              </w:rPr>
            </w:pPr>
            <w:r w:rsidRPr="00D45A29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2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2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2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2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101,7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103,9</w:t>
            </w:r>
          </w:p>
        </w:tc>
      </w:tr>
      <w:tr w:rsidR="002902D2" w:rsidRPr="00D45A29" w:rsidTr="00892238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2902D2" w:rsidRPr="00D45A29" w:rsidRDefault="002902D2" w:rsidP="00E0479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D45A29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98,9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108,0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108,6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112,8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110,0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105,6</w:t>
            </w:r>
          </w:p>
        </w:tc>
      </w:tr>
      <w:tr w:rsidR="002902D2" w:rsidRPr="00D45A29" w:rsidTr="00491A82">
        <w:trPr>
          <w:trHeight w:val="229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123,6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106,8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117,9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109,6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110,0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 w:line="240" w:lineRule="auto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99,8</w:t>
            </w:r>
          </w:p>
        </w:tc>
      </w:tr>
      <w:tr w:rsidR="002902D2" w:rsidRPr="00D45A29" w:rsidTr="008922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92,4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92,3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90,9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95,5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113,2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98,7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114,8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119,8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120,7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122,5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116,9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103,5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98,1</w:t>
            </w:r>
          </w:p>
        </w:tc>
      </w:tr>
      <w:tr w:rsidR="002902D2" w:rsidRPr="00D45A29" w:rsidTr="00276F83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</w:tr>
      <w:tr w:rsidR="002902D2" w:rsidRPr="00D45A29" w:rsidTr="00892238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AND </w:t>
            </w:r>
          </w:p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OTHER FUELS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</w:tr>
      <w:tr w:rsidR="002902D2" w:rsidRPr="00D45A29" w:rsidTr="00276F83">
        <w:trPr>
          <w:trHeight w:val="189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132,2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131,7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121,4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103,7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94,2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93,9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102,7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</w:tr>
      <w:tr w:rsidR="002902D2" w:rsidRPr="00D45A29" w:rsidTr="00892238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</w:tr>
      <w:tr w:rsidR="002902D2" w:rsidRPr="00D45A29" w:rsidTr="002F321F">
        <w:trPr>
          <w:trHeight w:val="228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3D7D57">
        <w:trPr>
          <w:trHeight w:val="38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100,8</w:t>
            </w:r>
          </w:p>
        </w:tc>
      </w:tr>
      <w:tr w:rsidR="002902D2" w:rsidRPr="00D45A29" w:rsidTr="003D7D57">
        <w:trPr>
          <w:trHeight w:val="304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3D7D57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103,2</w:t>
            </w:r>
          </w:p>
        </w:tc>
      </w:tr>
      <w:tr w:rsidR="002902D2" w:rsidRPr="00D45A29" w:rsidTr="002F321F">
        <w:trPr>
          <w:trHeight w:val="2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101,8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100,7</w:t>
            </w:r>
          </w:p>
        </w:tc>
      </w:tr>
      <w:tr w:rsidR="002902D2" w:rsidRPr="00D45A29" w:rsidTr="002F321F">
        <w:trPr>
          <w:trHeight w:val="194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</w:tr>
      <w:tr w:rsidR="002902D2" w:rsidRPr="00D45A29" w:rsidTr="003D7D57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103,1</w:t>
            </w:r>
          </w:p>
        </w:tc>
      </w:tr>
      <w:tr w:rsidR="002902D2" w:rsidRPr="00D45A29" w:rsidTr="003D7D57">
        <w:trPr>
          <w:trHeight w:val="27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</w:tr>
      <w:tr w:rsidR="002902D2" w:rsidRPr="00D45A29" w:rsidTr="00240D21">
        <w:trPr>
          <w:trHeight w:val="57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114,3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86,4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129,4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97,8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103,5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92,3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90,3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99,7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mation processing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95,3</w:t>
            </w:r>
          </w:p>
        </w:tc>
      </w:tr>
      <w:tr w:rsidR="002902D2" w:rsidRPr="00D45A29" w:rsidTr="00892238">
        <w:trPr>
          <w:trHeight w:val="300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</w:tr>
      <w:tr w:rsidR="002902D2" w:rsidRPr="00D45A29" w:rsidTr="008922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licence fees, subscriptions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108,0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103,2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108,0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96,8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104,0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110,4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109,9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95,5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107,3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103,6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m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ing establishments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105,1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Articles for personal hygiene and </w:t>
            </w:r>
            <w:r w:rsidR="00240D21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wel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l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ness, esoteric products and beauty pro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d</w:t>
            </w: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ucts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104,9</w:t>
            </w:r>
          </w:p>
        </w:tc>
      </w:tr>
      <w:tr w:rsidR="002902D2" w:rsidRPr="00D45A29" w:rsidTr="00892238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107,8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102,2</w:t>
            </w:r>
          </w:p>
        </w:tc>
      </w:tr>
      <w:tr w:rsidR="002902D2" w:rsidRPr="00D45A29" w:rsidTr="00C13AD1">
        <w:trPr>
          <w:trHeight w:val="24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E0479E">
            <w:pPr>
              <w:spacing w:before="6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2D2" w:rsidRPr="00D45A29" w:rsidRDefault="002902D2" w:rsidP="00892238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</w:pPr>
            <w:r w:rsidRPr="00D45A29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98,2</w:t>
            </w:r>
          </w:p>
        </w:tc>
      </w:tr>
    </w:tbl>
    <w:p w:rsidR="000B60D7" w:rsidRPr="00D45A29" w:rsidRDefault="000B60D7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9E3FA7" w:rsidRPr="00D45A29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685123" w:rsidRPr="00D45A29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D45A29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D45A29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E46C9E" w:rsidRPr="00D45A29" w:rsidTr="00E0479E">
        <w:trPr>
          <w:trHeight w:val="1912"/>
        </w:trPr>
        <w:tc>
          <w:tcPr>
            <w:tcW w:w="4248" w:type="dxa"/>
          </w:tcPr>
          <w:p w:rsidR="00E46C9E" w:rsidRPr="00D45A29" w:rsidRDefault="00E46C9E" w:rsidP="00E46C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E46C9E" w:rsidRPr="00D45A29" w:rsidRDefault="00E46C9E" w:rsidP="00E46C9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E46C9E" w:rsidRPr="00D45A29" w:rsidRDefault="00E46C9E" w:rsidP="00E46C9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E46C9E" w:rsidRPr="00D45A29" w:rsidRDefault="00D45A29" w:rsidP="00E46C9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="00E46C9E"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E46C9E" w:rsidRPr="00D45A29" w:rsidRDefault="00E46C9E" w:rsidP="00E46C9E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E46C9E" w:rsidRPr="00D45A29" w:rsidTr="00E0479E">
        <w:trPr>
          <w:trHeight w:val="610"/>
        </w:trPr>
        <w:tc>
          <w:tcPr>
            <w:tcW w:w="2721" w:type="pct"/>
            <w:vMerge w:val="restart"/>
            <w:vAlign w:val="center"/>
          </w:tcPr>
          <w:p w:rsidR="00E46C9E" w:rsidRPr="00D45A29" w:rsidRDefault="00E46C9E" w:rsidP="00E46C9E">
            <w:pPr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E46C9E" w:rsidRPr="00D45A29" w:rsidRDefault="00E46C9E" w:rsidP="00E46C9E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E46C9E" w:rsidRPr="00D45A29" w:rsidRDefault="00E46C9E" w:rsidP="00E46C9E">
            <w:pPr>
              <w:rPr>
                <w:b/>
                <w:sz w:val="18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2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  <w:r w:rsidRPr="00D45A2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7744" behindDoc="0" locked="0" layoutInCell="1" allowOverlap="1" wp14:anchorId="7139A6C9" wp14:editId="4BC052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E46C9E" w:rsidRPr="00D45A29" w:rsidRDefault="00E0479E" w:rsidP="00E46C9E">
            <w:pPr>
              <w:rPr>
                <w:sz w:val="18"/>
                <w:lang w:val="en-GB"/>
              </w:rPr>
            </w:pPr>
            <w:hyperlink r:id="rId24" w:history="1"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E46C9E" w:rsidRPr="00D45A29" w:rsidTr="00E0479E">
        <w:trPr>
          <w:trHeight w:val="436"/>
        </w:trPr>
        <w:tc>
          <w:tcPr>
            <w:tcW w:w="2721" w:type="pct"/>
            <w:vMerge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  <w:r w:rsidRPr="00D45A2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9792" behindDoc="0" locked="0" layoutInCell="1" allowOverlap="1" wp14:anchorId="2C31633D" wp14:editId="7DB8D6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E46C9E" w:rsidRPr="00D45A29" w:rsidRDefault="00E0479E" w:rsidP="00E46C9E">
            <w:pPr>
              <w:rPr>
                <w:sz w:val="18"/>
                <w:lang w:val="en-GB"/>
              </w:rPr>
            </w:pPr>
            <w:hyperlink r:id="rId26" w:history="1"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E46C9E" w:rsidRPr="00D45A29" w:rsidTr="00E0479E">
        <w:trPr>
          <w:trHeight w:val="436"/>
        </w:trPr>
        <w:tc>
          <w:tcPr>
            <w:tcW w:w="2721" w:type="pct"/>
            <w:vMerge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  <w:r w:rsidRPr="00D45A2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8768" behindDoc="0" locked="0" layoutInCell="1" allowOverlap="1" wp14:anchorId="36FE67D3" wp14:editId="58E1E8E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E46C9E" w:rsidRPr="00D45A29" w:rsidRDefault="00E0479E" w:rsidP="00E46C9E">
            <w:pPr>
              <w:rPr>
                <w:sz w:val="20"/>
                <w:lang w:val="en-GB"/>
              </w:rPr>
            </w:pPr>
            <w:hyperlink r:id="rId28" w:history="1"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E46C9E" w:rsidRPr="00D45A29" w:rsidRDefault="00E0479E" w:rsidP="00E46C9E">
      <w:pPr>
        <w:rPr>
          <w:sz w:val="18"/>
          <w:lang w:val="en-GB"/>
        </w:rPr>
      </w:pPr>
      <w:r>
        <w:rPr>
          <w:noProof/>
          <w:lang w:val="en-GB"/>
        </w:rPr>
        <w:pict>
          <v:shape id="_x0000_s1035" type="#_x0000_t202" style="position:absolute;margin-left:1.5pt;margin-top:34.7pt;width:516.5pt;height:349.8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E0479E" w:rsidRDefault="00E0479E" w:rsidP="00E46C9E">
                  <w:pPr>
                    <w:rPr>
                      <w:b/>
                    </w:rPr>
                  </w:pPr>
                </w:p>
                <w:p w:rsidR="00E0479E" w:rsidRPr="00941435" w:rsidRDefault="00E0479E" w:rsidP="00E46C9E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E0479E" w:rsidRPr="00941435" w:rsidRDefault="00E0479E" w:rsidP="00E46C9E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0479E" w:rsidRPr="00941435" w:rsidRDefault="00E0479E" w:rsidP="00E46C9E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E0479E" w:rsidRPr="00941435" w:rsidRDefault="00E0479E" w:rsidP="00E46C9E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0479E" w:rsidRPr="00941435" w:rsidRDefault="00E0479E" w:rsidP="00E46C9E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E0479E" w:rsidRPr="00941435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E0479E" w:rsidRPr="00A21A31" w:rsidRDefault="00E0479E" w:rsidP="00E46C9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D261A2" w:rsidRPr="00D45A29" w:rsidRDefault="00D261A2" w:rsidP="00E76D26">
      <w:pPr>
        <w:rPr>
          <w:sz w:val="18"/>
          <w:lang w:val="en-GB"/>
        </w:rPr>
      </w:pPr>
    </w:p>
    <w:sectPr w:rsidR="00D261A2" w:rsidRPr="00D45A29" w:rsidSect="00EF7B36">
      <w:headerReference w:type="default" r:id="rId38"/>
      <w:footerReference w:type="default" r:id="rId3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9E" w:rsidRDefault="00E0479E" w:rsidP="000662E2">
      <w:pPr>
        <w:spacing w:after="0" w:line="240" w:lineRule="auto"/>
      </w:pPr>
      <w:r>
        <w:separator/>
      </w:r>
    </w:p>
  </w:endnote>
  <w:endnote w:type="continuationSeparator" w:id="0">
    <w:p w:rsidR="00E0479E" w:rsidRDefault="00E047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E0479E" w:rsidRDefault="00E047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5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E0479E" w:rsidRDefault="00E047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E0479E" w:rsidRDefault="00E047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53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9E" w:rsidRDefault="00E0479E" w:rsidP="000662E2">
      <w:pPr>
        <w:spacing w:after="0" w:line="240" w:lineRule="auto"/>
      </w:pPr>
      <w:r>
        <w:separator/>
      </w:r>
    </w:p>
  </w:footnote>
  <w:footnote w:type="continuationSeparator" w:id="0">
    <w:p w:rsidR="00E0479E" w:rsidRDefault="00E0479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E" w:rsidRDefault="00E0479E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E0479E" w:rsidRDefault="00E047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E" w:rsidRDefault="00E0479E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1E4DE9BB" wp14:editId="2E0C7125">
          <wp:extent cx="1865630" cy="709295"/>
          <wp:effectExtent l="0" t="0" r="0" b="0"/>
          <wp:docPr id="9" name="Obraz 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0479E" w:rsidRPr="003C6C8D" w:rsidRDefault="00E0479E" w:rsidP="00E46C9E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1D7F33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E0479E" w:rsidRDefault="00E0479E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E0479E" w:rsidRPr="00C97596" w:rsidRDefault="00E0479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15.01.2020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E" w:rsidRDefault="00E0479E">
    <w:pPr>
      <w:pStyle w:val="Nagwek"/>
    </w:pPr>
  </w:p>
  <w:p w:rsidR="00E0479E" w:rsidRDefault="00E047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25pt;visibility:visible" o:bullet="t">
        <v:imagedata r:id="rId1" o:title=""/>
      </v:shape>
    </w:pict>
  </w:numPicBullet>
  <w:numPicBullet w:numPicBulletId="1">
    <w:pict>
      <v:shape id="_x0000_i1033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3437"/>
    <w:rsid w:val="0000709F"/>
    <w:rsid w:val="000108B8"/>
    <w:rsid w:val="000152F5"/>
    <w:rsid w:val="0001700C"/>
    <w:rsid w:val="000201FC"/>
    <w:rsid w:val="00024B66"/>
    <w:rsid w:val="00024EE7"/>
    <w:rsid w:val="00026BA3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E4D"/>
    <w:rsid w:val="000662E2"/>
    <w:rsid w:val="00066883"/>
    <w:rsid w:val="00072D35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135D"/>
    <w:rsid w:val="000C68F7"/>
    <w:rsid w:val="000D1D43"/>
    <w:rsid w:val="000D225C"/>
    <w:rsid w:val="000D2465"/>
    <w:rsid w:val="000D2A5C"/>
    <w:rsid w:val="000E0918"/>
    <w:rsid w:val="000F2650"/>
    <w:rsid w:val="000F50BC"/>
    <w:rsid w:val="001011C3"/>
    <w:rsid w:val="00102EAC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5121"/>
    <w:rsid w:val="00146621"/>
    <w:rsid w:val="00162325"/>
    <w:rsid w:val="00165856"/>
    <w:rsid w:val="00171DA5"/>
    <w:rsid w:val="00194845"/>
    <w:rsid w:val="001951DA"/>
    <w:rsid w:val="001A3A7F"/>
    <w:rsid w:val="001A7573"/>
    <w:rsid w:val="001A78D0"/>
    <w:rsid w:val="001B635A"/>
    <w:rsid w:val="001B7E7B"/>
    <w:rsid w:val="001C1375"/>
    <w:rsid w:val="001C3269"/>
    <w:rsid w:val="001C7312"/>
    <w:rsid w:val="001D1DB4"/>
    <w:rsid w:val="001E1D94"/>
    <w:rsid w:val="001E4443"/>
    <w:rsid w:val="001E7DBB"/>
    <w:rsid w:val="001F439C"/>
    <w:rsid w:val="001F60D1"/>
    <w:rsid w:val="002268BB"/>
    <w:rsid w:val="00240D21"/>
    <w:rsid w:val="0024416D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76F83"/>
    <w:rsid w:val="00280D7C"/>
    <w:rsid w:val="00282699"/>
    <w:rsid w:val="00285768"/>
    <w:rsid w:val="002902D2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6140"/>
    <w:rsid w:val="002E6985"/>
    <w:rsid w:val="002E71B6"/>
    <w:rsid w:val="002F321F"/>
    <w:rsid w:val="002F77C8"/>
    <w:rsid w:val="00300D3B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3BBC"/>
    <w:rsid w:val="00347D72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5EA3"/>
    <w:rsid w:val="003A7D83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D7D57"/>
    <w:rsid w:val="003E3529"/>
    <w:rsid w:val="003E6F8F"/>
    <w:rsid w:val="003F4C97"/>
    <w:rsid w:val="003F54AA"/>
    <w:rsid w:val="003F7FE6"/>
    <w:rsid w:val="00400193"/>
    <w:rsid w:val="004002CD"/>
    <w:rsid w:val="004009D2"/>
    <w:rsid w:val="00417625"/>
    <w:rsid w:val="004212E7"/>
    <w:rsid w:val="0042446D"/>
    <w:rsid w:val="004276B0"/>
    <w:rsid w:val="00427BF8"/>
    <w:rsid w:val="00431C02"/>
    <w:rsid w:val="00437395"/>
    <w:rsid w:val="00445047"/>
    <w:rsid w:val="00453304"/>
    <w:rsid w:val="00454E14"/>
    <w:rsid w:val="004566AB"/>
    <w:rsid w:val="0045762F"/>
    <w:rsid w:val="004601AC"/>
    <w:rsid w:val="00460C26"/>
    <w:rsid w:val="00463E39"/>
    <w:rsid w:val="004657FC"/>
    <w:rsid w:val="004733F6"/>
    <w:rsid w:val="00474E69"/>
    <w:rsid w:val="0048486C"/>
    <w:rsid w:val="00486EE6"/>
    <w:rsid w:val="0049189D"/>
    <w:rsid w:val="00491A82"/>
    <w:rsid w:val="00493217"/>
    <w:rsid w:val="0049621B"/>
    <w:rsid w:val="004B2431"/>
    <w:rsid w:val="004B4C23"/>
    <w:rsid w:val="004C1895"/>
    <w:rsid w:val="004C6D40"/>
    <w:rsid w:val="004D119F"/>
    <w:rsid w:val="004D35A5"/>
    <w:rsid w:val="004D3ABE"/>
    <w:rsid w:val="004E21A3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3632"/>
    <w:rsid w:val="0053648F"/>
    <w:rsid w:val="00541E6E"/>
    <w:rsid w:val="0054251F"/>
    <w:rsid w:val="00542AFC"/>
    <w:rsid w:val="005520D8"/>
    <w:rsid w:val="00556CF1"/>
    <w:rsid w:val="00573DFA"/>
    <w:rsid w:val="00574374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A69F2"/>
    <w:rsid w:val="005A6C7D"/>
    <w:rsid w:val="005C1AF8"/>
    <w:rsid w:val="005C209B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321A2"/>
    <w:rsid w:val="00632402"/>
    <w:rsid w:val="00633014"/>
    <w:rsid w:val="0063437B"/>
    <w:rsid w:val="006346A9"/>
    <w:rsid w:val="00636A57"/>
    <w:rsid w:val="00644254"/>
    <w:rsid w:val="00660778"/>
    <w:rsid w:val="0066453D"/>
    <w:rsid w:val="00666DED"/>
    <w:rsid w:val="006673CA"/>
    <w:rsid w:val="006718A3"/>
    <w:rsid w:val="00673C26"/>
    <w:rsid w:val="00674A8B"/>
    <w:rsid w:val="006774F9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C051C"/>
    <w:rsid w:val="006D1507"/>
    <w:rsid w:val="006D4054"/>
    <w:rsid w:val="006D5C42"/>
    <w:rsid w:val="006D6B72"/>
    <w:rsid w:val="006E02EC"/>
    <w:rsid w:val="006E2D00"/>
    <w:rsid w:val="006F145E"/>
    <w:rsid w:val="006F6B1F"/>
    <w:rsid w:val="007059D5"/>
    <w:rsid w:val="007063C3"/>
    <w:rsid w:val="007122CC"/>
    <w:rsid w:val="007162EB"/>
    <w:rsid w:val="007211B1"/>
    <w:rsid w:val="0072400B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76D7"/>
    <w:rsid w:val="00774934"/>
    <w:rsid w:val="007769D0"/>
    <w:rsid w:val="00776D79"/>
    <w:rsid w:val="007801F5"/>
    <w:rsid w:val="00781552"/>
    <w:rsid w:val="00783CA4"/>
    <w:rsid w:val="007842FB"/>
    <w:rsid w:val="00786124"/>
    <w:rsid w:val="0078756B"/>
    <w:rsid w:val="0079022D"/>
    <w:rsid w:val="00792E24"/>
    <w:rsid w:val="00793154"/>
    <w:rsid w:val="0079514B"/>
    <w:rsid w:val="00797060"/>
    <w:rsid w:val="007A0E39"/>
    <w:rsid w:val="007A2DC1"/>
    <w:rsid w:val="007A77F5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06E1"/>
    <w:rsid w:val="00802A9A"/>
    <w:rsid w:val="0080553C"/>
    <w:rsid w:val="00805B46"/>
    <w:rsid w:val="008110EF"/>
    <w:rsid w:val="00820461"/>
    <w:rsid w:val="00820B10"/>
    <w:rsid w:val="0082498D"/>
    <w:rsid w:val="008251EB"/>
    <w:rsid w:val="00825DC2"/>
    <w:rsid w:val="00831172"/>
    <w:rsid w:val="00834AD3"/>
    <w:rsid w:val="00843795"/>
    <w:rsid w:val="008473E0"/>
    <w:rsid w:val="00847F0F"/>
    <w:rsid w:val="00852448"/>
    <w:rsid w:val="00860851"/>
    <w:rsid w:val="00866B61"/>
    <w:rsid w:val="00876337"/>
    <w:rsid w:val="0088258A"/>
    <w:rsid w:val="008832C4"/>
    <w:rsid w:val="00883763"/>
    <w:rsid w:val="00885F63"/>
    <w:rsid w:val="00886332"/>
    <w:rsid w:val="00887348"/>
    <w:rsid w:val="00892238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0A9B"/>
    <w:rsid w:val="009227A6"/>
    <w:rsid w:val="00927AD2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2C54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6EA0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107C"/>
    <w:rsid w:val="00A06D23"/>
    <w:rsid w:val="00A07F00"/>
    <w:rsid w:val="00A12435"/>
    <w:rsid w:val="00A139F5"/>
    <w:rsid w:val="00A15A51"/>
    <w:rsid w:val="00A2136A"/>
    <w:rsid w:val="00A27522"/>
    <w:rsid w:val="00A3060E"/>
    <w:rsid w:val="00A34C24"/>
    <w:rsid w:val="00A365F4"/>
    <w:rsid w:val="00A37CE0"/>
    <w:rsid w:val="00A41507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0AEE"/>
    <w:rsid w:val="00A6676F"/>
    <w:rsid w:val="00A70953"/>
    <w:rsid w:val="00A7152F"/>
    <w:rsid w:val="00A8101D"/>
    <w:rsid w:val="00A810F9"/>
    <w:rsid w:val="00A8165F"/>
    <w:rsid w:val="00A82477"/>
    <w:rsid w:val="00A845DC"/>
    <w:rsid w:val="00A86ECC"/>
    <w:rsid w:val="00A86FCC"/>
    <w:rsid w:val="00A90732"/>
    <w:rsid w:val="00A93892"/>
    <w:rsid w:val="00AA569E"/>
    <w:rsid w:val="00AA710D"/>
    <w:rsid w:val="00AB0B8F"/>
    <w:rsid w:val="00AB27B9"/>
    <w:rsid w:val="00AB6D25"/>
    <w:rsid w:val="00AB7B31"/>
    <w:rsid w:val="00AD4947"/>
    <w:rsid w:val="00AD5F17"/>
    <w:rsid w:val="00AE20FD"/>
    <w:rsid w:val="00AE2D4B"/>
    <w:rsid w:val="00AE3075"/>
    <w:rsid w:val="00AE4F99"/>
    <w:rsid w:val="00AE777C"/>
    <w:rsid w:val="00B048A4"/>
    <w:rsid w:val="00B06265"/>
    <w:rsid w:val="00B10BBE"/>
    <w:rsid w:val="00B11B69"/>
    <w:rsid w:val="00B14952"/>
    <w:rsid w:val="00B2412D"/>
    <w:rsid w:val="00B250D5"/>
    <w:rsid w:val="00B250EE"/>
    <w:rsid w:val="00B31357"/>
    <w:rsid w:val="00B31E5A"/>
    <w:rsid w:val="00B322EC"/>
    <w:rsid w:val="00B42DDD"/>
    <w:rsid w:val="00B609CE"/>
    <w:rsid w:val="00B611C1"/>
    <w:rsid w:val="00B617A5"/>
    <w:rsid w:val="00B653AB"/>
    <w:rsid w:val="00B65F9E"/>
    <w:rsid w:val="00B66B19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4BE0"/>
    <w:rsid w:val="00BB4F09"/>
    <w:rsid w:val="00BB6447"/>
    <w:rsid w:val="00BB6E9C"/>
    <w:rsid w:val="00BC17C7"/>
    <w:rsid w:val="00BC2318"/>
    <w:rsid w:val="00BC427F"/>
    <w:rsid w:val="00BD0A7C"/>
    <w:rsid w:val="00BD4E33"/>
    <w:rsid w:val="00BE4B65"/>
    <w:rsid w:val="00BF790C"/>
    <w:rsid w:val="00C00EDA"/>
    <w:rsid w:val="00C030DE"/>
    <w:rsid w:val="00C057E5"/>
    <w:rsid w:val="00C110DB"/>
    <w:rsid w:val="00C11CBD"/>
    <w:rsid w:val="00C13AD1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4099"/>
    <w:rsid w:val="00CF4EE5"/>
    <w:rsid w:val="00D00796"/>
    <w:rsid w:val="00D02D2C"/>
    <w:rsid w:val="00D14C59"/>
    <w:rsid w:val="00D1564D"/>
    <w:rsid w:val="00D261A2"/>
    <w:rsid w:val="00D3440A"/>
    <w:rsid w:val="00D34567"/>
    <w:rsid w:val="00D401C9"/>
    <w:rsid w:val="00D43419"/>
    <w:rsid w:val="00D45A2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712D"/>
    <w:rsid w:val="00E01436"/>
    <w:rsid w:val="00E045BD"/>
    <w:rsid w:val="00E0479E"/>
    <w:rsid w:val="00E17A9F"/>
    <w:rsid w:val="00E17B77"/>
    <w:rsid w:val="00E23337"/>
    <w:rsid w:val="00E24A25"/>
    <w:rsid w:val="00E259EA"/>
    <w:rsid w:val="00E27E85"/>
    <w:rsid w:val="00E30793"/>
    <w:rsid w:val="00E32061"/>
    <w:rsid w:val="00E331CF"/>
    <w:rsid w:val="00E41FCF"/>
    <w:rsid w:val="00E42801"/>
    <w:rsid w:val="00E42FF9"/>
    <w:rsid w:val="00E46C9E"/>
    <w:rsid w:val="00E4714C"/>
    <w:rsid w:val="00E51AEB"/>
    <w:rsid w:val="00E52175"/>
    <w:rsid w:val="00E522A7"/>
    <w:rsid w:val="00E54452"/>
    <w:rsid w:val="00E63312"/>
    <w:rsid w:val="00E664C5"/>
    <w:rsid w:val="00E671A2"/>
    <w:rsid w:val="00E67A17"/>
    <w:rsid w:val="00E76D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C6AF0"/>
    <w:rsid w:val="00FD39F6"/>
    <w:rsid w:val="00FD5EA7"/>
    <w:rsid w:val="00FD7DB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twitter.com/StatPoland" TargetMode="Externa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prices-trade/price-indices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en/latest-statistical-news/communications-and-announcement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stat.gov.pl/en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s://www.facebook.com/GlownyUrzadStatystyczny/" TargetMode="External"/><Relationship Id="rId36" Type="http://schemas.openxmlformats.org/officeDocument/2006/relationships/hyperlink" Target="http://stat.gov.pl/en/metainformations/glossary/terms-used-in-official-statistics/711,term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925199093703029"/>
          <c:y val="5.3855340776704272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Footwear</c:v>
                </c:pt>
                <c:pt idx="1">
                  <c:v>Garments</c:v>
                </c:pt>
                <c:pt idx="2">
                  <c:v>Alcoholic beverages</c:v>
                </c:pt>
                <c:pt idx="3">
                  <c:v>Electricity, gas and other fuels</c:v>
                </c:pt>
                <c:pt idx="4">
                  <c:v>Package holidays</c:v>
                </c:pt>
                <c:pt idx="5">
                  <c:v>Telephone and telefax services</c:v>
                </c:pt>
                <c:pt idx="6">
                  <c:v>Insurance</c:v>
                </c:pt>
                <c:pt idx="7">
                  <c:v>Vegetables</c:v>
                </c:pt>
                <c:pt idx="8">
                  <c:v>Fuels for personal transport equipment</c:v>
                </c:pt>
                <c:pt idx="9">
                  <c:v>Meat</c:v>
                </c:pt>
                <c:pt idx="10">
                  <c:v>Transport services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-0.02</c:v>
                </c:pt>
                <c:pt idx="1">
                  <c:v>-0.02</c:v>
                </c:pt>
                <c:pt idx="2">
                  <c:v>-0.01</c:v>
                </c:pt>
                <c:pt idx="3">
                  <c:v>0.01</c:v>
                </c:pt>
                <c:pt idx="4">
                  <c:v>0.02</c:v>
                </c:pt>
                <c:pt idx="5">
                  <c:v>0.02</c:v>
                </c:pt>
                <c:pt idx="6">
                  <c:v>0.09</c:v>
                </c:pt>
                <c:pt idx="7">
                  <c:v>0.11</c:v>
                </c:pt>
                <c:pt idx="8">
                  <c:v>0.11</c:v>
                </c:pt>
                <c:pt idx="9">
                  <c:v>0.18</c:v>
                </c:pt>
                <c:pt idx="10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798912"/>
        <c:axId val="107800448"/>
      </c:barChart>
      <c:catAx>
        <c:axId val="10779891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800448"/>
        <c:crossesAt val="0"/>
        <c:auto val="1"/>
        <c:lblAlgn val="ctr"/>
        <c:lblOffset val="100"/>
        <c:tickMarkSkip val="1"/>
        <c:noMultiLvlLbl val="0"/>
      </c:catAx>
      <c:valAx>
        <c:axId val="107800448"/>
        <c:scaling>
          <c:orientation val="minMax"/>
          <c:max val="0.25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798912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145344"/>
        <c:axId val="111148032"/>
      </c:barChart>
      <c:catAx>
        <c:axId val="111145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11148032"/>
        <c:crosses val="autoZero"/>
        <c:auto val="0"/>
        <c:lblAlgn val="ctr"/>
        <c:lblOffset val="100"/>
        <c:noMultiLvlLbl val="0"/>
      </c:catAx>
      <c:valAx>
        <c:axId val="11114803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1145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08219035579088E-2"/>
                  <c:y val="-2.5972559426345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22712348233442E-2"/>
                  <c:y val="-4.0274460179339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'M-1'!$B$26:$B$49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'M-1'!$C$26:$C$49</c:f>
              <c:numCache>
                <c:formatCode>0.0</c:formatCode>
                <c:ptCount val="24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</c:v>
                </c:pt>
                <c:pt idx="22">
                  <c:v>0.1</c:v>
                </c:pt>
                <c:pt idx="23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226880"/>
        <c:axId val="111228416"/>
      </c:lineChart>
      <c:dateAx>
        <c:axId val="1112268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228416"/>
        <c:crossesAt val="0"/>
        <c:auto val="0"/>
        <c:lblOffset val="100"/>
        <c:baseTimeUnit val="days"/>
      </c:dateAx>
      <c:valAx>
        <c:axId val="111228416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22688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7841092794142937E-2"/>
                  <c:y val="-4.5277427986777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1.0426255483867945E-2"/>
                  <c:y val="7.03011589768751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(+FE)'!$B$26:$B$49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(+FE)'!$C$26:$C$49</c:f>
              <c:numCache>
                <c:formatCode>0.0</c:formatCode>
                <c:ptCount val="24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  <c:pt idx="23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276416"/>
        <c:axId val="111277952"/>
      </c:lineChart>
      <c:dateAx>
        <c:axId val="1112764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277952"/>
        <c:crossesAt val="0"/>
        <c:auto val="0"/>
        <c:lblOffset val="100"/>
        <c:baseTimeUnit val="days"/>
      </c:dateAx>
      <c:valAx>
        <c:axId val="1112779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127641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m-12'!$B$27:$B$50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m-12'!$C$27:$C$50</c:f>
              <c:numCache>
                <c:formatCode>0.0</c:formatCode>
                <c:ptCount val="24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  <c:pt idx="23">
                  <c:v>3.4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m-12'!$B$27:$B$50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m-12'!$E$27:$E$49</c:f>
              <c:numCache>
                <c:formatCode>0.0</c:formatCode>
                <c:ptCount val="23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  <c:pt idx="20">
                  <c:v>2.4</c:v>
                </c:pt>
                <c:pt idx="21">
                  <c:v>2.2999999999999998</c:v>
                </c:pt>
                <c:pt idx="22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718400"/>
        <c:axId val="111719936"/>
      </c:lineChart>
      <c:catAx>
        <c:axId val="11171840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17199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1719936"/>
        <c:scaling>
          <c:orientation val="minMax"/>
          <c:max val="3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171840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0.49994</cdr:x>
      <cdr:y>0.86881</cdr:y>
    </cdr:from>
    <cdr:to>
      <cdr:x>0.50003</cdr:x>
      <cdr:y>0.94947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555566" y="2198495"/>
          <a:ext cx="457" cy="20410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0.92848</cdr:y>
    </cdr:from>
    <cdr:to>
      <cdr:x>0.49938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3561" y="2349500"/>
          <a:ext cx="2209139" cy="1624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0.50186</cdr:x>
      <cdr:y>0.9335</cdr:y>
    </cdr:from>
    <cdr:to>
      <cdr:x>0.92857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565401" y="2362200"/>
          <a:ext cx="2181218" cy="1497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0.49833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0087" y="2384014"/>
          <a:ext cx="2212614" cy="166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511" y="910369"/>
          <a:ext cx="439715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0.0688</cdr:x>
      <cdr:y>0.5591</cdr:y>
    </cdr:from>
    <cdr:to>
      <cdr:x>0.93111</cdr:x>
      <cdr:y>0.56003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25" y="1431131"/>
          <a:ext cx="4417219" cy="238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0.15027</cdr:y>
    </cdr:from>
    <cdr:to>
      <cdr:x>0.93111</cdr:x>
      <cdr:y>0.15071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5402" y="384643"/>
          <a:ext cx="4414242" cy="111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0.43389</cdr:x>
      <cdr:y>0.17808</cdr:y>
    </cdr:from>
    <cdr:to>
      <cdr:x>0.70245</cdr:x>
      <cdr:y>0.27439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22621" y="455831"/>
          <a:ext cx="1375711" cy="2465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 CE"/>
            </a:rPr>
            <a:t>Inflation target </a:t>
          </a: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2,5</a:t>
          </a:r>
        </a:p>
      </cdr:txBody>
    </cdr:sp>
  </cdr:relSizeAnchor>
  <cdr:relSizeAnchor xmlns:cdr="http://schemas.openxmlformats.org/drawingml/2006/chartDrawing">
    <cdr:from>
      <cdr:x>0.5552</cdr:x>
      <cdr:y>0.25137</cdr:y>
    </cdr:from>
    <cdr:to>
      <cdr:x>0.61305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44050" y="643428"/>
          <a:ext cx="296340" cy="2575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0.20084</cdr:x>
      <cdr:y>0.18714</cdr:y>
    </cdr:from>
    <cdr:to>
      <cdr:x>0.4124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028822" y="479019"/>
          <a:ext cx="1083726" cy="3716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b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0.37171</cdr:x>
      <cdr:y>0.15299</cdr:y>
    </cdr:from>
    <cdr:to>
      <cdr:x>0.44329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904115" y="391606"/>
          <a:ext cx="366671" cy="2786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0.3719</cdr:x>
      <cdr:y>0.2605</cdr:y>
    </cdr:from>
    <cdr:to>
      <cdr:x>0.53723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905088" y="666798"/>
          <a:ext cx="846910" cy="7628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0.49709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546350" y="2385294"/>
          <a:ext cx="2208755" cy="1619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0.49821</cdr:x>
      <cdr:y>0.8667</cdr:y>
    </cdr:from>
    <cdr:to>
      <cdr:x>0.49833</cdr:x>
      <cdr:y>0.93959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H="1" flipV="1">
          <a:off x="2552102" y="2218479"/>
          <a:ext cx="597" cy="186584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0.49833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2453" y="2273542"/>
          <a:ext cx="2220247" cy="156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0.49806</cdr:x>
      <cdr:y>0.85501</cdr:y>
    </cdr:from>
    <cdr:to>
      <cdr:x>0.49833</cdr:x>
      <cdr:y>0.92962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551354" y="2112548"/>
          <a:ext cx="1383" cy="1843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0.49957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559050" y="2273542"/>
          <a:ext cx="2209220" cy="1723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71101-BCED-4C95-A9D8-32D15283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2020-01-13T15:33:00Z</cp:lastPrinted>
  <dcterms:created xsi:type="dcterms:W3CDTF">2018-07-11T11:36:00Z</dcterms:created>
  <dcterms:modified xsi:type="dcterms:W3CDTF">2020-01-14T15:53:00Z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