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theme/themeOverride1.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2.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theme/themeOverride3.xml" ContentType="application/vnd.openxmlformats-officedocument.themeOverride+xml"/>
  <Override PartName="/word/drawings/drawing4.xml" ContentType="application/vnd.openxmlformats-officedocument.drawingml.chartshapes+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drawings/drawing5.xml" ContentType="application/vnd.openxmlformats-officedocument.drawingml.chartshapes+xml"/>
  <Override PartName="/word/charts/chart7.xml" ContentType="application/vnd.openxmlformats-officedocument.drawingml.chart+xml"/>
  <Override PartName="/word/theme/themeOverride5.xml" ContentType="application/vnd.openxmlformats-officedocument.themeOverride+xml"/>
  <Override PartName="/word/charts/chart8.xml" ContentType="application/vnd.openxmlformats-officedocument.drawingml.chart+xml"/>
  <Override PartName="/word/theme/themeOverride6.xml" ContentType="application/vnd.openxmlformats-officedocument.themeOverride+xml"/>
  <Override PartName="/word/drawings/drawing6.xml" ContentType="application/vnd.openxmlformats-officedocument.drawingml.chartshapes+xml"/>
  <Override PartName="/word/charts/chart9.xml" ContentType="application/vnd.openxmlformats-officedocument.drawingml.chart+xml"/>
  <Override PartName="/word/theme/themeOverride7.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59A701" w14:textId="06537A19" w:rsidR="00AD4947" w:rsidRPr="007876E1" w:rsidRDefault="00387B4E" w:rsidP="00271E09">
      <w:pPr>
        <w:pStyle w:val="tytuinformacji"/>
        <w:spacing w:after="120"/>
        <w:rPr>
          <w:color w:val="auto"/>
          <w:sz w:val="20"/>
          <w:szCs w:val="20"/>
          <w:lang w:val="en-US"/>
        </w:rPr>
      </w:pPr>
      <w:r>
        <w:rPr>
          <w:noProof/>
          <w:szCs w:val="19"/>
          <w:lang w:eastAsia="pl-PL"/>
        </w:rPr>
        <mc:AlternateContent>
          <mc:Choice Requires="wps">
            <w:drawing>
              <wp:anchor distT="45720" distB="45720" distL="114300" distR="114300" simplePos="0" relativeHeight="251776000" behindDoc="0" locked="0" layoutInCell="1" allowOverlap="1" wp14:anchorId="4AC41C16" wp14:editId="7DBEA979">
                <wp:simplePos x="0" y="0"/>
                <wp:positionH relativeFrom="column">
                  <wp:posOffset>5213350</wp:posOffset>
                </wp:positionH>
                <wp:positionV relativeFrom="paragraph">
                  <wp:posOffset>40005</wp:posOffset>
                </wp:positionV>
                <wp:extent cx="1758315" cy="396240"/>
                <wp:effectExtent l="0" t="0" r="0" b="0"/>
                <wp:wrapNone/>
                <wp:docPr id="2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396240"/>
                        </a:xfrm>
                        <a:prstGeom prst="rect">
                          <a:avLst/>
                        </a:prstGeom>
                        <a:noFill/>
                        <a:ln w="9525">
                          <a:noFill/>
                          <a:miter lim="800000"/>
                          <a:headEnd/>
                          <a:tailEnd/>
                        </a:ln>
                      </wps:spPr>
                      <wps:txbx>
                        <w:txbxContent>
                          <w:p w14:paraId="0383DA7D" w14:textId="77777777" w:rsidR="004F7C9F" w:rsidRPr="00330E56" w:rsidRDefault="004F7C9F">
                            <w:pPr>
                              <w:rPr>
                                <w:rFonts w:ascii="Fira Sans SemiBold" w:hAnsi="Fira Sans SemiBold"/>
                                <w:color w:val="001D77"/>
                              </w:rPr>
                            </w:pPr>
                            <w:r>
                              <w:rPr>
                                <w:rFonts w:ascii="Fira Sans SemiBold" w:hAnsi="Fira Sans SemiBold"/>
                                <w:color w:val="001D77"/>
                              </w:rPr>
                              <w:t>30</w:t>
                            </w:r>
                            <w:r w:rsidRPr="00330E56">
                              <w:rPr>
                                <w:rFonts w:ascii="Fira Sans SemiBold" w:hAnsi="Fira Sans SemiBold"/>
                                <w:color w:val="001D77"/>
                              </w:rPr>
                              <w:t>.0</w:t>
                            </w:r>
                            <w:r>
                              <w:rPr>
                                <w:rFonts w:ascii="Fira Sans SemiBold" w:hAnsi="Fira Sans SemiBold"/>
                                <w:color w:val="001D77"/>
                              </w:rPr>
                              <w:t>6</w:t>
                            </w:r>
                            <w:r w:rsidRPr="00330E56">
                              <w:rPr>
                                <w:rFonts w:ascii="Fira Sans SemiBold" w:hAnsi="Fira Sans SemiBold"/>
                                <w:color w:val="001D77"/>
                              </w:rPr>
                              <w:t>.20</w:t>
                            </w:r>
                            <w:r>
                              <w:rPr>
                                <w:rFonts w:ascii="Fira Sans SemiBold" w:hAnsi="Fira Sans SemiBold"/>
                                <w:color w:val="001D77"/>
                              </w:rPr>
                              <w:t>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C41C16" id="_x0000_t202" coordsize="21600,21600" o:spt="202" path="m,l,21600r21600,l21600,xe">
                <v:stroke joinstyle="miter"/>
                <v:path gradientshapeok="t" o:connecttype="rect"/>
              </v:shapetype>
              <v:shape id="Pole tekstowe 2" o:spid="_x0000_s1026" type="#_x0000_t202" style="position:absolute;margin-left:410.5pt;margin-top:3.15pt;width:138.45pt;height:31.2pt;z-index:2517760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" filled="f" stroked="f">
                <v:textbox style="mso-fit-shape-to-text:t">
                  <w:txbxContent>
                    <w:p w14:paraId="0383DA7D" w14:textId="77777777" w:rsidR="004F7C9F" w:rsidRPr="00330E56" w:rsidRDefault="004F7C9F">
                      <w:pPr>
                        <w:rPr>
                          <w:rFonts w:ascii="Fira Sans SemiBold" w:hAnsi="Fira Sans SemiBold"/>
                          <w:color w:val="001D77"/>
                        </w:rPr>
                      </w:pPr>
                      <w:r>
                        <w:rPr>
                          <w:rFonts w:ascii="Fira Sans SemiBold" w:hAnsi="Fira Sans SemiBold"/>
                          <w:color w:val="001D77"/>
                        </w:rPr>
                        <w:t>30</w:t>
                      </w:r>
                      <w:r w:rsidRPr="00330E56">
                        <w:rPr>
                          <w:rFonts w:ascii="Fira Sans SemiBold" w:hAnsi="Fira Sans SemiBold"/>
                          <w:color w:val="001D77"/>
                        </w:rPr>
                        <w:t>.0</w:t>
                      </w:r>
                      <w:r>
                        <w:rPr>
                          <w:rFonts w:ascii="Fira Sans SemiBold" w:hAnsi="Fira Sans SemiBold"/>
                          <w:color w:val="001D77"/>
                        </w:rPr>
                        <w:t>6</w:t>
                      </w:r>
                      <w:r w:rsidRPr="00330E56">
                        <w:rPr>
                          <w:rFonts w:ascii="Fira Sans SemiBold" w:hAnsi="Fira Sans SemiBold"/>
                          <w:color w:val="001D77"/>
                        </w:rPr>
                        <w:t>.20</w:t>
                      </w:r>
                      <w:r>
                        <w:rPr>
                          <w:rFonts w:ascii="Fira Sans SemiBold" w:hAnsi="Fira Sans SemiBold"/>
                          <w:color w:val="001D77"/>
                        </w:rPr>
                        <w:t>20</w:t>
                      </w:r>
                    </w:p>
                  </w:txbxContent>
                </v:textbox>
              </v:shape>
            </w:pict>
          </mc:Fallback>
        </mc:AlternateContent>
      </w:r>
      <w:r w:rsidR="007876E1" w:rsidRPr="007876E1">
        <w:rPr>
          <w:lang w:val="en-US"/>
        </w:rPr>
        <w:t>Economic poverty rate</w:t>
      </w:r>
      <w:r w:rsidR="00496608">
        <w:rPr>
          <w:lang w:val="en-US"/>
        </w:rPr>
        <w:t>s</w:t>
      </w:r>
      <w:r w:rsidR="007876E1" w:rsidRPr="007876E1">
        <w:rPr>
          <w:lang w:val="en-US"/>
        </w:rPr>
        <w:t xml:space="preserve"> in Poland in 2019</w:t>
      </w:r>
      <w:r w:rsidR="00F93B25" w:rsidRPr="007876E1">
        <w:rPr>
          <w:lang w:val="en-US"/>
        </w:rPr>
        <w:t>.</w:t>
      </w:r>
      <w:r w:rsidR="009C156D" w:rsidRPr="007876E1">
        <w:rPr>
          <w:lang w:val="en-US"/>
        </w:rPr>
        <w:br/>
      </w:r>
      <w:r w:rsidR="007876E1" w:rsidRPr="007876E1">
        <w:rPr>
          <w:sz w:val="20"/>
          <w:szCs w:val="20"/>
          <w:lang w:val="en-US"/>
        </w:rPr>
        <w:t xml:space="preserve">(based on the results of the Household Budget Survey) </w:t>
      </w:r>
    </w:p>
    <w:p w14:paraId="2368BDB6" w14:textId="5288908B" w:rsidR="00700FBA" w:rsidRPr="006726E4" w:rsidRDefault="00637746" w:rsidP="00700FBA">
      <w:pPr>
        <w:pStyle w:val="LID"/>
        <w:contextualSpacing/>
        <w:rPr>
          <w:shd w:val="clear" w:color="auto" w:fill="FFFFFF"/>
          <w:lang w:val="en-GB"/>
        </w:rPr>
      </w:pPr>
      <w:r>
        <mc:AlternateContent>
          <mc:Choice Requires="wps">
            <w:drawing>
              <wp:anchor distT="45720" distB="45720" distL="114300" distR="114300" simplePos="0" relativeHeight="251840512" behindDoc="0" locked="0" layoutInCell="1" allowOverlap="1" wp14:anchorId="15E605EB" wp14:editId="3EC4C7A7">
                <wp:simplePos x="0" y="0"/>
                <wp:positionH relativeFrom="margin">
                  <wp:posOffset>3175</wp:posOffset>
                </wp:positionH>
                <wp:positionV relativeFrom="paragraph">
                  <wp:posOffset>31310</wp:posOffset>
                </wp:positionV>
                <wp:extent cx="1374775" cy="1206500"/>
                <wp:effectExtent l="0" t="0" r="0" b="0"/>
                <wp:wrapSquare wrapText="bothSides"/>
                <wp:docPr id="2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4775" cy="1206500"/>
                        </a:xfrm>
                        <a:prstGeom prst="rect">
                          <a:avLst/>
                        </a:prstGeom>
                        <a:solidFill>
                          <a:srgbClr val="001D77"/>
                        </a:solidFill>
                        <a:ln w="9525">
                          <a:noFill/>
                          <a:miter lim="800000"/>
                          <a:headEnd/>
                          <a:tailEnd/>
                        </a:ln>
                      </wps:spPr>
                      <wps:txbx>
                        <w:txbxContent>
                          <w:p w14:paraId="3B0EBE43" w14:textId="77777777" w:rsidR="00700FBA" w:rsidRPr="00217D35" w:rsidRDefault="00700FBA" w:rsidP="00700FBA">
                            <w:pPr>
                              <w:spacing w:after="0" w:line="240" w:lineRule="auto"/>
                              <w:rPr>
                                <w:rFonts w:ascii="Fira Sans SemiBold" w:hAnsi="Fira Sans SemiBold"/>
                                <w:color w:val="FFFFFF" w:themeColor="background1"/>
                                <w:sz w:val="72"/>
                                <w:lang w:val="en-US"/>
                              </w:rPr>
                            </w:pPr>
                            <w:r w:rsidRPr="00217D35">
                              <w:rPr>
                                <w:rFonts w:ascii="Fira Sans SemiBold" w:hAnsi="Fira Sans SemiBold"/>
                                <w:color w:val="FFFFFF" w:themeColor="background1"/>
                                <w:sz w:val="72"/>
                                <w:lang w:val="en-US"/>
                              </w:rPr>
                              <w:t>4,2%</w:t>
                            </w:r>
                          </w:p>
                          <w:p w14:paraId="3FA5DA38" w14:textId="32B6E1AB" w:rsidR="00700FBA" w:rsidRPr="00217D35" w:rsidRDefault="00217D35" w:rsidP="00700FBA">
                            <w:pPr>
                              <w:spacing w:after="0" w:line="240" w:lineRule="auto"/>
                              <w:rPr>
                                <w:color w:val="FFFFFF" w:themeColor="background1"/>
                                <w:sz w:val="18"/>
                                <w:szCs w:val="20"/>
                                <w:lang w:val="en-US"/>
                              </w:rPr>
                            </w:pPr>
                            <w:r w:rsidRPr="00217D35">
                              <w:rPr>
                                <w:lang w:val="en-US"/>
                              </w:rPr>
                              <w:t>Extreme poverty rate in Poland in 2019.</w:t>
                            </w:r>
                          </w:p>
                          <w:p w14:paraId="58B173EE" w14:textId="77777777" w:rsidR="00700FBA" w:rsidRPr="00217D35" w:rsidRDefault="00700FBA" w:rsidP="00700FBA">
                            <w:pPr>
                              <w:spacing w:after="0" w:line="240" w:lineRule="auto"/>
                              <w:rPr>
                                <w:color w:val="FFFFFF" w:themeColor="background1"/>
                                <w:sz w:val="40"/>
                                <w:szCs w:val="40"/>
                                <w:lang w:val="en-US"/>
                              </w:rPr>
                            </w:pPr>
                          </w:p>
                          <w:p w14:paraId="2AB94648" w14:textId="77777777" w:rsidR="00700FBA" w:rsidRPr="00217D35" w:rsidRDefault="00700FBA" w:rsidP="00700FBA">
                            <w:pPr>
                              <w:spacing w:after="0" w:line="240" w:lineRule="auto"/>
                              <w:rPr>
                                <w:rFonts w:ascii="Fira Sans SemiBold" w:hAnsi="Fira Sans SemiBold"/>
                                <w:color w:val="FFFFFF" w:themeColor="background1"/>
                                <w:sz w:val="56"/>
                                <w:szCs w:val="56"/>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E605EB" id="_x0000_s1027" type="#_x0000_t202" style="position:absolute;margin-left:.25pt;margin-top:2.45pt;width:108.25pt;height:95pt;z-index:251840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" fillcolor="#001d77" stroked="f">
                <v:textbox>
                  <w:txbxContent>
                    <w:p w14:paraId="3B0EBE43" w14:textId="77777777" w:rsidR="00700FBA" w:rsidRPr="00217D35" w:rsidRDefault="00700FBA" w:rsidP="00700FBA">
                      <w:pPr>
                        <w:spacing w:after="0" w:line="240" w:lineRule="auto"/>
                        <w:rPr>
                          <w:rFonts w:ascii="Fira Sans SemiBold" w:hAnsi="Fira Sans SemiBold"/>
                          <w:color w:val="FFFFFF" w:themeColor="background1"/>
                          <w:sz w:val="72"/>
                          <w:lang w:val="en-US"/>
                        </w:rPr>
                      </w:pPr>
                      <w:r w:rsidRPr="00217D35">
                        <w:rPr>
                          <w:rFonts w:ascii="Fira Sans SemiBold" w:hAnsi="Fira Sans SemiBold"/>
                          <w:color w:val="FFFFFF" w:themeColor="background1"/>
                          <w:sz w:val="72"/>
                          <w:lang w:val="en-US"/>
                        </w:rPr>
                        <w:t>4,2%</w:t>
                      </w:r>
                    </w:p>
                    <w:p w14:paraId="3FA5DA38" w14:textId="32B6E1AB" w:rsidR="00700FBA" w:rsidRPr="00217D35" w:rsidRDefault="00217D35" w:rsidP="00700FBA">
                      <w:pPr>
                        <w:spacing w:after="0" w:line="240" w:lineRule="auto"/>
                        <w:rPr>
                          <w:color w:val="FFFFFF" w:themeColor="background1"/>
                          <w:sz w:val="18"/>
                          <w:szCs w:val="20"/>
                          <w:lang w:val="en-US"/>
                        </w:rPr>
                      </w:pPr>
                      <w:r w:rsidRPr="00217D35">
                        <w:rPr>
                          <w:lang w:val="en-US"/>
                        </w:rPr>
                        <w:t>Extreme poverty rate in Poland in 2019.</w:t>
                      </w:r>
                    </w:p>
                    <w:p w14:paraId="58B173EE" w14:textId="77777777" w:rsidR="00700FBA" w:rsidRPr="00217D35" w:rsidRDefault="00700FBA" w:rsidP="00700FBA">
                      <w:pPr>
                        <w:spacing w:after="0" w:line="240" w:lineRule="auto"/>
                        <w:rPr>
                          <w:color w:val="FFFFFF" w:themeColor="background1"/>
                          <w:sz w:val="40"/>
                          <w:szCs w:val="40"/>
                          <w:lang w:val="en-US"/>
                        </w:rPr>
                      </w:pPr>
                    </w:p>
                    <w:p w14:paraId="2AB94648" w14:textId="77777777" w:rsidR="00700FBA" w:rsidRPr="00217D35" w:rsidRDefault="00700FBA" w:rsidP="00700FBA">
                      <w:pPr>
                        <w:spacing w:after="0" w:line="240" w:lineRule="auto"/>
                        <w:rPr>
                          <w:rFonts w:ascii="Fira Sans SemiBold" w:hAnsi="Fira Sans SemiBold"/>
                          <w:color w:val="FFFFFF" w:themeColor="background1"/>
                          <w:sz w:val="56"/>
                          <w:szCs w:val="56"/>
                          <w:lang w:val="en-US"/>
                        </w:rPr>
                      </w:pPr>
                    </w:p>
                  </w:txbxContent>
                </v:textbox>
                <w10:wrap type="square" anchorx="margin"/>
              </v:shape>
            </w:pict>
          </mc:Fallback>
        </mc:AlternateContent>
      </w:r>
      <w:r>
        <mc:AlternateContent>
          <mc:Choice Requires="wps">
            <w:drawing>
              <wp:anchor distT="45720" distB="45720" distL="114300" distR="114300" simplePos="0" relativeHeight="251778048" behindDoc="0" locked="0" layoutInCell="1" allowOverlap="1" wp14:anchorId="6076610A" wp14:editId="40866AFD">
                <wp:simplePos x="0" y="0"/>
                <wp:positionH relativeFrom="column">
                  <wp:posOffset>5285720</wp:posOffset>
                </wp:positionH>
                <wp:positionV relativeFrom="paragraph">
                  <wp:posOffset>145580</wp:posOffset>
                </wp:positionV>
                <wp:extent cx="1592580" cy="1127760"/>
                <wp:effectExtent l="0" t="0" r="0" b="0"/>
                <wp:wrapNone/>
                <wp:docPr id="3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2580" cy="1127760"/>
                        </a:xfrm>
                        <a:prstGeom prst="rect">
                          <a:avLst/>
                        </a:prstGeom>
                        <a:noFill/>
                        <a:ln w="9525">
                          <a:noFill/>
                          <a:miter lim="800000"/>
                          <a:headEnd/>
                          <a:tailEnd/>
                        </a:ln>
                      </wps:spPr>
                      <wps:txbx>
                        <w:txbxContent>
                          <w:p w14:paraId="5E271000" w14:textId="5EBA9267" w:rsidR="004F7C9F" w:rsidRPr="00637746" w:rsidRDefault="00D32457" w:rsidP="00F74EC4">
                            <w:pPr>
                              <w:suppressAutoHyphens/>
                              <w:rPr>
                                <w:color w:val="001D77"/>
                                <w:szCs w:val="19"/>
                                <w:lang w:val="en-US"/>
                              </w:rPr>
                            </w:pPr>
                            <w:r w:rsidRPr="00637746">
                              <w:rPr>
                                <w:color w:val="001D77"/>
                                <w:szCs w:val="19"/>
                                <w:lang w:val="en-US"/>
                              </w:rPr>
                              <w:t xml:space="preserve">In 2019, there was a slight decrease (by about 1-2 p.p.) </w:t>
                            </w:r>
                            <w:r w:rsidR="00AB4185" w:rsidRPr="00637746">
                              <w:rPr>
                                <w:color w:val="001D77"/>
                                <w:szCs w:val="19"/>
                                <w:lang w:val="en-US"/>
                              </w:rPr>
                              <w:t xml:space="preserve">in the </w:t>
                            </w:r>
                            <w:r w:rsidRPr="00637746">
                              <w:rPr>
                                <w:color w:val="001D77"/>
                                <w:szCs w:val="19"/>
                                <w:lang w:val="en-US"/>
                              </w:rPr>
                              <w:t xml:space="preserve">economic poverty </w:t>
                            </w:r>
                            <w:r w:rsidR="00AB4185" w:rsidRPr="00637746">
                              <w:rPr>
                                <w:color w:val="001D77"/>
                                <w:szCs w:val="19"/>
                                <w:lang w:val="en-US"/>
                              </w:rPr>
                              <w:t xml:space="preserve">rates </w:t>
                            </w:r>
                            <w:r w:rsidRPr="00637746">
                              <w:rPr>
                                <w:color w:val="001D77"/>
                                <w:szCs w:val="19"/>
                                <w:lang w:val="en-US"/>
                              </w:rPr>
                              <w:t>estimated on the basis of household expenditure.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76610A" id="_x0000_t202" coordsize="21600,21600" o:spt="202" path="m,l,21600r21600,l21600,xe">
                <v:stroke joinstyle="miter"/>
                <v:path gradientshapeok="t" o:connecttype="rect"/>
              </v:shapetype>
              <v:shape id="_x0000_s1028" type="#_x0000_t202" style="position:absolute;margin-left:416.2pt;margin-top:11.45pt;width:125.4pt;height:88.8pt;z-index:25177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" filled="f" stroked="f">
                <v:textbox>
                  <w:txbxContent>
                    <w:p w14:paraId="5E271000" w14:textId="5EBA9267" w:rsidR="004F7C9F" w:rsidRPr="00637746" w:rsidRDefault="00D32457" w:rsidP="00F74EC4">
                      <w:pPr>
                        <w:suppressAutoHyphens/>
                        <w:rPr>
                          <w:color w:val="001D77"/>
                          <w:szCs w:val="19"/>
                          <w:lang w:val="en-US"/>
                        </w:rPr>
                      </w:pPr>
                      <w:r w:rsidRPr="00637746">
                        <w:rPr>
                          <w:color w:val="001D77"/>
                          <w:szCs w:val="19"/>
                          <w:lang w:val="en-US"/>
                        </w:rPr>
                        <w:t xml:space="preserve">In 2019, there was a slight decrease (by about 1-2 p.p.) </w:t>
                      </w:r>
                      <w:r w:rsidR="00AB4185" w:rsidRPr="00637746">
                        <w:rPr>
                          <w:color w:val="001D77"/>
                          <w:szCs w:val="19"/>
                          <w:lang w:val="en-US"/>
                        </w:rPr>
                        <w:t xml:space="preserve">in the </w:t>
                      </w:r>
                      <w:r w:rsidRPr="00637746">
                        <w:rPr>
                          <w:color w:val="001D77"/>
                          <w:szCs w:val="19"/>
                          <w:lang w:val="en-US"/>
                        </w:rPr>
                        <w:t xml:space="preserve">economic poverty </w:t>
                      </w:r>
                      <w:r w:rsidR="00AB4185" w:rsidRPr="00637746">
                        <w:rPr>
                          <w:color w:val="001D77"/>
                          <w:szCs w:val="19"/>
                          <w:lang w:val="en-US"/>
                        </w:rPr>
                        <w:t xml:space="preserve">rates </w:t>
                      </w:r>
                      <w:r w:rsidRPr="00637746">
                        <w:rPr>
                          <w:color w:val="001D77"/>
                          <w:szCs w:val="19"/>
                          <w:lang w:val="en-US"/>
                        </w:rPr>
                        <w:t>estimated on the basis of household expenditure.</w:t>
                      </w:r>
                    </w:p>
                  </w:txbxContent>
                </v:textbox>
              </v:shape>
            </w:pict>
          </mc:Fallback>
        </mc:AlternateContent>
      </w:r>
      <w:r w:rsidR="00700FBA" w:rsidRPr="006726E4">
        <w:rPr>
          <w:shd w:val="clear" w:color="auto" w:fill="FFFFFF"/>
          <w:lang w:val="en-GB"/>
        </w:rPr>
        <w:t xml:space="preserve">The year 2019 brought an improvement in the material situation of households in Poland, which </w:t>
      </w:r>
      <w:r w:rsidR="0075237B">
        <w:rPr>
          <w:shd w:val="clear" w:color="auto" w:fill="FFFFFF"/>
          <w:lang w:val="en-GB"/>
        </w:rPr>
        <w:t xml:space="preserve">was reflecting </w:t>
      </w:r>
      <w:r w:rsidR="00700FBA" w:rsidRPr="006726E4">
        <w:rPr>
          <w:shd w:val="clear" w:color="auto" w:fill="FFFFFF"/>
          <w:lang w:val="en-GB"/>
        </w:rPr>
        <w:t>in a slight decrease in the economic poverty</w:t>
      </w:r>
      <w:r w:rsidR="0075237B">
        <w:rPr>
          <w:shd w:val="clear" w:color="auto" w:fill="FFFFFF"/>
          <w:lang w:val="en-GB"/>
        </w:rPr>
        <w:t xml:space="preserve"> rates</w:t>
      </w:r>
      <w:r w:rsidR="00700FBA" w:rsidRPr="006726E4">
        <w:rPr>
          <w:shd w:val="clear" w:color="auto" w:fill="FFFFFF"/>
          <w:lang w:val="en-GB"/>
        </w:rPr>
        <w:t>, including extreme poverty (from about 5</w:t>
      </w:r>
      <w:r w:rsidR="0075237B">
        <w:rPr>
          <w:shd w:val="clear" w:color="auto" w:fill="FFFFFF"/>
          <w:lang w:val="en-GB"/>
        </w:rPr>
        <w:t>%</w:t>
      </w:r>
      <w:r w:rsidR="00700FBA" w:rsidRPr="006726E4">
        <w:rPr>
          <w:shd w:val="clear" w:color="auto" w:fill="FFFFFF"/>
          <w:lang w:val="en-GB"/>
        </w:rPr>
        <w:t xml:space="preserve"> in 2018 to about 4% in 2019). The decrease in extreme poverty concerned mainly households most at risk of poverty, i.e. households living mainly on social benefits (other than pensions) and households with at least 3 children under 18 years of age, residents of </w:t>
      </w:r>
      <w:r w:rsidR="00387B4E" w:rsidRPr="00EC18B9">
        <w:rPr>
          <w:lang w:val="en-US"/>
        </w:rPr>
        <w:t>rural areas</w:t>
      </w:r>
      <w:r w:rsidR="00700FBA" w:rsidRPr="006726E4">
        <w:rPr>
          <w:shd w:val="clear" w:color="auto" w:fill="FFFFFF"/>
          <w:lang w:val="en-GB"/>
        </w:rPr>
        <w:t xml:space="preserve"> and small towns.</w:t>
      </w:r>
    </w:p>
    <w:p w14:paraId="0442BBC6" w14:textId="4B7A118D" w:rsidR="00AE55E4" w:rsidRPr="00700FBA" w:rsidRDefault="00AE55E4" w:rsidP="00271E09">
      <w:pPr>
        <w:pStyle w:val="LID"/>
        <w:spacing w:after="0"/>
        <w:jc w:val="both"/>
        <w:rPr>
          <w:lang w:val="en-US"/>
        </w:rPr>
      </w:pPr>
    </w:p>
    <w:p w14:paraId="0F2A4771" w14:textId="6D340095" w:rsidR="00AE0D9E" w:rsidRPr="00CE3DFA" w:rsidRDefault="00AE0D9E" w:rsidP="00AE0D9E">
      <w:pPr>
        <w:spacing w:before="0" w:line="240" w:lineRule="auto"/>
        <w:rPr>
          <w:rFonts w:ascii="Fira Sans SemiBold" w:eastAsia="Times New Roman" w:hAnsi="Fira Sans SemiBold" w:cs="Times New Roman"/>
          <w:bCs/>
          <w:color w:val="001D77"/>
          <w:szCs w:val="24"/>
          <w:shd w:val="clear" w:color="auto" w:fill="FFFFFF"/>
          <w:lang w:val="en-US" w:eastAsia="pl-PL"/>
        </w:rPr>
      </w:pPr>
      <w:r w:rsidRPr="00CE3DFA">
        <w:rPr>
          <w:rFonts w:ascii="Fira Sans SemiBold" w:eastAsia="Times New Roman" w:hAnsi="Fira Sans SemiBold" w:cs="Times New Roman"/>
          <w:bCs/>
          <w:color w:val="001D77"/>
          <w:szCs w:val="24"/>
          <w:shd w:val="clear" w:color="auto" w:fill="FFFFFF"/>
          <w:lang w:val="en-US" w:eastAsia="pl-PL"/>
        </w:rPr>
        <w:t>Economic poverty rates in 2019. Were there any significant changes</w:t>
      </w:r>
      <w:r w:rsidR="00E7228F" w:rsidRPr="00CE3DFA">
        <w:rPr>
          <w:rFonts w:ascii="Fira Sans SemiBold" w:eastAsia="Times New Roman" w:hAnsi="Fira Sans SemiBold" w:cs="Times New Roman"/>
          <w:bCs/>
          <w:color w:val="001D77"/>
          <w:szCs w:val="24"/>
          <w:shd w:val="clear" w:color="auto" w:fill="FFFFFF"/>
          <w:lang w:val="en-US" w:eastAsia="pl-PL"/>
        </w:rPr>
        <w:t xml:space="preserve"> </w:t>
      </w:r>
      <w:r w:rsidRPr="00CE3DFA">
        <w:rPr>
          <w:rFonts w:ascii="Fira Sans SemiBold" w:eastAsia="Times New Roman" w:hAnsi="Fira Sans SemiBold" w:cs="Times New Roman"/>
          <w:bCs/>
          <w:color w:val="001D77"/>
          <w:szCs w:val="24"/>
          <w:shd w:val="clear" w:color="auto" w:fill="FFFFFF"/>
          <w:lang w:val="en-US" w:eastAsia="pl-PL"/>
        </w:rPr>
        <w:t xml:space="preserve">comparing to the previous year? </w:t>
      </w:r>
    </w:p>
    <w:p w14:paraId="6403697B" w14:textId="3BC676F9" w:rsidR="00700FBA" w:rsidRPr="00700FBA" w:rsidRDefault="00387B4E" w:rsidP="00700FBA">
      <w:pPr>
        <w:rPr>
          <w:b/>
          <w:lang w:val="en-GB" w:eastAsia="pl-PL"/>
        </w:rPr>
      </w:pPr>
      <w:r>
        <w:rPr>
          <w:noProof/>
          <w:szCs w:val="19"/>
          <w:lang w:eastAsia="pl-PL"/>
        </w:rPr>
        <mc:AlternateContent>
          <mc:Choice Requires="wps">
            <w:drawing>
              <wp:anchor distT="45720" distB="45720" distL="114300" distR="114300" simplePos="0" relativeHeight="251805696" behindDoc="0" locked="0" layoutInCell="1" allowOverlap="1" wp14:anchorId="347DD5EC" wp14:editId="69D4DBEE">
                <wp:simplePos x="0" y="0"/>
                <wp:positionH relativeFrom="column">
                  <wp:posOffset>5278755</wp:posOffset>
                </wp:positionH>
                <wp:positionV relativeFrom="paragraph">
                  <wp:posOffset>93345</wp:posOffset>
                </wp:positionV>
                <wp:extent cx="1758315" cy="2453640"/>
                <wp:effectExtent l="0" t="0" r="0" b="0"/>
                <wp:wrapNone/>
                <wp:docPr id="5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2453640"/>
                        </a:xfrm>
                        <a:prstGeom prst="rect">
                          <a:avLst/>
                        </a:prstGeom>
                        <a:noFill/>
                        <a:ln w="9525">
                          <a:noFill/>
                          <a:miter lim="800000"/>
                          <a:headEnd/>
                          <a:tailEnd/>
                        </a:ln>
                      </wps:spPr>
                      <wps:txbx>
                        <w:txbxContent>
                          <w:p w14:paraId="46C5C006" w14:textId="00652097" w:rsidR="005C07E8" w:rsidRPr="00637746" w:rsidRDefault="005C07E8" w:rsidP="00F74EC4">
                            <w:pPr>
                              <w:suppressAutoHyphens/>
                              <w:rPr>
                                <w:color w:val="001D77"/>
                                <w:sz w:val="18"/>
                                <w:lang w:val="en-US"/>
                              </w:rPr>
                            </w:pPr>
                            <w:r w:rsidRPr="00EC18B9">
                              <w:rPr>
                                <w:color w:val="001D77"/>
                                <w:lang w:val="en-US"/>
                              </w:rPr>
                              <w:t>The observed decrease in the extent of economic poverty in 2019 referred to all three types of poverty considered: extreme, relative and legal.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7DD5EC" id="_x0000_s1029" type="#_x0000_t202" style="position:absolute;margin-left:415.65pt;margin-top:7.35pt;width:138.45pt;height:193.2pt;z-index:251805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" filled="f" stroked="f">
                <v:textbox style="mso-fit-shape-to-text:t">
                  <w:txbxContent>
                    <w:p w14:paraId="46C5C006" w14:textId="00652097" w:rsidR="005C07E8" w:rsidRPr="00637746" w:rsidRDefault="005C07E8" w:rsidP="00F74EC4">
                      <w:pPr>
                        <w:suppressAutoHyphens/>
                        <w:rPr>
                          <w:color w:val="001D77"/>
                          <w:sz w:val="18"/>
                          <w:lang w:val="en-US"/>
                        </w:rPr>
                      </w:pPr>
                      <w:r w:rsidRPr="00EC18B9">
                        <w:rPr>
                          <w:color w:val="001D77"/>
                          <w:lang w:val="en-US"/>
                        </w:rPr>
                        <w:t>The observed decrease in the extent of economic poverty in 2019 referred to all three types of poverty considered: extreme, relative and legal.</w:t>
                      </w:r>
                    </w:p>
                  </w:txbxContent>
                </v:textbox>
              </v:shape>
            </w:pict>
          </mc:Fallback>
        </mc:AlternateContent>
      </w:r>
      <w:r w:rsidR="0074163D">
        <w:rPr>
          <w:lang w:val="en-GB" w:eastAsia="pl-PL"/>
        </w:rPr>
        <w:t xml:space="preserve">Statistics Poland </w:t>
      </w:r>
      <w:r w:rsidR="00700FBA" w:rsidRPr="00700FBA">
        <w:rPr>
          <w:lang w:val="en-GB" w:eastAsia="pl-PL"/>
        </w:rPr>
        <w:t xml:space="preserve">regularly, every year, calculates and publishes indicators concerning the economic poverty </w:t>
      </w:r>
      <w:r w:rsidR="00207559">
        <w:rPr>
          <w:lang w:val="en-GB" w:eastAsia="pl-PL"/>
        </w:rPr>
        <w:t xml:space="preserve">rates </w:t>
      </w:r>
      <w:r w:rsidR="00700FBA" w:rsidRPr="00700FBA">
        <w:rPr>
          <w:lang w:val="en-GB" w:eastAsia="pl-PL"/>
        </w:rPr>
        <w:t xml:space="preserve">in Poland based on the results of </w:t>
      </w:r>
      <w:r w:rsidR="00207559">
        <w:rPr>
          <w:lang w:val="en-GB" w:eastAsia="pl-PL"/>
        </w:rPr>
        <w:t>the H</w:t>
      </w:r>
      <w:r w:rsidR="00700FBA" w:rsidRPr="00700FBA">
        <w:rPr>
          <w:lang w:val="en-GB" w:eastAsia="pl-PL"/>
        </w:rPr>
        <w:t xml:space="preserve">ousehold </w:t>
      </w:r>
      <w:r w:rsidR="00207559">
        <w:rPr>
          <w:lang w:val="en-GB" w:eastAsia="pl-PL"/>
        </w:rPr>
        <w:t>Budget S</w:t>
      </w:r>
      <w:r w:rsidR="00700FBA" w:rsidRPr="00700FBA">
        <w:rPr>
          <w:lang w:val="en-GB" w:eastAsia="pl-PL"/>
        </w:rPr>
        <w:t xml:space="preserve">urvey. The presented indicators are annual average data. </w:t>
      </w:r>
      <w:r w:rsidR="00007310">
        <w:rPr>
          <w:lang w:val="en-GB" w:eastAsia="pl-PL"/>
        </w:rPr>
        <w:t>T</w:t>
      </w:r>
      <w:r w:rsidR="00700FBA" w:rsidRPr="00700FBA">
        <w:rPr>
          <w:lang w:val="en-GB" w:eastAsia="pl-PL"/>
        </w:rPr>
        <w:t>hree different poverty thresholds (li</w:t>
      </w:r>
      <w:r w:rsidR="00947FE7">
        <w:rPr>
          <w:lang w:val="en-GB" w:eastAsia="pl-PL"/>
        </w:rPr>
        <w:t>nes</w:t>
      </w:r>
      <w:r w:rsidR="00700FBA" w:rsidRPr="00700FBA">
        <w:rPr>
          <w:lang w:val="en-GB" w:eastAsia="pl-PL"/>
        </w:rPr>
        <w:t>)</w:t>
      </w:r>
      <w:r w:rsidR="00007310">
        <w:rPr>
          <w:lang w:val="en-GB" w:eastAsia="pl-PL"/>
        </w:rPr>
        <w:t xml:space="preserve"> are taken into account in the calculations</w:t>
      </w:r>
      <w:r w:rsidR="00700FBA" w:rsidRPr="00700FBA">
        <w:rPr>
          <w:lang w:val="en-GB" w:eastAsia="pl-PL"/>
        </w:rPr>
        <w:t xml:space="preserve">: the </w:t>
      </w:r>
      <w:r w:rsidR="00007310">
        <w:rPr>
          <w:lang w:val="en-GB" w:eastAsia="pl-PL"/>
        </w:rPr>
        <w:t xml:space="preserve">thresholds </w:t>
      </w:r>
      <w:r w:rsidR="00700FBA" w:rsidRPr="00700FBA">
        <w:rPr>
          <w:lang w:val="en-GB" w:eastAsia="pl-PL"/>
        </w:rPr>
        <w:t xml:space="preserve">of extreme and relative poverty and the so-called </w:t>
      </w:r>
      <w:r w:rsidR="00007310">
        <w:rPr>
          <w:lang w:val="en-GB" w:eastAsia="pl-PL"/>
        </w:rPr>
        <w:t xml:space="preserve">legal </w:t>
      </w:r>
      <w:r w:rsidR="00700FBA" w:rsidRPr="00700FBA">
        <w:rPr>
          <w:lang w:val="en-GB" w:eastAsia="pl-PL"/>
        </w:rPr>
        <w:t>poverty li</w:t>
      </w:r>
      <w:r w:rsidR="00007310">
        <w:rPr>
          <w:lang w:val="en-GB" w:eastAsia="pl-PL"/>
        </w:rPr>
        <w:t>ne</w:t>
      </w:r>
      <w:r w:rsidR="00700FBA" w:rsidRPr="00700FBA">
        <w:rPr>
          <w:lang w:val="en-GB" w:eastAsia="pl-PL"/>
        </w:rPr>
        <w:t xml:space="preserve">. After a gradual decrease in the economic poverty </w:t>
      </w:r>
      <w:r w:rsidR="00007310">
        <w:rPr>
          <w:lang w:val="en-GB" w:eastAsia="pl-PL"/>
        </w:rPr>
        <w:t xml:space="preserve">rates </w:t>
      </w:r>
      <w:r w:rsidR="00700FBA" w:rsidRPr="00700FBA">
        <w:rPr>
          <w:lang w:val="en-GB" w:eastAsia="pl-PL"/>
        </w:rPr>
        <w:t xml:space="preserve">observed from 2015 to 2017, in 2018 this trend was halted - depending on the adopted </w:t>
      </w:r>
      <w:r w:rsidR="00342EC4">
        <w:rPr>
          <w:lang w:val="en-GB" w:eastAsia="pl-PL"/>
        </w:rPr>
        <w:t>threshold</w:t>
      </w:r>
      <w:r w:rsidR="00700FBA" w:rsidRPr="00700FBA">
        <w:rPr>
          <w:lang w:val="en-GB" w:eastAsia="pl-PL"/>
        </w:rPr>
        <w:t xml:space="preserve">, the poverty </w:t>
      </w:r>
      <w:r w:rsidR="001C289A">
        <w:rPr>
          <w:lang w:val="en-GB" w:eastAsia="pl-PL"/>
        </w:rPr>
        <w:t xml:space="preserve">rate </w:t>
      </w:r>
      <w:r w:rsidR="00700FBA" w:rsidRPr="00700FBA">
        <w:rPr>
          <w:lang w:val="en-GB" w:eastAsia="pl-PL"/>
        </w:rPr>
        <w:t xml:space="preserve">was at a similar or slightly higher level than in 2017. On the other hand, in 2019 there was a slight decrease in all </w:t>
      </w:r>
      <w:r w:rsidR="0012558A">
        <w:rPr>
          <w:lang w:val="en-GB" w:eastAsia="pl-PL"/>
        </w:rPr>
        <w:t xml:space="preserve">the </w:t>
      </w:r>
      <w:r w:rsidR="001C289A">
        <w:rPr>
          <w:lang w:val="en-GB" w:eastAsia="pl-PL"/>
        </w:rPr>
        <w:t xml:space="preserve">three </w:t>
      </w:r>
      <w:r w:rsidR="00700FBA" w:rsidRPr="00700FBA">
        <w:rPr>
          <w:lang w:val="en-GB" w:eastAsia="pl-PL"/>
        </w:rPr>
        <w:t xml:space="preserve">poverty </w:t>
      </w:r>
      <w:r w:rsidR="001C289A">
        <w:rPr>
          <w:lang w:val="en-GB" w:eastAsia="pl-PL"/>
        </w:rPr>
        <w:t xml:space="preserve">rates </w:t>
      </w:r>
      <w:r w:rsidR="00700FBA" w:rsidRPr="00700FBA">
        <w:rPr>
          <w:lang w:val="en-GB" w:eastAsia="pl-PL"/>
        </w:rPr>
        <w:t>(by 1.2-1.9 p</w:t>
      </w:r>
      <w:r w:rsidR="001C289A">
        <w:rPr>
          <w:lang w:val="en-GB" w:eastAsia="pl-PL"/>
        </w:rPr>
        <w:t>.p.</w:t>
      </w:r>
      <w:r w:rsidR="00700FBA" w:rsidRPr="00700FBA">
        <w:rPr>
          <w:lang w:val="en-GB" w:eastAsia="pl-PL"/>
        </w:rPr>
        <w:t xml:space="preserve">). The decrease in the economic poverty </w:t>
      </w:r>
      <w:r w:rsidR="0012558A">
        <w:rPr>
          <w:lang w:val="en-GB" w:eastAsia="pl-PL"/>
        </w:rPr>
        <w:t xml:space="preserve">rates </w:t>
      </w:r>
      <w:r w:rsidR="00700FBA" w:rsidRPr="00700FBA">
        <w:rPr>
          <w:lang w:val="en-GB" w:eastAsia="pl-PL"/>
        </w:rPr>
        <w:t xml:space="preserve">in 2019 took place in a situation where the level of average household income and expenditure increased (in nominal as well as </w:t>
      </w:r>
      <w:r w:rsidR="0012558A">
        <w:rPr>
          <w:lang w:val="en-GB" w:eastAsia="pl-PL"/>
        </w:rPr>
        <w:t xml:space="preserve">in </w:t>
      </w:r>
      <w:r w:rsidR="00700FBA" w:rsidRPr="00700FBA">
        <w:rPr>
          <w:lang w:val="en-GB" w:eastAsia="pl-PL"/>
        </w:rPr>
        <w:t>real terms - i.e. taking into account changes in the level of prices of</w:t>
      </w:r>
      <w:r w:rsidR="0012558A">
        <w:rPr>
          <w:lang w:val="en-GB" w:eastAsia="pl-PL"/>
        </w:rPr>
        <w:t xml:space="preserve"> consumer goods and services).</w:t>
      </w:r>
    </w:p>
    <w:p w14:paraId="71F26CB2" w14:textId="47CEF68A" w:rsidR="0098652F" w:rsidRPr="00084AF6" w:rsidRDefault="00603604" w:rsidP="0098652F">
      <w:pPr>
        <w:rPr>
          <w:b/>
          <w:lang w:val="en-GB" w:eastAsia="pl-PL"/>
        </w:rPr>
      </w:pPr>
      <w:r>
        <w:rPr>
          <w:noProof/>
          <w:lang w:eastAsia="pl-PL"/>
        </w:rPr>
        <w:drawing>
          <wp:anchor distT="0" distB="0" distL="114300" distR="114300" simplePos="0" relativeHeight="251857920" behindDoc="0" locked="0" layoutInCell="1" allowOverlap="1" wp14:anchorId="05FC30DE" wp14:editId="2B224BE5">
            <wp:simplePos x="0" y="0"/>
            <wp:positionH relativeFrom="column">
              <wp:posOffset>2540</wp:posOffset>
            </wp:positionH>
            <wp:positionV relativeFrom="paragraph">
              <wp:posOffset>371280</wp:posOffset>
            </wp:positionV>
            <wp:extent cx="5040000" cy="2571751"/>
            <wp:effectExtent l="0" t="0" r="8255" b="0"/>
            <wp:wrapTopAndBottom/>
            <wp:docPr id="18" name="Wykres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387B4E">
        <w:rPr>
          <w:noProof/>
          <w:szCs w:val="19"/>
          <w:lang w:eastAsia="pl-PL"/>
        </w:rPr>
        <mc:AlternateContent>
          <mc:Choice Requires="wps">
            <w:drawing>
              <wp:anchor distT="45720" distB="45720" distL="114300" distR="114300" simplePos="0" relativeHeight="251846656" behindDoc="0" locked="0" layoutInCell="1" allowOverlap="1" wp14:anchorId="5A84987F" wp14:editId="777CA2D2">
                <wp:simplePos x="0" y="0"/>
                <wp:positionH relativeFrom="margin">
                  <wp:posOffset>5288399</wp:posOffset>
                </wp:positionH>
                <wp:positionV relativeFrom="paragraph">
                  <wp:posOffset>825916</wp:posOffset>
                </wp:positionV>
                <wp:extent cx="1554090" cy="806400"/>
                <wp:effectExtent l="0" t="0" r="0" b="0"/>
                <wp:wrapNone/>
                <wp:docPr id="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54090" cy="806400"/>
                        </a:xfrm>
                        <a:prstGeom prst="rect">
                          <a:avLst/>
                        </a:prstGeom>
                        <a:noFill/>
                        <a:ln w="9525">
                          <a:noFill/>
                          <a:miter lim="800000"/>
                          <a:headEnd/>
                          <a:tailEnd/>
                        </a:ln>
                      </wps:spPr>
                      <wps:txbx>
                        <w:txbxContent>
                          <w:p w14:paraId="23186BEE" w14:textId="50C03352" w:rsidR="008A2A88" w:rsidRPr="00637746" w:rsidRDefault="008A2A88" w:rsidP="00F74EC4">
                            <w:pPr>
                              <w:suppressAutoHyphens/>
                              <w:rPr>
                                <w:color w:val="001D77"/>
                                <w:sz w:val="18"/>
                                <w:lang w:val="en-US"/>
                              </w:rPr>
                            </w:pPr>
                            <w:r w:rsidRPr="00EC18B9">
                              <w:rPr>
                                <w:color w:val="001D77"/>
                                <w:lang w:val="en-US"/>
                              </w:rPr>
                              <w:t>In 2019 the extreme poverty rate was 4.2%, compared to 5.4% in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84987F" id="_x0000_s1030" type="#_x0000_t202" style="position:absolute;margin-left:416.4pt;margin-top:65.05pt;width:122.35pt;height:63.5pt;flip:x;z-index:251846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" filled="f" stroked="f">
                <v:textbox>
                  <w:txbxContent>
                    <w:p w14:paraId="23186BEE" w14:textId="50C03352" w:rsidR="008A2A88" w:rsidRPr="00637746" w:rsidRDefault="008A2A88" w:rsidP="00F74EC4">
                      <w:pPr>
                        <w:suppressAutoHyphens/>
                        <w:rPr>
                          <w:color w:val="001D77"/>
                          <w:sz w:val="18"/>
                          <w:lang w:val="en-US"/>
                        </w:rPr>
                      </w:pPr>
                      <w:r w:rsidRPr="00EC18B9">
                        <w:rPr>
                          <w:color w:val="001D77"/>
                          <w:lang w:val="en-US"/>
                        </w:rPr>
                        <w:t>In 2019 the extreme poverty rate was 4.2%, compared to 5.4% in 2018.</w:t>
                      </w:r>
                    </w:p>
                  </w:txbxContent>
                </v:textbox>
                <w10:wrap anchorx="margin"/>
              </v:shape>
            </w:pict>
          </mc:Fallback>
        </mc:AlternateContent>
      </w:r>
      <w:r w:rsidR="0098652F" w:rsidRPr="00084AF6">
        <w:rPr>
          <w:b/>
          <w:lang w:val="en-GB" w:eastAsia="pl-PL"/>
        </w:rPr>
        <w:t>Chart 1. Poverty rates in Poland in the years 2008-2019 according to poverty thresholds adopted in a given year (in % of people in households)</w:t>
      </w:r>
    </w:p>
    <w:p w14:paraId="7C40E0C5" w14:textId="324125D4" w:rsidR="0098652F" w:rsidRPr="0098652F" w:rsidRDefault="0098652F" w:rsidP="00A221A2">
      <w:pPr>
        <w:spacing w:before="240" w:after="0"/>
        <w:rPr>
          <w:b/>
          <w:noProof/>
          <w:sz w:val="18"/>
          <w:szCs w:val="19"/>
          <w:lang w:val="en-GB" w:eastAsia="pl-PL"/>
        </w:rPr>
      </w:pPr>
    </w:p>
    <w:p w14:paraId="5FFBEC5C" w14:textId="476CBC3B" w:rsidR="00051119" w:rsidRPr="00947FE7" w:rsidRDefault="00B77A84" w:rsidP="00B77A84">
      <w:pPr>
        <w:pStyle w:val="Akapitzlist"/>
        <w:numPr>
          <w:ilvl w:val="0"/>
          <w:numId w:val="5"/>
        </w:numPr>
        <w:spacing w:before="240"/>
        <w:rPr>
          <w:noProof/>
          <w:szCs w:val="19"/>
          <w:lang w:val="en-US" w:eastAsia="pl-PL"/>
        </w:rPr>
      </w:pPr>
      <w:r w:rsidRPr="00B77A84">
        <w:rPr>
          <w:noProof/>
          <w:szCs w:val="19"/>
          <w:lang w:val="en-US" w:eastAsia="pl-PL"/>
        </w:rPr>
        <w:t xml:space="preserve">The basis for determining the extreme poverty line is </w:t>
      </w:r>
      <w:r w:rsidR="003A0330">
        <w:rPr>
          <w:noProof/>
          <w:szCs w:val="19"/>
          <w:lang w:val="en-US" w:eastAsia="pl-PL"/>
        </w:rPr>
        <w:t xml:space="preserve">a level of </w:t>
      </w:r>
      <w:r w:rsidRPr="00B77A84">
        <w:rPr>
          <w:noProof/>
          <w:szCs w:val="19"/>
          <w:lang w:val="en-US" w:eastAsia="pl-PL"/>
        </w:rPr>
        <w:t xml:space="preserve">the </w:t>
      </w:r>
      <w:r w:rsidR="003A0330">
        <w:rPr>
          <w:noProof/>
          <w:szCs w:val="19"/>
          <w:lang w:val="en-US" w:eastAsia="pl-PL"/>
        </w:rPr>
        <w:t xml:space="preserve">subistence minimum </w:t>
      </w:r>
      <w:r w:rsidRPr="00B77A84">
        <w:rPr>
          <w:noProof/>
          <w:szCs w:val="19"/>
          <w:lang w:val="en-US" w:eastAsia="pl-PL"/>
        </w:rPr>
        <w:t xml:space="preserve">estimated by the Institute of Labour and Social Affairs (IPiSS). The category of </w:t>
      </w:r>
      <w:r w:rsidR="003A0330">
        <w:rPr>
          <w:noProof/>
          <w:szCs w:val="19"/>
          <w:lang w:val="en-US" w:eastAsia="pl-PL"/>
        </w:rPr>
        <w:t xml:space="preserve">subistence </w:t>
      </w:r>
      <w:r w:rsidRPr="00B77A84">
        <w:rPr>
          <w:noProof/>
          <w:szCs w:val="19"/>
          <w:lang w:val="en-US" w:eastAsia="pl-PL"/>
        </w:rPr>
        <w:t xml:space="preserve">minimum </w:t>
      </w:r>
      <w:r w:rsidR="00A51968">
        <w:rPr>
          <w:noProof/>
          <w:szCs w:val="19"/>
          <w:lang w:val="en-US" w:eastAsia="pl-PL"/>
        </w:rPr>
        <w:t>determines</w:t>
      </w:r>
      <w:r w:rsidRPr="00B77A84">
        <w:rPr>
          <w:noProof/>
          <w:szCs w:val="19"/>
          <w:lang w:val="en-US" w:eastAsia="pl-PL"/>
        </w:rPr>
        <w:t xml:space="preserve"> a very low level of satisfaction of needs. Consumption below this level </w:t>
      </w:r>
      <w:r w:rsidR="00947FE7">
        <w:rPr>
          <w:noProof/>
          <w:szCs w:val="19"/>
          <w:lang w:val="en-US" w:eastAsia="pl-PL"/>
        </w:rPr>
        <w:t xml:space="preserve">makes it difficult to survive </w:t>
      </w:r>
      <w:r w:rsidRPr="00B77A84">
        <w:rPr>
          <w:noProof/>
          <w:szCs w:val="19"/>
          <w:lang w:val="en-US" w:eastAsia="pl-PL"/>
        </w:rPr>
        <w:t xml:space="preserve">and </w:t>
      </w:r>
      <w:r w:rsidR="00947FE7">
        <w:rPr>
          <w:noProof/>
          <w:szCs w:val="19"/>
          <w:lang w:val="en-US" w:eastAsia="pl-PL"/>
        </w:rPr>
        <w:t xml:space="preserve">constitutes </w:t>
      </w:r>
      <w:r w:rsidRPr="00B77A84">
        <w:rPr>
          <w:noProof/>
          <w:szCs w:val="19"/>
          <w:lang w:val="en-US" w:eastAsia="pl-PL"/>
        </w:rPr>
        <w:t xml:space="preserve">a threat to human psychophysical development. In 2019, the extreme poverty rate was 4.2%, i.e. 1.2 p.p. less than in 2018. </w:t>
      </w:r>
    </w:p>
    <w:p w14:paraId="5EA77CEE" w14:textId="1F5E3FD5" w:rsidR="00051119" w:rsidRPr="00A17CAA" w:rsidRDefault="00B77A84" w:rsidP="00B77A84">
      <w:pPr>
        <w:pStyle w:val="Akapitzlist"/>
        <w:numPr>
          <w:ilvl w:val="0"/>
          <w:numId w:val="5"/>
        </w:numPr>
        <w:rPr>
          <w:noProof/>
          <w:szCs w:val="19"/>
          <w:lang w:val="en-US" w:eastAsia="pl-PL"/>
        </w:rPr>
      </w:pPr>
      <w:r w:rsidRPr="00B77A84">
        <w:rPr>
          <w:noProof/>
          <w:szCs w:val="19"/>
          <w:lang w:val="en-US" w:eastAsia="pl-PL"/>
        </w:rPr>
        <w:t xml:space="preserve">Taking into account the so-called </w:t>
      </w:r>
      <w:r w:rsidR="00A17CAA">
        <w:rPr>
          <w:noProof/>
          <w:szCs w:val="19"/>
          <w:lang w:val="en-US" w:eastAsia="pl-PL"/>
        </w:rPr>
        <w:t xml:space="preserve">legal poverty line </w:t>
      </w:r>
      <w:r w:rsidRPr="00B77A84">
        <w:rPr>
          <w:noProof/>
          <w:szCs w:val="19"/>
          <w:lang w:val="en-US" w:eastAsia="pl-PL"/>
        </w:rPr>
        <w:t xml:space="preserve">indicates a group of people who, in accordance with the </w:t>
      </w:r>
      <w:r w:rsidR="007B52E9">
        <w:rPr>
          <w:noProof/>
          <w:szCs w:val="19"/>
          <w:lang w:val="en-US" w:eastAsia="pl-PL"/>
        </w:rPr>
        <w:t>binding provisions of law</w:t>
      </w:r>
      <w:r w:rsidRPr="00B77A84">
        <w:rPr>
          <w:noProof/>
          <w:szCs w:val="19"/>
          <w:lang w:val="en-US" w:eastAsia="pl-PL"/>
        </w:rPr>
        <w:t xml:space="preserve">, are potentially entitled to apply for a cash benefit from social assistance. In 2019, the </w:t>
      </w:r>
      <w:r w:rsidR="00A17CAA">
        <w:rPr>
          <w:noProof/>
          <w:szCs w:val="19"/>
          <w:lang w:val="en-US" w:eastAsia="pl-PL"/>
        </w:rPr>
        <w:t xml:space="preserve">legal poverty rate </w:t>
      </w:r>
      <w:r w:rsidRPr="00B77A84">
        <w:rPr>
          <w:noProof/>
          <w:szCs w:val="19"/>
          <w:lang w:val="en-US" w:eastAsia="pl-PL"/>
        </w:rPr>
        <w:t xml:space="preserve">was 9.0%, i.e. 1.9 p.p. less than in 2018. </w:t>
      </w:r>
    </w:p>
    <w:p w14:paraId="5A70ABCC" w14:textId="77777777" w:rsidR="00051119" w:rsidRDefault="00B77A84" w:rsidP="00B77A84">
      <w:pPr>
        <w:pStyle w:val="Akapitzlist"/>
        <w:numPr>
          <w:ilvl w:val="0"/>
          <w:numId w:val="5"/>
        </w:numPr>
        <w:rPr>
          <w:noProof/>
          <w:szCs w:val="19"/>
          <w:lang w:val="en-US" w:eastAsia="pl-PL"/>
        </w:rPr>
      </w:pPr>
      <w:r w:rsidRPr="00B77A84">
        <w:rPr>
          <w:noProof/>
          <w:szCs w:val="19"/>
          <w:lang w:val="en-US" w:eastAsia="pl-PL"/>
        </w:rPr>
        <w:lastRenderedPageBreak/>
        <w:t xml:space="preserve">The application of the relative poverty </w:t>
      </w:r>
      <w:r w:rsidR="00C8057B">
        <w:rPr>
          <w:noProof/>
          <w:szCs w:val="19"/>
          <w:lang w:val="en-US" w:eastAsia="pl-PL"/>
        </w:rPr>
        <w:t xml:space="preserve">threshold </w:t>
      </w:r>
      <w:r w:rsidRPr="00B77A84">
        <w:rPr>
          <w:noProof/>
          <w:szCs w:val="19"/>
          <w:lang w:val="en-US" w:eastAsia="pl-PL"/>
        </w:rPr>
        <w:t xml:space="preserve">at the level of 50% of monthly average </w:t>
      </w:r>
      <w:r w:rsidR="00A51968">
        <w:rPr>
          <w:noProof/>
          <w:szCs w:val="19"/>
          <w:lang w:val="en-US" w:eastAsia="pl-PL"/>
        </w:rPr>
        <w:t xml:space="preserve">household expenditure </w:t>
      </w:r>
      <w:r w:rsidRPr="00B77A84">
        <w:rPr>
          <w:noProof/>
          <w:szCs w:val="19"/>
          <w:lang w:val="en-US" w:eastAsia="pl-PL"/>
        </w:rPr>
        <w:t xml:space="preserve">makes it possible to separate those households whose level of consumption significantly differs </w:t>
      </w:r>
      <w:r w:rsidR="00A51968">
        <w:rPr>
          <w:noProof/>
          <w:szCs w:val="19"/>
          <w:lang w:val="en-US" w:eastAsia="pl-PL"/>
        </w:rPr>
        <w:t xml:space="preserve">(in minus) </w:t>
      </w:r>
      <w:r w:rsidRPr="00B77A84">
        <w:rPr>
          <w:noProof/>
          <w:szCs w:val="19"/>
          <w:lang w:val="en-US" w:eastAsia="pl-PL"/>
        </w:rPr>
        <w:t xml:space="preserve">from the average level. </w:t>
      </w:r>
      <w:r w:rsidRPr="00947FE7">
        <w:rPr>
          <w:noProof/>
          <w:szCs w:val="19"/>
          <w:lang w:val="en-US" w:eastAsia="pl-PL"/>
        </w:rPr>
        <w:t xml:space="preserve">In 2019, 13.0% of people in households experienced relative poverty. </w:t>
      </w:r>
      <w:r w:rsidRPr="00B77A84">
        <w:rPr>
          <w:noProof/>
          <w:szCs w:val="19"/>
          <w:lang w:val="en-US" w:eastAsia="pl-PL"/>
        </w:rPr>
        <w:t xml:space="preserve">This value was lower by 1.2 p.p. than in the previous year. </w:t>
      </w:r>
    </w:p>
    <w:p w14:paraId="2F7B9C2F" w14:textId="57430611" w:rsidR="00F34DE8" w:rsidRPr="00CE3DFA" w:rsidRDefault="00DC1C55" w:rsidP="00F34DE8">
      <w:pPr>
        <w:spacing w:before="240" w:line="259" w:lineRule="auto"/>
        <w:rPr>
          <w:rFonts w:ascii="Fira Sans SemiBold" w:eastAsia="Times New Roman" w:hAnsi="Fira Sans SemiBold" w:cs="Times New Roman"/>
          <w:bCs/>
          <w:szCs w:val="24"/>
          <w:shd w:val="clear" w:color="auto" w:fill="FFFFFF"/>
          <w:lang w:val="en-US" w:eastAsia="pl-PL"/>
        </w:rPr>
      </w:pPr>
      <w:r w:rsidRPr="00CE3DFA">
        <w:rPr>
          <w:noProof/>
          <w:szCs w:val="19"/>
          <w:lang w:eastAsia="pl-PL"/>
        </w:rPr>
        <mc:AlternateContent>
          <mc:Choice Requires="wps">
            <w:drawing>
              <wp:anchor distT="45720" distB="45720" distL="114300" distR="114300" simplePos="0" relativeHeight="251856896" behindDoc="0" locked="0" layoutInCell="1" allowOverlap="1" wp14:anchorId="33E09254" wp14:editId="1A804469">
                <wp:simplePos x="0" y="0"/>
                <wp:positionH relativeFrom="margin">
                  <wp:posOffset>5259600</wp:posOffset>
                </wp:positionH>
                <wp:positionV relativeFrom="paragraph">
                  <wp:posOffset>310701</wp:posOffset>
                </wp:positionV>
                <wp:extent cx="1670400" cy="1108800"/>
                <wp:effectExtent l="0" t="0" r="0" b="0"/>
                <wp:wrapNone/>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70400" cy="1108800"/>
                        </a:xfrm>
                        <a:prstGeom prst="rect">
                          <a:avLst/>
                        </a:prstGeom>
                        <a:noFill/>
                        <a:ln w="9525">
                          <a:noFill/>
                          <a:miter lim="800000"/>
                          <a:headEnd/>
                          <a:tailEnd/>
                        </a:ln>
                      </wps:spPr>
                      <wps:txbx>
                        <w:txbxContent>
                          <w:p w14:paraId="065FA53C" w14:textId="2FD5FA7B" w:rsidR="00DC1C55" w:rsidRPr="00637746" w:rsidRDefault="00DC1C55" w:rsidP="00DC1C55">
                            <w:pPr>
                              <w:rPr>
                                <w:color w:val="001D77"/>
                                <w:szCs w:val="19"/>
                                <w:lang w:val="en-US"/>
                              </w:rPr>
                            </w:pPr>
                            <w:r w:rsidRPr="00637746">
                              <w:rPr>
                                <w:color w:val="001D77"/>
                                <w:szCs w:val="19"/>
                                <w:lang w:val="en-US"/>
                              </w:rPr>
                              <w:t>The decline in the extreme poverty rate observed in 2019 affected most of the population groups taken into account.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E09254" id="_x0000_s1031" type="#_x0000_t202" style="position:absolute;margin-left:414.15pt;margin-top:24.45pt;width:131.55pt;height:87.3pt;flip:x;z-index:251856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" filled="f" stroked="f">
                <v:textbox>
                  <w:txbxContent>
                    <w:p w14:paraId="065FA53C" w14:textId="2FD5FA7B" w:rsidR="00DC1C55" w:rsidRPr="00637746" w:rsidRDefault="00DC1C55" w:rsidP="00DC1C55">
                      <w:pPr>
                        <w:rPr>
                          <w:color w:val="001D77"/>
                          <w:szCs w:val="19"/>
                          <w:lang w:val="en-US"/>
                        </w:rPr>
                      </w:pPr>
                      <w:r w:rsidRPr="00637746">
                        <w:rPr>
                          <w:color w:val="001D77"/>
                          <w:szCs w:val="19"/>
                          <w:lang w:val="en-US"/>
                        </w:rPr>
                        <w:t>The decline in the extreme poverty rate observed in 2019 affected most of the population groups taken into account.</w:t>
                      </w:r>
                    </w:p>
                  </w:txbxContent>
                </v:textbox>
                <w10:wrap anchorx="margin"/>
              </v:shape>
            </w:pict>
          </mc:Fallback>
        </mc:AlternateContent>
      </w:r>
      <w:r w:rsidR="00F34DE8" w:rsidRPr="00CE3DFA">
        <w:rPr>
          <w:rFonts w:ascii="Fira Sans SemiBold" w:eastAsia="Times New Roman" w:hAnsi="Fira Sans SemiBold" w:cs="Times New Roman"/>
          <w:bCs/>
          <w:color w:val="001D77"/>
          <w:szCs w:val="24"/>
          <w:shd w:val="clear" w:color="auto" w:fill="FFFFFF"/>
          <w:lang w:val="en-US" w:eastAsia="pl-PL"/>
        </w:rPr>
        <w:t>Changes in the extreme poverty rate in 2019. How did the poverty rates among different population groups changed</w:t>
      </w:r>
      <w:r w:rsidR="00E7228F" w:rsidRPr="00CE3DFA">
        <w:rPr>
          <w:rFonts w:ascii="Fira Sans SemiBold" w:eastAsia="Times New Roman" w:hAnsi="Fira Sans SemiBold" w:cs="Times New Roman"/>
          <w:bCs/>
          <w:color w:val="001D77"/>
          <w:szCs w:val="24"/>
          <w:shd w:val="clear" w:color="auto" w:fill="FFFFFF"/>
          <w:lang w:val="en-US" w:eastAsia="pl-PL"/>
        </w:rPr>
        <w:t>?</w:t>
      </w:r>
      <w:r w:rsidR="00F34DE8" w:rsidRPr="00CE3DFA">
        <w:rPr>
          <w:rFonts w:ascii="Fira Sans SemiBold" w:eastAsia="Times New Roman" w:hAnsi="Fira Sans SemiBold" w:cs="Times New Roman"/>
          <w:bCs/>
          <w:color w:val="001D77"/>
          <w:szCs w:val="24"/>
          <w:shd w:val="clear" w:color="auto" w:fill="FFFFFF"/>
          <w:lang w:val="en-US" w:eastAsia="pl-PL"/>
        </w:rPr>
        <w:t xml:space="preserve">. </w:t>
      </w:r>
    </w:p>
    <w:p w14:paraId="34238035" w14:textId="5E32A078" w:rsidR="00BC5C8D" w:rsidRDefault="00B77A84" w:rsidP="00EE07FB">
      <w:pPr>
        <w:spacing w:before="240" w:line="240" w:lineRule="auto"/>
        <w:rPr>
          <w:noProof/>
          <w:szCs w:val="19"/>
          <w:lang w:val="en-US" w:eastAsia="pl-PL"/>
        </w:rPr>
      </w:pPr>
      <w:r w:rsidRPr="004D19EF">
        <w:rPr>
          <w:rFonts w:eastAsia="Times New Roman" w:cs="Times New Roman"/>
          <w:bCs/>
          <w:szCs w:val="24"/>
          <w:shd w:val="clear" w:color="auto" w:fill="FFFFFF"/>
          <w:lang w:val="en-US" w:eastAsia="pl-PL"/>
        </w:rPr>
        <w:t xml:space="preserve">Based on household expenditure, the fall in extreme poverty </w:t>
      </w:r>
      <w:r w:rsidR="00764D8B">
        <w:rPr>
          <w:rFonts w:eastAsia="Times New Roman" w:cs="Times New Roman"/>
          <w:bCs/>
          <w:szCs w:val="24"/>
          <w:shd w:val="clear" w:color="auto" w:fill="FFFFFF"/>
          <w:lang w:val="en-US" w:eastAsia="pl-PL"/>
        </w:rPr>
        <w:t xml:space="preserve">rate </w:t>
      </w:r>
      <w:r w:rsidRPr="004D19EF">
        <w:rPr>
          <w:rFonts w:eastAsia="Times New Roman" w:cs="Times New Roman"/>
          <w:bCs/>
          <w:szCs w:val="24"/>
          <w:shd w:val="clear" w:color="auto" w:fill="FFFFFF"/>
          <w:lang w:val="en-US" w:eastAsia="pl-PL"/>
        </w:rPr>
        <w:t xml:space="preserve">observed in 2019 affected most of the population groups considered, with varying degrees of change. Compared to 2018, the percentage of people spending on their subsistence </w:t>
      </w:r>
      <w:r w:rsidR="005E0095" w:rsidRPr="004D19EF">
        <w:rPr>
          <w:rFonts w:eastAsia="Times New Roman" w:cs="Times New Roman"/>
          <w:bCs/>
          <w:szCs w:val="24"/>
          <w:shd w:val="clear" w:color="auto" w:fill="FFFFFF"/>
          <w:lang w:val="en-US" w:eastAsia="pl-PL"/>
        </w:rPr>
        <w:t xml:space="preserve">less </w:t>
      </w:r>
      <w:r w:rsidRPr="004D19EF">
        <w:rPr>
          <w:rFonts w:eastAsia="Times New Roman" w:cs="Times New Roman"/>
          <w:bCs/>
          <w:szCs w:val="24"/>
          <w:shd w:val="clear" w:color="auto" w:fill="FFFFFF"/>
          <w:lang w:val="en-US" w:eastAsia="pl-PL"/>
        </w:rPr>
        <w:t xml:space="preserve">than the </w:t>
      </w:r>
      <w:r w:rsidR="005E0095">
        <w:rPr>
          <w:rFonts w:eastAsia="Times New Roman" w:cs="Times New Roman"/>
          <w:bCs/>
          <w:szCs w:val="24"/>
          <w:shd w:val="clear" w:color="auto" w:fill="FFFFFF"/>
          <w:lang w:val="en-US" w:eastAsia="pl-PL"/>
        </w:rPr>
        <w:t xml:space="preserve">adopted level of the subsistence </w:t>
      </w:r>
      <w:r w:rsidRPr="004D19EF">
        <w:rPr>
          <w:rFonts w:eastAsia="Times New Roman" w:cs="Times New Roman"/>
          <w:bCs/>
          <w:szCs w:val="24"/>
          <w:shd w:val="clear" w:color="auto" w:fill="FFFFFF"/>
          <w:lang w:val="en-US" w:eastAsia="pl-PL"/>
        </w:rPr>
        <w:t>minimum among households living mainly from unearned sources other than pensions clearly decreased</w:t>
      </w:r>
      <w:r w:rsidR="005E0095">
        <w:rPr>
          <w:rFonts w:eastAsia="Times New Roman" w:cs="Times New Roman"/>
          <w:bCs/>
          <w:szCs w:val="24"/>
          <w:shd w:val="clear" w:color="auto" w:fill="FFFFFF"/>
          <w:lang w:val="en-US" w:eastAsia="pl-PL"/>
        </w:rPr>
        <w:t xml:space="preserve"> </w:t>
      </w:r>
      <w:r w:rsidR="005E0095" w:rsidRPr="004D19EF">
        <w:rPr>
          <w:rFonts w:eastAsia="Times New Roman" w:cs="Times New Roman"/>
          <w:bCs/>
          <w:szCs w:val="24"/>
          <w:shd w:val="clear" w:color="auto" w:fill="FFFFFF"/>
          <w:lang w:val="en-US" w:eastAsia="pl-PL"/>
        </w:rPr>
        <w:t>(by more than 3 p.p.)</w:t>
      </w:r>
      <w:r w:rsidRPr="004D19EF">
        <w:rPr>
          <w:rFonts w:eastAsia="Times New Roman" w:cs="Times New Roman"/>
          <w:bCs/>
          <w:szCs w:val="24"/>
          <w:shd w:val="clear" w:color="auto" w:fill="FFFFFF"/>
          <w:lang w:val="en-US" w:eastAsia="pl-PL"/>
        </w:rPr>
        <w:t>. The poverty rate among pensioners' households decreased by about 2 p</w:t>
      </w:r>
      <w:r w:rsidR="00DB2254">
        <w:rPr>
          <w:rFonts w:eastAsia="Times New Roman" w:cs="Times New Roman"/>
          <w:bCs/>
          <w:szCs w:val="24"/>
          <w:shd w:val="clear" w:color="auto" w:fill="FFFFFF"/>
          <w:lang w:val="en-US" w:eastAsia="pl-PL"/>
        </w:rPr>
        <w:t>.p.</w:t>
      </w:r>
      <w:r w:rsidRPr="004D19EF">
        <w:rPr>
          <w:rFonts w:eastAsia="Times New Roman" w:cs="Times New Roman"/>
          <w:bCs/>
          <w:szCs w:val="24"/>
          <w:shd w:val="clear" w:color="auto" w:fill="FFFFFF"/>
          <w:lang w:val="en-US" w:eastAsia="pl-PL"/>
        </w:rPr>
        <w:t xml:space="preserve"> For the remaining socio-economic groups of households (i.e. households </w:t>
      </w:r>
      <w:r w:rsidR="00DB2254">
        <w:rPr>
          <w:rFonts w:eastAsia="Times New Roman" w:cs="Times New Roman"/>
          <w:bCs/>
          <w:szCs w:val="24"/>
          <w:shd w:val="clear" w:color="auto" w:fill="FFFFFF"/>
          <w:lang w:val="en-US" w:eastAsia="pl-PL"/>
        </w:rPr>
        <w:t>of employees</w:t>
      </w:r>
      <w:r w:rsidRPr="004D19EF">
        <w:rPr>
          <w:rFonts w:eastAsia="Times New Roman" w:cs="Times New Roman"/>
          <w:bCs/>
          <w:szCs w:val="24"/>
          <w:shd w:val="clear" w:color="auto" w:fill="FFFFFF"/>
          <w:lang w:val="en-US" w:eastAsia="pl-PL"/>
        </w:rPr>
        <w:t xml:space="preserve">, </w:t>
      </w:r>
      <w:r w:rsidR="00DB2254">
        <w:rPr>
          <w:rFonts w:eastAsia="Times New Roman" w:cs="Times New Roman"/>
          <w:bCs/>
          <w:szCs w:val="24"/>
          <w:shd w:val="clear" w:color="auto" w:fill="FFFFFF"/>
          <w:lang w:val="en-US" w:eastAsia="pl-PL"/>
        </w:rPr>
        <w:t xml:space="preserve">the </w:t>
      </w:r>
      <w:r w:rsidRPr="004D19EF">
        <w:rPr>
          <w:rFonts w:eastAsia="Times New Roman" w:cs="Times New Roman"/>
          <w:bCs/>
          <w:szCs w:val="24"/>
          <w:shd w:val="clear" w:color="auto" w:fill="FFFFFF"/>
          <w:lang w:val="en-US" w:eastAsia="pl-PL"/>
        </w:rPr>
        <w:t xml:space="preserve">self-employed, </w:t>
      </w:r>
      <w:r w:rsidR="00DB2254">
        <w:rPr>
          <w:rFonts w:eastAsia="Times New Roman" w:cs="Times New Roman"/>
          <w:bCs/>
          <w:szCs w:val="24"/>
          <w:shd w:val="clear" w:color="auto" w:fill="FFFFFF"/>
          <w:lang w:val="en-US" w:eastAsia="pl-PL"/>
        </w:rPr>
        <w:t>retirees</w:t>
      </w:r>
      <w:r w:rsidRPr="004D19EF">
        <w:rPr>
          <w:rFonts w:eastAsia="Times New Roman" w:cs="Times New Roman"/>
          <w:bCs/>
          <w:szCs w:val="24"/>
          <w:shd w:val="clear" w:color="auto" w:fill="FFFFFF"/>
          <w:lang w:val="en-US" w:eastAsia="pl-PL"/>
        </w:rPr>
        <w:t xml:space="preserve"> and farmers), the value of the extreme poverty rate in </w:t>
      </w:r>
      <w:r w:rsidR="00DB2254">
        <w:rPr>
          <w:rFonts w:eastAsia="Times New Roman" w:cs="Times New Roman"/>
          <w:bCs/>
          <w:szCs w:val="24"/>
          <w:shd w:val="clear" w:color="auto" w:fill="FFFFFF"/>
          <w:lang w:val="en-US" w:eastAsia="pl-PL"/>
        </w:rPr>
        <w:t>2019 was lower by about 1 p.p.</w:t>
      </w:r>
    </w:p>
    <w:p w14:paraId="50FA2F85" w14:textId="77777777" w:rsidR="004D19EF" w:rsidRPr="004D19EF" w:rsidRDefault="004D19EF" w:rsidP="004D19EF">
      <w:pPr>
        <w:spacing w:before="240" w:line="240" w:lineRule="auto"/>
        <w:rPr>
          <w:rFonts w:eastAsia="Times New Roman" w:cs="Times New Roman"/>
          <w:bCs/>
          <w:szCs w:val="24"/>
          <w:shd w:val="clear" w:color="auto" w:fill="FFFFFF"/>
          <w:lang w:val="en-US" w:eastAsia="pl-PL"/>
        </w:rPr>
      </w:pPr>
      <w:r w:rsidRPr="004D19EF">
        <w:rPr>
          <w:rFonts w:eastAsia="Times New Roman" w:cs="Times New Roman"/>
          <w:bCs/>
          <w:szCs w:val="24"/>
          <w:shd w:val="clear" w:color="auto" w:fill="FFFFFF"/>
          <w:lang w:val="en-US" w:eastAsia="pl-PL"/>
        </w:rPr>
        <w:t xml:space="preserve">The decrease in the extreme poverty </w:t>
      </w:r>
      <w:r w:rsidR="006C2FD3">
        <w:rPr>
          <w:rFonts w:eastAsia="Times New Roman" w:cs="Times New Roman"/>
          <w:bCs/>
          <w:szCs w:val="24"/>
          <w:shd w:val="clear" w:color="auto" w:fill="FFFFFF"/>
          <w:lang w:val="en-US" w:eastAsia="pl-PL"/>
        </w:rPr>
        <w:t xml:space="preserve">rate </w:t>
      </w:r>
      <w:r w:rsidRPr="004D19EF">
        <w:rPr>
          <w:rFonts w:eastAsia="Times New Roman" w:cs="Times New Roman"/>
          <w:bCs/>
          <w:szCs w:val="24"/>
          <w:shd w:val="clear" w:color="auto" w:fill="FFFFFF"/>
          <w:lang w:val="en-US" w:eastAsia="pl-PL"/>
        </w:rPr>
        <w:t>among households with pe</w:t>
      </w:r>
      <w:r w:rsidR="006C2FD3">
        <w:rPr>
          <w:rFonts w:eastAsia="Times New Roman" w:cs="Times New Roman"/>
          <w:bCs/>
          <w:szCs w:val="24"/>
          <w:shd w:val="clear" w:color="auto" w:fill="FFFFFF"/>
          <w:lang w:val="en-US" w:eastAsia="pl-PL"/>
        </w:rPr>
        <w:t xml:space="preserve">ople </w:t>
      </w:r>
      <w:r w:rsidRPr="004D19EF">
        <w:rPr>
          <w:rFonts w:eastAsia="Times New Roman" w:cs="Times New Roman"/>
          <w:bCs/>
          <w:szCs w:val="24"/>
          <w:shd w:val="clear" w:color="auto" w:fill="FFFFFF"/>
          <w:lang w:val="en-US" w:eastAsia="pl-PL"/>
        </w:rPr>
        <w:t xml:space="preserve">with a certificate of disability relatively most often concerned households where </w:t>
      </w:r>
      <w:r w:rsidRPr="00E467AB">
        <w:rPr>
          <w:rFonts w:eastAsia="Times New Roman" w:cs="Times New Roman"/>
          <w:bCs/>
          <w:szCs w:val="24"/>
          <w:shd w:val="clear" w:color="auto" w:fill="FFFFFF"/>
          <w:lang w:val="en-US" w:eastAsia="pl-PL"/>
        </w:rPr>
        <w:t xml:space="preserve">the head of </w:t>
      </w:r>
      <w:r w:rsidR="00722D0C" w:rsidRPr="00E467AB">
        <w:rPr>
          <w:rFonts w:eastAsia="Times New Roman" w:cs="Times New Roman"/>
          <w:bCs/>
          <w:szCs w:val="24"/>
          <w:shd w:val="clear" w:color="auto" w:fill="FFFFFF"/>
          <w:lang w:val="en-US" w:eastAsia="pl-PL"/>
        </w:rPr>
        <w:t>the</w:t>
      </w:r>
      <w:r w:rsidRPr="00E467AB">
        <w:rPr>
          <w:rFonts w:eastAsia="Times New Roman" w:cs="Times New Roman"/>
          <w:bCs/>
          <w:szCs w:val="24"/>
          <w:shd w:val="clear" w:color="auto" w:fill="FFFFFF"/>
          <w:lang w:val="en-US" w:eastAsia="pl-PL"/>
        </w:rPr>
        <w:t xml:space="preserve"> household</w:t>
      </w:r>
      <w:r w:rsidR="008E1938">
        <w:rPr>
          <w:rStyle w:val="Odwoanieprzypisudolnego"/>
          <w:rFonts w:eastAsia="Times New Roman" w:cs="Times New Roman"/>
          <w:bCs/>
          <w:szCs w:val="24"/>
          <w:shd w:val="clear" w:color="auto" w:fill="FFFFFF"/>
          <w:lang w:val="en-US" w:eastAsia="pl-PL"/>
        </w:rPr>
        <w:footnoteReference w:id="1"/>
      </w:r>
      <w:r w:rsidRPr="004D19EF">
        <w:rPr>
          <w:rFonts w:eastAsia="Times New Roman" w:cs="Times New Roman"/>
          <w:bCs/>
          <w:szCs w:val="24"/>
          <w:shd w:val="clear" w:color="auto" w:fill="FFFFFF"/>
          <w:lang w:val="en-US" w:eastAsia="pl-PL"/>
        </w:rPr>
        <w:t xml:space="preserve"> had such a certificate (decrease by about 3 p</w:t>
      </w:r>
      <w:r w:rsidR="006C2FD3">
        <w:rPr>
          <w:rFonts w:eastAsia="Times New Roman" w:cs="Times New Roman"/>
          <w:bCs/>
          <w:szCs w:val="24"/>
          <w:shd w:val="clear" w:color="auto" w:fill="FFFFFF"/>
          <w:lang w:val="en-US" w:eastAsia="pl-PL"/>
        </w:rPr>
        <w:t>.p.</w:t>
      </w:r>
      <w:r w:rsidRPr="004D19EF">
        <w:rPr>
          <w:rFonts w:eastAsia="Times New Roman" w:cs="Times New Roman"/>
          <w:bCs/>
          <w:szCs w:val="24"/>
          <w:shd w:val="clear" w:color="auto" w:fill="FFFFFF"/>
          <w:lang w:val="en-US" w:eastAsia="pl-PL"/>
        </w:rPr>
        <w:t xml:space="preserve">). </w:t>
      </w:r>
      <w:r w:rsidR="00567EBA">
        <w:rPr>
          <w:rFonts w:eastAsia="Times New Roman" w:cs="Times New Roman"/>
          <w:bCs/>
          <w:szCs w:val="24"/>
          <w:shd w:val="clear" w:color="auto" w:fill="FFFFFF"/>
          <w:lang w:val="en-US" w:eastAsia="pl-PL"/>
        </w:rPr>
        <w:t>P</w:t>
      </w:r>
      <w:r w:rsidRPr="004D19EF">
        <w:rPr>
          <w:rFonts w:eastAsia="Times New Roman" w:cs="Times New Roman"/>
          <w:bCs/>
          <w:szCs w:val="24"/>
          <w:shd w:val="clear" w:color="auto" w:fill="FFFFFF"/>
          <w:lang w:val="en-US" w:eastAsia="pl-PL"/>
        </w:rPr>
        <w:t xml:space="preserve">overty </w:t>
      </w:r>
      <w:r w:rsidR="00567EBA">
        <w:rPr>
          <w:rFonts w:eastAsia="Times New Roman" w:cs="Times New Roman"/>
          <w:bCs/>
          <w:szCs w:val="24"/>
          <w:shd w:val="clear" w:color="auto" w:fill="FFFFFF"/>
          <w:lang w:val="en-US" w:eastAsia="pl-PL"/>
        </w:rPr>
        <w:t xml:space="preserve">rate </w:t>
      </w:r>
      <w:r w:rsidRPr="004D19EF">
        <w:rPr>
          <w:rFonts w:eastAsia="Times New Roman" w:cs="Times New Roman"/>
          <w:bCs/>
          <w:szCs w:val="24"/>
          <w:shd w:val="clear" w:color="auto" w:fill="FFFFFF"/>
          <w:lang w:val="en-US" w:eastAsia="pl-PL"/>
        </w:rPr>
        <w:t xml:space="preserve">in households where the head of </w:t>
      </w:r>
      <w:r w:rsidR="00722D0C">
        <w:rPr>
          <w:rFonts w:eastAsia="Times New Roman" w:cs="Times New Roman"/>
          <w:bCs/>
          <w:szCs w:val="24"/>
          <w:shd w:val="clear" w:color="auto" w:fill="FFFFFF"/>
          <w:lang w:val="en-US" w:eastAsia="pl-PL"/>
        </w:rPr>
        <w:t>the</w:t>
      </w:r>
      <w:r w:rsidRPr="004D19EF">
        <w:rPr>
          <w:rFonts w:eastAsia="Times New Roman" w:cs="Times New Roman"/>
          <w:bCs/>
          <w:szCs w:val="24"/>
          <w:shd w:val="clear" w:color="auto" w:fill="FFFFFF"/>
          <w:lang w:val="en-US" w:eastAsia="pl-PL"/>
        </w:rPr>
        <w:t xml:space="preserve"> household had a low level of education (</w:t>
      </w:r>
      <w:r w:rsidR="00CD3639">
        <w:rPr>
          <w:rFonts w:eastAsia="Times New Roman" w:cs="Times New Roman"/>
          <w:bCs/>
          <w:szCs w:val="24"/>
          <w:shd w:val="clear" w:color="auto" w:fill="FFFFFF"/>
          <w:lang w:val="en-US" w:eastAsia="pl-PL"/>
        </w:rPr>
        <w:t xml:space="preserve">not higher then </w:t>
      </w:r>
      <w:r w:rsidRPr="004D19EF">
        <w:rPr>
          <w:rFonts w:eastAsia="Times New Roman" w:cs="Times New Roman"/>
          <w:bCs/>
          <w:szCs w:val="24"/>
          <w:shd w:val="clear" w:color="auto" w:fill="FFFFFF"/>
          <w:lang w:val="en-US" w:eastAsia="pl-PL"/>
        </w:rPr>
        <w:t>lower secondary or basic vocational education) decreased by about 2 p</w:t>
      </w:r>
      <w:r w:rsidR="00567EBA">
        <w:rPr>
          <w:rFonts w:eastAsia="Times New Roman" w:cs="Times New Roman"/>
          <w:bCs/>
          <w:szCs w:val="24"/>
          <w:shd w:val="clear" w:color="auto" w:fill="FFFFFF"/>
          <w:lang w:val="en-US" w:eastAsia="pl-PL"/>
        </w:rPr>
        <w:t>.p</w:t>
      </w:r>
      <w:r w:rsidRPr="004D19EF">
        <w:rPr>
          <w:rFonts w:eastAsia="Times New Roman" w:cs="Times New Roman"/>
          <w:bCs/>
          <w:szCs w:val="24"/>
          <w:shd w:val="clear" w:color="auto" w:fill="FFFFFF"/>
          <w:lang w:val="en-US" w:eastAsia="pl-PL"/>
        </w:rPr>
        <w:t>.</w:t>
      </w:r>
    </w:p>
    <w:p w14:paraId="28FDD8FC" w14:textId="77777777" w:rsidR="004D19EF" w:rsidRPr="004D19EF" w:rsidRDefault="004D19EF" w:rsidP="004D19EF">
      <w:pPr>
        <w:spacing w:before="240" w:line="240" w:lineRule="auto"/>
        <w:rPr>
          <w:rFonts w:eastAsia="Times New Roman" w:cs="Times New Roman"/>
          <w:bCs/>
          <w:szCs w:val="24"/>
          <w:shd w:val="clear" w:color="auto" w:fill="FFFFFF"/>
          <w:lang w:val="en-US" w:eastAsia="pl-PL"/>
        </w:rPr>
      </w:pPr>
      <w:r w:rsidRPr="004D19EF">
        <w:rPr>
          <w:rFonts w:eastAsia="Times New Roman" w:cs="Times New Roman"/>
          <w:bCs/>
          <w:szCs w:val="24"/>
          <w:shd w:val="clear" w:color="auto" w:fill="FFFFFF"/>
          <w:lang w:val="en-US" w:eastAsia="pl-PL"/>
        </w:rPr>
        <w:t xml:space="preserve">In 2019, there was also a decrease in the percentage of poor people among households with children under 18 years of age. The </w:t>
      </w:r>
      <w:r w:rsidR="00A77099">
        <w:rPr>
          <w:rFonts w:eastAsia="Times New Roman" w:cs="Times New Roman"/>
          <w:bCs/>
          <w:szCs w:val="24"/>
          <w:shd w:val="clear" w:color="auto" w:fill="FFFFFF"/>
          <w:lang w:val="en-US" w:eastAsia="pl-PL"/>
        </w:rPr>
        <w:t xml:space="preserve">biggest one </w:t>
      </w:r>
      <w:r w:rsidRPr="004D19EF">
        <w:rPr>
          <w:rFonts w:eastAsia="Times New Roman" w:cs="Times New Roman"/>
          <w:bCs/>
          <w:szCs w:val="24"/>
          <w:shd w:val="clear" w:color="auto" w:fill="FFFFFF"/>
          <w:lang w:val="en-US" w:eastAsia="pl-PL"/>
        </w:rPr>
        <w:t>(by about 3 p.p.) - was recorded in the case of households with at least 3 children. The percentage of poor people among households with 1 child unde</w:t>
      </w:r>
      <w:r w:rsidR="002676ED">
        <w:rPr>
          <w:rFonts w:eastAsia="Times New Roman" w:cs="Times New Roman"/>
          <w:bCs/>
          <w:szCs w:val="24"/>
          <w:shd w:val="clear" w:color="auto" w:fill="FFFFFF"/>
          <w:lang w:val="en-US" w:eastAsia="pl-PL"/>
        </w:rPr>
        <w:t>r 18 also decreased by 1.5 p.p.</w:t>
      </w:r>
      <w:r w:rsidRPr="004D19EF">
        <w:rPr>
          <w:rFonts w:eastAsia="Times New Roman" w:cs="Times New Roman"/>
          <w:bCs/>
          <w:szCs w:val="24"/>
          <w:shd w:val="clear" w:color="auto" w:fill="FFFFFF"/>
          <w:lang w:val="en-US" w:eastAsia="pl-PL"/>
        </w:rPr>
        <w:t xml:space="preserve"> As a result, extreme poverty </w:t>
      </w:r>
      <w:r w:rsidR="002676ED">
        <w:rPr>
          <w:rFonts w:eastAsia="Times New Roman" w:cs="Times New Roman"/>
          <w:bCs/>
          <w:szCs w:val="24"/>
          <w:shd w:val="clear" w:color="auto" w:fill="FFFFFF"/>
          <w:lang w:val="en-US" w:eastAsia="pl-PL"/>
        </w:rPr>
        <w:t xml:space="preserve">rate </w:t>
      </w:r>
      <w:r w:rsidR="009C714D">
        <w:rPr>
          <w:rFonts w:eastAsia="Times New Roman" w:cs="Times New Roman"/>
          <w:bCs/>
          <w:szCs w:val="24"/>
          <w:shd w:val="clear" w:color="auto" w:fill="FFFFFF"/>
          <w:lang w:val="en-US" w:eastAsia="pl-PL"/>
        </w:rPr>
        <w:t>among chi</w:t>
      </w:r>
      <w:r w:rsidR="00F273C7">
        <w:rPr>
          <w:rFonts w:eastAsia="Times New Roman" w:cs="Times New Roman"/>
          <w:bCs/>
          <w:szCs w:val="24"/>
          <w:shd w:val="clear" w:color="auto" w:fill="FFFFFF"/>
          <w:lang w:val="en-US" w:eastAsia="pl-PL"/>
        </w:rPr>
        <w:t>l</w:t>
      </w:r>
      <w:r w:rsidRPr="004D19EF">
        <w:rPr>
          <w:rFonts w:eastAsia="Times New Roman" w:cs="Times New Roman"/>
          <w:bCs/>
          <w:szCs w:val="24"/>
          <w:shd w:val="clear" w:color="auto" w:fill="FFFFFF"/>
          <w:lang w:val="en-US" w:eastAsia="pl-PL"/>
        </w:rPr>
        <w:t>dren and young people under 18 years of age decreased from 6% in 2018 to less than 5% in 2019.</w:t>
      </w:r>
    </w:p>
    <w:p w14:paraId="2D7A02F4" w14:textId="2A259225" w:rsidR="004D19EF" w:rsidRPr="004D19EF" w:rsidRDefault="004D19EF" w:rsidP="004D19EF">
      <w:pPr>
        <w:spacing w:before="240" w:line="240" w:lineRule="auto"/>
        <w:rPr>
          <w:rFonts w:eastAsia="Times New Roman" w:cs="Times New Roman"/>
          <w:bCs/>
          <w:szCs w:val="24"/>
          <w:shd w:val="clear" w:color="auto" w:fill="FFFFFF"/>
          <w:lang w:val="en-US" w:eastAsia="pl-PL"/>
        </w:rPr>
      </w:pPr>
      <w:r w:rsidRPr="004D19EF">
        <w:rPr>
          <w:rFonts w:eastAsia="Times New Roman" w:cs="Times New Roman"/>
          <w:bCs/>
          <w:szCs w:val="24"/>
          <w:shd w:val="clear" w:color="auto" w:fill="FFFFFF"/>
          <w:lang w:val="en-US" w:eastAsia="pl-PL"/>
        </w:rPr>
        <w:t>The decrease in the level of extreme poverty in 2019 concerne</w:t>
      </w:r>
      <w:r w:rsidR="009C714D">
        <w:rPr>
          <w:rFonts w:eastAsia="Times New Roman" w:cs="Times New Roman"/>
          <w:bCs/>
          <w:szCs w:val="24"/>
          <w:shd w:val="clear" w:color="auto" w:fill="FFFFFF"/>
          <w:lang w:val="en-US" w:eastAsia="pl-PL"/>
        </w:rPr>
        <w:t>d to a large extent the inhabit</w:t>
      </w:r>
      <w:r w:rsidRPr="004D19EF">
        <w:rPr>
          <w:rFonts w:eastAsia="Times New Roman" w:cs="Times New Roman"/>
          <w:bCs/>
          <w:szCs w:val="24"/>
          <w:shd w:val="clear" w:color="auto" w:fill="FFFFFF"/>
          <w:lang w:val="en-US" w:eastAsia="pl-PL"/>
        </w:rPr>
        <w:t>ants of rural areas and the smallest towns - with less than 20 thousand inhabitants (a decrease of about 2 p.p.). In groups of cities between 20 000 and 200 000 - the decrease in the poverty rate was minimal (below 1 p.p.). However, the pover</w:t>
      </w:r>
      <w:r w:rsidR="009C714D">
        <w:rPr>
          <w:rFonts w:eastAsia="Times New Roman" w:cs="Times New Roman"/>
          <w:bCs/>
          <w:szCs w:val="24"/>
          <w:shd w:val="clear" w:color="auto" w:fill="FFFFFF"/>
          <w:lang w:val="en-US" w:eastAsia="pl-PL"/>
        </w:rPr>
        <w:t xml:space="preserve">ty rate in the largest urban </w:t>
      </w:r>
      <w:proofErr w:type="spellStart"/>
      <w:r w:rsidR="009C714D">
        <w:rPr>
          <w:rFonts w:eastAsia="Times New Roman" w:cs="Times New Roman"/>
          <w:bCs/>
          <w:szCs w:val="24"/>
          <w:shd w:val="clear" w:color="auto" w:fill="FFFFFF"/>
          <w:lang w:val="en-US" w:eastAsia="pl-PL"/>
        </w:rPr>
        <w:t>cen</w:t>
      </w:r>
      <w:r w:rsidRPr="004D19EF">
        <w:rPr>
          <w:rFonts w:eastAsia="Times New Roman" w:cs="Times New Roman"/>
          <w:bCs/>
          <w:szCs w:val="24"/>
          <w:shd w:val="clear" w:color="auto" w:fill="FFFFFF"/>
          <w:lang w:val="en-US" w:eastAsia="pl-PL"/>
        </w:rPr>
        <w:t>tres</w:t>
      </w:r>
      <w:proofErr w:type="spellEnd"/>
      <w:r w:rsidRPr="004D19EF">
        <w:rPr>
          <w:rFonts w:eastAsia="Times New Roman" w:cs="Times New Roman"/>
          <w:bCs/>
          <w:szCs w:val="24"/>
          <w:shd w:val="clear" w:color="auto" w:fill="FFFFFF"/>
          <w:lang w:val="en-US" w:eastAsia="pl-PL"/>
        </w:rPr>
        <w:t xml:space="preserve"> (at least 200 thousand inhabitants) remained at a similar level in both years. In this category of cities, the extreme poverty rate </w:t>
      </w:r>
      <w:r w:rsidR="009C714D">
        <w:rPr>
          <w:rFonts w:eastAsia="Times New Roman" w:cs="Times New Roman"/>
          <w:bCs/>
          <w:szCs w:val="24"/>
          <w:shd w:val="clear" w:color="auto" w:fill="FFFFFF"/>
          <w:lang w:val="en-US" w:eastAsia="pl-PL"/>
        </w:rPr>
        <w:t>was</w:t>
      </w:r>
      <w:r w:rsidRPr="004D19EF">
        <w:rPr>
          <w:rFonts w:eastAsia="Times New Roman" w:cs="Times New Roman"/>
          <w:bCs/>
          <w:szCs w:val="24"/>
          <w:shd w:val="clear" w:color="auto" w:fill="FFFFFF"/>
          <w:lang w:val="en-US" w:eastAsia="pl-PL"/>
        </w:rPr>
        <w:t xml:space="preserve"> the lowest and amount</w:t>
      </w:r>
      <w:r w:rsidR="009C714D">
        <w:rPr>
          <w:rFonts w:eastAsia="Times New Roman" w:cs="Times New Roman"/>
          <w:bCs/>
          <w:szCs w:val="24"/>
          <w:shd w:val="clear" w:color="auto" w:fill="FFFFFF"/>
          <w:lang w:val="en-US" w:eastAsia="pl-PL"/>
        </w:rPr>
        <w:t>ed</w:t>
      </w:r>
      <w:r w:rsidRPr="004D19EF">
        <w:rPr>
          <w:rFonts w:eastAsia="Times New Roman" w:cs="Times New Roman"/>
          <w:bCs/>
          <w:szCs w:val="24"/>
          <w:shd w:val="clear" w:color="auto" w:fill="FFFFFF"/>
          <w:lang w:val="en-US" w:eastAsia="pl-PL"/>
        </w:rPr>
        <w:t xml:space="preserve"> to about 1%.</w:t>
      </w:r>
    </w:p>
    <w:p w14:paraId="3CD02874" w14:textId="76E20521" w:rsidR="00101E78" w:rsidRPr="00CE3DFA" w:rsidRDefault="00101E78" w:rsidP="00101E78">
      <w:pPr>
        <w:spacing w:before="240" w:line="259" w:lineRule="auto"/>
        <w:rPr>
          <w:rFonts w:ascii="Fira Sans SemiBold" w:eastAsia="Times New Roman" w:hAnsi="Fira Sans SemiBold" w:cs="Times New Roman"/>
          <w:bCs/>
          <w:szCs w:val="24"/>
          <w:shd w:val="clear" w:color="auto" w:fill="FFFFFF"/>
          <w:lang w:val="en-US" w:eastAsia="pl-PL"/>
        </w:rPr>
      </w:pPr>
      <w:proofErr w:type="spellStart"/>
      <w:r w:rsidRPr="00CE3DFA">
        <w:rPr>
          <w:rFonts w:ascii="Fira Sans SemiBold" w:eastAsia="Times New Roman" w:hAnsi="Fira Sans SemiBold" w:cs="Times New Roman"/>
          <w:bCs/>
          <w:color w:val="001D77"/>
          <w:szCs w:val="24"/>
          <w:shd w:val="clear" w:color="auto" w:fill="FFFFFF"/>
          <w:lang w:val="en-US" w:eastAsia="pl-PL"/>
        </w:rPr>
        <w:t>Diversyfing</w:t>
      </w:r>
      <w:proofErr w:type="spellEnd"/>
      <w:r w:rsidRPr="00CE3DFA">
        <w:rPr>
          <w:rFonts w:ascii="Fira Sans SemiBold" w:eastAsia="Times New Roman" w:hAnsi="Fira Sans SemiBold" w:cs="Times New Roman"/>
          <w:bCs/>
          <w:color w:val="001D77"/>
          <w:szCs w:val="24"/>
          <w:shd w:val="clear" w:color="auto" w:fill="FFFFFF"/>
          <w:lang w:val="en-US" w:eastAsia="pl-PL"/>
        </w:rPr>
        <w:t xml:space="preserve"> the extreme poverty rate in 2019. Who experienced poverty most often and lest often? </w:t>
      </w:r>
    </w:p>
    <w:p w14:paraId="18ACAD81" w14:textId="57EBBBFF" w:rsidR="004D19EF" w:rsidRPr="004D19EF" w:rsidRDefault="006A14FE" w:rsidP="004D19EF">
      <w:pPr>
        <w:spacing w:before="240" w:line="240" w:lineRule="auto"/>
        <w:rPr>
          <w:rFonts w:eastAsia="Times New Roman" w:cs="Times New Roman"/>
          <w:bCs/>
          <w:szCs w:val="24"/>
          <w:shd w:val="clear" w:color="auto" w:fill="FFFFFF"/>
          <w:lang w:val="en-US" w:eastAsia="pl-PL"/>
        </w:rPr>
      </w:pPr>
      <w:r>
        <w:rPr>
          <w:noProof/>
          <w:color w:val="001D77"/>
          <w:szCs w:val="19"/>
          <w:lang w:eastAsia="pl-PL"/>
        </w:rPr>
        <mc:AlternateContent>
          <mc:Choice Requires="wps">
            <w:drawing>
              <wp:anchor distT="45720" distB="45720" distL="114300" distR="114300" simplePos="0" relativeHeight="251782144" behindDoc="0" locked="0" layoutInCell="1" allowOverlap="1" wp14:anchorId="53D3BE45" wp14:editId="294C20B1">
                <wp:simplePos x="0" y="0"/>
                <wp:positionH relativeFrom="column">
                  <wp:posOffset>5257800</wp:posOffset>
                </wp:positionH>
                <wp:positionV relativeFrom="paragraph">
                  <wp:posOffset>162560</wp:posOffset>
                </wp:positionV>
                <wp:extent cx="1771200" cy="1552575"/>
                <wp:effectExtent l="0" t="0" r="0" b="952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200" cy="155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4D1E18" w14:textId="77777777" w:rsidR="000021B3" w:rsidRPr="00EC18B9" w:rsidRDefault="000021B3" w:rsidP="00F74EC4">
                            <w:pPr>
                              <w:suppressAutoHyphens/>
                              <w:rPr>
                                <w:color w:val="001D77"/>
                                <w:szCs w:val="19"/>
                                <w:lang w:val="en-US"/>
                              </w:rPr>
                            </w:pPr>
                            <w:r w:rsidRPr="00EC18B9">
                              <w:rPr>
                                <w:color w:val="001D77"/>
                                <w:szCs w:val="19"/>
                                <w:lang w:val="en-US"/>
                              </w:rPr>
                              <w:t>The level of poverty risk of particular population groups varies, however, no significant changes in the social map of extreme poverty risk in Poland have been observed in the last few years.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D3BE45" id="Text Box 8" o:spid="_x0000_s1032" type="#_x0000_t202" style="position:absolute;margin-left:414pt;margin-top:12.8pt;width:139.45pt;height:122.25pt;z-index:25178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" filled="f" stroked="f">
                <v:textbox>
                  <w:txbxContent>
                    <w:p w14:paraId="674D1E18" w14:textId="77777777" w:rsidR="000021B3" w:rsidRPr="00EC18B9" w:rsidRDefault="000021B3" w:rsidP="00F74EC4">
                      <w:pPr>
                        <w:suppressAutoHyphens/>
                        <w:rPr>
                          <w:color w:val="001D77"/>
                          <w:szCs w:val="19"/>
                          <w:lang w:val="en-US"/>
                        </w:rPr>
                      </w:pPr>
                      <w:r w:rsidRPr="00EC18B9">
                        <w:rPr>
                          <w:color w:val="001D77"/>
                          <w:szCs w:val="19"/>
                          <w:lang w:val="en-US"/>
                        </w:rPr>
                        <w:t>The level of poverty risk of particular population groups varies, however, no significant changes in the social map of extreme poverty risk in Poland have been observed in the last few years.</w:t>
                      </w:r>
                    </w:p>
                  </w:txbxContent>
                </v:textbox>
              </v:shape>
            </w:pict>
          </mc:Fallback>
        </mc:AlternateContent>
      </w:r>
      <w:r w:rsidR="004D19EF" w:rsidRPr="004D19EF">
        <w:rPr>
          <w:rFonts w:eastAsia="Times New Roman" w:cs="Times New Roman"/>
          <w:bCs/>
          <w:szCs w:val="24"/>
          <w:shd w:val="clear" w:color="auto" w:fill="FFFFFF"/>
          <w:lang w:val="en-US" w:eastAsia="pl-PL"/>
        </w:rPr>
        <w:t xml:space="preserve">When interpreting the data on the differentiation of the poverty rate due to different characteristics of households, it should be remembered that in practice we are dealing not with one determinant of poverty, but with the coexistence of many factors simultaneously. For example, the differentiation of the poverty rate by socio-economic groups depends, among others, on the economic activity of household members and their status on the </w:t>
      </w:r>
      <w:proofErr w:type="spellStart"/>
      <w:r w:rsidR="004D19EF" w:rsidRPr="004D19EF">
        <w:rPr>
          <w:rFonts w:eastAsia="Times New Roman" w:cs="Times New Roman"/>
          <w:bCs/>
          <w:szCs w:val="24"/>
          <w:shd w:val="clear" w:color="auto" w:fill="FFFFFF"/>
          <w:lang w:val="en-US" w:eastAsia="pl-PL"/>
        </w:rPr>
        <w:t>labour</w:t>
      </w:r>
      <w:proofErr w:type="spellEnd"/>
      <w:r w:rsidR="004D19EF" w:rsidRPr="004D19EF">
        <w:rPr>
          <w:rFonts w:eastAsia="Times New Roman" w:cs="Times New Roman"/>
          <w:bCs/>
          <w:szCs w:val="24"/>
          <w:shd w:val="clear" w:color="auto" w:fill="FFFFFF"/>
          <w:lang w:val="en-US" w:eastAsia="pl-PL"/>
        </w:rPr>
        <w:t xml:space="preserve"> market, which in turn depends, for example, on the age and level of education of the pe</w:t>
      </w:r>
      <w:r w:rsidR="003C09AD">
        <w:rPr>
          <w:rFonts w:eastAsia="Times New Roman" w:cs="Times New Roman"/>
          <w:bCs/>
          <w:szCs w:val="24"/>
          <w:shd w:val="clear" w:color="auto" w:fill="FFFFFF"/>
          <w:lang w:val="en-US" w:eastAsia="pl-PL"/>
        </w:rPr>
        <w:t>ople</w:t>
      </w:r>
      <w:r w:rsidR="004D19EF" w:rsidRPr="004D19EF">
        <w:rPr>
          <w:rFonts w:eastAsia="Times New Roman" w:cs="Times New Roman"/>
          <w:bCs/>
          <w:szCs w:val="24"/>
          <w:shd w:val="clear" w:color="auto" w:fill="FFFFFF"/>
          <w:lang w:val="en-US" w:eastAsia="pl-PL"/>
        </w:rPr>
        <w:t xml:space="preserve"> forming the household. </w:t>
      </w:r>
    </w:p>
    <w:p w14:paraId="3388ECA7" w14:textId="059773A4" w:rsidR="00832545" w:rsidRDefault="00832545" w:rsidP="00920915">
      <w:pPr>
        <w:spacing w:before="240" w:after="80" w:line="240" w:lineRule="auto"/>
        <w:rPr>
          <w:noProof/>
          <w:szCs w:val="19"/>
          <w:lang w:val="en-US" w:eastAsia="pl-PL"/>
        </w:rPr>
      </w:pPr>
      <w:r w:rsidRPr="00832545">
        <w:rPr>
          <w:noProof/>
          <w:szCs w:val="19"/>
          <w:lang w:val="en-US" w:eastAsia="pl-PL"/>
        </w:rPr>
        <w:t xml:space="preserve">Particularly vulnerable to extreme poverty in 2019 were the households living mainly </w:t>
      </w:r>
      <w:r w:rsidR="006204E1">
        <w:rPr>
          <w:noProof/>
          <w:szCs w:val="19"/>
          <w:lang w:val="en-US" w:eastAsia="pl-PL"/>
        </w:rPr>
        <w:t xml:space="preserve">on </w:t>
      </w:r>
      <w:r w:rsidRPr="00832545">
        <w:rPr>
          <w:noProof/>
          <w:szCs w:val="19"/>
          <w:lang w:val="en-US" w:eastAsia="pl-PL"/>
        </w:rPr>
        <w:t xml:space="preserve">so-called </w:t>
      </w:r>
      <w:r w:rsidR="006204E1">
        <w:rPr>
          <w:noProof/>
          <w:szCs w:val="19"/>
          <w:lang w:val="en-US" w:eastAsia="pl-PL"/>
        </w:rPr>
        <w:t xml:space="preserve">unearned </w:t>
      </w:r>
      <w:r w:rsidRPr="00832545">
        <w:rPr>
          <w:noProof/>
          <w:szCs w:val="19"/>
          <w:lang w:val="en-US" w:eastAsia="pl-PL"/>
        </w:rPr>
        <w:t xml:space="preserve">sources, including mainly from social benefits other than pensions (poverty rate of about 11%) and farmers' households (about 10%). A higher than average level of extreme poverty also occurred in the households of pensioners (6%). The households of people with a low level of education were affected by extreme poverty in particular. The poverty rate among households </w:t>
      </w:r>
      <w:r w:rsidR="008B27A9">
        <w:rPr>
          <w:noProof/>
          <w:szCs w:val="19"/>
          <w:lang w:val="en-US" w:eastAsia="pl-PL"/>
        </w:rPr>
        <w:t xml:space="preserve">the </w:t>
      </w:r>
      <w:r w:rsidRPr="00832545">
        <w:rPr>
          <w:noProof/>
          <w:szCs w:val="19"/>
          <w:lang w:val="en-US" w:eastAsia="pl-PL"/>
        </w:rPr>
        <w:t xml:space="preserve">head </w:t>
      </w:r>
      <w:r w:rsidR="008B27A9">
        <w:rPr>
          <w:noProof/>
          <w:szCs w:val="19"/>
          <w:lang w:val="en-US" w:eastAsia="pl-PL"/>
        </w:rPr>
        <w:t xml:space="preserve">of which </w:t>
      </w:r>
      <w:r w:rsidRPr="00832545">
        <w:rPr>
          <w:noProof/>
          <w:szCs w:val="19"/>
          <w:lang w:val="en-US" w:eastAsia="pl-PL"/>
        </w:rPr>
        <w:t xml:space="preserve">had at most lower secondary education was more than twice as high as the average and amounted to about 10%. The percentage of the poor in the case of households </w:t>
      </w:r>
      <w:r w:rsidR="00101E9E">
        <w:rPr>
          <w:noProof/>
          <w:szCs w:val="19"/>
          <w:lang w:val="en-US" w:eastAsia="pl-PL"/>
        </w:rPr>
        <w:t xml:space="preserve">the head </w:t>
      </w:r>
      <w:r w:rsidR="008B27A9">
        <w:rPr>
          <w:noProof/>
          <w:szCs w:val="19"/>
          <w:lang w:val="en-US" w:eastAsia="pl-PL"/>
        </w:rPr>
        <w:t xml:space="preserve">of which had </w:t>
      </w:r>
      <w:r w:rsidRPr="00832545">
        <w:rPr>
          <w:noProof/>
          <w:szCs w:val="19"/>
          <w:lang w:val="en-US" w:eastAsia="pl-PL"/>
        </w:rPr>
        <w:t xml:space="preserve">basic vocational education was also higher than the average (over 6%). The group of households with a relatively high extreme poverty </w:t>
      </w:r>
      <w:r w:rsidR="008B27A9">
        <w:rPr>
          <w:noProof/>
          <w:szCs w:val="19"/>
          <w:lang w:val="en-US" w:eastAsia="pl-PL"/>
        </w:rPr>
        <w:t xml:space="preserve">rate </w:t>
      </w:r>
      <w:r w:rsidRPr="00832545">
        <w:rPr>
          <w:noProof/>
          <w:szCs w:val="19"/>
          <w:lang w:val="en-US" w:eastAsia="pl-PL"/>
        </w:rPr>
        <w:t>also included households with persons with a disability certificate</w:t>
      </w:r>
      <w:r w:rsidR="008B27A9">
        <w:rPr>
          <w:noProof/>
          <w:szCs w:val="19"/>
          <w:lang w:val="en-US" w:eastAsia="pl-PL"/>
        </w:rPr>
        <w:t>.</w:t>
      </w:r>
      <w:r w:rsidRPr="00832545">
        <w:rPr>
          <w:noProof/>
          <w:szCs w:val="19"/>
          <w:lang w:val="en-US" w:eastAsia="pl-PL"/>
        </w:rPr>
        <w:t xml:space="preserve"> The extreme poverty rate in households with at least one person recognised as </w:t>
      </w:r>
      <w:r w:rsidR="009D7F57">
        <w:rPr>
          <w:noProof/>
          <w:szCs w:val="19"/>
          <w:lang w:val="en-US" w:eastAsia="pl-PL"/>
        </w:rPr>
        <w:t xml:space="preserve">a person with disabilities </w:t>
      </w:r>
      <w:r w:rsidRPr="00832545">
        <w:rPr>
          <w:noProof/>
          <w:szCs w:val="19"/>
          <w:lang w:val="en-US" w:eastAsia="pl-PL"/>
        </w:rPr>
        <w:t>amounted to 6.5%.</w:t>
      </w:r>
    </w:p>
    <w:p w14:paraId="26EBA4C0" w14:textId="77777777" w:rsidR="00455A32" w:rsidRPr="00455A32" w:rsidRDefault="00830861" w:rsidP="00455A32">
      <w:pPr>
        <w:spacing w:before="240" w:after="80" w:line="240" w:lineRule="auto"/>
        <w:rPr>
          <w:noProof/>
          <w:szCs w:val="19"/>
          <w:lang w:val="en-US" w:eastAsia="pl-PL"/>
        </w:rPr>
      </w:pPr>
      <w:r>
        <w:rPr>
          <w:noProof/>
          <w:szCs w:val="19"/>
          <w:lang w:val="en-US" w:eastAsia="pl-PL"/>
        </w:rPr>
        <w:lastRenderedPageBreak/>
        <w:t>Households</w:t>
      </w:r>
      <w:r w:rsidR="00455A32" w:rsidRPr="00455A32">
        <w:rPr>
          <w:noProof/>
          <w:szCs w:val="19"/>
          <w:lang w:val="en-US" w:eastAsia="pl-PL"/>
        </w:rPr>
        <w:t xml:space="preserve"> with at least two children under 18 years of age were characterized by a higher </w:t>
      </w:r>
      <w:r>
        <w:rPr>
          <w:noProof/>
          <w:szCs w:val="19"/>
          <w:lang w:val="en-US" w:eastAsia="pl-PL"/>
        </w:rPr>
        <w:t xml:space="preserve">rate of </w:t>
      </w:r>
      <w:r w:rsidR="00455A32" w:rsidRPr="00455A32">
        <w:rPr>
          <w:noProof/>
          <w:szCs w:val="19"/>
          <w:lang w:val="en-US" w:eastAsia="pl-PL"/>
        </w:rPr>
        <w:t>extreme poverty than the Polish average in 2019. Households with at least three children (about 7% of poor people) were in the worst situation.</w:t>
      </w:r>
    </w:p>
    <w:p w14:paraId="391C2AAC" w14:textId="77777777" w:rsidR="00455A32" w:rsidRPr="00832545" w:rsidRDefault="00455A32" w:rsidP="00455A32">
      <w:pPr>
        <w:spacing w:before="240" w:after="80" w:line="240" w:lineRule="auto"/>
        <w:rPr>
          <w:noProof/>
          <w:szCs w:val="19"/>
          <w:lang w:val="en-US" w:eastAsia="pl-PL"/>
        </w:rPr>
      </w:pPr>
      <w:r w:rsidRPr="00455A32">
        <w:rPr>
          <w:noProof/>
          <w:szCs w:val="19"/>
          <w:lang w:val="en-US" w:eastAsia="pl-PL"/>
        </w:rPr>
        <w:t>Rural residents were more likely to have lower expenditures than urban residents, where the extreme poverty rate reached about 8% in 2019. For comparison, in cities</w:t>
      </w:r>
      <w:r w:rsidR="00830861">
        <w:rPr>
          <w:noProof/>
          <w:szCs w:val="19"/>
          <w:lang w:val="en-US" w:eastAsia="pl-PL"/>
        </w:rPr>
        <w:t xml:space="preserve"> and towns</w:t>
      </w:r>
      <w:r w:rsidRPr="00455A32">
        <w:rPr>
          <w:noProof/>
          <w:szCs w:val="19"/>
          <w:lang w:val="en-US" w:eastAsia="pl-PL"/>
        </w:rPr>
        <w:t>, depending on the size, it ranged from about 1% to about 3%.</w:t>
      </w:r>
    </w:p>
    <w:p w14:paraId="089DE8EC" w14:textId="77777777" w:rsidR="00455A32" w:rsidRPr="00455A32" w:rsidRDefault="00455A32" w:rsidP="00920915">
      <w:pPr>
        <w:spacing w:before="200" w:line="240" w:lineRule="auto"/>
        <w:rPr>
          <w:noProof/>
          <w:szCs w:val="19"/>
          <w:lang w:val="en-US" w:eastAsia="pl-PL"/>
        </w:rPr>
      </w:pPr>
      <w:r w:rsidRPr="00455A32">
        <w:rPr>
          <w:noProof/>
          <w:szCs w:val="19"/>
          <w:lang w:val="en-US" w:eastAsia="pl-PL"/>
        </w:rPr>
        <w:t xml:space="preserve">By contrast, in 2019, the lowest rates of extreme poverty due to the main source of income were recorded among households </w:t>
      </w:r>
      <w:r w:rsidR="00830861">
        <w:rPr>
          <w:noProof/>
          <w:szCs w:val="19"/>
          <w:lang w:val="en-US" w:eastAsia="pl-PL"/>
        </w:rPr>
        <w:t>of the s</w:t>
      </w:r>
      <w:r w:rsidRPr="00455A32">
        <w:rPr>
          <w:noProof/>
          <w:szCs w:val="19"/>
          <w:lang w:val="en-US" w:eastAsia="pl-PL"/>
        </w:rPr>
        <w:t>elf-employed (about 2%). Pe</w:t>
      </w:r>
      <w:r w:rsidR="00830861">
        <w:rPr>
          <w:noProof/>
          <w:szCs w:val="19"/>
          <w:lang w:val="en-US" w:eastAsia="pl-PL"/>
        </w:rPr>
        <w:t xml:space="preserve">ople </w:t>
      </w:r>
      <w:r w:rsidR="00864AFD">
        <w:rPr>
          <w:noProof/>
          <w:szCs w:val="19"/>
          <w:lang w:val="en-US" w:eastAsia="pl-PL"/>
        </w:rPr>
        <w:t xml:space="preserve">living in </w:t>
      </w:r>
      <w:r w:rsidRPr="00455A32">
        <w:rPr>
          <w:noProof/>
          <w:szCs w:val="19"/>
          <w:lang w:val="en-US" w:eastAsia="pl-PL"/>
        </w:rPr>
        <w:t>households where the head of the household had higher education were the least affected by extreme poverty</w:t>
      </w:r>
      <w:r w:rsidR="00864AFD">
        <w:rPr>
          <w:noProof/>
          <w:szCs w:val="19"/>
          <w:lang w:val="en-US" w:eastAsia="pl-PL"/>
        </w:rPr>
        <w:t xml:space="preserve"> </w:t>
      </w:r>
      <w:r w:rsidR="00864AFD" w:rsidRPr="00455A32">
        <w:rPr>
          <w:noProof/>
          <w:szCs w:val="19"/>
          <w:lang w:val="en-US" w:eastAsia="pl-PL"/>
        </w:rPr>
        <w:t>(about 1%)</w:t>
      </w:r>
      <w:r w:rsidRPr="00455A32">
        <w:rPr>
          <w:noProof/>
          <w:szCs w:val="19"/>
          <w:lang w:val="en-US" w:eastAsia="pl-PL"/>
        </w:rPr>
        <w:t xml:space="preserve">. Equally low levels of extreme poverty (about 1% of poor persons each) were also characteristic of </w:t>
      </w:r>
      <w:r w:rsidR="00837FC6">
        <w:rPr>
          <w:noProof/>
          <w:szCs w:val="19"/>
          <w:lang w:val="en-US" w:eastAsia="pl-PL"/>
        </w:rPr>
        <w:t>1-person households</w:t>
      </w:r>
      <w:r w:rsidRPr="00455A32">
        <w:rPr>
          <w:noProof/>
          <w:szCs w:val="19"/>
          <w:lang w:val="en-US" w:eastAsia="pl-PL"/>
        </w:rPr>
        <w:t>, married couples without children or with one dependent child. A low poverty rate was also noted among the inhabitants of large cities. In cities with at least 500 thousand inhabitants, every hundredth person was affected by extreme poverty (1% poverty rate). A similar level of extreme poverty (over 1%) was recorded in cities with a population of 200-500 000 inhabitants.</w:t>
      </w:r>
    </w:p>
    <w:p w14:paraId="2CFD5072" w14:textId="44E85F70" w:rsidR="0098652F" w:rsidRDefault="00387B4E" w:rsidP="0098652F">
      <w:pPr>
        <w:rPr>
          <w:b/>
          <w:lang w:val="en-GB" w:eastAsia="pl-PL"/>
        </w:rPr>
      </w:pPr>
      <w:r>
        <w:rPr>
          <w:noProof/>
          <w:szCs w:val="19"/>
          <w:lang w:eastAsia="pl-PL"/>
        </w:rPr>
        <mc:AlternateContent>
          <mc:Choice Requires="wps">
            <w:drawing>
              <wp:anchor distT="45720" distB="45720" distL="114300" distR="114300" simplePos="0" relativeHeight="251791360" behindDoc="0" locked="0" layoutInCell="1" allowOverlap="1" wp14:anchorId="7D372C56" wp14:editId="3858E224">
                <wp:simplePos x="0" y="0"/>
                <wp:positionH relativeFrom="column">
                  <wp:posOffset>5213350</wp:posOffset>
                </wp:positionH>
                <wp:positionV relativeFrom="paragraph">
                  <wp:posOffset>467995</wp:posOffset>
                </wp:positionV>
                <wp:extent cx="1758315" cy="1005840"/>
                <wp:effectExtent l="0" t="0" r="0" b="0"/>
                <wp:wrapNone/>
                <wp:docPr id="4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1005840"/>
                        </a:xfrm>
                        <a:prstGeom prst="rect">
                          <a:avLst/>
                        </a:prstGeom>
                        <a:noFill/>
                        <a:ln w="9525">
                          <a:noFill/>
                          <a:miter lim="800000"/>
                          <a:headEnd/>
                          <a:tailEnd/>
                        </a:ln>
                      </wps:spPr>
                      <wps:txbx>
                        <w:txbxContent>
                          <w:p w14:paraId="6FD39B0C" w14:textId="77777777" w:rsidR="004F7C9F" w:rsidRPr="00073003" w:rsidRDefault="00073003" w:rsidP="00DB1888">
                            <w:pPr>
                              <w:suppressAutoHyphens/>
                              <w:rPr>
                                <w:color w:val="001D77"/>
                                <w:sz w:val="18"/>
                                <w:lang w:val="en-US"/>
                              </w:rPr>
                            </w:pPr>
                            <w:r w:rsidRPr="00073003">
                              <w:rPr>
                                <w:color w:val="001D77"/>
                                <w:sz w:val="18"/>
                                <w:lang w:val="en-US"/>
                              </w:rPr>
                              <w:t>Depending on the socio-economic group of households, between 2 and 11% of people lived in extreme poverty.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372C56" id="_x0000_s1033" type="#_x0000_t202" style="position:absolute;margin-left:410.5pt;margin-top:36.85pt;width:138.45pt;height:79.2pt;z-index:251791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" filled="f" stroked="f">
                <v:textbox style="mso-fit-shape-to-text:t">
                  <w:txbxContent>
                    <w:p w14:paraId="6FD39B0C" w14:textId="77777777" w:rsidR="004F7C9F" w:rsidRPr="00073003" w:rsidRDefault="00073003" w:rsidP="00DB1888">
                      <w:pPr>
                        <w:suppressAutoHyphens/>
                        <w:rPr>
                          <w:color w:val="001D77"/>
                          <w:sz w:val="18"/>
                          <w:lang w:val="en-US"/>
                        </w:rPr>
                      </w:pPr>
                      <w:r w:rsidRPr="00073003">
                        <w:rPr>
                          <w:color w:val="001D77"/>
                          <w:sz w:val="18"/>
                          <w:lang w:val="en-US"/>
                        </w:rPr>
                        <w:t>Depending on the socio-economic group of households, between 2 and 11% of people lived in extreme poverty.</w:t>
                      </w:r>
                    </w:p>
                  </w:txbxContent>
                </v:textbox>
              </v:shape>
            </w:pict>
          </mc:Fallback>
        </mc:AlternateContent>
      </w:r>
      <w:r w:rsidR="0098652F">
        <w:rPr>
          <w:noProof/>
          <w:lang w:eastAsia="pl-PL"/>
        </w:rPr>
        <w:drawing>
          <wp:anchor distT="0" distB="0" distL="114300" distR="114300" simplePos="0" relativeHeight="251826176" behindDoc="0" locked="0" layoutInCell="1" allowOverlap="1" wp14:anchorId="48ACE630" wp14:editId="1E8E654F">
            <wp:simplePos x="0" y="0"/>
            <wp:positionH relativeFrom="column">
              <wp:posOffset>30480</wp:posOffset>
            </wp:positionH>
            <wp:positionV relativeFrom="paragraph">
              <wp:posOffset>362712</wp:posOffset>
            </wp:positionV>
            <wp:extent cx="5040000" cy="2935599"/>
            <wp:effectExtent l="0" t="0" r="8255" b="0"/>
            <wp:wrapTopAndBottom/>
            <wp:docPr id="14" name="Wykres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98652F" w:rsidRPr="00084AF6">
        <w:rPr>
          <w:b/>
          <w:lang w:val="en-GB" w:eastAsia="pl-PL"/>
        </w:rPr>
        <w:t>Chart 2. Extreme poverty rate in the years 2018 and 2019 by socio-economic groups</w:t>
      </w:r>
    </w:p>
    <w:p w14:paraId="0D03ED6C" w14:textId="69120E6A" w:rsidR="00334B55" w:rsidRPr="0098652F" w:rsidRDefault="00387B4E" w:rsidP="00920915">
      <w:pPr>
        <w:spacing w:before="200" w:line="240" w:lineRule="auto"/>
        <w:rPr>
          <w:noProof/>
          <w:szCs w:val="19"/>
          <w:lang w:val="en-GB" w:eastAsia="pl-PL"/>
        </w:rPr>
      </w:pPr>
      <w:r>
        <w:rPr>
          <w:noProof/>
          <w:szCs w:val="19"/>
          <w:lang w:eastAsia="pl-PL"/>
        </w:rPr>
        <mc:AlternateContent>
          <mc:Choice Requires="wps">
            <w:drawing>
              <wp:anchor distT="45720" distB="45720" distL="114300" distR="114300" simplePos="0" relativeHeight="251793408" behindDoc="0" locked="0" layoutInCell="1" allowOverlap="1" wp14:anchorId="3B59416A" wp14:editId="46A95441">
                <wp:simplePos x="0" y="0"/>
                <wp:positionH relativeFrom="column">
                  <wp:posOffset>5212080</wp:posOffset>
                </wp:positionH>
                <wp:positionV relativeFrom="paragraph">
                  <wp:posOffset>3990340</wp:posOffset>
                </wp:positionV>
                <wp:extent cx="1758315" cy="701040"/>
                <wp:effectExtent l="0" t="0" r="0" b="0"/>
                <wp:wrapNone/>
                <wp:docPr id="4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701040"/>
                        </a:xfrm>
                        <a:prstGeom prst="rect">
                          <a:avLst/>
                        </a:prstGeom>
                        <a:noFill/>
                        <a:ln w="9525">
                          <a:noFill/>
                          <a:miter lim="800000"/>
                          <a:headEnd/>
                          <a:tailEnd/>
                        </a:ln>
                      </wps:spPr>
                      <wps:txbx>
                        <w:txbxContent>
                          <w:p w14:paraId="4D24B7A5" w14:textId="77777777" w:rsidR="004F7C9F" w:rsidRPr="00086E82" w:rsidRDefault="00086E82" w:rsidP="00DB1888">
                            <w:pPr>
                              <w:suppressAutoHyphens/>
                              <w:rPr>
                                <w:color w:val="001D77"/>
                                <w:sz w:val="18"/>
                                <w:lang w:val="en-US"/>
                              </w:rPr>
                            </w:pPr>
                            <w:r w:rsidRPr="00086E82">
                              <w:rPr>
                                <w:color w:val="001D77"/>
                                <w:sz w:val="18"/>
                                <w:lang w:val="en-US"/>
                              </w:rPr>
                              <w:t xml:space="preserve">In 2019, the extreme poverty </w:t>
                            </w:r>
                            <w:r w:rsidR="00A35651">
                              <w:rPr>
                                <w:color w:val="001D77"/>
                                <w:sz w:val="18"/>
                                <w:lang w:val="en-US"/>
                              </w:rPr>
                              <w:t xml:space="preserve">rate </w:t>
                            </w:r>
                            <w:r w:rsidRPr="00086E82">
                              <w:rPr>
                                <w:color w:val="001D77"/>
                                <w:sz w:val="18"/>
                                <w:lang w:val="en-US"/>
                              </w:rPr>
                              <w:t>in households with dependent children decreased</w:t>
                            </w:r>
                            <w:r w:rsidR="00A35651">
                              <w:rPr>
                                <w:color w:val="001D77"/>
                                <w:sz w:val="18"/>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59416A" id="_x0000_s1034" type="#_x0000_t202" style="position:absolute;margin-left:410.4pt;margin-top:314.2pt;width:138.45pt;height:55.2pt;z-index:251793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" filled="f" stroked="f">
                <v:textbox style="mso-fit-shape-to-text:t">
                  <w:txbxContent>
                    <w:p w14:paraId="4D24B7A5" w14:textId="77777777" w:rsidR="004F7C9F" w:rsidRPr="00086E82" w:rsidRDefault="00086E82" w:rsidP="00DB1888">
                      <w:pPr>
                        <w:suppressAutoHyphens/>
                        <w:rPr>
                          <w:color w:val="001D77"/>
                          <w:sz w:val="18"/>
                          <w:lang w:val="en-US"/>
                        </w:rPr>
                      </w:pPr>
                      <w:r w:rsidRPr="00086E82">
                        <w:rPr>
                          <w:color w:val="001D77"/>
                          <w:sz w:val="18"/>
                          <w:lang w:val="en-US"/>
                        </w:rPr>
                        <w:t xml:space="preserve">In 2019, the extreme poverty </w:t>
                      </w:r>
                      <w:r w:rsidR="00A35651">
                        <w:rPr>
                          <w:color w:val="001D77"/>
                          <w:sz w:val="18"/>
                          <w:lang w:val="en-US"/>
                        </w:rPr>
                        <w:t xml:space="preserve">rate </w:t>
                      </w:r>
                      <w:r w:rsidRPr="00086E82">
                        <w:rPr>
                          <w:color w:val="001D77"/>
                          <w:sz w:val="18"/>
                          <w:lang w:val="en-US"/>
                        </w:rPr>
                        <w:t>in households with dependent children decreased</w:t>
                      </w:r>
                      <w:r w:rsidR="00A35651">
                        <w:rPr>
                          <w:color w:val="001D77"/>
                          <w:sz w:val="18"/>
                          <w:lang w:val="en-US"/>
                        </w:rPr>
                        <w:t>.</w:t>
                      </w:r>
                    </w:p>
                  </w:txbxContent>
                </v:textbox>
              </v:shape>
            </w:pict>
          </mc:Fallback>
        </mc:AlternateContent>
      </w:r>
    </w:p>
    <w:p w14:paraId="6AB81110" w14:textId="6D0EB8EF" w:rsidR="009B1280" w:rsidRPr="0092346B" w:rsidRDefault="0098652F" w:rsidP="0092346B">
      <w:pPr>
        <w:rPr>
          <w:b/>
          <w:lang w:val="en-GB" w:eastAsia="pl-PL"/>
        </w:rPr>
      </w:pPr>
      <w:r>
        <w:rPr>
          <w:noProof/>
          <w:lang w:eastAsia="pl-PL"/>
        </w:rPr>
        <w:drawing>
          <wp:anchor distT="0" distB="0" distL="114300" distR="114300" simplePos="0" relativeHeight="251828224" behindDoc="0" locked="0" layoutInCell="1" allowOverlap="1" wp14:anchorId="6A2F44F7" wp14:editId="6BBBC756">
            <wp:simplePos x="0" y="0"/>
            <wp:positionH relativeFrom="column">
              <wp:posOffset>30480</wp:posOffset>
            </wp:positionH>
            <wp:positionV relativeFrom="paragraph">
              <wp:posOffset>329057</wp:posOffset>
            </wp:positionV>
            <wp:extent cx="5122545" cy="2908935"/>
            <wp:effectExtent l="0" t="0" r="1905" b="5715"/>
            <wp:wrapTopAndBottom/>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Pr="00084AF6">
        <w:rPr>
          <w:b/>
          <w:lang w:val="en-GB" w:eastAsia="pl-PL"/>
        </w:rPr>
        <w:t>Chart 3. Extreme poverty rate in the years 2018 and 2019 by household types</w:t>
      </w:r>
      <w:r w:rsidR="0092346B" w:rsidRPr="0092346B">
        <w:rPr>
          <w:b/>
          <w:noProof/>
          <w:sz w:val="18"/>
          <w:szCs w:val="19"/>
          <w:vertAlign w:val="superscript"/>
          <w:lang w:val="en-US" w:eastAsia="pl-PL"/>
        </w:rPr>
        <w:t>a</w:t>
      </w:r>
    </w:p>
    <w:p w14:paraId="327381EF" w14:textId="77777777" w:rsidR="009B1280" w:rsidRPr="00947FE7" w:rsidRDefault="009B1280" w:rsidP="009B1280">
      <w:pPr>
        <w:spacing w:after="0" w:line="240" w:lineRule="auto"/>
        <w:rPr>
          <w:sz w:val="14"/>
          <w:szCs w:val="14"/>
          <w:lang w:val="en-US"/>
        </w:rPr>
      </w:pPr>
      <w:r w:rsidRPr="00947FE7">
        <w:rPr>
          <w:sz w:val="14"/>
          <w:szCs w:val="14"/>
          <w:vertAlign w:val="superscript"/>
          <w:lang w:val="en-US"/>
        </w:rPr>
        <w:t xml:space="preserve">a </w:t>
      </w:r>
      <w:proofErr w:type="spellStart"/>
      <w:r w:rsidR="00567871" w:rsidRPr="00947FE7">
        <w:rPr>
          <w:sz w:val="14"/>
          <w:szCs w:val="14"/>
          <w:lang w:val="en-US"/>
        </w:rPr>
        <w:t>A</w:t>
      </w:r>
      <w:proofErr w:type="spellEnd"/>
      <w:r w:rsidR="00567871" w:rsidRPr="00947FE7">
        <w:rPr>
          <w:sz w:val="14"/>
          <w:szCs w:val="14"/>
          <w:lang w:val="en-US"/>
        </w:rPr>
        <w:t xml:space="preserve"> dependent child is a person up to the age of 14 or a person aged 15-25 with no own source of income and not married (or not living in cohabiting couple). </w:t>
      </w:r>
      <w:r w:rsidR="007F14B7" w:rsidRPr="00947FE7">
        <w:rPr>
          <w:sz w:val="14"/>
          <w:szCs w:val="14"/>
          <w:lang w:val="en-US"/>
        </w:rPr>
        <w:t xml:space="preserve">Cohabiting couples were </w:t>
      </w:r>
      <w:r w:rsidR="00567871" w:rsidRPr="00947FE7">
        <w:rPr>
          <w:sz w:val="14"/>
          <w:szCs w:val="14"/>
          <w:lang w:val="en-US"/>
        </w:rPr>
        <w:t>include</w:t>
      </w:r>
      <w:r w:rsidR="007F14B7" w:rsidRPr="00947FE7">
        <w:rPr>
          <w:sz w:val="14"/>
          <w:szCs w:val="14"/>
          <w:lang w:val="en-US"/>
        </w:rPr>
        <w:t>d</w:t>
      </w:r>
      <w:r w:rsidR="00567871" w:rsidRPr="00947FE7">
        <w:rPr>
          <w:sz w:val="14"/>
          <w:szCs w:val="14"/>
          <w:lang w:val="en-US"/>
        </w:rPr>
        <w:t xml:space="preserve"> </w:t>
      </w:r>
      <w:r w:rsidR="007F14B7" w:rsidRPr="00947FE7">
        <w:rPr>
          <w:sz w:val="14"/>
          <w:szCs w:val="14"/>
          <w:lang w:val="en-US"/>
        </w:rPr>
        <w:t>in marriages</w:t>
      </w:r>
      <w:r w:rsidR="00567871" w:rsidRPr="00947FE7">
        <w:rPr>
          <w:sz w:val="14"/>
          <w:szCs w:val="14"/>
          <w:lang w:val="en-US"/>
        </w:rPr>
        <w:t xml:space="preserve">. </w:t>
      </w:r>
    </w:p>
    <w:p w14:paraId="53629FF1" w14:textId="77777777" w:rsidR="0092346B" w:rsidRDefault="0092346B" w:rsidP="0092346B">
      <w:pPr>
        <w:rPr>
          <w:b/>
          <w:lang w:val="en-GB" w:eastAsia="pl-PL"/>
        </w:rPr>
      </w:pPr>
      <w:r>
        <w:rPr>
          <w:noProof/>
          <w:lang w:eastAsia="pl-PL"/>
        </w:rPr>
        <w:lastRenderedPageBreak/>
        <w:drawing>
          <wp:anchor distT="0" distB="0" distL="114300" distR="114300" simplePos="0" relativeHeight="251830272" behindDoc="0" locked="0" layoutInCell="1" allowOverlap="1" wp14:anchorId="658EE67E" wp14:editId="3FA508BB">
            <wp:simplePos x="0" y="0"/>
            <wp:positionH relativeFrom="column">
              <wp:posOffset>3175</wp:posOffset>
            </wp:positionH>
            <wp:positionV relativeFrom="paragraph">
              <wp:posOffset>421640</wp:posOffset>
            </wp:positionV>
            <wp:extent cx="5039995" cy="2591435"/>
            <wp:effectExtent l="0" t="0" r="8255" b="0"/>
            <wp:wrapTopAndBottom/>
            <wp:docPr id="11" name="Wykres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V relativeFrom="margin">
              <wp14:pctHeight>0</wp14:pctHeight>
            </wp14:sizeRelV>
          </wp:anchor>
        </w:drawing>
      </w:r>
      <w:r w:rsidRPr="00D65495">
        <w:rPr>
          <w:b/>
          <w:lang w:val="en-GB" w:eastAsia="pl-PL"/>
        </w:rPr>
        <w:t xml:space="preserve">Chart 4. Extreme poverty rate in the years 2018 and 2019 in households with children aged </w:t>
      </w:r>
      <w:r>
        <w:rPr>
          <w:b/>
          <w:lang w:val="en-GB" w:eastAsia="pl-PL"/>
        </w:rPr>
        <w:t xml:space="preserve"> </w:t>
      </w:r>
      <w:r w:rsidRPr="00D65495">
        <w:rPr>
          <w:b/>
          <w:lang w:val="en-GB" w:eastAsia="pl-PL"/>
        </w:rPr>
        <w:t>0-17</w:t>
      </w:r>
    </w:p>
    <w:p w14:paraId="099ECC73" w14:textId="0537906D" w:rsidR="00E63984" w:rsidRPr="0092346B" w:rsidRDefault="00387B4E" w:rsidP="00E63984">
      <w:pPr>
        <w:spacing w:before="240" w:line="240" w:lineRule="auto"/>
        <w:rPr>
          <w:noProof/>
          <w:szCs w:val="19"/>
          <w:lang w:val="en-US" w:eastAsia="pl-PL"/>
        </w:rPr>
      </w:pPr>
      <w:r>
        <w:rPr>
          <w:noProof/>
          <w:szCs w:val="19"/>
          <w:lang w:eastAsia="pl-PL"/>
        </w:rPr>
        <mc:AlternateContent>
          <mc:Choice Requires="wps">
            <w:drawing>
              <wp:anchor distT="45720" distB="45720" distL="114300" distR="114300" simplePos="0" relativeHeight="251795456" behindDoc="0" locked="0" layoutInCell="1" allowOverlap="1" wp14:anchorId="02AA3AFF" wp14:editId="7EA7C4D8">
                <wp:simplePos x="0" y="0"/>
                <wp:positionH relativeFrom="column">
                  <wp:posOffset>5210175</wp:posOffset>
                </wp:positionH>
                <wp:positionV relativeFrom="paragraph">
                  <wp:posOffset>412115</wp:posOffset>
                </wp:positionV>
                <wp:extent cx="1758315" cy="1310640"/>
                <wp:effectExtent l="0" t="0" r="0" b="0"/>
                <wp:wrapNone/>
                <wp:docPr id="4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1310640"/>
                        </a:xfrm>
                        <a:prstGeom prst="rect">
                          <a:avLst/>
                        </a:prstGeom>
                        <a:noFill/>
                        <a:ln w="9525">
                          <a:noFill/>
                          <a:miter lim="800000"/>
                          <a:headEnd/>
                          <a:tailEnd/>
                        </a:ln>
                      </wps:spPr>
                      <wps:txbx>
                        <w:txbxContent>
                          <w:p w14:paraId="43666B40" w14:textId="1E3C0870" w:rsidR="004F7C9F" w:rsidRPr="001F00D1" w:rsidRDefault="001F00D1" w:rsidP="00DB1888">
                            <w:pPr>
                              <w:suppressAutoHyphens/>
                              <w:rPr>
                                <w:color w:val="001D77"/>
                                <w:sz w:val="18"/>
                                <w:lang w:val="en-US"/>
                              </w:rPr>
                            </w:pPr>
                            <w:r w:rsidRPr="001F00D1">
                              <w:rPr>
                                <w:color w:val="001D77"/>
                                <w:sz w:val="18"/>
                                <w:lang w:val="en-US"/>
                              </w:rPr>
                              <w:t>Compar</w:t>
                            </w:r>
                            <w:r w:rsidR="008E4744">
                              <w:rPr>
                                <w:color w:val="001D77"/>
                                <w:sz w:val="18"/>
                                <w:lang w:val="en-US"/>
                              </w:rPr>
                              <w:t>ing</w:t>
                            </w:r>
                            <w:r w:rsidRPr="001F00D1">
                              <w:rPr>
                                <w:color w:val="001D77"/>
                                <w:sz w:val="18"/>
                                <w:lang w:val="en-US"/>
                              </w:rPr>
                              <w:t xml:space="preserve"> to 2018, the extreme poverty </w:t>
                            </w:r>
                            <w:r w:rsidR="008E4744">
                              <w:rPr>
                                <w:color w:val="001D77"/>
                                <w:sz w:val="18"/>
                                <w:lang w:val="en-US"/>
                              </w:rPr>
                              <w:t xml:space="preserve">rate </w:t>
                            </w:r>
                            <w:r w:rsidRPr="001F00D1">
                              <w:rPr>
                                <w:color w:val="001D77"/>
                                <w:sz w:val="18"/>
                                <w:lang w:val="en-US"/>
                              </w:rPr>
                              <w:t xml:space="preserve">in households with 1 child under 18 years of age decreased by 1.5 p.p. and </w:t>
                            </w:r>
                            <w:r w:rsidR="008E4744" w:rsidRPr="001F00D1">
                              <w:rPr>
                                <w:color w:val="001D77"/>
                                <w:sz w:val="18"/>
                                <w:lang w:val="en-US"/>
                              </w:rPr>
                              <w:t>in households with three or more children</w:t>
                            </w:r>
                            <w:r w:rsidR="008E4744">
                              <w:rPr>
                                <w:color w:val="001D77"/>
                                <w:sz w:val="18"/>
                                <w:lang w:val="en-US"/>
                              </w:rPr>
                              <w:t xml:space="preserve"> </w:t>
                            </w:r>
                            <w:r w:rsidRPr="001F00D1">
                              <w:rPr>
                                <w:color w:val="001D77"/>
                                <w:sz w:val="18"/>
                                <w:lang w:val="en-US"/>
                              </w:rPr>
                              <w:t xml:space="preserve">by about 3 p.p.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AA3AFF" id="_x0000_s1035" type="#_x0000_t202" style="position:absolute;margin-left:410.25pt;margin-top:32.45pt;width:138.45pt;height:103.2pt;z-index:251795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" filled="f" stroked="f">
                <v:textbox style="mso-fit-shape-to-text:t">
                  <w:txbxContent>
                    <w:p w14:paraId="43666B40" w14:textId="1E3C0870" w:rsidR="004F7C9F" w:rsidRPr="001F00D1" w:rsidRDefault="001F00D1" w:rsidP="00DB1888">
                      <w:pPr>
                        <w:suppressAutoHyphens/>
                        <w:rPr>
                          <w:color w:val="001D77"/>
                          <w:sz w:val="18"/>
                          <w:lang w:val="en-US"/>
                        </w:rPr>
                      </w:pPr>
                      <w:r w:rsidRPr="001F00D1">
                        <w:rPr>
                          <w:color w:val="001D77"/>
                          <w:sz w:val="18"/>
                          <w:lang w:val="en-US"/>
                        </w:rPr>
                        <w:t>Compar</w:t>
                      </w:r>
                      <w:r w:rsidR="008E4744">
                        <w:rPr>
                          <w:color w:val="001D77"/>
                          <w:sz w:val="18"/>
                          <w:lang w:val="en-US"/>
                        </w:rPr>
                        <w:t>ing</w:t>
                      </w:r>
                      <w:r w:rsidRPr="001F00D1">
                        <w:rPr>
                          <w:color w:val="001D77"/>
                          <w:sz w:val="18"/>
                          <w:lang w:val="en-US"/>
                        </w:rPr>
                        <w:t xml:space="preserve"> to 2018, the extreme poverty </w:t>
                      </w:r>
                      <w:r w:rsidR="008E4744">
                        <w:rPr>
                          <w:color w:val="001D77"/>
                          <w:sz w:val="18"/>
                          <w:lang w:val="en-US"/>
                        </w:rPr>
                        <w:t xml:space="preserve">rate </w:t>
                      </w:r>
                      <w:r w:rsidRPr="001F00D1">
                        <w:rPr>
                          <w:color w:val="001D77"/>
                          <w:sz w:val="18"/>
                          <w:lang w:val="en-US"/>
                        </w:rPr>
                        <w:t xml:space="preserve">in households with 1 child under 18 years of age decreased by 1.5 p.p. and </w:t>
                      </w:r>
                      <w:r w:rsidR="008E4744" w:rsidRPr="001F00D1">
                        <w:rPr>
                          <w:color w:val="001D77"/>
                          <w:sz w:val="18"/>
                          <w:lang w:val="en-US"/>
                        </w:rPr>
                        <w:t>in households with three or more children</w:t>
                      </w:r>
                      <w:r w:rsidR="008E4744">
                        <w:rPr>
                          <w:color w:val="001D77"/>
                          <w:sz w:val="18"/>
                          <w:lang w:val="en-US"/>
                        </w:rPr>
                        <w:t xml:space="preserve"> </w:t>
                      </w:r>
                      <w:r w:rsidRPr="001F00D1">
                        <w:rPr>
                          <w:color w:val="001D77"/>
                          <w:sz w:val="18"/>
                          <w:lang w:val="en-US"/>
                        </w:rPr>
                        <w:t xml:space="preserve">by about 3 p.p. </w:t>
                      </w:r>
                    </w:p>
                  </w:txbxContent>
                </v:textbox>
              </v:shape>
            </w:pict>
          </mc:Fallback>
        </mc:AlternateContent>
      </w:r>
    </w:p>
    <w:p w14:paraId="2C1620D5" w14:textId="462D81CF" w:rsidR="00971A4C" w:rsidRPr="00971A4C" w:rsidRDefault="00387B4E" w:rsidP="00971A4C">
      <w:pPr>
        <w:rPr>
          <w:b/>
          <w:lang w:val="en-GB" w:eastAsia="pl-PL"/>
        </w:rPr>
      </w:pPr>
      <w:r>
        <w:rPr>
          <w:noProof/>
          <w:szCs w:val="19"/>
          <w:lang w:eastAsia="pl-PL"/>
        </w:rPr>
        <mc:AlternateContent>
          <mc:Choice Requires="wps">
            <w:drawing>
              <wp:anchor distT="45720" distB="45720" distL="114300" distR="114300" simplePos="0" relativeHeight="251844608" behindDoc="0" locked="0" layoutInCell="1" allowOverlap="1" wp14:anchorId="57A5F1D9" wp14:editId="4391A9D7">
                <wp:simplePos x="0" y="0"/>
                <wp:positionH relativeFrom="column">
                  <wp:posOffset>5212080</wp:posOffset>
                </wp:positionH>
                <wp:positionV relativeFrom="paragraph">
                  <wp:posOffset>220980</wp:posOffset>
                </wp:positionV>
                <wp:extent cx="1758315" cy="1463040"/>
                <wp:effectExtent l="0" t="0" r="0" b="0"/>
                <wp:wrapNone/>
                <wp:docPr id="3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1463040"/>
                        </a:xfrm>
                        <a:prstGeom prst="rect">
                          <a:avLst/>
                        </a:prstGeom>
                        <a:noFill/>
                        <a:ln w="9525">
                          <a:noFill/>
                          <a:miter lim="800000"/>
                          <a:headEnd/>
                          <a:tailEnd/>
                        </a:ln>
                      </wps:spPr>
                      <wps:txbx>
                        <w:txbxContent>
                          <w:p w14:paraId="2166D68F" w14:textId="777A5A7A" w:rsidR="001F48D3" w:rsidRPr="00FE4A1E" w:rsidRDefault="006726E4" w:rsidP="001F48D3">
                            <w:pPr>
                              <w:rPr>
                                <w:color w:val="001D77"/>
                                <w:szCs w:val="19"/>
                                <w:lang w:val="en-US"/>
                              </w:rPr>
                            </w:pPr>
                            <w:r w:rsidRPr="00FE4A1E">
                              <w:rPr>
                                <w:color w:val="001D77"/>
                                <w:szCs w:val="19"/>
                                <w:lang w:val="en-US"/>
                              </w:rPr>
                              <w:t xml:space="preserve">In 2019 in relation to 2018, the extreme poverty </w:t>
                            </w:r>
                            <w:r w:rsidR="00CC0580" w:rsidRPr="00FE4A1E">
                              <w:rPr>
                                <w:color w:val="001D77"/>
                                <w:szCs w:val="19"/>
                                <w:lang w:val="en-US"/>
                              </w:rPr>
                              <w:t xml:space="preserve">rate </w:t>
                            </w:r>
                            <w:r w:rsidRPr="00FE4A1E">
                              <w:rPr>
                                <w:color w:val="001D77"/>
                                <w:szCs w:val="19"/>
                                <w:lang w:val="en-US"/>
                              </w:rPr>
                              <w:t>among children and people aged 18-64 decreased slightly (by 1.3-1.5 p.p.), while the level of poverty among the elderly remained at a similar level (about 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A5F1D9" id="_x0000_s1036" type="#_x0000_t202" style="position:absolute;margin-left:410.4pt;margin-top:17.4pt;width:138.45pt;height:115.2pt;z-index:2518446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" filled="f" stroked="f">
                <v:textbox style="mso-fit-shape-to-text:t">
                  <w:txbxContent>
                    <w:p w14:paraId="2166D68F" w14:textId="777A5A7A" w:rsidR="001F48D3" w:rsidRPr="00FE4A1E" w:rsidRDefault="006726E4" w:rsidP="001F48D3">
                      <w:pPr>
                        <w:rPr>
                          <w:color w:val="001D77"/>
                          <w:szCs w:val="19"/>
                          <w:lang w:val="en-US"/>
                        </w:rPr>
                      </w:pPr>
                      <w:r w:rsidRPr="00FE4A1E">
                        <w:rPr>
                          <w:color w:val="001D77"/>
                          <w:szCs w:val="19"/>
                          <w:lang w:val="en-US"/>
                        </w:rPr>
                        <w:t xml:space="preserve">In 2019 in relation to 2018, the extreme poverty </w:t>
                      </w:r>
                      <w:r w:rsidR="00CC0580" w:rsidRPr="00FE4A1E">
                        <w:rPr>
                          <w:color w:val="001D77"/>
                          <w:szCs w:val="19"/>
                          <w:lang w:val="en-US"/>
                        </w:rPr>
                        <w:t xml:space="preserve">rate </w:t>
                      </w:r>
                      <w:r w:rsidRPr="00FE4A1E">
                        <w:rPr>
                          <w:color w:val="001D77"/>
                          <w:szCs w:val="19"/>
                          <w:lang w:val="en-US"/>
                        </w:rPr>
                        <w:t>among children and people aged 18-64 decreased slightly (by 1.3-1.5 p.p.), while the level of poverty among the elderly remained at a similar level (about 4%).</w:t>
                      </w:r>
                    </w:p>
                  </w:txbxContent>
                </v:textbox>
              </v:shape>
            </w:pict>
          </mc:Fallback>
        </mc:AlternateContent>
      </w:r>
      <w:r w:rsidR="00971A4C" w:rsidRPr="00971A4C">
        <w:rPr>
          <w:noProof/>
          <w:lang w:eastAsia="pl-PL"/>
        </w:rPr>
        <w:drawing>
          <wp:anchor distT="0" distB="0" distL="114300" distR="114300" simplePos="0" relativeHeight="251832320" behindDoc="0" locked="0" layoutInCell="1" allowOverlap="1" wp14:anchorId="143BE7EE" wp14:editId="319229F6">
            <wp:simplePos x="0" y="0"/>
            <wp:positionH relativeFrom="column">
              <wp:posOffset>-30480</wp:posOffset>
            </wp:positionH>
            <wp:positionV relativeFrom="paragraph">
              <wp:posOffset>377571</wp:posOffset>
            </wp:positionV>
            <wp:extent cx="5040000" cy="2105025"/>
            <wp:effectExtent l="0" t="0" r="8255" b="0"/>
            <wp:wrapTopAndBottom/>
            <wp:docPr id="12" name="Wykres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00971A4C" w:rsidRPr="00971A4C">
        <w:rPr>
          <w:b/>
          <w:lang w:val="en-GB" w:eastAsia="pl-PL"/>
        </w:rPr>
        <w:t>Chart 5. Extreme poverty rate in the years 2018 and 2019 by age</w:t>
      </w:r>
    </w:p>
    <w:p w14:paraId="67F6690A" w14:textId="77777777" w:rsidR="009647B2" w:rsidRDefault="009647B2" w:rsidP="006D424E">
      <w:pPr>
        <w:keepNext/>
        <w:suppressAutoHyphens/>
        <w:rPr>
          <w:b/>
          <w:lang w:val="en-GB" w:eastAsia="pl-PL"/>
        </w:rPr>
      </w:pPr>
      <w:r w:rsidRPr="00971A4C">
        <w:rPr>
          <w:b/>
          <w:lang w:val="en-GB" w:eastAsia="pl-PL"/>
        </w:rPr>
        <w:t>Chart 6. Extreme poverty rate in the years 2018 and 2019 by the presence of people with legally confirmed disabilities in a household</w:t>
      </w:r>
    </w:p>
    <w:p w14:paraId="7328806B" w14:textId="3E23ADC0" w:rsidR="00F9358F" w:rsidRPr="009647B2" w:rsidRDefault="00F915B4" w:rsidP="0079372F">
      <w:pPr>
        <w:spacing w:before="240" w:line="240" w:lineRule="auto"/>
        <w:rPr>
          <w:b/>
          <w:noProof/>
          <w:sz w:val="18"/>
          <w:szCs w:val="19"/>
          <w:lang w:val="en-US" w:eastAsia="pl-PL"/>
        </w:rPr>
      </w:pPr>
      <w:r>
        <w:rPr>
          <w:noProof/>
          <w:lang w:eastAsia="pl-PL"/>
        </w:rPr>
        <w:drawing>
          <wp:inline distT="0" distB="0" distL="0" distR="0" wp14:anchorId="79CD6927" wp14:editId="4B1C7F97">
            <wp:extent cx="5034758" cy="3087804"/>
            <wp:effectExtent l="0" t="0" r="0" b="0"/>
            <wp:docPr id="19"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387B4E">
        <w:rPr>
          <w:noProof/>
          <w:szCs w:val="19"/>
          <w:lang w:eastAsia="pl-PL"/>
        </w:rPr>
        <mc:AlternateContent>
          <mc:Choice Requires="wps">
            <w:drawing>
              <wp:anchor distT="45720" distB="45720" distL="114300" distR="114300" simplePos="0" relativeHeight="251850752" behindDoc="0" locked="0" layoutInCell="1" allowOverlap="1" wp14:anchorId="20E45CB0" wp14:editId="3278CC39">
                <wp:simplePos x="0" y="0"/>
                <wp:positionH relativeFrom="column">
                  <wp:posOffset>5180400</wp:posOffset>
                </wp:positionH>
                <wp:positionV relativeFrom="paragraph">
                  <wp:posOffset>616700</wp:posOffset>
                </wp:positionV>
                <wp:extent cx="1742400" cy="1605600"/>
                <wp:effectExtent l="0" t="0" r="0" b="0"/>
                <wp:wrapNone/>
                <wp:docPr id="4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2400" cy="1605600"/>
                        </a:xfrm>
                        <a:prstGeom prst="rect">
                          <a:avLst/>
                        </a:prstGeom>
                        <a:noFill/>
                        <a:ln w="9525">
                          <a:noFill/>
                          <a:miter lim="800000"/>
                          <a:headEnd/>
                          <a:tailEnd/>
                        </a:ln>
                      </wps:spPr>
                      <wps:txbx>
                        <w:txbxContent>
                          <w:p w14:paraId="6758ED76" w14:textId="13E862C6" w:rsidR="00510EBA" w:rsidRPr="006A14FE" w:rsidRDefault="009647B2" w:rsidP="00DB1888">
                            <w:pPr>
                              <w:suppressAutoHyphens/>
                              <w:rPr>
                                <w:color w:val="001D77"/>
                                <w:szCs w:val="19"/>
                                <w:lang w:val="en-US"/>
                              </w:rPr>
                            </w:pPr>
                            <w:r w:rsidRPr="006A14FE">
                              <w:rPr>
                                <w:color w:val="001D77"/>
                                <w:szCs w:val="19"/>
                                <w:lang w:val="en-US"/>
                              </w:rPr>
                              <w:t xml:space="preserve">In 2019, there was a decrease in the poverty rate </w:t>
                            </w:r>
                            <w:r w:rsidR="00387B4E" w:rsidRPr="00EC18B9">
                              <w:rPr>
                                <w:color w:val="001D77"/>
                                <w:szCs w:val="19"/>
                                <w:lang w:val="en-US"/>
                              </w:rPr>
                              <w:t>(by about 3 p.p.)</w:t>
                            </w:r>
                            <w:r w:rsidR="00387B4E" w:rsidRPr="006A14FE" w:rsidDel="00387B4E">
                              <w:rPr>
                                <w:color w:val="001D77"/>
                                <w:szCs w:val="19"/>
                                <w:lang w:val="en-US"/>
                              </w:rPr>
                              <w:t xml:space="preserve"> </w:t>
                            </w:r>
                            <w:r w:rsidRPr="006A14FE">
                              <w:rPr>
                                <w:color w:val="001D77"/>
                                <w:szCs w:val="19"/>
                                <w:lang w:val="en-US"/>
                              </w:rPr>
                              <w:t>in households where the head of the household had a disability certificate, while no change was recorded for households with children with disabilities.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E45CB0" id="_x0000_s1037" type="#_x0000_t202" style="position:absolute;margin-left:407.9pt;margin-top:48.55pt;width:137.2pt;height:126.45pt;z-index:251850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" filled="f" stroked="f">
                <v:textbox>
                  <w:txbxContent>
                    <w:p w14:paraId="6758ED76" w14:textId="13E862C6" w:rsidR="00510EBA" w:rsidRPr="006A14FE" w:rsidRDefault="009647B2" w:rsidP="00DB1888">
                      <w:pPr>
                        <w:suppressAutoHyphens/>
                        <w:rPr>
                          <w:color w:val="001D77"/>
                          <w:szCs w:val="19"/>
                          <w:lang w:val="en-US"/>
                        </w:rPr>
                      </w:pPr>
                      <w:r w:rsidRPr="006A14FE">
                        <w:rPr>
                          <w:color w:val="001D77"/>
                          <w:szCs w:val="19"/>
                          <w:lang w:val="en-US"/>
                        </w:rPr>
                        <w:t xml:space="preserve">In 2019, there was a decrease in the poverty rate </w:t>
                      </w:r>
                      <w:r w:rsidR="00387B4E" w:rsidRPr="00EC18B9">
                        <w:rPr>
                          <w:color w:val="001D77"/>
                          <w:szCs w:val="19"/>
                          <w:lang w:val="en-US"/>
                        </w:rPr>
                        <w:t>(by about 3 p.p.)</w:t>
                      </w:r>
                      <w:r w:rsidR="00387B4E" w:rsidRPr="006A14FE" w:rsidDel="00387B4E">
                        <w:rPr>
                          <w:color w:val="001D77"/>
                          <w:szCs w:val="19"/>
                          <w:lang w:val="en-US"/>
                        </w:rPr>
                        <w:t xml:space="preserve"> </w:t>
                      </w:r>
                      <w:r w:rsidRPr="006A14FE">
                        <w:rPr>
                          <w:color w:val="001D77"/>
                          <w:szCs w:val="19"/>
                          <w:lang w:val="en-US"/>
                        </w:rPr>
                        <w:t>in households where the head of the household had a disability certificate, while no change was recorded for households with children with disabilities.</w:t>
                      </w:r>
                    </w:p>
                  </w:txbxContent>
                </v:textbox>
              </v:shape>
            </w:pict>
          </mc:Fallback>
        </mc:AlternateContent>
      </w:r>
    </w:p>
    <w:p w14:paraId="73D37643" w14:textId="27888ADE" w:rsidR="001A195E" w:rsidRPr="00947FE7" w:rsidRDefault="00387B4E" w:rsidP="00A92078">
      <w:pPr>
        <w:keepNext/>
        <w:rPr>
          <w:noProof/>
          <w:lang w:val="en-US" w:eastAsia="pl-PL"/>
        </w:rPr>
      </w:pPr>
      <w:r>
        <w:rPr>
          <w:noProof/>
          <w:szCs w:val="19"/>
          <w:highlight w:val="yellow"/>
          <w:lang w:eastAsia="pl-PL"/>
        </w:rPr>
        <w:lastRenderedPageBreak/>
        <mc:AlternateContent>
          <mc:Choice Requires="wps">
            <w:drawing>
              <wp:anchor distT="45720" distB="45720" distL="114300" distR="114300" simplePos="0" relativeHeight="251801600" behindDoc="0" locked="0" layoutInCell="1" allowOverlap="1" wp14:anchorId="43B8A833" wp14:editId="26AA0F41">
                <wp:simplePos x="0" y="0"/>
                <wp:positionH relativeFrom="column">
                  <wp:posOffset>5219700</wp:posOffset>
                </wp:positionH>
                <wp:positionV relativeFrom="paragraph">
                  <wp:posOffset>44450</wp:posOffset>
                </wp:positionV>
                <wp:extent cx="1758315" cy="2152650"/>
                <wp:effectExtent l="0" t="0" r="0" b="0"/>
                <wp:wrapNone/>
                <wp:docPr id="4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2152650"/>
                        </a:xfrm>
                        <a:prstGeom prst="rect">
                          <a:avLst/>
                        </a:prstGeom>
                        <a:noFill/>
                        <a:ln w="9525">
                          <a:noFill/>
                          <a:miter lim="800000"/>
                          <a:headEnd/>
                          <a:tailEnd/>
                        </a:ln>
                      </wps:spPr>
                      <wps:txbx>
                        <w:txbxContent>
                          <w:p w14:paraId="7E8C6A95" w14:textId="1A2CB122" w:rsidR="004F7C9F" w:rsidRPr="006A14FE" w:rsidRDefault="00387B4E" w:rsidP="00DB1888">
                            <w:pPr>
                              <w:suppressAutoHyphens/>
                              <w:rPr>
                                <w:color w:val="001D77"/>
                                <w:szCs w:val="19"/>
                                <w:lang w:val="en-US"/>
                              </w:rPr>
                            </w:pPr>
                            <w:r w:rsidRPr="006A14FE">
                              <w:rPr>
                                <w:color w:val="001D77"/>
                                <w:szCs w:val="19"/>
                                <w:lang w:val="en-US"/>
                              </w:rPr>
                              <w:t xml:space="preserve">In 2019, the highest poverty level was recorded in households </w:t>
                            </w:r>
                            <w:r w:rsidR="006637DA" w:rsidRPr="006A14FE">
                              <w:rPr>
                                <w:color w:val="001D77"/>
                                <w:szCs w:val="19"/>
                                <w:lang w:val="en-US"/>
                              </w:rPr>
                              <w:t xml:space="preserve">where the head of the </w:t>
                            </w:r>
                            <w:r w:rsidR="00B37708" w:rsidRPr="006A14FE">
                              <w:rPr>
                                <w:color w:val="001D77"/>
                                <w:szCs w:val="19"/>
                                <w:lang w:val="en-US"/>
                              </w:rPr>
                              <w:t xml:space="preserve">household </w:t>
                            </w:r>
                            <w:r w:rsidR="006637DA" w:rsidRPr="006A14FE">
                              <w:rPr>
                                <w:color w:val="001D77"/>
                                <w:szCs w:val="19"/>
                                <w:lang w:val="en-US"/>
                              </w:rPr>
                              <w:t>had at most lower secondary education (10%) or basic vocational education (about 6%). In comparison with 2018, a</w:t>
                            </w:r>
                            <w:r w:rsidR="006A14FE">
                              <w:rPr>
                                <w:color w:val="001D77"/>
                                <w:szCs w:val="19"/>
                                <w:lang w:val="en-US"/>
                              </w:rPr>
                              <w:t> </w:t>
                            </w:r>
                            <w:r w:rsidR="006637DA" w:rsidRPr="006A14FE">
                              <w:rPr>
                                <w:color w:val="001D77"/>
                                <w:szCs w:val="19"/>
                                <w:lang w:val="en-US"/>
                              </w:rPr>
                              <w:t>decrease in the extreme poverty</w:t>
                            </w:r>
                            <w:r w:rsidR="00B37708" w:rsidRPr="006A14FE">
                              <w:rPr>
                                <w:color w:val="001D77"/>
                                <w:szCs w:val="19"/>
                                <w:lang w:val="en-US"/>
                              </w:rPr>
                              <w:t xml:space="preserve"> rates by 2</w:t>
                            </w:r>
                            <w:r w:rsidR="00153582">
                              <w:rPr>
                                <w:color w:val="001D77"/>
                                <w:szCs w:val="19"/>
                                <w:lang w:val="en-US"/>
                              </w:rPr>
                              <w:t> </w:t>
                            </w:r>
                            <w:r w:rsidR="00B37708" w:rsidRPr="006A14FE">
                              <w:rPr>
                                <w:color w:val="001D77"/>
                                <w:szCs w:val="19"/>
                                <w:lang w:val="en-US"/>
                              </w:rPr>
                              <w:t>p.p.</w:t>
                            </w:r>
                            <w:r w:rsidR="006637DA" w:rsidRPr="006A14FE">
                              <w:rPr>
                                <w:color w:val="001D77"/>
                                <w:szCs w:val="19"/>
                                <w:lang w:val="en-US"/>
                              </w:rPr>
                              <w:t xml:space="preserve"> was recorded in these groups.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B8A833" id="_x0000_s1038" type="#_x0000_t202" style="position:absolute;margin-left:411pt;margin-top:3.5pt;width:138.45pt;height:169.5pt;z-index:251801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" filled="f" stroked="f">
                <v:textbox>
                  <w:txbxContent>
                    <w:p w14:paraId="7E8C6A95" w14:textId="1A2CB122" w:rsidR="004F7C9F" w:rsidRPr="006A14FE" w:rsidRDefault="00387B4E" w:rsidP="00DB1888">
                      <w:pPr>
                        <w:suppressAutoHyphens/>
                        <w:rPr>
                          <w:color w:val="001D77"/>
                          <w:szCs w:val="19"/>
                          <w:lang w:val="en-US"/>
                        </w:rPr>
                      </w:pPr>
                      <w:r w:rsidRPr="006A14FE">
                        <w:rPr>
                          <w:color w:val="001D77"/>
                          <w:szCs w:val="19"/>
                          <w:lang w:val="en-US"/>
                        </w:rPr>
                        <w:t xml:space="preserve">In 2019, the highest poverty level was recorded in households </w:t>
                      </w:r>
                      <w:r w:rsidR="006637DA" w:rsidRPr="006A14FE">
                        <w:rPr>
                          <w:color w:val="001D77"/>
                          <w:szCs w:val="19"/>
                          <w:lang w:val="en-US"/>
                        </w:rPr>
                        <w:t xml:space="preserve">where the head of the </w:t>
                      </w:r>
                      <w:r w:rsidR="00B37708" w:rsidRPr="006A14FE">
                        <w:rPr>
                          <w:color w:val="001D77"/>
                          <w:szCs w:val="19"/>
                          <w:lang w:val="en-US"/>
                        </w:rPr>
                        <w:t xml:space="preserve">household </w:t>
                      </w:r>
                      <w:r w:rsidR="006637DA" w:rsidRPr="006A14FE">
                        <w:rPr>
                          <w:color w:val="001D77"/>
                          <w:szCs w:val="19"/>
                          <w:lang w:val="en-US"/>
                        </w:rPr>
                        <w:t>had at most lower secondary education (10%) or basic vocational education (about 6%). In comparison with 2018, a</w:t>
                      </w:r>
                      <w:r w:rsidR="006A14FE">
                        <w:rPr>
                          <w:color w:val="001D77"/>
                          <w:szCs w:val="19"/>
                          <w:lang w:val="en-US"/>
                        </w:rPr>
                        <w:t> </w:t>
                      </w:r>
                      <w:r w:rsidR="006637DA" w:rsidRPr="006A14FE">
                        <w:rPr>
                          <w:color w:val="001D77"/>
                          <w:szCs w:val="19"/>
                          <w:lang w:val="en-US"/>
                        </w:rPr>
                        <w:t>decrease in the extreme poverty</w:t>
                      </w:r>
                      <w:r w:rsidR="00B37708" w:rsidRPr="006A14FE">
                        <w:rPr>
                          <w:color w:val="001D77"/>
                          <w:szCs w:val="19"/>
                          <w:lang w:val="en-US"/>
                        </w:rPr>
                        <w:t xml:space="preserve"> rates by 2</w:t>
                      </w:r>
                      <w:r w:rsidR="00153582">
                        <w:rPr>
                          <w:color w:val="001D77"/>
                          <w:szCs w:val="19"/>
                          <w:lang w:val="en-US"/>
                        </w:rPr>
                        <w:t> </w:t>
                      </w:r>
                      <w:r w:rsidR="00B37708" w:rsidRPr="006A14FE">
                        <w:rPr>
                          <w:color w:val="001D77"/>
                          <w:szCs w:val="19"/>
                          <w:lang w:val="en-US"/>
                        </w:rPr>
                        <w:t>p.p.</w:t>
                      </w:r>
                      <w:r w:rsidR="006637DA" w:rsidRPr="006A14FE">
                        <w:rPr>
                          <w:color w:val="001D77"/>
                          <w:szCs w:val="19"/>
                          <w:lang w:val="en-US"/>
                        </w:rPr>
                        <w:t xml:space="preserve"> was recorded in these groups.</w:t>
                      </w:r>
                    </w:p>
                  </w:txbxContent>
                </v:textbox>
              </v:shape>
            </w:pict>
          </mc:Fallback>
        </mc:AlternateContent>
      </w:r>
      <w:r w:rsidR="00521B6E">
        <w:rPr>
          <w:noProof/>
          <w:lang w:eastAsia="pl-PL"/>
        </w:rPr>
        <w:drawing>
          <wp:anchor distT="0" distB="0" distL="114300" distR="114300" simplePos="0" relativeHeight="251834368" behindDoc="0" locked="0" layoutInCell="1" allowOverlap="1" wp14:anchorId="076493FF" wp14:editId="19F9C03C">
            <wp:simplePos x="0" y="0"/>
            <wp:positionH relativeFrom="column">
              <wp:posOffset>-4445</wp:posOffset>
            </wp:positionH>
            <wp:positionV relativeFrom="paragraph">
              <wp:posOffset>518160</wp:posOffset>
            </wp:positionV>
            <wp:extent cx="5040000" cy="2283709"/>
            <wp:effectExtent l="0" t="0" r="8255" b="2540"/>
            <wp:wrapTopAndBottom/>
            <wp:docPr id="13" name="Wykres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sidR="00926162" w:rsidRPr="00926162">
        <w:rPr>
          <w:b/>
          <w:lang w:val="en-GB" w:eastAsia="pl-PL"/>
        </w:rPr>
        <w:t xml:space="preserve">Chart 7. Extreme poverty rate in the years 2018 and 2019 by education level of the </w:t>
      </w:r>
      <w:r w:rsidR="00A92078" w:rsidRPr="00E467AB">
        <w:rPr>
          <w:b/>
          <w:lang w:val="en-GB" w:eastAsia="pl-PL"/>
        </w:rPr>
        <w:t xml:space="preserve">head of the </w:t>
      </w:r>
      <w:r w:rsidR="00926162" w:rsidRPr="00E467AB">
        <w:rPr>
          <w:b/>
          <w:lang w:val="en-GB" w:eastAsia="pl-PL"/>
        </w:rPr>
        <w:t xml:space="preserve">household </w:t>
      </w:r>
    </w:p>
    <w:p w14:paraId="126CF00A" w14:textId="77777777" w:rsidR="00926162" w:rsidRDefault="00926162" w:rsidP="00926162">
      <w:pPr>
        <w:rPr>
          <w:b/>
          <w:lang w:val="en-GB" w:eastAsia="pl-PL"/>
        </w:rPr>
      </w:pPr>
    </w:p>
    <w:p w14:paraId="7841614F" w14:textId="3720CA13" w:rsidR="00926162" w:rsidRPr="00926162" w:rsidRDefault="00387B4E" w:rsidP="00926162">
      <w:pPr>
        <w:rPr>
          <w:b/>
          <w:lang w:val="en-GB" w:eastAsia="pl-PL"/>
        </w:rPr>
      </w:pPr>
      <w:r>
        <w:rPr>
          <w:noProof/>
          <w:szCs w:val="19"/>
          <w:lang w:eastAsia="pl-PL"/>
        </w:rPr>
        <mc:AlternateContent>
          <mc:Choice Requires="wps">
            <w:drawing>
              <wp:anchor distT="45720" distB="45720" distL="114300" distR="114300" simplePos="0" relativeHeight="251842560" behindDoc="0" locked="0" layoutInCell="1" allowOverlap="1" wp14:anchorId="3B069919" wp14:editId="01412E5F">
                <wp:simplePos x="0" y="0"/>
                <wp:positionH relativeFrom="column">
                  <wp:posOffset>5266800</wp:posOffset>
                </wp:positionH>
                <wp:positionV relativeFrom="paragraph">
                  <wp:posOffset>153740</wp:posOffset>
                </wp:positionV>
                <wp:extent cx="1701615" cy="1699200"/>
                <wp:effectExtent l="0" t="0" r="0" b="0"/>
                <wp:wrapNone/>
                <wp:docPr id="3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615" cy="1699200"/>
                        </a:xfrm>
                        <a:prstGeom prst="rect">
                          <a:avLst/>
                        </a:prstGeom>
                        <a:noFill/>
                        <a:ln w="9525">
                          <a:noFill/>
                          <a:miter lim="800000"/>
                          <a:headEnd/>
                          <a:tailEnd/>
                        </a:ln>
                      </wps:spPr>
                      <wps:txbx>
                        <w:txbxContent>
                          <w:p w14:paraId="53BFB76A" w14:textId="77777777" w:rsidR="00AF0027" w:rsidRPr="009749EE" w:rsidRDefault="006637DA" w:rsidP="00DB1888">
                            <w:pPr>
                              <w:suppressAutoHyphens/>
                              <w:rPr>
                                <w:color w:val="001D77"/>
                                <w:szCs w:val="19"/>
                                <w:lang w:val="en-US"/>
                              </w:rPr>
                            </w:pPr>
                            <w:r w:rsidRPr="009749EE">
                              <w:rPr>
                                <w:color w:val="001D77"/>
                                <w:szCs w:val="19"/>
                                <w:lang w:val="en-US"/>
                              </w:rPr>
                              <w:t>In 2019, the extreme poverty rate among the inhabitants of rural areas and the smallest towns decreased by about 2 p</w:t>
                            </w:r>
                            <w:r w:rsidR="00504B76" w:rsidRPr="009749EE">
                              <w:rPr>
                                <w:color w:val="001D77"/>
                                <w:szCs w:val="19"/>
                                <w:lang w:val="en-US"/>
                              </w:rPr>
                              <w:t>.p.</w:t>
                            </w:r>
                            <w:r w:rsidRPr="009749EE">
                              <w:rPr>
                                <w:color w:val="001D77"/>
                                <w:szCs w:val="19"/>
                                <w:lang w:val="en-US"/>
                              </w:rPr>
                              <w:t xml:space="preserve"> However, the poverty </w:t>
                            </w:r>
                            <w:r w:rsidR="00504B76" w:rsidRPr="009749EE">
                              <w:rPr>
                                <w:color w:val="001D77"/>
                                <w:szCs w:val="19"/>
                                <w:lang w:val="en-US"/>
                              </w:rPr>
                              <w:t xml:space="preserve">rate </w:t>
                            </w:r>
                            <w:r w:rsidRPr="009749EE">
                              <w:rPr>
                                <w:color w:val="001D77"/>
                                <w:szCs w:val="19"/>
                                <w:lang w:val="en-US"/>
                              </w:rPr>
                              <w:t>in the largest cities, where it was about 1%, did not change.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069919" id="_x0000_s1039" type="#_x0000_t202" style="position:absolute;margin-left:414.7pt;margin-top:12.1pt;width:134pt;height:133.8pt;z-index:251842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" filled="f" stroked="f">
                <v:textbox>
                  <w:txbxContent>
                    <w:p w14:paraId="53BFB76A" w14:textId="77777777" w:rsidR="00AF0027" w:rsidRPr="009749EE" w:rsidRDefault="006637DA" w:rsidP="00DB1888">
                      <w:pPr>
                        <w:suppressAutoHyphens/>
                        <w:rPr>
                          <w:color w:val="001D77"/>
                          <w:szCs w:val="19"/>
                          <w:lang w:val="en-US"/>
                        </w:rPr>
                      </w:pPr>
                      <w:r w:rsidRPr="009749EE">
                        <w:rPr>
                          <w:color w:val="001D77"/>
                          <w:szCs w:val="19"/>
                          <w:lang w:val="en-US"/>
                        </w:rPr>
                        <w:t>In 2019, the extreme poverty rate among the inhabitants of rural areas and the smallest towns decreased by about 2 p</w:t>
                      </w:r>
                      <w:r w:rsidR="00504B76" w:rsidRPr="009749EE">
                        <w:rPr>
                          <w:color w:val="001D77"/>
                          <w:szCs w:val="19"/>
                          <w:lang w:val="en-US"/>
                        </w:rPr>
                        <w:t>.p.</w:t>
                      </w:r>
                      <w:r w:rsidRPr="009749EE">
                        <w:rPr>
                          <w:color w:val="001D77"/>
                          <w:szCs w:val="19"/>
                          <w:lang w:val="en-US"/>
                        </w:rPr>
                        <w:t xml:space="preserve"> However, the poverty </w:t>
                      </w:r>
                      <w:r w:rsidR="00504B76" w:rsidRPr="009749EE">
                        <w:rPr>
                          <w:color w:val="001D77"/>
                          <w:szCs w:val="19"/>
                          <w:lang w:val="en-US"/>
                        </w:rPr>
                        <w:t xml:space="preserve">rate </w:t>
                      </w:r>
                      <w:r w:rsidRPr="009749EE">
                        <w:rPr>
                          <w:color w:val="001D77"/>
                          <w:szCs w:val="19"/>
                          <w:lang w:val="en-US"/>
                        </w:rPr>
                        <w:t>in the largest cities, where it was about 1%, did not change.</w:t>
                      </w:r>
                    </w:p>
                  </w:txbxContent>
                </v:textbox>
              </v:shape>
            </w:pict>
          </mc:Fallback>
        </mc:AlternateContent>
      </w:r>
      <w:r w:rsidR="00926162" w:rsidRPr="00926162">
        <w:rPr>
          <w:noProof/>
          <w:lang w:eastAsia="pl-PL"/>
        </w:rPr>
        <w:drawing>
          <wp:anchor distT="0" distB="0" distL="114300" distR="114300" simplePos="0" relativeHeight="251836416" behindDoc="0" locked="0" layoutInCell="1" allowOverlap="1" wp14:anchorId="072C2BD4" wp14:editId="512C0CDD">
            <wp:simplePos x="0" y="0"/>
            <wp:positionH relativeFrom="column">
              <wp:posOffset>0</wp:posOffset>
            </wp:positionH>
            <wp:positionV relativeFrom="paragraph">
              <wp:posOffset>286385</wp:posOffset>
            </wp:positionV>
            <wp:extent cx="5040000" cy="2981314"/>
            <wp:effectExtent l="0" t="0" r="8255" b="0"/>
            <wp:wrapTopAndBottom/>
            <wp:docPr id="15" name="Wykres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sidR="00926162" w:rsidRPr="00926162">
        <w:rPr>
          <w:b/>
          <w:lang w:val="en-GB" w:eastAsia="pl-PL"/>
        </w:rPr>
        <w:t>Chart 8. Extreme poverty rate in the years 2018 and 2019 by place of residence</w:t>
      </w:r>
    </w:p>
    <w:p w14:paraId="7F3EFDF2" w14:textId="77777777" w:rsidR="00164D84" w:rsidRPr="00CE3DFA" w:rsidRDefault="00E7228F" w:rsidP="00164D84">
      <w:pPr>
        <w:spacing w:before="240" w:line="240" w:lineRule="auto"/>
        <w:rPr>
          <w:rFonts w:ascii="Fira Sans SemiBold" w:hAnsi="Fira Sans SemiBold"/>
          <w:noProof/>
          <w:szCs w:val="19"/>
          <w:lang w:val="en-US" w:eastAsia="pl-PL"/>
        </w:rPr>
      </w:pPr>
      <w:r w:rsidRPr="00CE3DFA">
        <w:rPr>
          <w:rFonts w:ascii="Fira Sans SemiBold" w:hAnsi="Fira Sans SemiBold"/>
          <w:noProof/>
          <w:color w:val="001D77"/>
          <w:szCs w:val="19"/>
          <w:lang w:val="en-US" w:eastAsia="pl-PL"/>
        </w:rPr>
        <w:t>Privation</w:t>
      </w:r>
      <w:r w:rsidRPr="00CE3DFA">
        <w:rPr>
          <w:rFonts w:ascii="Fira Sans SemiBold" w:hAnsi="Fira Sans SemiBold"/>
          <w:noProof/>
          <w:color w:val="001D77"/>
          <w:szCs w:val="19"/>
          <w:vertAlign w:val="superscript"/>
          <w:lang w:eastAsia="pl-PL"/>
        </w:rPr>
        <w:footnoteReference w:id="2"/>
      </w:r>
      <w:r w:rsidR="00164D84" w:rsidRPr="00CE3DFA">
        <w:rPr>
          <w:rFonts w:ascii="Fira Sans SemiBold" w:hAnsi="Fira Sans SemiBold"/>
          <w:noProof/>
          <w:szCs w:val="19"/>
          <w:lang w:val="en-US" w:eastAsia="pl-PL"/>
        </w:rPr>
        <w:t xml:space="preserve"> </w:t>
      </w:r>
    </w:p>
    <w:p w14:paraId="2EA11CA2" w14:textId="77777777" w:rsidR="00164D84" w:rsidRPr="001E786B" w:rsidRDefault="00D4272B" w:rsidP="00164D84">
      <w:pPr>
        <w:spacing w:before="240" w:line="240" w:lineRule="auto"/>
        <w:rPr>
          <w:noProof/>
          <w:szCs w:val="19"/>
          <w:lang w:val="en-US" w:eastAsia="pl-PL"/>
        </w:rPr>
      </w:pPr>
      <w:r w:rsidRPr="001E786B">
        <w:rPr>
          <w:noProof/>
          <w:szCs w:val="19"/>
          <w:lang w:val="en-US" w:eastAsia="pl-PL"/>
        </w:rPr>
        <w:t xml:space="preserve">Besides </w:t>
      </w:r>
      <w:r w:rsidR="00164D84" w:rsidRPr="001E786B">
        <w:rPr>
          <w:noProof/>
          <w:szCs w:val="19"/>
          <w:lang w:val="en-US" w:eastAsia="pl-PL"/>
        </w:rPr>
        <w:t>economic poverty</w:t>
      </w:r>
      <w:r w:rsidR="00417FB0" w:rsidRPr="001E786B">
        <w:rPr>
          <w:noProof/>
          <w:szCs w:val="19"/>
          <w:lang w:val="en-US" w:eastAsia="pl-PL"/>
        </w:rPr>
        <w:t xml:space="preserve"> rates</w:t>
      </w:r>
      <w:r w:rsidR="00164D84" w:rsidRPr="001E786B">
        <w:rPr>
          <w:noProof/>
          <w:szCs w:val="19"/>
          <w:lang w:val="en-US" w:eastAsia="pl-PL"/>
        </w:rPr>
        <w:t xml:space="preserve">, </w:t>
      </w:r>
      <w:r w:rsidR="00417FB0" w:rsidRPr="001E786B">
        <w:rPr>
          <w:noProof/>
          <w:szCs w:val="19"/>
          <w:lang w:val="en-US" w:eastAsia="pl-PL"/>
        </w:rPr>
        <w:t xml:space="preserve">Statistics Poland </w:t>
      </w:r>
      <w:r w:rsidR="00164D84" w:rsidRPr="001E786B">
        <w:rPr>
          <w:noProof/>
          <w:szCs w:val="19"/>
          <w:lang w:val="en-US" w:eastAsia="pl-PL"/>
        </w:rPr>
        <w:t>also calculates and publishes privation</w:t>
      </w:r>
      <w:r w:rsidR="00417FB0" w:rsidRPr="001E786B">
        <w:rPr>
          <w:noProof/>
          <w:szCs w:val="19"/>
          <w:lang w:val="en-US" w:eastAsia="pl-PL"/>
        </w:rPr>
        <w:t xml:space="preserve"> rates</w:t>
      </w:r>
      <w:r w:rsidR="00164D84" w:rsidRPr="001E786B">
        <w:rPr>
          <w:noProof/>
          <w:szCs w:val="19"/>
          <w:lang w:val="en-US" w:eastAsia="pl-PL"/>
        </w:rPr>
        <w:t xml:space="preserve">. The </w:t>
      </w:r>
      <w:r w:rsidR="00417FB0" w:rsidRPr="001E786B">
        <w:rPr>
          <w:noProof/>
          <w:szCs w:val="19"/>
          <w:lang w:val="en-US" w:eastAsia="pl-PL"/>
        </w:rPr>
        <w:t xml:space="preserve">threshold </w:t>
      </w:r>
      <w:r w:rsidR="00164D84" w:rsidRPr="001E786B">
        <w:rPr>
          <w:noProof/>
          <w:szCs w:val="19"/>
          <w:lang w:val="en-US" w:eastAsia="pl-PL"/>
        </w:rPr>
        <w:t xml:space="preserve">of privation is based on the social minimum calculated by IPiSS. The basket of the social minimum takes into account goods and services that serve not only to satisfy </w:t>
      </w:r>
      <w:r w:rsidR="00F53BD1" w:rsidRPr="001E786B">
        <w:rPr>
          <w:noProof/>
          <w:szCs w:val="19"/>
          <w:lang w:val="en-US" w:eastAsia="pl-PL"/>
        </w:rPr>
        <w:t xml:space="preserve">basic vital </w:t>
      </w:r>
      <w:r w:rsidR="00164D84" w:rsidRPr="001E786B">
        <w:rPr>
          <w:noProof/>
          <w:szCs w:val="19"/>
          <w:lang w:val="en-US" w:eastAsia="pl-PL"/>
        </w:rPr>
        <w:t xml:space="preserve">needs, but also goods and services necessary for work, education, </w:t>
      </w:r>
      <w:r w:rsidR="00301988" w:rsidRPr="001E786B">
        <w:rPr>
          <w:noProof/>
          <w:szCs w:val="19"/>
          <w:lang w:val="en-US" w:eastAsia="pl-PL"/>
        </w:rPr>
        <w:t xml:space="preserve">preserving family ties and relationships with friends as well as </w:t>
      </w:r>
      <w:r w:rsidR="00164D84" w:rsidRPr="001E786B">
        <w:rPr>
          <w:noProof/>
          <w:szCs w:val="19"/>
          <w:lang w:val="en-US" w:eastAsia="pl-PL"/>
        </w:rPr>
        <w:t xml:space="preserve">modest participation in culture and recreation. Consumption expenditure at the </w:t>
      </w:r>
      <w:r w:rsidR="00F53BD1" w:rsidRPr="001E786B">
        <w:rPr>
          <w:noProof/>
          <w:szCs w:val="19"/>
          <w:lang w:val="en-US" w:eastAsia="pl-PL"/>
        </w:rPr>
        <w:t xml:space="preserve">social </w:t>
      </w:r>
      <w:r w:rsidR="00164D84" w:rsidRPr="001E786B">
        <w:rPr>
          <w:noProof/>
          <w:szCs w:val="19"/>
          <w:lang w:val="en-US" w:eastAsia="pl-PL"/>
        </w:rPr>
        <w:t>minimum level is assumed to allow for a "d</w:t>
      </w:r>
      <w:r w:rsidR="00F53BD1" w:rsidRPr="001E786B">
        <w:rPr>
          <w:noProof/>
          <w:szCs w:val="19"/>
          <w:lang w:val="en-US" w:eastAsia="pl-PL"/>
        </w:rPr>
        <w:t xml:space="preserve">ecent </w:t>
      </w:r>
      <w:r w:rsidR="00164D84" w:rsidRPr="001E786B">
        <w:rPr>
          <w:noProof/>
          <w:szCs w:val="19"/>
          <w:lang w:val="en-US" w:eastAsia="pl-PL"/>
        </w:rPr>
        <w:t xml:space="preserve">life". The </w:t>
      </w:r>
      <w:r w:rsidR="00F53BD1" w:rsidRPr="001E786B">
        <w:rPr>
          <w:noProof/>
          <w:szCs w:val="19"/>
          <w:lang w:val="en-US" w:eastAsia="pl-PL"/>
        </w:rPr>
        <w:t xml:space="preserve">social </w:t>
      </w:r>
      <w:r w:rsidR="00164D84" w:rsidRPr="001E786B">
        <w:rPr>
          <w:noProof/>
          <w:szCs w:val="19"/>
          <w:lang w:val="en-US" w:eastAsia="pl-PL"/>
        </w:rPr>
        <w:t xml:space="preserve">minimum is sometimes treated as the threshold below which the integration needs of a </w:t>
      </w:r>
      <w:r w:rsidR="00F53BD1" w:rsidRPr="001E786B">
        <w:rPr>
          <w:noProof/>
          <w:szCs w:val="19"/>
          <w:lang w:val="en-US" w:eastAsia="pl-PL"/>
        </w:rPr>
        <w:t xml:space="preserve">human being </w:t>
      </w:r>
      <w:r w:rsidR="00827C83" w:rsidRPr="001E786B">
        <w:rPr>
          <w:noProof/>
          <w:szCs w:val="19"/>
          <w:lang w:val="en-US" w:eastAsia="pl-PL"/>
        </w:rPr>
        <w:t>cannot be met</w:t>
      </w:r>
      <w:r w:rsidR="00164D84" w:rsidRPr="001E786B">
        <w:rPr>
          <w:noProof/>
          <w:szCs w:val="19"/>
          <w:lang w:val="en-US" w:eastAsia="pl-PL"/>
        </w:rPr>
        <w:t xml:space="preserve">. </w:t>
      </w:r>
    </w:p>
    <w:p w14:paraId="75D44618" w14:textId="77777777" w:rsidR="00164D84" w:rsidRPr="001E786B" w:rsidRDefault="00164D84" w:rsidP="00164D84">
      <w:pPr>
        <w:spacing w:before="240" w:line="240" w:lineRule="auto"/>
        <w:rPr>
          <w:noProof/>
          <w:szCs w:val="19"/>
          <w:lang w:val="en-US" w:eastAsia="pl-PL"/>
        </w:rPr>
      </w:pPr>
      <w:r w:rsidRPr="001E786B">
        <w:rPr>
          <w:noProof/>
          <w:szCs w:val="19"/>
          <w:lang w:val="en-US" w:eastAsia="pl-PL"/>
        </w:rPr>
        <w:t>The above methodological assumptions and, consequently, the level of the p</w:t>
      </w:r>
      <w:r w:rsidR="004B4F2D" w:rsidRPr="001E786B">
        <w:rPr>
          <w:noProof/>
          <w:szCs w:val="19"/>
          <w:lang w:val="en-US" w:eastAsia="pl-PL"/>
        </w:rPr>
        <w:t>rivation</w:t>
      </w:r>
      <w:r w:rsidRPr="001E786B">
        <w:rPr>
          <w:noProof/>
          <w:szCs w:val="19"/>
          <w:lang w:val="en-US" w:eastAsia="pl-PL"/>
        </w:rPr>
        <w:t xml:space="preserve"> line (about twice as high as the extreme poverty line) allow us to conclude that the p</w:t>
      </w:r>
      <w:r w:rsidR="004B4F2D" w:rsidRPr="001E786B">
        <w:rPr>
          <w:noProof/>
          <w:szCs w:val="19"/>
          <w:lang w:val="en-US" w:eastAsia="pl-PL"/>
        </w:rPr>
        <w:t xml:space="preserve">rivation </w:t>
      </w:r>
      <w:r w:rsidRPr="001E786B">
        <w:rPr>
          <w:noProof/>
          <w:szCs w:val="19"/>
          <w:lang w:val="en-US" w:eastAsia="pl-PL"/>
        </w:rPr>
        <w:t>should not be identified with economic poverty. It is a separate socio-economic category used in analyses of quality of life and social exclusion</w:t>
      </w:r>
    </w:p>
    <w:p w14:paraId="6B91FF5A" w14:textId="77777777" w:rsidR="00AA6344" w:rsidRPr="001E786B" w:rsidRDefault="00412B55" w:rsidP="00AA6344">
      <w:pPr>
        <w:suppressAutoHyphens/>
        <w:spacing w:before="240"/>
        <w:rPr>
          <w:szCs w:val="19"/>
          <w:lang w:val="en-US"/>
        </w:rPr>
      </w:pPr>
      <w:r w:rsidRPr="001E786B">
        <w:rPr>
          <w:szCs w:val="19"/>
          <w:lang w:val="en-US"/>
        </w:rPr>
        <w:t xml:space="preserve">In 2019, the </w:t>
      </w:r>
      <w:r w:rsidR="004B4F2D" w:rsidRPr="001E786B">
        <w:rPr>
          <w:szCs w:val="19"/>
          <w:lang w:val="en-US"/>
        </w:rPr>
        <w:t xml:space="preserve">privation rate </w:t>
      </w:r>
      <w:r w:rsidRPr="001E786B">
        <w:rPr>
          <w:szCs w:val="19"/>
          <w:lang w:val="en-US"/>
        </w:rPr>
        <w:t xml:space="preserve">was 39.4%. So it was less than 2 p.p. lower than in 2018. </w:t>
      </w:r>
    </w:p>
    <w:p w14:paraId="5AFE0A9E" w14:textId="77777777" w:rsidR="00AA6344" w:rsidRPr="00AA6344" w:rsidRDefault="000F38BD" w:rsidP="00AF0027">
      <w:pPr>
        <w:keepNext/>
        <w:rPr>
          <w:b/>
          <w:lang w:val="en-GB" w:eastAsia="pl-PL"/>
        </w:rPr>
      </w:pPr>
      <w:r w:rsidRPr="00AA6344">
        <w:rPr>
          <w:noProof/>
          <w:lang w:eastAsia="pl-PL"/>
        </w:rPr>
        <w:lastRenderedPageBreak/>
        <w:drawing>
          <wp:anchor distT="0" distB="0" distL="114300" distR="114300" simplePos="0" relativeHeight="251838464" behindDoc="0" locked="0" layoutInCell="1" allowOverlap="1" wp14:anchorId="64CC423B" wp14:editId="05F05A55">
            <wp:simplePos x="0" y="0"/>
            <wp:positionH relativeFrom="column">
              <wp:posOffset>-114300</wp:posOffset>
            </wp:positionH>
            <wp:positionV relativeFrom="paragraph">
              <wp:posOffset>269875</wp:posOffset>
            </wp:positionV>
            <wp:extent cx="5122545" cy="3548380"/>
            <wp:effectExtent l="0" t="0" r="1905" b="0"/>
            <wp:wrapTopAndBottom/>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V relativeFrom="margin">
              <wp14:pctHeight>0</wp14:pctHeight>
            </wp14:sizeRelV>
          </wp:anchor>
        </w:drawing>
      </w:r>
      <w:r w:rsidR="00AA6344" w:rsidRPr="00AA6344">
        <w:rPr>
          <w:b/>
          <w:lang w:val="en-GB" w:eastAsia="pl-PL"/>
        </w:rPr>
        <w:t>Chart 9. Extreme poverty rate and privation rate in Poland in the years 2008-2019</w:t>
      </w:r>
    </w:p>
    <w:p w14:paraId="5EEA3107" w14:textId="35FC6372" w:rsidR="00A65705" w:rsidRDefault="00A65705" w:rsidP="00A65705">
      <w:pPr>
        <w:suppressAutoHyphens/>
        <w:spacing w:before="240"/>
        <w:rPr>
          <w:sz w:val="18"/>
          <w:szCs w:val="18"/>
          <w:lang w:val="en-US"/>
        </w:rPr>
      </w:pPr>
    </w:p>
    <w:p w14:paraId="6D449BE5" w14:textId="77777777" w:rsidR="00277364" w:rsidRPr="004575B5" w:rsidRDefault="00277364" w:rsidP="00A65705">
      <w:pPr>
        <w:suppressAutoHyphens/>
        <w:spacing w:before="240"/>
        <w:rPr>
          <w:sz w:val="18"/>
          <w:szCs w:val="18"/>
          <w:lang w:val="en-US"/>
        </w:rPr>
      </w:pPr>
    </w:p>
    <w:tbl>
      <w:tblPr>
        <w:tblpPr w:leftFromText="141" w:rightFromText="141" w:vertAnchor="text" w:horzAnchor="margin" w:tblpY="47"/>
        <w:tblW w:w="5000" w:type="pct"/>
        <w:tblBorders>
          <w:insideH w:val="single" w:sz="4" w:space="0" w:color="001D77"/>
          <w:insideV w:val="single" w:sz="4" w:space="0" w:color="auto"/>
        </w:tblBorders>
        <w:tblLayout w:type="fixed"/>
        <w:tblCellMar>
          <w:left w:w="70" w:type="dxa"/>
          <w:right w:w="70" w:type="dxa"/>
        </w:tblCellMar>
        <w:tblLook w:val="04A0" w:firstRow="1" w:lastRow="0" w:firstColumn="1" w:lastColumn="0" w:noHBand="0" w:noVBand="1"/>
      </w:tblPr>
      <w:tblGrid>
        <w:gridCol w:w="1637"/>
        <w:gridCol w:w="655"/>
        <w:gridCol w:w="641"/>
        <w:gridCol w:w="642"/>
        <w:gridCol w:w="644"/>
        <w:gridCol w:w="642"/>
        <w:gridCol w:w="641"/>
        <w:gridCol w:w="641"/>
        <w:gridCol w:w="642"/>
        <w:gridCol w:w="645"/>
        <w:gridCol w:w="637"/>
      </w:tblGrid>
      <w:tr w:rsidR="001C0E95" w:rsidRPr="00603604" w14:paraId="7E3EFB65" w14:textId="77777777" w:rsidTr="005032A0">
        <w:trPr>
          <w:trHeight w:val="72"/>
        </w:trPr>
        <w:tc>
          <w:tcPr>
            <w:tcW w:w="5000" w:type="pct"/>
            <w:gridSpan w:val="11"/>
            <w:tcBorders>
              <w:bottom w:val="nil"/>
            </w:tcBorders>
          </w:tcPr>
          <w:p w14:paraId="5967CD62" w14:textId="77777777" w:rsidR="001C0E95" w:rsidRPr="001C0E95" w:rsidRDefault="001C0E95" w:rsidP="001C0E95">
            <w:pPr>
              <w:spacing w:after="200" w:line="240" w:lineRule="atLeast"/>
              <w:rPr>
                <w:rFonts w:eastAsiaTheme="minorEastAsia" w:cs="Arial"/>
                <w:b/>
                <w:bCs/>
                <w:color w:val="000000"/>
                <w:sz w:val="16"/>
                <w:szCs w:val="16"/>
                <w:lang w:val="en-US" w:eastAsia="pl-PL"/>
              </w:rPr>
            </w:pPr>
            <w:r w:rsidRPr="001C0E95">
              <w:rPr>
                <w:rFonts w:eastAsiaTheme="minorEastAsia" w:cs="Arial"/>
                <w:b/>
                <w:bCs/>
                <w:color w:val="000000"/>
                <w:sz w:val="16"/>
                <w:szCs w:val="16"/>
                <w:lang w:val="en-US" w:eastAsia="pl-PL"/>
              </w:rPr>
              <w:t xml:space="preserve">Table 1. Economic poverty and privation thresholds for selected types of households in the years </w:t>
            </w:r>
            <w:r w:rsidRPr="001C0E95">
              <w:rPr>
                <w:rFonts w:eastAsiaTheme="minorEastAsia"/>
                <w:b/>
                <w:sz w:val="16"/>
                <w:szCs w:val="16"/>
                <w:lang w:val="en-US" w:eastAsia="pl-PL"/>
              </w:rPr>
              <w:t>2015-2019</w:t>
            </w:r>
          </w:p>
        </w:tc>
      </w:tr>
      <w:tr w:rsidR="001C0E95" w:rsidRPr="00603604" w14:paraId="3B51AF44" w14:textId="77777777" w:rsidTr="005032A0">
        <w:trPr>
          <w:trHeight w:val="454"/>
        </w:trPr>
        <w:tc>
          <w:tcPr>
            <w:tcW w:w="1015" w:type="pct"/>
            <w:vMerge w:val="restart"/>
            <w:tcBorders>
              <w:top w:val="nil"/>
              <w:bottom w:val="single" w:sz="12" w:space="0" w:color="001D77"/>
              <w:right w:val="single" w:sz="4" w:space="0" w:color="001D77"/>
            </w:tcBorders>
            <w:shd w:val="clear" w:color="auto" w:fill="auto"/>
            <w:vAlign w:val="center"/>
            <w:hideMark/>
          </w:tcPr>
          <w:p w14:paraId="513F46E1" w14:textId="77777777" w:rsidR="001C0E95" w:rsidRPr="001C0E95" w:rsidRDefault="001C0E95" w:rsidP="001C0E95">
            <w:pPr>
              <w:spacing w:after="200" w:line="240" w:lineRule="atLeast"/>
              <w:jc w:val="center"/>
              <w:rPr>
                <w:rFonts w:eastAsia="Calibri" w:cs="Arial"/>
                <w:color w:val="000000"/>
                <w:sz w:val="16"/>
                <w:szCs w:val="16"/>
                <w:lang w:val="en-US" w:eastAsia="pl-PL"/>
              </w:rPr>
            </w:pPr>
            <w:r w:rsidRPr="001C0E95">
              <w:rPr>
                <w:rFonts w:eastAsia="Calibri" w:cs="Arial"/>
                <w:color w:val="000000"/>
                <w:sz w:val="16"/>
                <w:szCs w:val="16"/>
                <w:lang w:val="en-US" w:eastAsia="pl-PL"/>
              </w:rPr>
              <w:t>Economic poverty and privation thresholds</w:t>
            </w:r>
          </w:p>
        </w:tc>
        <w:tc>
          <w:tcPr>
            <w:tcW w:w="1998" w:type="pct"/>
            <w:gridSpan w:val="5"/>
            <w:tcBorders>
              <w:top w:val="nil"/>
              <w:left w:val="single" w:sz="4" w:space="0" w:color="001D77"/>
              <w:bottom w:val="single" w:sz="4" w:space="0" w:color="001D77"/>
              <w:right w:val="single" w:sz="4" w:space="0" w:color="001D77"/>
            </w:tcBorders>
            <w:shd w:val="clear" w:color="auto" w:fill="auto"/>
            <w:vAlign w:val="center"/>
            <w:hideMark/>
          </w:tcPr>
          <w:p w14:paraId="038F02E1" w14:textId="77777777" w:rsidR="001C0E95" w:rsidRPr="001C0E95" w:rsidRDefault="001C0E95" w:rsidP="001C0E95">
            <w:pPr>
              <w:spacing w:before="60" w:after="60" w:line="240" w:lineRule="atLeast"/>
              <w:jc w:val="center"/>
              <w:rPr>
                <w:rFonts w:eastAsia="Calibri" w:cs="Arial"/>
                <w:color w:val="000000"/>
                <w:sz w:val="16"/>
                <w:szCs w:val="16"/>
                <w:lang w:eastAsia="pl-PL"/>
              </w:rPr>
            </w:pPr>
            <w:r w:rsidRPr="001C0E95">
              <w:rPr>
                <w:rFonts w:eastAsia="Calibri" w:cs="Arial"/>
                <w:color w:val="000000"/>
                <w:sz w:val="16"/>
                <w:szCs w:val="16"/>
                <w:lang w:eastAsia="pl-PL"/>
              </w:rPr>
              <w:t xml:space="preserve">1-person </w:t>
            </w:r>
            <w:proofErr w:type="spellStart"/>
            <w:r w:rsidRPr="001C0E95">
              <w:rPr>
                <w:rFonts w:eastAsia="Calibri" w:cs="Arial"/>
                <w:color w:val="000000"/>
                <w:sz w:val="16"/>
                <w:szCs w:val="16"/>
                <w:lang w:eastAsia="pl-PL"/>
              </w:rPr>
              <w:t>households</w:t>
            </w:r>
            <w:proofErr w:type="spellEnd"/>
          </w:p>
        </w:tc>
        <w:tc>
          <w:tcPr>
            <w:tcW w:w="1987" w:type="pct"/>
            <w:gridSpan w:val="5"/>
            <w:tcBorders>
              <w:top w:val="nil"/>
              <w:left w:val="single" w:sz="4" w:space="0" w:color="001D77"/>
              <w:bottom w:val="single" w:sz="4" w:space="0" w:color="001D77"/>
            </w:tcBorders>
            <w:shd w:val="clear" w:color="auto" w:fill="auto"/>
            <w:vAlign w:val="center"/>
            <w:hideMark/>
          </w:tcPr>
          <w:p w14:paraId="206E1CC0" w14:textId="77777777" w:rsidR="001C0E95" w:rsidRPr="001C0E95" w:rsidRDefault="001C0E95" w:rsidP="001C0E95">
            <w:pPr>
              <w:spacing w:before="60" w:after="60" w:line="240" w:lineRule="atLeast"/>
              <w:jc w:val="center"/>
              <w:rPr>
                <w:rFonts w:eastAsia="Calibri" w:cs="Arial"/>
                <w:color w:val="000000"/>
                <w:sz w:val="16"/>
                <w:szCs w:val="16"/>
                <w:lang w:val="en-US" w:eastAsia="pl-PL"/>
              </w:rPr>
            </w:pPr>
            <w:r w:rsidRPr="001C0E95">
              <w:rPr>
                <w:rFonts w:eastAsia="Calibri" w:cs="Arial"/>
                <w:color w:val="000000"/>
                <w:sz w:val="16"/>
                <w:szCs w:val="16"/>
                <w:lang w:val="en-US" w:eastAsia="pl-PL"/>
              </w:rPr>
              <w:t>4-person households (2 adults + 2 children up to 14 years)</w:t>
            </w:r>
          </w:p>
        </w:tc>
      </w:tr>
      <w:tr w:rsidR="001C0E95" w:rsidRPr="001C0E95" w14:paraId="17A31F11" w14:textId="77777777" w:rsidTr="005032A0">
        <w:trPr>
          <w:trHeight w:val="454"/>
        </w:trPr>
        <w:tc>
          <w:tcPr>
            <w:tcW w:w="1015" w:type="pct"/>
            <w:vMerge/>
            <w:tcBorders>
              <w:top w:val="single" w:sz="4" w:space="0" w:color="001D77"/>
              <w:bottom w:val="single" w:sz="12" w:space="0" w:color="001D77"/>
              <w:right w:val="single" w:sz="4" w:space="0" w:color="001D77"/>
            </w:tcBorders>
            <w:shd w:val="clear" w:color="auto" w:fill="auto"/>
            <w:vAlign w:val="center"/>
            <w:hideMark/>
          </w:tcPr>
          <w:p w14:paraId="47BDA26A" w14:textId="77777777" w:rsidR="001C0E95" w:rsidRPr="001C0E95" w:rsidRDefault="001C0E95" w:rsidP="001C0E95">
            <w:pPr>
              <w:spacing w:before="60" w:after="60" w:line="240" w:lineRule="atLeast"/>
              <w:jc w:val="center"/>
              <w:rPr>
                <w:rFonts w:eastAsia="Calibri" w:cs="Arial"/>
                <w:color w:val="000000"/>
                <w:sz w:val="16"/>
                <w:szCs w:val="16"/>
                <w:lang w:val="en-US" w:eastAsia="pl-PL"/>
              </w:rPr>
            </w:pPr>
          </w:p>
        </w:tc>
        <w:tc>
          <w:tcPr>
            <w:tcW w:w="406" w:type="pct"/>
            <w:tcBorders>
              <w:top w:val="single" w:sz="4" w:space="0" w:color="001D77"/>
              <w:left w:val="single" w:sz="4" w:space="0" w:color="001D77"/>
              <w:bottom w:val="single" w:sz="4" w:space="0" w:color="001D77"/>
              <w:right w:val="single" w:sz="4" w:space="0" w:color="001D77"/>
            </w:tcBorders>
            <w:shd w:val="clear" w:color="auto" w:fill="auto"/>
            <w:vAlign w:val="center"/>
          </w:tcPr>
          <w:p w14:paraId="510C86C3" w14:textId="77777777" w:rsidR="001C0E95" w:rsidRPr="001C0E95" w:rsidRDefault="001C0E95" w:rsidP="001C0E95">
            <w:pPr>
              <w:spacing w:before="60" w:after="60" w:line="240" w:lineRule="atLeast"/>
              <w:jc w:val="center"/>
              <w:rPr>
                <w:rFonts w:eastAsiaTheme="minorEastAsia" w:cs="Arial"/>
                <w:color w:val="000000"/>
                <w:sz w:val="16"/>
                <w:szCs w:val="16"/>
                <w:lang w:eastAsia="pl-PL"/>
              </w:rPr>
            </w:pPr>
            <w:r w:rsidRPr="001C0E95">
              <w:rPr>
                <w:rFonts w:eastAsiaTheme="minorEastAsia" w:cs="Arial"/>
                <w:color w:val="000000"/>
                <w:sz w:val="16"/>
                <w:szCs w:val="16"/>
                <w:lang w:eastAsia="pl-PL"/>
              </w:rPr>
              <w:t>2015</w:t>
            </w:r>
          </w:p>
        </w:tc>
        <w:tc>
          <w:tcPr>
            <w:tcW w:w="397" w:type="pct"/>
            <w:tcBorders>
              <w:top w:val="single" w:sz="4" w:space="0" w:color="001D77"/>
              <w:left w:val="single" w:sz="4" w:space="0" w:color="001D77"/>
              <w:bottom w:val="single" w:sz="4" w:space="0" w:color="001D77"/>
              <w:right w:val="single" w:sz="4" w:space="0" w:color="001D77"/>
            </w:tcBorders>
            <w:shd w:val="clear" w:color="auto" w:fill="auto"/>
            <w:vAlign w:val="center"/>
          </w:tcPr>
          <w:p w14:paraId="689AC0E7" w14:textId="77777777" w:rsidR="001C0E95" w:rsidRPr="001C0E95" w:rsidRDefault="001C0E95" w:rsidP="001C0E95">
            <w:pPr>
              <w:spacing w:before="60" w:after="60" w:line="240" w:lineRule="atLeast"/>
              <w:jc w:val="center"/>
              <w:rPr>
                <w:rFonts w:eastAsiaTheme="minorEastAsia" w:cs="Arial"/>
                <w:color w:val="000000"/>
                <w:sz w:val="16"/>
                <w:szCs w:val="16"/>
                <w:lang w:eastAsia="pl-PL"/>
              </w:rPr>
            </w:pPr>
            <w:r w:rsidRPr="001C0E95">
              <w:rPr>
                <w:rFonts w:eastAsiaTheme="minorEastAsia" w:cs="Arial"/>
                <w:color w:val="000000"/>
                <w:sz w:val="16"/>
                <w:szCs w:val="16"/>
                <w:lang w:eastAsia="pl-PL"/>
              </w:rPr>
              <w:t>2016</w:t>
            </w:r>
          </w:p>
        </w:tc>
        <w:tc>
          <w:tcPr>
            <w:tcW w:w="398" w:type="pct"/>
            <w:tcBorders>
              <w:top w:val="single" w:sz="4" w:space="0" w:color="001D77"/>
              <w:left w:val="single" w:sz="4" w:space="0" w:color="001D77"/>
              <w:bottom w:val="single" w:sz="4" w:space="0" w:color="001D77"/>
              <w:right w:val="single" w:sz="4" w:space="0" w:color="001D77"/>
            </w:tcBorders>
            <w:shd w:val="clear" w:color="auto" w:fill="auto"/>
            <w:vAlign w:val="center"/>
          </w:tcPr>
          <w:p w14:paraId="13E7447F" w14:textId="77777777" w:rsidR="001C0E95" w:rsidRPr="001C0E95" w:rsidRDefault="001C0E95" w:rsidP="001C0E95">
            <w:pPr>
              <w:spacing w:before="60" w:after="60" w:line="240" w:lineRule="atLeast"/>
              <w:jc w:val="center"/>
              <w:rPr>
                <w:rFonts w:eastAsiaTheme="minorEastAsia" w:cs="Arial"/>
                <w:color w:val="000000"/>
                <w:sz w:val="16"/>
                <w:szCs w:val="16"/>
                <w:lang w:eastAsia="pl-PL"/>
              </w:rPr>
            </w:pPr>
            <w:r w:rsidRPr="001C0E95">
              <w:rPr>
                <w:rFonts w:eastAsiaTheme="minorEastAsia" w:cs="Arial"/>
                <w:color w:val="000000"/>
                <w:sz w:val="16"/>
                <w:szCs w:val="16"/>
                <w:lang w:eastAsia="pl-PL"/>
              </w:rPr>
              <w:t>2017</w:t>
            </w:r>
          </w:p>
        </w:tc>
        <w:tc>
          <w:tcPr>
            <w:tcW w:w="399" w:type="pct"/>
            <w:tcBorders>
              <w:top w:val="single" w:sz="4" w:space="0" w:color="001D77"/>
              <w:left w:val="single" w:sz="4" w:space="0" w:color="001D77"/>
              <w:bottom w:val="single" w:sz="4" w:space="0" w:color="001D77"/>
              <w:right w:val="single" w:sz="4" w:space="0" w:color="001D77"/>
            </w:tcBorders>
            <w:shd w:val="clear" w:color="auto" w:fill="auto"/>
            <w:vAlign w:val="center"/>
          </w:tcPr>
          <w:p w14:paraId="2A3B892A" w14:textId="77777777" w:rsidR="001C0E95" w:rsidRPr="001C0E95" w:rsidRDefault="001C0E95" w:rsidP="001C0E95">
            <w:pPr>
              <w:spacing w:before="60" w:after="60" w:line="240" w:lineRule="atLeast"/>
              <w:jc w:val="center"/>
              <w:rPr>
                <w:rFonts w:eastAsiaTheme="minorEastAsia" w:cs="Arial"/>
                <w:color w:val="000000"/>
                <w:sz w:val="16"/>
                <w:szCs w:val="16"/>
                <w:lang w:eastAsia="pl-PL"/>
              </w:rPr>
            </w:pPr>
            <w:r w:rsidRPr="001C0E95">
              <w:rPr>
                <w:rFonts w:eastAsiaTheme="minorEastAsia" w:cs="Arial"/>
                <w:color w:val="000000"/>
                <w:sz w:val="16"/>
                <w:szCs w:val="16"/>
                <w:lang w:eastAsia="pl-PL"/>
              </w:rPr>
              <w:t>2018</w:t>
            </w:r>
          </w:p>
        </w:tc>
        <w:tc>
          <w:tcPr>
            <w:tcW w:w="398" w:type="pct"/>
            <w:tcBorders>
              <w:top w:val="single" w:sz="4" w:space="0" w:color="001D77"/>
              <w:left w:val="single" w:sz="4" w:space="0" w:color="001D77"/>
              <w:bottom w:val="single" w:sz="4" w:space="0" w:color="001D77"/>
              <w:right w:val="single" w:sz="4" w:space="0" w:color="001D77"/>
            </w:tcBorders>
            <w:vAlign w:val="center"/>
          </w:tcPr>
          <w:p w14:paraId="4909DF9B" w14:textId="77777777" w:rsidR="001C0E95" w:rsidRPr="001C0E95" w:rsidRDefault="001C0E95" w:rsidP="001C0E95">
            <w:pPr>
              <w:spacing w:before="60" w:after="60" w:line="240" w:lineRule="atLeast"/>
              <w:jc w:val="center"/>
              <w:rPr>
                <w:rFonts w:eastAsiaTheme="minorEastAsia" w:cs="Arial"/>
                <w:color w:val="000000"/>
                <w:sz w:val="16"/>
                <w:szCs w:val="16"/>
                <w:lang w:eastAsia="pl-PL"/>
              </w:rPr>
            </w:pPr>
            <w:r w:rsidRPr="001C0E95">
              <w:rPr>
                <w:rFonts w:eastAsiaTheme="minorEastAsia" w:cs="Arial"/>
                <w:color w:val="000000"/>
                <w:sz w:val="16"/>
                <w:szCs w:val="16"/>
                <w:lang w:eastAsia="pl-PL"/>
              </w:rPr>
              <w:t>2019</w:t>
            </w:r>
          </w:p>
        </w:tc>
        <w:tc>
          <w:tcPr>
            <w:tcW w:w="397" w:type="pct"/>
            <w:tcBorders>
              <w:top w:val="single" w:sz="4" w:space="0" w:color="001D77"/>
              <w:left w:val="single" w:sz="4" w:space="0" w:color="001D77"/>
              <w:bottom w:val="single" w:sz="4" w:space="0" w:color="001D77"/>
              <w:right w:val="single" w:sz="4" w:space="0" w:color="001D77"/>
            </w:tcBorders>
            <w:shd w:val="clear" w:color="auto" w:fill="auto"/>
            <w:vAlign w:val="center"/>
            <w:hideMark/>
          </w:tcPr>
          <w:p w14:paraId="1AD424DD" w14:textId="77777777" w:rsidR="001C0E95" w:rsidRPr="001C0E95" w:rsidRDefault="001C0E95" w:rsidP="001C0E95">
            <w:pPr>
              <w:spacing w:before="60" w:after="60" w:line="240" w:lineRule="atLeast"/>
              <w:jc w:val="center"/>
              <w:rPr>
                <w:rFonts w:eastAsiaTheme="minorEastAsia" w:cs="Arial"/>
                <w:color w:val="000000"/>
                <w:sz w:val="16"/>
                <w:szCs w:val="16"/>
                <w:lang w:eastAsia="pl-PL"/>
              </w:rPr>
            </w:pPr>
            <w:r w:rsidRPr="001C0E95">
              <w:rPr>
                <w:rFonts w:eastAsiaTheme="minorEastAsia" w:cs="Arial"/>
                <w:color w:val="000000"/>
                <w:sz w:val="16"/>
                <w:szCs w:val="16"/>
                <w:lang w:eastAsia="pl-PL"/>
              </w:rPr>
              <w:t>2015</w:t>
            </w:r>
          </w:p>
        </w:tc>
        <w:tc>
          <w:tcPr>
            <w:tcW w:w="397" w:type="pct"/>
            <w:tcBorders>
              <w:top w:val="single" w:sz="4" w:space="0" w:color="001D77"/>
              <w:left w:val="single" w:sz="4" w:space="0" w:color="001D77"/>
              <w:bottom w:val="single" w:sz="4" w:space="0" w:color="001D77"/>
              <w:right w:val="single" w:sz="4" w:space="0" w:color="001D77"/>
            </w:tcBorders>
            <w:shd w:val="clear" w:color="auto" w:fill="auto"/>
            <w:vAlign w:val="center"/>
          </w:tcPr>
          <w:p w14:paraId="5796E6CF" w14:textId="77777777" w:rsidR="001C0E95" w:rsidRPr="001C0E95" w:rsidRDefault="001C0E95" w:rsidP="001C0E95">
            <w:pPr>
              <w:spacing w:before="60" w:after="60" w:line="240" w:lineRule="atLeast"/>
              <w:jc w:val="center"/>
              <w:rPr>
                <w:rFonts w:eastAsiaTheme="minorEastAsia" w:cs="Arial"/>
                <w:color w:val="000000"/>
                <w:sz w:val="16"/>
                <w:szCs w:val="16"/>
                <w:lang w:eastAsia="pl-PL"/>
              </w:rPr>
            </w:pPr>
            <w:r w:rsidRPr="001C0E95">
              <w:rPr>
                <w:rFonts w:eastAsiaTheme="minorEastAsia" w:cs="Arial"/>
                <w:color w:val="000000"/>
                <w:sz w:val="16"/>
                <w:szCs w:val="16"/>
                <w:lang w:eastAsia="pl-PL"/>
              </w:rPr>
              <w:t>2016</w:t>
            </w:r>
          </w:p>
        </w:tc>
        <w:tc>
          <w:tcPr>
            <w:tcW w:w="398" w:type="pct"/>
            <w:tcBorders>
              <w:top w:val="single" w:sz="4" w:space="0" w:color="001D77"/>
              <w:left w:val="single" w:sz="4" w:space="0" w:color="001D77"/>
              <w:bottom w:val="single" w:sz="4" w:space="0" w:color="001D77"/>
              <w:right w:val="single" w:sz="4" w:space="0" w:color="001D77"/>
            </w:tcBorders>
            <w:shd w:val="clear" w:color="auto" w:fill="auto"/>
            <w:vAlign w:val="center"/>
          </w:tcPr>
          <w:p w14:paraId="532179B3" w14:textId="77777777" w:rsidR="001C0E95" w:rsidRPr="001C0E95" w:rsidRDefault="001C0E95" w:rsidP="001C0E95">
            <w:pPr>
              <w:spacing w:before="60" w:after="60" w:line="240" w:lineRule="atLeast"/>
              <w:jc w:val="center"/>
              <w:rPr>
                <w:rFonts w:eastAsiaTheme="minorEastAsia" w:cs="Arial"/>
                <w:color w:val="000000"/>
                <w:sz w:val="16"/>
                <w:szCs w:val="16"/>
                <w:lang w:eastAsia="pl-PL"/>
              </w:rPr>
            </w:pPr>
            <w:r w:rsidRPr="001C0E95">
              <w:rPr>
                <w:rFonts w:eastAsiaTheme="minorEastAsia" w:cs="Arial"/>
                <w:color w:val="000000"/>
                <w:sz w:val="16"/>
                <w:szCs w:val="16"/>
                <w:lang w:eastAsia="pl-PL"/>
              </w:rPr>
              <w:t>2017</w:t>
            </w:r>
          </w:p>
        </w:tc>
        <w:tc>
          <w:tcPr>
            <w:tcW w:w="400" w:type="pct"/>
            <w:tcBorders>
              <w:top w:val="single" w:sz="4" w:space="0" w:color="001D77"/>
              <w:left w:val="single" w:sz="4" w:space="0" w:color="001D77"/>
              <w:bottom w:val="single" w:sz="4" w:space="0" w:color="001D77"/>
            </w:tcBorders>
            <w:shd w:val="clear" w:color="auto" w:fill="auto"/>
            <w:vAlign w:val="center"/>
          </w:tcPr>
          <w:p w14:paraId="4646B473" w14:textId="77777777" w:rsidR="001C0E95" w:rsidRPr="001C0E95" w:rsidRDefault="001C0E95" w:rsidP="001C0E95">
            <w:pPr>
              <w:spacing w:before="60" w:after="60" w:line="240" w:lineRule="atLeast"/>
              <w:jc w:val="center"/>
              <w:rPr>
                <w:rFonts w:eastAsiaTheme="minorEastAsia" w:cs="Arial"/>
                <w:color w:val="000000"/>
                <w:sz w:val="16"/>
                <w:szCs w:val="16"/>
                <w:lang w:eastAsia="pl-PL"/>
              </w:rPr>
            </w:pPr>
            <w:r w:rsidRPr="001C0E95">
              <w:rPr>
                <w:rFonts w:eastAsiaTheme="minorEastAsia" w:cs="Arial"/>
                <w:color w:val="000000"/>
                <w:sz w:val="16"/>
                <w:szCs w:val="16"/>
                <w:lang w:eastAsia="pl-PL"/>
              </w:rPr>
              <w:t>2018</w:t>
            </w:r>
          </w:p>
        </w:tc>
        <w:tc>
          <w:tcPr>
            <w:tcW w:w="395" w:type="pct"/>
            <w:tcBorders>
              <w:top w:val="single" w:sz="4" w:space="0" w:color="001D77"/>
              <w:left w:val="single" w:sz="4" w:space="0" w:color="001D77"/>
              <w:bottom w:val="single" w:sz="4" w:space="0" w:color="001D77"/>
            </w:tcBorders>
            <w:vAlign w:val="center"/>
          </w:tcPr>
          <w:p w14:paraId="21857340" w14:textId="77777777" w:rsidR="001C0E95" w:rsidRPr="001C0E95" w:rsidRDefault="001C0E95" w:rsidP="001C0E95">
            <w:pPr>
              <w:spacing w:before="60" w:after="60" w:line="240" w:lineRule="atLeast"/>
              <w:jc w:val="center"/>
              <w:rPr>
                <w:rFonts w:eastAsiaTheme="minorEastAsia" w:cs="Arial"/>
                <w:color w:val="000000"/>
                <w:sz w:val="16"/>
                <w:szCs w:val="16"/>
                <w:lang w:eastAsia="pl-PL"/>
              </w:rPr>
            </w:pPr>
            <w:r w:rsidRPr="001C0E95">
              <w:rPr>
                <w:rFonts w:eastAsiaTheme="minorEastAsia" w:cs="Arial"/>
                <w:color w:val="000000"/>
                <w:sz w:val="16"/>
                <w:szCs w:val="16"/>
                <w:lang w:eastAsia="pl-PL"/>
              </w:rPr>
              <w:t>2019</w:t>
            </w:r>
          </w:p>
        </w:tc>
      </w:tr>
      <w:tr w:rsidR="001C0E95" w:rsidRPr="001C0E95" w14:paraId="5193A853" w14:textId="77777777" w:rsidTr="005032A0">
        <w:trPr>
          <w:trHeight w:val="454"/>
        </w:trPr>
        <w:tc>
          <w:tcPr>
            <w:tcW w:w="1015" w:type="pct"/>
            <w:vMerge/>
            <w:tcBorders>
              <w:top w:val="single" w:sz="4" w:space="0" w:color="001D77"/>
              <w:bottom w:val="single" w:sz="12" w:space="0" w:color="001D77"/>
              <w:right w:val="single" w:sz="4" w:space="0" w:color="001D77"/>
            </w:tcBorders>
            <w:shd w:val="clear" w:color="auto" w:fill="auto"/>
            <w:vAlign w:val="center"/>
            <w:hideMark/>
          </w:tcPr>
          <w:p w14:paraId="67EB8738" w14:textId="77777777" w:rsidR="001C0E95" w:rsidRPr="001C0E95" w:rsidRDefault="001C0E95" w:rsidP="001C0E95">
            <w:pPr>
              <w:spacing w:before="60" w:after="60" w:line="240" w:lineRule="atLeast"/>
              <w:ind w:left="57"/>
              <w:rPr>
                <w:rFonts w:eastAsia="Calibri" w:cs="Arial"/>
                <w:color w:val="000000"/>
                <w:sz w:val="16"/>
                <w:szCs w:val="16"/>
                <w:lang w:eastAsia="pl-PL"/>
              </w:rPr>
            </w:pPr>
          </w:p>
        </w:tc>
        <w:tc>
          <w:tcPr>
            <w:tcW w:w="3985" w:type="pct"/>
            <w:gridSpan w:val="10"/>
            <w:tcBorders>
              <w:top w:val="single" w:sz="4" w:space="0" w:color="001D77"/>
              <w:left w:val="single" w:sz="4" w:space="0" w:color="001D77"/>
              <w:bottom w:val="single" w:sz="12" w:space="0" w:color="001D77"/>
            </w:tcBorders>
            <w:shd w:val="clear" w:color="auto" w:fill="auto"/>
            <w:vAlign w:val="center"/>
          </w:tcPr>
          <w:p w14:paraId="51AF6A73" w14:textId="77777777" w:rsidR="001C0E95" w:rsidRPr="001C0E95" w:rsidRDefault="001C0E95" w:rsidP="001C0E95">
            <w:pPr>
              <w:spacing w:before="60" w:after="60" w:line="240" w:lineRule="atLeast"/>
              <w:jc w:val="center"/>
              <w:rPr>
                <w:rFonts w:eastAsia="Calibri" w:cs="Arial"/>
                <w:color w:val="000000"/>
                <w:sz w:val="16"/>
                <w:szCs w:val="16"/>
                <w:lang w:eastAsia="pl-PL"/>
              </w:rPr>
            </w:pPr>
            <w:r w:rsidRPr="001C0E95">
              <w:rPr>
                <w:rFonts w:eastAsia="Calibri" w:cs="Arial"/>
                <w:color w:val="000000"/>
                <w:sz w:val="16"/>
                <w:szCs w:val="16"/>
                <w:lang w:eastAsia="pl-PL"/>
              </w:rPr>
              <w:t>in PLN</w:t>
            </w:r>
          </w:p>
        </w:tc>
      </w:tr>
      <w:tr w:rsidR="001C0E95" w:rsidRPr="001C0E95" w14:paraId="16F05482" w14:textId="77777777" w:rsidTr="005032A0">
        <w:trPr>
          <w:trHeight w:val="454"/>
        </w:trPr>
        <w:tc>
          <w:tcPr>
            <w:tcW w:w="1015" w:type="pct"/>
            <w:tcBorders>
              <w:top w:val="single" w:sz="12" w:space="0" w:color="001D77"/>
              <w:bottom w:val="single" w:sz="4" w:space="0" w:color="001D77"/>
              <w:right w:val="single" w:sz="4" w:space="0" w:color="001D77"/>
            </w:tcBorders>
            <w:shd w:val="clear" w:color="auto" w:fill="auto"/>
            <w:vAlign w:val="center"/>
            <w:hideMark/>
          </w:tcPr>
          <w:p w14:paraId="28AD5D3B" w14:textId="77777777" w:rsidR="001C0E95" w:rsidRPr="001C0E95" w:rsidRDefault="001C0E95" w:rsidP="001C0E95">
            <w:pPr>
              <w:spacing w:before="60" w:after="60" w:line="240" w:lineRule="atLeast"/>
              <w:ind w:left="170"/>
              <w:rPr>
                <w:rFonts w:eastAsia="Calibri" w:cs="Arial"/>
                <w:color w:val="000000"/>
                <w:sz w:val="16"/>
                <w:szCs w:val="16"/>
                <w:lang w:eastAsia="pl-PL"/>
              </w:rPr>
            </w:pPr>
            <w:r w:rsidRPr="001C0E95">
              <w:rPr>
                <w:rFonts w:eastAsia="Calibri" w:cs="Arial"/>
                <w:color w:val="000000"/>
                <w:sz w:val="16"/>
                <w:szCs w:val="16"/>
                <w:lang w:eastAsia="pl-PL"/>
              </w:rPr>
              <w:t xml:space="preserve">Extreme </w:t>
            </w:r>
            <w:proofErr w:type="spellStart"/>
            <w:r w:rsidRPr="001C0E95">
              <w:rPr>
                <w:rFonts w:eastAsia="Calibri" w:cs="Arial"/>
                <w:color w:val="000000"/>
                <w:sz w:val="16"/>
                <w:szCs w:val="16"/>
                <w:lang w:eastAsia="pl-PL"/>
              </w:rPr>
              <w:t>poverty</w:t>
            </w:r>
            <w:proofErr w:type="spellEnd"/>
            <w:r w:rsidRPr="001C0E95">
              <w:rPr>
                <w:rFonts w:eastAsia="Calibri" w:cs="Arial"/>
                <w:color w:val="000000"/>
                <w:sz w:val="16"/>
                <w:szCs w:val="16"/>
                <w:lang w:eastAsia="pl-PL"/>
              </w:rPr>
              <w:t xml:space="preserve"> </w:t>
            </w:r>
          </w:p>
        </w:tc>
        <w:tc>
          <w:tcPr>
            <w:tcW w:w="406" w:type="pct"/>
            <w:tcBorders>
              <w:top w:val="single" w:sz="12" w:space="0" w:color="001D77"/>
              <w:left w:val="single" w:sz="4" w:space="0" w:color="001D77"/>
              <w:bottom w:val="single" w:sz="4" w:space="0" w:color="001D77"/>
              <w:right w:val="single" w:sz="4" w:space="0" w:color="001D77"/>
            </w:tcBorders>
            <w:shd w:val="clear" w:color="auto" w:fill="auto"/>
            <w:vAlign w:val="center"/>
          </w:tcPr>
          <w:p w14:paraId="1DDE7B8C" w14:textId="77777777" w:rsidR="001C0E95" w:rsidRPr="001C0E95" w:rsidRDefault="001C0E95" w:rsidP="001C0E95">
            <w:pPr>
              <w:spacing w:before="60" w:after="60" w:line="240" w:lineRule="atLeast"/>
              <w:jc w:val="right"/>
              <w:rPr>
                <w:rFonts w:eastAsia="Calibri" w:cs="Arial"/>
                <w:color w:val="000000"/>
                <w:sz w:val="16"/>
                <w:szCs w:val="16"/>
                <w:lang w:eastAsia="pl-PL"/>
              </w:rPr>
            </w:pPr>
            <w:r w:rsidRPr="001C0E95">
              <w:rPr>
                <w:rFonts w:eastAsia="Calibri" w:cs="Arial"/>
                <w:color w:val="000000"/>
                <w:sz w:val="16"/>
                <w:szCs w:val="16"/>
                <w:lang w:eastAsia="pl-PL"/>
              </w:rPr>
              <w:t>545</w:t>
            </w:r>
          </w:p>
        </w:tc>
        <w:tc>
          <w:tcPr>
            <w:tcW w:w="397" w:type="pct"/>
            <w:tcBorders>
              <w:top w:val="single" w:sz="12" w:space="0" w:color="001D77"/>
              <w:left w:val="single" w:sz="4" w:space="0" w:color="001D77"/>
              <w:bottom w:val="single" w:sz="4" w:space="0" w:color="001D77"/>
              <w:right w:val="single" w:sz="4" w:space="0" w:color="001D77"/>
            </w:tcBorders>
            <w:shd w:val="clear" w:color="auto" w:fill="auto"/>
            <w:vAlign w:val="center"/>
          </w:tcPr>
          <w:p w14:paraId="7B367EE6" w14:textId="77777777" w:rsidR="001C0E95" w:rsidRPr="001C0E95" w:rsidRDefault="001C0E95" w:rsidP="001C0E95">
            <w:pPr>
              <w:spacing w:before="60" w:after="60" w:line="240" w:lineRule="atLeast"/>
              <w:jc w:val="right"/>
              <w:rPr>
                <w:rFonts w:eastAsia="Calibri" w:cs="Arial"/>
                <w:color w:val="000000"/>
                <w:sz w:val="16"/>
                <w:szCs w:val="16"/>
                <w:lang w:eastAsia="pl-PL"/>
              </w:rPr>
            </w:pPr>
            <w:r w:rsidRPr="001C0E95">
              <w:rPr>
                <w:rFonts w:eastAsia="Calibri" w:cs="Arial"/>
                <w:color w:val="000000"/>
                <w:sz w:val="16"/>
                <w:szCs w:val="16"/>
                <w:lang w:eastAsia="pl-PL"/>
              </w:rPr>
              <w:t>550</w:t>
            </w:r>
          </w:p>
        </w:tc>
        <w:tc>
          <w:tcPr>
            <w:tcW w:w="398" w:type="pct"/>
            <w:tcBorders>
              <w:top w:val="single" w:sz="12" w:space="0" w:color="001D77"/>
              <w:left w:val="single" w:sz="4" w:space="0" w:color="001D77"/>
              <w:bottom w:val="single" w:sz="4" w:space="0" w:color="001D77"/>
              <w:right w:val="single" w:sz="4" w:space="0" w:color="001D77"/>
            </w:tcBorders>
            <w:shd w:val="clear" w:color="auto" w:fill="auto"/>
            <w:vAlign w:val="center"/>
          </w:tcPr>
          <w:p w14:paraId="74AF43F9" w14:textId="77777777" w:rsidR="001C0E95" w:rsidRPr="001C0E95" w:rsidRDefault="001C0E95" w:rsidP="001C0E95">
            <w:pPr>
              <w:spacing w:before="60" w:after="60" w:line="240" w:lineRule="atLeast"/>
              <w:jc w:val="right"/>
              <w:rPr>
                <w:rFonts w:eastAsia="Calibri" w:cs="Arial"/>
                <w:color w:val="000000"/>
                <w:sz w:val="16"/>
                <w:szCs w:val="16"/>
                <w:lang w:eastAsia="pl-PL"/>
              </w:rPr>
            </w:pPr>
            <w:r w:rsidRPr="001C0E95">
              <w:rPr>
                <w:rFonts w:eastAsia="Calibri" w:cs="Arial"/>
                <w:color w:val="000000"/>
                <w:sz w:val="16"/>
                <w:szCs w:val="16"/>
                <w:lang w:eastAsia="pl-PL"/>
              </w:rPr>
              <w:t>582</w:t>
            </w:r>
          </w:p>
        </w:tc>
        <w:tc>
          <w:tcPr>
            <w:tcW w:w="399" w:type="pct"/>
            <w:tcBorders>
              <w:top w:val="single" w:sz="12" w:space="0" w:color="001D77"/>
              <w:left w:val="single" w:sz="4" w:space="0" w:color="001D77"/>
              <w:bottom w:val="single" w:sz="4" w:space="0" w:color="001D77"/>
              <w:right w:val="single" w:sz="4" w:space="0" w:color="001D77"/>
            </w:tcBorders>
            <w:shd w:val="clear" w:color="auto" w:fill="auto"/>
            <w:vAlign w:val="center"/>
          </w:tcPr>
          <w:p w14:paraId="02CFA291" w14:textId="77777777" w:rsidR="001C0E95" w:rsidRPr="001C0E95" w:rsidRDefault="001C0E95" w:rsidP="001C0E95">
            <w:pPr>
              <w:spacing w:before="60" w:after="60" w:line="240" w:lineRule="atLeast"/>
              <w:jc w:val="right"/>
              <w:rPr>
                <w:rFonts w:eastAsia="Calibri" w:cs="Arial"/>
                <w:color w:val="000000"/>
                <w:sz w:val="16"/>
                <w:szCs w:val="16"/>
                <w:lang w:eastAsia="pl-PL"/>
              </w:rPr>
            </w:pPr>
            <w:r w:rsidRPr="001C0E95">
              <w:rPr>
                <w:rFonts w:eastAsia="Calibri" w:cs="Arial"/>
                <w:color w:val="000000"/>
                <w:sz w:val="16"/>
                <w:szCs w:val="16"/>
                <w:lang w:eastAsia="pl-PL"/>
              </w:rPr>
              <w:t>595</w:t>
            </w:r>
          </w:p>
        </w:tc>
        <w:tc>
          <w:tcPr>
            <w:tcW w:w="398" w:type="pct"/>
            <w:tcBorders>
              <w:top w:val="single" w:sz="12" w:space="0" w:color="auto"/>
              <w:left w:val="single" w:sz="4" w:space="0" w:color="001D77"/>
              <w:bottom w:val="single" w:sz="4" w:space="0" w:color="001D77"/>
              <w:right w:val="single" w:sz="4" w:space="0" w:color="001D77"/>
            </w:tcBorders>
            <w:shd w:val="clear" w:color="auto" w:fill="auto"/>
            <w:vAlign w:val="center"/>
          </w:tcPr>
          <w:p w14:paraId="729C58EF" w14:textId="77777777" w:rsidR="001C0E95" w:rsidRPr="001C0E95" w:rsidRDefault="001C0E95" w:rsidP="001C0E95">
            <w:pPr>
              <w:spacing w:before="60" w:after="60" w:line="240" w:lineRule="atLeast"/>
              <w:jc w:val="right"/>
              <w:rPr>
                <w:rFonts w:eastAsia="Calibri" w:cs="Arial"/>
                <w:color w:val="000000"/>
                <w:sz w:val="16"/>
                <w:szCs w:val="16"/>
                <w:lang w:eastAsia="pl-PL"/>
              </w:rPr>
            </w:pPr>
            <w:r w:rsidRPr="001C0E95">
              <w:rPr>
                <w:rFonts w:eastAsia="Calibri" w:cs="Arial"/>
                <w:color w:val="000000"/>
                <w:sz w:val="16"/>
                <w:szCs w:val="16"/>
                <w:lang w:eastAsia="pl-PL"/>
              </w:rPr>
              <w:t>614</w:t>
            </w:r>
          </w:p>
        </w:tc>
        <w:tc>
          <w:tcPr>
            <w:tcW w:w="397" w:type="pct"/>
            <w:tcBorders>
              <w:top w:val="single" w:sz="12" w:space="0" w:color="001D77"/>
              <w:left w:val="single" w:sz="4" w:space="0" w:color="001D77"/>
              <w:bottom w:val="single" w:sz="4" w:space="0" w:color="001D77"/>
              <w:right w:val="single" w:sz="4" w:space="0" w:color="001D77"/>
            </w:tcBorders>
            <w:shd w:val="clear" w:color="auto" w:fill="auto"/>
            <w:vAlign w:val="center"/>
          </w:tcPr>
          <w:p w14:paraId="730CB4DF" w14:textId="77777777" w:rsidR="001C0E95" w:rsidRPr="001C0E95" w:rsidRDefault="001C0E95" w:rsidP="001C0E95">
            <w:pPr>
              <w:spacing w:before="60" w:after="60" w:line="240" w:lineRule="atLeast"/>
              <w:jc w:val="right"/>
              <w:rPr>
                <w:rFonts w:eastAsia="Calibri" w:cs="Arial"/>
                <w:color w:val="000000"/>
                <w:sz w:val="16"/>
                <w:szCs w:val="16"/>
                <w:lang w:eastAsia="pl-PL"/>
              </w:rPr>
            </w:pPr>
            <w:r w:rsidRPr="001C0E95">
              <w:rPr>
                <w:rFonts w:eastAsia="Calibri" w:cs="Arial"/>
                <w:color w:val="000000"/>
                <w:sz w:val="16"/>
                <w:szCs w:val="16"/>
                <w:lang w:eastAsia="pl-PL"/>
              </w:rPr>
              <w:t>1472</w:t>
            </w:r>
          </w:p>
        </w:tc>
        <w:tc>
          <w:tcPr>
            <w:tcW w:w="397" w:type="pct"/>
            <w:tcBorders>
              <w:top w:val="single" w:sz="12" w:space="0" w:color="001D77"/>
              <w:left w:val="single" w:sz="4" w:space="0" w:color="001D77"/>
              <w:bottom w:val="single" w:sz="4" w:space="0" w:color="001D77"/>
              <w:right w:val="single" w:sz="4" w:space="0" w:color="001D77"/>
            </w:tcBorders>
            <w:shd w:val="clear" w:color="auto" w:fill="auto"/>
            <w:vAlign w:val="center"/>
          </w:tcPr>
          <w:p w14:paraId="4983BD15" w14:textId="77777777" w:rsidR="001C0E95" w:rsidRPr="001C0E95" w:rsidRDefault="001C0E95" w:rsidP="001C0E95">
            <w:pPr>
              <w:spacing w:before="60" w:after="60" w:line="240" w:lineRule="atLeast"/>
              <w:jc w:val="right"/>
              <w:rPr>
                <w:rFonts w:eastAsia="Calibri" w:cs="Arial"/>
                <w:color w:val="000000"/>
                <w:sz w:val="16"/>
                <w:szCs w:val="16"/>
                <w:lang w:eastAsia="pl-PL"/>
              </w:rPr>
            </w:pPr>
            <w:r w:rsidRPr="001C0E95">
              <w:rPr>
                <w:rFonts w:eastAsia="Calibri" w:cs="Arial"/>
                <w:color w:val="000000"/>
                <w:sz w:val="16"/>
                <w:szCs w:val="16"/>
                <w:lang w:eastAsia="pl-PL"/>
              </w:rPr>
              <w:t>1486</w:t>
            </w:r>
          </w:p>
        </w:tc>
        <w:tc>
          <w:tcPr>
            <w:tcW w:w="398" w:type="pct"/>
            <w:tcBorders>
              <w:top w:val="single" w:sz="12" w:space="0" w:color="001D77"/>
              <w:left w:val="single" w:sz="4" w:space="0" w:color="001D77"/>
              <w:bottom w:val="single" w:sz="4" w:space="0" w:color="001D77"/>
            </w:tcBorders>
            <w:shd w:val="clear" w:color="auto" w:fill="auto"/>
            <w:vAlign w:val="center"/>
          </w:tcPr>
          <w:p w14:paraId="5DF9A206" w14:textId="77777777" w:rsidR="001C0E95" w:rsidRPr="001C0E95" w:rsidRDefault="001C0E95" w:rsidP="001C0E95">
            <w:pPr>
              <w:spacing w:before="60" w:after="60" w:line="240" w:lineRule="atLeast"/>
              <w:jc w:val="right"/>
              <w:rPr>
                <w:rFonts w:eastAsia="Calibri" w:cs="Arial"/>
                <w:color w:val="000000"/>
                <w:sz w:val="16"/>
                <w:szCs w:val="16"/>
                <w:lang w:eastAsia="pl-PL"/>
              </w:rPr>
            </w:pPr>
            <w:r w:rsidRPr="001C0E95">
              <w:rPr>
                <w:rFonts w:eastAsia="Calibri" w:cs="Arial"/>
                <w:color w:val="000000"/>
                <w:sz w:val="16"/>
                <w:szCs w:val="16"/>
                <w:lang w:eastAsia="pl-PL"/>
              </w:rPr>
              <w:t>1572</w:t>
            </w:r>
          </w:p>
        </w:tc>
        <w:tc>
          <w:tcPr>
            <w:tcW w:w="400" w:type="pct"/>
            <w:tcBorders>
              <w:top w:val="single" w:sz="12" w:space="0" w:color="auto"/>
              <w:left w:val="single" w:sz="4" w:space="0" w:color="001D77"/>
              <w:bottom w:val="single" w:sz="4" w:space="0" w:color="001D77"/>
            </w:tcBorders>
            <w:shd w:val="clear" w:color="auto" w:fill="auto"/>
            <w:vAlign w:val="center"/>
          </w:tcPr>
          <w:p w14:paraId="4CC9A063" w14:textId="77777777" w:rsidR="001C0E95" w:rsidRPr="001C0E95" w:rsidRDefault="001C0E95" w:rsidP="001C0E95">
            <w:pPr>
              <w:spacing w:before="60" w:after="60" w:line="240" w:lineRule="atLeast"/>
              <w:jc w:val="right"/>
              <w:rPr>
                <w:rFonts w:eastAsia="Calibri" w:cs="Arial"/>
                <w:color w:val="000000"/>
                <w:sz w:val="16"/>
                <w:szCs w:val="16"/>
                <w:lang w:eastAsia="pl-PL"/>
              </w:rPr>
            </w:pPr>
            <w:r w:rsidRPr="001C0E95">
              <w:rPr>
                <w:rFonts w:eastAsia="Calibri" w:cs="Arial"/>
                <w:color w:val="000000"/>
                <w:sz w:val="16"/>
                <w:szCs w:val="16"/>
                <w:lang w:eastAsia="pl-PL"/>
              </w:rPr>
              <w:t>1606</w:t>
            </w:r>
          </w:p>
        </w:tc>
        <w:tc>
          <w:tcPr>
            <w:tcW w:w="395" w:type="pct"/>
            <w:tcBorders>
              <w:top w:val="single" w:sz="12" w:space="0" w:color="auto"/>
              <w:left w:val="single" w:sz="4" w:space="0" w:color="001D77"/>
              <w:bottom w:val="single" w:sz="4" w:space="0" w:color="001D77"/>
            </w:tcBorders>
            <w:shd w:val="clear" w:color="auto" w:fill="auto"/>
            <w:vAlign w:val="center"/>
          </w:tcPr>
          <w:p w14:paraId="6E1AD87E" w14:textId="77777777" w:rsidR="001C0E95" w:rsidRPr="001C0E95" w:rsidRDefault="001C0E95" w:rsidP="001C0E95">
            <w:pPr>
              <w:spacing w:before="60" w:after="60" w:line="240" w:lineRule="atLeast"/>
              <w:jc w:val="right"/>
              <w:rPr>
                <w:rFonts w:eastAsia="Calibri" w:cs="Arial"/>
                <w:color w:val="000000"/>
                <w:sz w:val="16"/>
                <w:szCs w:val="16"/>
                <w:lang w:eastAsia="pl-PL"/>
              </w:rPr>
            </w:pPr>
            <w:r w:rsidRPr="001C0E95">
              <w:rPr>
                <w:rFonts w:eastAsia="Calibri" w:cs="Arial"/>
                <w:color w:val="000000"/>
                <w:sz w:val="16"/>
                <w:szCs w:val="16"/>
                <w:lang w:eastAsia="pl-PL"/>
              </w:rPr>
              <w:t>1658</w:t>
            </w:r>
          </w:p>
        </w:tc>
      </w:tr>
      <w:tr w:rsidR="001C0E95" w:rsidRPr="001C0E95" w14:paraId="057D29AB" w14:textId="77777777" w:rsidTr="005032A0">
        <w:trPr>
          <w:trHeight w:val="454"/>
        </w:trPr>
        <w:tc>
          <w:tcPr>
            <w:tcW w:w="1015" w:type="pct"/>
            <w:tcBorders>
              <w:top w:val="single" w:sz="4" w:space="0" w:color="001D77"/>
              <w:bottom w:val="single" w:sz="4" w:space="0" w:color="001D77"/>
              <w:right w:val="single" w:sz="4" w:space="0" w:color="001D77"/>
            </w:tcBorders>
            <w:shd w:val="clear" w:color="auto" w:fill="auto"/>
            <w:vAlign w:val="center"/>
            <w:hideMark/>
          </w:tcPr>
          <w:p w14:paraId="1CE6C716" w14:textId="77777777" w:rsidR="001C0E95" w:rsidRPr="001C0E95" w:rsidRDefault="001C0E95" w:rsidP="001C0E95">
            <w:pPr>
              <w:spacing w:before="60" w:after="60" w:line="240" w:lineRule="atLeast"/>
              <w:ind w:left="170"/>
              <w:rPr>
                <w:rFonts w:eastAsia="Calibri" w:cs="Arial"/>
                <w:color w:val="000000"/>
                <w:sz w:val="16"/>
                <w:szCs w:val="16"/>
                <w:lang w:eastAsia="pl-PL"/>
              </w:rPr>
            </w:pPr>
            <w:proofErr w:type="spellStart"/>
            <w:r w:rsidRPr="001C0E95">
              <w:rPr>
                <w:rFonts w:eastAsia="Calibri" w:cs="Arial"/>
                <w:color w:val="000000"/>
                <w:sz w:val="16"/>
                <w:szCs w:val="16"/>
                <w:lang w:eastAsia="pl-PL"/>
              </w:rPr>
              <w:t>Relative</w:t>
            </w:r>
            <w:proofErr w:type="spellEnd"/>
            <w:r w:rsidRPr="001C0E95">
              <w:rPr>
                <w:rFonts w:eastAsia="Calibri" w:cs="Arial"/>
                <w:color w:val="000000"/>
                <w:sz w:val="16"/>
                <w:szCs w:val="16"/>
                <w:lang w:eastAsia="pl-PL"/>
              </w:rPr>
              <w:t xml:space="preserve"> </w:t>
            </w:r>
            <w:proofErr w:type="spellStart"/>
            <w:r w:rsidRPr="001C0E95">
              <w:rPr>
                <w:rFonts w:eastAsia="Calibri" w:cs="Arial"/>
                <w:color w:val="000000"/>
                <w:sz w:val="16"/>
                <w:szCs w:val="16"/>
                <w:lang w:eastAsia="pl-PL"/>
              </w:rPr>
              <w:t>poverty</w:t>
            </w:r>
            <w:proofErr w:type="spellEnd"/>
            <w:r w:rsidRPr="001C0E95">
              <w:rPr>
                <w:rFonts w:eastAsia="Calibri" w:cs="Arial"/>
                <w:color w:val="000000"/>
                <w:sz w:val="16"/>
                <w:szCs w:val="16"/>
                <w:lang w:eastAsia="pl-PL"/>
              </w:rPr>
              <w:t xml:space="preserve"> </w:t>
            </w:r>
          </w:p>
        </w:tc>
        <w:tc>
          <w:tcPr>
            <w:tcW w:w="406" w:type="pct"/>
            <w:tcBorders>
              <w:top w:val="single" w:sz="4" w:space="0" w:color="001D77"/>
              <w:left w:val="single" w:sz="4" w:space="0" w:color="001D77"/>
              <w:bottom w:val="single" w:sz="4" w:space="0" w:color="001D77"/>
              <w:right w:val="single" w:sz="4" w:space="0" w:color="001D77"/>
            </w:tcBorders>
            <w:shd w:val="clear" w:color="auto" w:fill="auto"/>
            <w:vAlign w:val="center"/>
          </w:tcPr>
          <w:p w14:paraId="5C7051E2" w14:textId="77777777" w:rsidR="001C0E95" w:rsidRPr="001C0E95" w:rsidRDefault="001C0E95" w:rsidP="001C0E95">
            <w:pPr>
              <w:spacing w:before="60" w:after="60" w:line="240" w:lineRule="atLeast"/>
              <w:jc w:val="right"/>
              <w:rPr>
                <w:rFonts w:eastAsia="Calibri" w:cs="Arial"/>
                <w:color w:val="000000"/>
                <w:sz w:val="16"/>
                <w:szCs w:val="16"/>
                <w:lang w:eastAsia="pl-PL"/>
              </w:rPr>
            </w:pPr>
            <w:r w:rsidRPr="001C0E95">
              <w:rPr>
                <w:rFonts w:eastAsia="Calibri" w:cs="Arial"/>
                <w:color w:val="000000"/>
                <w:sz w:val="16"/>
                <w:szCs w:val="16"/>
                <w:lang w:eastAsia="pl-PL"/>
              </w:rPr>
              <w:t>734</w:t>
            </w:r>
          </w:p>
        </w:tc>
        <w:tc>
          <w:tcPr>
            <w:tcW w:w="397" w:type="pct"/>
            <w:tcBorders>
              <w:top w:val="single" w:sz="4" w:space="0" w:color="001D77"/>
              <w:left w:val="single" w:sz="4" w:space="0" w:color="001D77"/>
              <w:bottom w:val="single" w:sz="4" w:space="0" w:color="001D77"/>
              <w:right w:val="single" w:sz="4" w:space="0" w:color="001D77"/>
            </w:tcBorders>
            <w:shd w:val="clear" w:color="auto" w:fill="auto"/>
            <w:vAlign w:val="center"/>
          </w:tcPr>
          <w:p w14:paraId="5C024276" w14:textId="77777777" w:rsidR="001C0E95" w:rsidRPr="001C0E95" w:rsidRDefault="001C0E95" w:rsidP="001C0E95">
            <w:pPr>
              <w:spacing w:before="60" w:after="60" w:line="240" w:lineRule="atLeast"/>
              <w:jc w:val="right"/>
              <w:rPr>
                <w:rFonts w:eastAsia="Calibri" w:cs="Arial"/>
                <w:color w:val="000000"/>
                <w:sz w:val="16"/>
                <w:szCs w:val="16"/>
                <w:lang w:eastAsia="pl-PL"/>
              </w:rPr>
            </w:pPr>
            <w:r w:rsidRPr="001C0E95">
              <w:rPr>
                <w:rFonts w:eastAsia="Calibri" w:cs="Arial"/>
                <w:color w:val="000000"/>
                <w:sz w:val="16"/>
                <w:szCs w:val="16"/>
                <w:lang w:eastAsia="pl-PL"/>
              </w:rPr>
              <w:t>770</w:t>
            </w:r>
          </w:p>
        </w:tc>
        <w:tc>
          <w:tcPr>
            <w:tcW w:w="398" w:type="pct"/>
            <w:tcBorders>
              <w:top w:val="single" w:sz="4" w:space="0" w:color="001D77"/>
              <w:left w:val="single" w:sz="4" w:space="0" w:color="001D77"/>
              <w:bottom w:val="single" w:sz="4" w:space="0" w:color="001D77"/>
              <w:right w:val="single" w:sz="4" w:space="0" w:color="001D77"/>
            </w:tcBorders>
            <w:shd w:val="clear" w:color="auto" w:fill="auto"/>
            <w:vAlign w:val="center"/>
          </w:tcPr>
          <w:p w14:paraId="5DBC9044" w14:textId="77777777" w:rsidR="001C0E95" w:rsidRPr="001C0E95" w:rsidRDefault="001C0E95" w:rsidP="001C0E95">
            <w:pPr>
              <w:spacing w:before="60" w:after="60" w:line="240" w:lineRule="atLeast"/>
              <w:jc w:val="right"/>
              <w:rPr>
                <w:rFonts w:eastAsia="Calibri" w:cs="Arial"/>
                <w:color w:val="000000"/>
                <w:sz w:val="16"/>
                <w:szCs w:val="16"/>
                <w:lang w:eastAsia="pl-PL"/>
              </w:rPr>
            </w:pPr>
            <w:r w:rsidRPr="001C0E95">
              <w:rPr>
                <w:rFonts w:eastAsia="Calibri" w:cs="Arial"/>
                <w:color w:val="000000"/>
                <w:sz w:val="16"/>
                <w:szCs w:val="16"/>
                <w:lang w:eastAsia="pl-PL"/>
              </w:rPr>
              <w:t>799</w:t>
            </w:r>
          </w:p>
        </w:tc>
        <w:tc>
          <w:tcPr>
            <w:tcW w:w="399" w:type="pct"/>
            <w:tcBorders>
              <w:top w:val="single" w:sz="4" w:space="0" w:color="001D77"/>
              <w:left w:val="single" w:sz="4" w:space="0" w:color="001D77"/>
              <w:bottom w:val="single" w:sz="4" w:space="0" w:color="001D77"/>
              <w:right w:val="single" w:sz="4" w:space="0" w:color="001D77"/>
            </w:tcBorders>
            <w:shd w:val="clear" w:color="auto" w:fill="auto"/>
            <w:vAlign w:val="center"/>
          </w:tcPr>
          <w:p w14:paraId="25F77405" w14:textId="77777777" w:rsidR="001C0E95" w:rsidRPr="001C0E95" w:rsidRDefault="001C0E95" w:rsidP="001C0E95">
            <w:pPr>
              <w:spacing w:before="60" w:after="60" w:line="240" w:lineRule="atLeast"/>
              <w:jc w:val="right"/>
              <w:rPr>
                <w:rFonts w:eastAsia="Calibri" w:cs="Arial"/>
                <w:color w:val="000000"/>
                <w:sz w:val="16"/>
                <w:szCs w:val="16"/>
                <w:lang w:eastAsia="pl-PL"/>
              </w:rPr>
            </w:pPr>
            <w:r w:rsidRPr="001C0E95">
              <w:rPr>
                <w:rFonts w:eastAsia="Calibri" w:cs="Arial"/>
                <w:color w:val="000000"/>
                <w:sz w:val="16"/>
                <w:szCs w:val="16"/>
                <w:lang w:eastAsia="pl-PL"/>
              </w:rPr>
              <w:t>810</w:t>
            </w:r>
          </w:p>
        </w:tc>
        <w:tc>
          <w:tcPr>
            <w:tcW w:w="398" w:type="pct"/>
            <w:tcBorders>
              <w:top w:val="single" w:sz="4" w:space="0" w:color="001D77"/>
              <w:left w:val="single" w:sz="4" w:space="0" w:color="001D77"/>
              <w:bottom w:val="single" w:sz="4" w:space="0" w:color="001D77"/>
              <w:right w:val="single" w:sz="4" w:space="0" w:color="001D77"/>
            </w:tcBorders>
            <w:shd w:val="clear" w:color="auto" w:fill="auto"/>
            <w:vAlign w:val="center"/>
          </w:tcPr>
          <w:p w14:paraId="212AAC33" w14:textId="77777777" w:rsidR="001C0E95" w:rsidRPr="001C0E95" w:rsidRDefault="001C0E95" w:rsidP="001C0E95">
            <w:pPr>
              <w:spacing w:before="60" w:after="60" w:line="240" w:lineRule="atLeast"/>
              <w:jc w:val="right"/>
              <w:rPr>
                <w:rFonts w:eastAsia="Calibri" w:cs="Arial"/>
                <w:color w:val="000000"/>
                <w:sz w:val="16"/>
                <w:szCs w:val="16"/>
                <w:lang w:eastAsia="pl-PL"/>
              </w:rPr>
            </w:pPr>
            <w:r w:rsidRPr="001C0E95">
              <w:rPr>
                <w:rFonts w:eastAsia="Calibri" w:cs="Arial"/>
                <w:color w:val="000000"/>
                <w:sz w:val="16"/>
                <w:szCs w:val="16"/>
                <w:lang w:eastAsia="pl-PL"/>
              </w:rPr>
              <w:t>858</w:t>
            </w:r>
          </w:p>
        </w:tc>
        <w:tc>
          <w:tcPr>
            <w:tcW w:w="397" w:type="pct"/>
            <w:tcBorders>
              <w:top w:val="single" w:sz="4" w:space="0" w:color="001D77"/>
              <w:left w:val="single" w:sz="4" w:space="0" w:color="001D77"/>
              <w:bottom w:val="single" w:sz="4" w:space="0" w:color="001D77"/>
              <w:right w:val="single" w:sz="4" w:space="0" w:color="001D77"/>
            </w:tcBorders>
            <w:shd w:val="clear" w:color="auto" w:fill="auto"/>
            <w:vAlign w:val="center"/>
          </w:tcPr>
          <w:p w14:paraId="7D1CE5D5" w14:textId="77777777" w:rsidR="001C0E95" w:rsidRPr="001C0E95" w:rsidRDefault="001C0E95" w:rsidP="001C0E95">
            <w:pPr>
              <w:spacing w:before="60" w:after="60" w:line="240" w:lineRule="atLeast"/>
              <w:jc w:val="right"/>
              <w:rPr>
                <w:rFonts w:eastAsia="Calibri" w:cs="Arial"/>
                <w:color w:val="000000"/>
                <w:sz w:val="16"/>
                <w:szCs w:val="16"/>
                <w:lang w:eastAsia="pl-PL"/>
              </w:rPr>
            </w:pPr>
            <w:r w:rsidRPr="001C0E95">
              <w:rPr>
                <w:rFonts w:eastAsia="Calibri" w:cs="Arial"/>
                <w:color w:val="000000"/>
                <w:sz w:val="16"/>
                <w:szCs w:val="16"/>
                <w:lang w:eastAsia="pl-PL"/>
              </w:rPr>
              <w:t>1982</w:t>
            </w:r>
          </w:p>
        </w:tc>
        <w:tc>
          <w:tcPr>
            <w:tcW w:w="397" w:type="pct"/>
            <w:tcBorders>
              <w:top w:val="single" w:sz="4" w:space="0" w:color="001D77"/>
              <w:left w:val="single" w:sz="4" w:space="0" w:color="001D77"/>
              <w:bottom w:val="single" w:sz="4" w:space="0" w:color="001D77"/>
              <w:right w:val="single" w:sz="4" w:space="0" w:color="001D77"/>
            </w:tcBorders>
            <w:shd w:val="clear" w:color="auto" w:fill="auto"/>
            <w:vAlign w:val="center"/>
          </w:tcPr>
          <w:p w14:paraId="58AA1D41" w14:textId="77777777" w:rsidR="001C0E95" w:rsidRPr="001C0E95" w:rsidRDefault="001C0E95" w:rsidP="001C0E95">
            <w:pPr>
              <w:spacing w:before="60" w:after="60" w:line="240" w:lineRule="atLeast"/>
              <w:jc w:val="right"/>
              <w:rPr>
                <w:rFonts w:eastAsia="Calibri" w:cs="Arial"/>
                <w:color w:val="000000"/>
                <w:sz w:val="16"/>
                <w:szCs w:val="16"/>
                <w:lang w:eastAsia="pl-PL"/>
              </w:rPr>
            </w:pPr>
            <w:r w:rsidRPr="001C0E95">
              <w:rPr>
                <w:rFonts w:eastAsia="Calibri" w:cs="Arial"/>
                <w:color w:val="000000"/>
                <w:sz w:val="16"/>
                <w:szCs w:val="16"/>
                <w:lang w:eastAsia="pl-PL"/>
              </w:rPr>
              <w:t>2080</w:t>
            </w:r>
          </w:p>
        </w:tc>
        <w:tc>
          <w:tcPr>
            <w:tcW w:w="398" w:type="pct"/>
            <w:tcBorders>
              <w:top w:val="single" w:sz="4" w:space="0" w:color="001D77"/>
              <w:left w:val="single" w:sz="4" w:space="0" w:color="001D77"/>
              <w:bottom w:val="single" w:sz="4" w:space="0" w:color="001D77"/>
            </w:tcBorders>
            <w:shd w:val="clear" w:color="auto" w:fill="auto"/>
            <w:vAlign w:val="center"/>
          </w:tcPr>
          <w:p w14:paraId="113130A4" w14:textId="77777777" w:rsidR="001C0E95" w:rsidRPr="001C0E95" w:rsidRDefault="001C0E95" w:rsidP="001C0E95">
            <w:pPr>
              <w:spacing w:before="60" w:after="60" w:line="240" w:lineRule="atLeast"/>
              <w:jc w:val="right"/>
              <w:rPr>
                <w:rFonts w:eastAsia="Calibri" w:cs="Arial"/>
                <w:color w:val="000000"/>
                <w:sz w:val="16"/>
                <w:szCs w:val="16"/>
                <w:lang w:eastAsia="pl-PL"/>
              </w:rPr>
            </w:pPr>
            <w:r w:rsidRPr="001C0E95">
              <w:rPr>
                <w:rFonts w:eastAsia="Calibri" w:cs="Arial"/>
                <w:color w:val="000000"/>
                <w:sz w:val="16"/>
                <w:szCs w:val="16"/>
                <w:lang w:eastAsia="pl-PL"/>
              </w:rPr>
              <w:t>2157</w:t>
            </w:r>
          </w:p>
        </w:tc>
        <w:tc>
          <w:tcPr>
            <w:tcW w:w="400" w:type="pct"/>
            <w:tcBorders>
              <w:top w:val="single" w:sz="4" w:space="0" w:color="001D77"/>
              <w:left w:val="single" w:sz="4" w:space="0" w:color="001D77"/>
              <w:bottom w:val="single" w:sz="4" w:space="0" w:color="001D77"/>
            </w:tcBorders>
            <w:shd w:val="clear" w:color="auto" w:fill="auto"/>
            <w:vAlign w:val="center"/>
          </w:tcPr>
          <w:p w14:paraId="2723B7E1" w14:textId="77777777" w:rsidR="001C0E95" w:rsidRPr="001C0E95" w:rsidRDefault="001C0E95" w:rsidP="001C0E95">
            <w:pPr>
              <w:spacing w:before="60" w:after="60" w:line="240" w:lineRule="atLeast"/>
              <w:jc w:val="right"/>
              <w:rPr>
                <w:rFonts w:eastAsia="Calibri" w:cs="Arial"/>
                <w:color w:val="000000"/>
                <w:sz w:val="16"/>
                <w:szCs w:val="16"/>
                <w:lang w:eastAsia="pl-PL"/>
              </w:rPr>
            </w:pPr>
            <w:r w:rsidRPr="001C0E95">
              <w:rPr>
                <w:rFonts w:eastAsia="Calibri" w:cs="Arial"/>
                <w:color w:val="000000"/>
                <w:sz w:val="16"/>
                <w:szCs w:val="16"/>
                <w:lang w:eastAsia="pl-PL"/>
              </w:rPr>
              <w:t>2187</w:t>
            </w:r>
          </w:p>
        </w:tc>
        <w:tc>
          <w:tcPr>
            <w:tcW w:w="395" w:type="pct"/>
            <w:tcBorders>
              <w:top w:val="single" w:sz="4" w:space="0" w:color="001D77"/>
              <w:left w:val="single" w:sz="4" w:space="0" w:color="001D77"/>
              <w:bottom w:val="single" w:sz="4" w:space="0" w:color="001D77"/>
            </w:tcBorders>
            <w:shd w:val="clear" w:color="auto" w:fill="auto"/>
            <w:vAlign w:val="center"/>
          </w:tcPr>
          <w:p w14:paraId="20520456" w14:textId="77777777" w:rsidR="001C0E95" w:rsidRPr="001C0E95" w:rsidRDefault="001C0E95" w:rsidP="001C0E95">
            <w:pPr>
              <w:spacing w:before="60" w:after="60" w:line="240" w:lineRule="atLeast"/>
              <w:jc w:val="right"/>
              <w:rPr>
                <w:rFonts w:eastAsia="Calibri" w:cs="Arial"/>
                <w:color w:val="000000"/>
                <w:sz w:val="16"/>
                <w:szCs w:val="16"/>
                <w:lang w:eastAsia="pl-PL"/>
              </w:rPr>
            </w:pPr>
            <w:r w:rsidRPr="001C0E95">
              <w:rPr>
                <w:rFonts w:eastAsia="Calibri" w:cs="Arial"/>
                <w:color w:val="000000"/>
                <w:sz w:val="16"/>
                <w:szCs w:val="16"/>
                <w:lang w:eastAsia="pl-PL"/>
              </w:rPr>
              <w:t>2317</w:t>
            </w:r>
          </w:p>
        </w:tc>
      </w:tr>
      <w:tr w:rsidR="001C0E95" w:rsidRPr="001C0E95" w14:paraId="66A49D45" w14:textId="77777777" w:rsidTr="005032A0">
        <w:trPr>
          <w:trHeight w:val="454"/>
        </w:trPr>
        <w:tc>
          <w:tcPr>
            <w:tcW w:w="1015" w:type="pct"/>
            <w:tcBorders>
              <w:top w:val="single" w:sz="4" w:space="0" w:color="001D77"/>
              <w:bottom w:val="nil"/>
              <w:right w:val="single" w:sz="4" w:space="0" w:color="001D77"/>
            </w:tcBorders>
            <w:shd w:val="clear" w:color="auto" w:fill="auto"/>
            <w:vAlign w:val="center"/>
            <w:hideMark/>
          </w:tcPr>
          <w:p w14:paraId="2DB4311B" w14:textId="77777777" w:rsidR="001C0E95" w:rsidRPr="001C0E95" w:rsidRDefault="001C0E95" w:rsidP="001C0E95">
            <w:pPr>
              <w:spacing w:before="60" w:after="60" w:line="240" w:lineRule="atLeast"/>
              <w:ind w:left="170"/>
              <w:rPr>
                <w:rFonts w:eastAsia="Calibri" w:cs="Arial"/>
                <w:color w:val="000000"/>
                <w:sz w:val="16"/>
                <w:szCs w:val="16"/>
                <w:lang w:eastAsia="pl-PL"/>
              </w:rPr>
            </w:pPr>
            <w:r w:rsidRPr="001C0E95">
              <w:rPr>
                <w:rFonts w:eastAsia="Calibri" w:cs="Arial"/>
                <w:color w:val="000000"/>
                <w:sz w:val="16"/>
                <w:szCs w:val="16"/>
                <w:lang w:eastAsia="pl-PL"/>
              </w:rPr>
              <w:t>„</w:t>
            </w:r>
            <w:proofErr w:type="spellStart"/>
            <w:r w:rsidRPr="001C0E95">
              <w:rPr>
                <w:rFonts w:eastAsia="Calibri" w:cs="Arial"/>
                <w:color w:val="000000"/>
                <w:sz w:val="16"/>
                <w:szCs w:val="16"/>
                <w:lang w:eastAsia="pl-PL"/>
              </w:rPr>
              <w:t>Legal</w:t>
            </w:r>
            <w:proofErr w:type="spellEnd"/>
            <w:r w:rsidRPr="001C0E95">
              <w:rPr>
                <w:rFonts w:eastAsia="Calibri" w:cs="Arial"/>
                <w:color w:val="000000"/>
                <w:sz w:val="16"/>
                <w:szCs w:val="16"/>
                <w:lang w:eastAsia="pl-PL"/>
              </w:rPr>
              <w:t xml:space="preserve">” </w:t>
            </w:r>
            <w:proofErr w:type="spellStart"/>
            <w:r w:rsidRPr="001C0E95">
              <w:rPr>
                <w:rFonts w:eastAsia="Calibri" w:cs="Arial"/>
                <w:color w:val="000000"/>
                <w:sz w:val="16"/>
                <w:szCs w:val="16"/>
                <w:lang w:eastAsia="pl-PL"/>
              </w:rPr>
              <w:t>poverty</w:t>
            </w:r>
            <w:proofErr w:type="spellEnd"/>
            <w:r w:rsidRPr="001C0E95">
              <w:rPr>
                <w:rFonts w:eastAsia="Calibri" w:cs="Arial"/>
                <w:color w:val="000000"/>
                <w:sz w:val="16"/>
                <w:szCs w:val="16"/>
                <w:lang w:eastAsia="pl-PL"/>
              </w:rPr>
              <w:t xml:space="preserve"> </w:t>
            </w:r>
          </w:p>
        </w:tc>
        <w:tc>
          <w:tcPr>
            <w:tcW w:w="406" w:type="pct"/>
            <w:tcBorders>
              <w:top w:val="single" w:sz="4" w:space="0" w:color="001D77"/>
              <w:left w:val="single" w:sz="4" w:space="0" w:color="001D77"/>
              <w:bottom w:val="nil"/>
              <w:right w:val="single" w:sz="4" w:space="0" w:color="001D77"/>
            </w:tcBorders>
            <w:shd w:val="clear" w:color="auto" w:fill="auto"/>
            <w:vAlign w:val="center"/>
          </w:tcPr>
          <w:p w14:paraId="74CCA42F" w14:textId="77777777" w:rsidR="001C0E95" w:rsidRPr="001C0E95" w:rsidRDefault="001C0E95" w:rsidP="001C0E95">
            <w:pPr>
              <w:spacing w:before="60" w:after="60" w:line="240" w:lineRule="atLeast"/>
              <w:jc w:val="right"/>
              <w:rPr>
                <w:rFonts w:eastAsia="Calibri" w:cs="Arial"/>
                <w:color w:val="000000"/>
                <w:sz w:val="16"/>
                <w:szCs w:val="16"/>
                <w:lang w:eastAsia="pl-PL"/>
              </w:rPr>
            </w:pPr>
            <w:r w:rsidRPr="001C0E95">
              <w:rPr>
                <w:rFonts w:eastAsia="Calibri" w:cs="Arial"/>
                <w:color w:val="000000"/>
                <w:sz w:val="16"/>
                <w:szCs w:val="16"/>
                <w:lang w:eastAsia="pl-PL"/>
              </w:rPr>
              <w:t>634</w:t>
            </w:r>
          </w:p>
        </w:tc>
        <w:tc>
          <w:tcPr>
            <w:tcW w:w="397" w:type="pct"/>
            <w:tcBorders>
              <w:top w:val="single" w:sz="4" w:space="0" w:color="001D77"/>
              <w:left w:val="single" w:sz="4" w:space="0" w:color="001D77"/>
              <w:bottom w:val="nil"/>
              <w:right w:val="single" w:sz="4" w:space="0" w:color="001D77"/>
            </w:tcBorders>
            <w:shd w:val="clear" w:color="auto" w:fill="auto"/>
            <w:vAlign w:val="center"/>
          </w:tcPr>
          <w:p w14:paraId="69C394EF" w14:textId="77777777" w:rsidR="001C0E95" w:rsidRPr="001C0E95" w:rsidRDefault="001C0E95" w:rsidP="001C0E95">
            <w:pPr>
              <w:spacing w:before="60" w:after="60" w:line="240" w:lineRule="atLeast"/>
              <w:jc w:val="right"/>
              <w:rPr>
                <w:rFonts w:eastAsia="Calibri" w:cs="Arial"/>
                <w:color w:val="000000"/>
                <w:sz w:val="16"/>
                <w:szCs w:val="16"/>
                <w:lang w:eastAsia="pl-PL"/>
              </w:rPr>
            </w:pPr>
            <w:r w:rsidRPr="001C0E95">
              <w:rPr>
                <w:rFonts w:eastAsia="Calibri" w:cs="Arial"/>
                <w:color w:val="000000"/>
                <w:sz w:val="16"/>
                <w:szCs w:val="16"/>
                <w:lang w:eastAsia="pl-PL"/>
              </w:rPr>
              <w:t>634</w:t>
            </w:r>
          </w:p>
        </w:tc>
        <w:tc>
          <w:tcPr>
            <w:tcW w:w="398" w:type="pct"/>
            <w:tcBorders>
              <w:top w:val="single" w:sz="4" w:space="0" w:color="001D77"/>
              <w:left w:val="single" w:sz="4" w:space="0" w:color="001D77"/>
              <w:bottom w:val="nil"/>
              <w:right w:val="single" w:sz="4" w:space="0" w:color="001D77"/>
            </w:tcBorders>
            <w:shd w:val="clear" w:color="auto" w:fill="auto"/>
            <w:vAlign w:val="center"/>
          </w:tcPr>
          <w:p w14:paraId="0F358A64" w14:textId="77777777" w:rsidR="001C0E95" w:rsidRPr="001C0E95" w:rsidRDefault="001C0E95" w:rsidP="001C0E95">
            <w:pPr>
              <w:spacing w:before="60" w:after="60" w:line="240" w:lineRule="atLeast"/>
              <w:jc w:val="right"/>
              <w:rPr>
                <w:rFonts w:eastAsia="Calibri" w:cs="Arial"/>
                <w:color w:val="000000"/>
                <w:sz w:val="16"/>
                <w:szCs w:val="16"/>
                <w:lang w:eastAsia="pl-PL"/>
              </w:rPr>
            </w:pPr>
            <w:r w:rsidRPr="001C0E95">
              <w:rPr>
                <w:rFonts w:eastAsia="Calibri" w:cs="Arial"/>
                <w:color w:val="000000"/>
                <w:sz w:val="16"/>
                <w:szCs w:val="16"/>
                <w:lang w:eastAsia="pl-PL"/>
              </w:rPr>
              <w:t>634</w:t>
            </w:r>
          </w:p>
        </w:tc>
        <w:tc>
          <w:tcPr>
            <w:tcW w:w="399" w:type="pct"/>
            <w:tcBorders>
              <w:top w:val="single" w:sz="4" w:space="0" w:color="001D77"/>
              <w:left w:val="single" w:sz="4" w:space="0" w:color="001D77"/>
              <w:bottom w:val="nil"/>
              <w:right w:val="single" w:sz="4" w:space="0" w:color="001D77"/>
            </w:tcBorders>
            <w:shd w:val="clear" w:color="auto" w:fill="auto"/>
            <w:vAlign w:val="center"/>
          </w:tcPr>
          <w:p w14:paraId="140AD195" w14:textId="77777777" w:rsidR="001C0E95" w:rsidRPr="001C0E95" w:rsidRDefault="001C0E95" w:rsidP="001C0E95">
            <w:pPr>
              <w:spacing w:before="60" w:after="60" w:line="240" w:lineRule="atLeast"/>
              <w:jc w:val="right"/>
              <w:rPr>
                <w:rFonts w:eastAsia="Calibri" w:cs="Arial"/>
                <w:color w:val="000000"/>
                <w:sz w:val="16"/>
                <w:szCs w:val="16"/>
                <w:lang w:eastAsia="pl-PL"/>
              </w:rPr>
            </w:pPr>
            <w:r w:rsidRPr="001C0E95">
              <w:rPr>
                <w:rFonts w:eastAsia="Calibri" w:cs="Arial"/>
                <w:color w:val="000000"/>
                <w:sz w:val="16"/>
                <w:szCs w:val="16"/>
                <w:lang w:eastAsia="pl-PL"/>
              </w:rPr>
              <w:t>701</w:t>
            </w:r>
          </w:p>
        </w:tc>
        <w:tc>
          <w:tcPr>
            <w:tcW w:w="398" w:type="pct"/>
            <w:tcBorders>
              <w:top w:val="single" w:sz="4" w:space="0" w:color="001D77"/>
              <w:left w:val="single" w:sz="4" w:space="0" w:color="001D77"/>
              <w:bottom w:val="nil"/>
              <w:right w:val="single" w:sz="4" w:space="0" w:color="001D77"/>
            </w:tcBorders>
            <w:shd w:val="clear" w:color="auto" w:fill="auto"/>
            <w:vAlign w:val="center"/>
          </w:tcPr>
          <w:p w14:paraId="7E16FDE4" w14:textId="77777777" w:rsidR="001C0E95" w:rsidRPr="001C0E95" w:rsidRDefault="001C0E95" w:rsidP="001C0E95">
            <w:pPr>
              <w:spacing w:before="60" w:after="60" w:line="240" w:lineRule="atLeast"/>
              <w:jc w:val="right"/>
              <w:rPr>
                <w:rFonts w:eastAsia="Calibri" w:cs="Arial"/>
                <w:color w:val="000000"/>
                <w:sz w:val="16"/>
                <w:szCs w:val="16"/>
                <w:lang w:eastAsia="pl-PL"/>
              </w:rPr>
            </w:pPr>
            <w:r w:rsidRPr="001C0E95">
              <w:rPr>
                <w:rFonts w:eastAsia="Calibri" w:cs="Arial"/>
                <w:color w:val="000000"/>
                <w:sz w:val="16"/>
                <w:szCs w:val="16"/>
                <w:lang w:eastAsia="pl-PL"/>
              </w:rPr>
              <w:t>701</w:t>
            </w:r>
          </w:p>
        </w:tc>
        <w:tc>
          <w:tcPr>
            <w:tcW w:w="397" w:type="pct"/>
            <w:tcBorders>
              <w:top w:val="single" w:sz="4" w:space="0" w:color="001D77"/>
              <w:left w:val="single" w:sz="4" w:space="0" w:color="001D77"/>
              <w:bottom w:val="nil"/>
              <w:right w:val="single" w:sz="4" w:space="0" w:color="001D77"/>
            </w:tcBorders>
            <w:shd w:val="clear" w:color="auto" w:fill="auto"/>
            <w:vAlign w:val="center"/>
          </w:tcPr>
          <w:p w14:paraId="53171FF1" w14:textId="77777777" w:rsidR="001C0E95" w:rsidRPr="001C0E95" w:rsidRDefault="001C0E95" w:rsidP="001C0E95">
            <w:pPr>
              <w:spacing w:before="60" w:after="60" w:line="240" w:lineRule="atLeast"/>
              <w:jc w:val="right"/>
              <w:rPr>
                <w:rFonts w:eastAsia="Calibri" w:cs="Arial"/>
                <w:color w:val="000000"/>
                <w:sz w:val="16"/>
                <w:szCs w:val="16"/>
                <w:lang w:eastAsia="pl-PL"/>
              </w:rPr>
            </w:pPr>
            <w:r w:rsidRPr="001C0E95">
              <w:rPr>
                <w:rFonts w:eastAsia="Calibri" w:cs="Arial"/>
                <w:color w:val="000000"/>
                <w:sz w:val="16"/>
                <w:szCs w:val="16"/>
                <w:lang w:eastAsia="pl-PL"/>
              </w:rPr>
              <w:t>2056</w:t>
            </w:r>
          </w:p>
        </w:tc>
        <w:tc>
          <w:tcPr>
            <w:tcW w:w="397" w:type="pct"/>
            <w:tcBorders>
              <w:top w:val="single" w:sz="4" w:space="0" w:color="001D77"/>
              <w:left w:val="single" w:sz="4" w:space="0" w:color="001D77"/>
              <w:bottom w:val="nil"/>
              <w:right w:val="single" w:sz="4" w:space="0" w:color="001D77"/>
            </w:tcBorders>
            <w:shd w:val="clear" w:color="auto" w:fill="auto"/>
            <w:vAlign w:val="center"/>
          </w:tcPr>
          <w:p w14:paraId="3931542A" w14:textId="77777777" w:rsidR="001C0E95" w:rsidRPr="001C0E95" w:rsidRDefault="001C0E95" w:rsidP="001C0E95">
            <w:pPr>
              <w:spacing w:before="60" w:after="60" w:line="240" w:lineRule="atLeast"/>
              <w:jc w:val="right"/>
              <w:rPr>
                <w:rFonts w:eastAsia="Calibri" w:cs="Arial"/>
                <w:color w:val="000000"/>
                <w:sz w:val="16"/>
                <w:szCs w:val="16"/>
                <w:lang w:eastAsia="pl-PL"/>
              </w:rPr>
            </w:pPr>
            <w:r w:rsidRPr="001C0E95">
              <w:rPr>
                <w:rFonts w:eastAsia="Calibri" w:cs="Arial"/>
                <w:color w:val="000000"/>
                <w:sz w:val="16"/>
                <w:szCs w:val="16"/>
                <w:lang w:eastAsia="pl-PL"/>
              </w:rPr>
              <w:t>2056</w:t>
            </w:r>
          </w:p>
        </w:tc>
        <w:tc>
          <w:tcPr>
            <w:tcW w:w="398" w:type="pct"/>
            <w:tcBorders>
              <w:top w:val="single" w:sz="4" w:space="0" w:color="001D77"/>
              <w:left w:val="single" w:sz="4" w:space="0" w:color="001D77"/>
              <w:bottom w:val="nil"/>
            </w:tcBorders>
            <w:shd w:val="clear" w:color="auto" w:fill="auto"/>
            <w:vAlign w:val="center"/>
          </w:tcPr>
          <w:p w14:paraId="3476B383" w14:textId="77777777" w:rsidR="001C0E95" w:rsidRPr="001C0E95" w:rsidRDefault="001C0E95" w:rsidP="001C0E95">
            <w:pPr>
              <w:spacing w:before="60" w:after="60" w:line="240" w:lineRule="atLeast"/>
              <w:jc w:val="right"/>
              <w:rPr>
                <w:rFonts w:eastAsia="Calibri" w:cs="Arial"/>
                <w:color w:val="000000"/>
                <w:sz w:val="16"/>
                <w:szCs w:val="16"/>
                <w:lang w:eastAsia="pl-PL"/>
              </w:rPr>
            </w:pPr>
            <w:r w:rsidRPr="001C0E95">
              <w:rPr>
                <w:rFonts w:eastAsia="Calibri" w:cs="Arial"/>
                <w:color w:val="000000"/>
                <w:sz w:val="16"/>
                <w:szCs w:val="16"/>
                <w:lang w:eastAsia="pl-PL"/>
              </w:rPr>
              <w:t>2056</w:t>
            </w:r>
          </w:p>
        </w:tc>
        <w:tc>
          <w:tcPr>
            <w:tcW w:w="400" w:type="pct"/>
            <w:tcBorders>
              <w:top w:val="single" w:sz="4" w:space="0" w:color="001D77"/>
              <w:left w:val="single" w:sz="4" w:space="0" w:color="001D77"/>
              <w:bottom w:val="nil"/>
            </w:tcBorders>
            <w:shd w:val="clear" w:color="auto" w:fill="auto"/>
            <w:vAlign w:val="center"/>
          </w:tcPr>
          <w:p w14:paraId="48D183C7" w14:textId="77777777" w:rsidR="001C0E95" w:rsidRPr="001C0E95" w:rsidRDefault="001C0E95" w:rsidP="001C0E95">
            <w:pPr>
              <w:spacing w:before="60" w:after="60" w:line="240" w:lineRule="atLeast"/>
              <w:jc w:val="right"/>
              <w:rPr>
                <w:rFonts w:eastAsia="Calibri" w:cs="Arial"/>
                <w:color w:val="000000"/>
                <w:sz w:val="16"/>
                <w:szCs w:val="16"/>
                <w:lang w:eastAsia="pl-PL"/>
              </w:rPr>
            </w:pPr>
            <w:r w:rsidRPr="001C0E95">
              <w:rPr>
                <w:rFonts w:eastAsia="Calibri" w:cs="Arial"/>
                <w:color w:val="000000"/>
                <w:sz w:val="16"/>
                <w:szCs w:val="16"/>
                <w:lang w:eastAsia="pl-PL"/>
              </w:rPr>
              <w:t>2112</w:t>
            </w:r>
          </w:p>
        </w:tc>
        <w:tc>
          <w:tcPr>
            <w:tcW w:w="395" w:type="pct"/>
            <w:tcBorders>
              <w:top w:val="single" w:sz="4" w:space="0" w:color="001D77"/>
              <w:left w:val="single" w:sz="4" w:space="0" w:color="001D77"/>
              <w:bottom w:val="nil"/>
            </w:tcBorders>
            <w:shd w:val="clear" w:color="auto" w:fill="auto"/>
            <w:vAlign w:val="center"/>
          </w:tcPr>
          <w:p w14:paraId="28B9454F" w14:textId="77777777" w:rsidR="001C0E95" w:rsidRPr="001C0E95" w:rsidRDefault="001C0E95" w:rsidP="001C0E95">
            <w:pPr>
              <w:spacing w:before="60" w:after="60" w:line="240" w:lineRule="atLeast"/>
              <w:jc w:val="right"/>
              <w:rPr>
                <w:rFonts w:eastAsia="Calibri" w:cs="Arial"/>
                <w:color w:val="000000"/>
                <w:sz w:val="16"/>
                <w:szCs w:val="16"/>
                <w:lang w:eastAsia="pl-PL"/>
              </w:rPr>
            </w:pPr>
            <w:r w:rsidRPr="001C0E95">
              <w:rPr>
                <w:rFonts w:eastAsia="Calibri" w:cs="Arial"/>
                <w:color w:val="000000"/>
                <w:sz w:val="16"/>
                <w:szCs w:val="16"/>
                <w:lang w:eastAsia="pl-PL"/>
              </w:rPr>
              <w:t>2112</w:t>
            </w:r>
          </w:p>
        </w:tc>
      </w:tr>
      <w:tr w:rsidR="001C0E95" w:rsidRPr="001C0E95" w14:paraId="78287A7B" w14:textId="77777777" w:rsidTr="005032A0">
        <w:trPr>
          <w:trHeight w:val="454"/>
        </w:trPr>
        <w:tc>
          <w:tcPr>
            <w:tcW w:w="1015" w:type="pct"/>
            <w:tcBorders>
              <w:top w:val="single" w:sz="4" w:space="0" w:color="001D77"/>
              <w:bottom w:val="nil"/>
              <w:right w:val="single" w:sz="4" w:space="0" w:color="001D77"/>
            </w:tcBorders>
            <w:shd w:val="clear" w:color="auto" w:fill="auto"/>
            <w:vAlign w:val="center"/>
          </w:tcPr>
          <w:p w14:paraId="54325B66" w14:textId="77777777" w:rsidR="001C0E95" w:rsidRPr="001C0E95" w:rsidRDefault="001C0E95" w:rsidP="001C0E95">
            <w:pPr>
              <w:spacing w:before="60" w:after="60" w:line="240" w:lineRule="atLeast"/>
              <w:ind w:left="170"/>
              <w:rPr>
                <w:rFonts w:eastAsia="Calibri" w:cs="Arial"/>
                <w:color w:val="000000"/>
                <w:sz w:val="16"/>
                <w:szCs w:val="16"/>
                <w:lang w:val="en-US" w:eastAsia="pl-PL"/>
              </w:rPr>
            </w:pPr>
            <w:r w:rsidRPr="001C0E95">
              <w:rPr>
                <w:rFonts w:eastAsia="Calibri" w:cs="Arial"/>
                <w:color w:val="000000"/>
                <w:sz w:val="16"/>
                <w:szCs w:val="16"/>
                <w:lang w:val="en-US" w:eastAsia="pl-PL"/>
              </w:rPr>
              <w:t xml:space="preserve">Privation – for households of employees and the self-employed </w:t>
            </w:r>
          </w:p>
        </w:tc>
        <w:tc>
          <w:tcPr>
            <w:tcW w:w="406" w:type="pct"/>
            <w:tcBorders>
              <w:top w:val="single" w:sz="4" w:space="0" w:color="001D77"/>
              <w:left w:val="single" w:sz="4" w:space="0" w:color="001D77"/>
              <w:bottom w:val="nil"/>
              <w:right w:val="single" w:sz="4" w:space="0" w:color="001D77"/>
            </w:tcBorders>
            <w:shd w:val="clear" w:color="auto" w:fill="auto"/>
            <w:vAlign w:val="center"/>
          </w:tcPr>
          <w:p w14:paraId="2AE93125" w14:textId="77777777" w:rsidR="001C0E95" w:rsidRPr="001C0E95" w:rsidRDefault="001C0E95" w:rsidP="001C0E95">
            <w:pPr>
              <w:spacing w:before="60" w:after="60" w:line="240" w:lineRule="atLeast"/>
              <w:jc w:val="right"/>
              <w:rPr>
                <w:rFonts w:eastAsia="Calibri" w:cs="Arial"/>
                <w:color w:val="000000"/>
                <w:sz w:val="16"/>
                <w:szCs w:val="16"/>
                <w:lang w:eastAsia="pl-PL"/>
              </w:rPr>
            </w:pPr>
            <w:r w:rsidRPr="001C0E95">
              <w:rPr>
                <w:rFonts w:eastAsia="Calibri" w:cs="Arial"/>
                <w:color w:val="000000"/>
                <w:sz w:val="16"/>
                <w:szCs w:val="16"/>
                <w:lang w:eastAsia="pl-PL"/>
              </w:rPr>
              <w:t>1079</w:t>
            </w:r>
          </w:p>
        </w:tc>
        <w:tc>
          <w:tcPr>
            <w:tcW w:w="397" w:type="pct"/>
            <w:tcBorders>
              <w:top w:val="single" w:sz="4" w:space="0" w:color="001D77"/>
              <w:left w:val="single" w:sz="4" w:space="0" w:color="001D77"/>
              <w:bottom w:val="single" w:sz="4" w:space="0" w:color="001D77"/>
              <w:right w:val="single" w:sz="4" w:space="0" w:color="001D77"/>
            </w:tcBorders>
            <w:shd w:val="clear" w:color="auto" w:fill="auto"/>
            <w:vAlign w:val="center"/>
          </w:tcPr>
          <w:p w14:paraId="4F0F3128" w14:textId="77777777" w:rsidR="001C0E95" w:rsidRPr="001C0E95" w:rsidRDefault="001C0E95" w:rsidP="001C0E95">
            <w:pPr>
              <w:spacing w:before="60" w:after="60" w:line="240" w:lineRule="atLeast"/>
              <w:jc w:val="right"/>
              <w:rPr>
                <w:rFonts w:eastAsia="Calibri" w:cs="Arial"/>
                <w:color w:val="000000"/>
                <w:sz w:val="16"/>
                <w:szCs w:val="16"/>
                <w:lang w:eastAsia="pl-PL"/>
              </w:rPr>
            </w:pPr>
            <w:r w:rsidRPr="001C0E95">
              <w:rPr>
                <w:rFonts w:eastAsia="Calibri" w:cs="Arial"/>
                <w:color w:val="000000"/>
                <w:sz w:val="16"/>
                <w:szCs w:val="16"/>
                <w:lang w:eastAsia="pl-PL"/>
              </w:rPr>
              <w:t>1094</w:t>
            </w:r>
          </w:p>
        </w:tc>
        <w:tc>
          <w:tcPr>
            <w:tcW w:w="398" w:type="pct"/>
            <w:tcBorders>
              <w:top w:val="single" w:sz="4" w:space="0" w:color="001D77"/>
              <w:left w:val="single" w:sz="4" w:space="0" w:color="001D77"/>
              <w:bottom w:val="single" w:sz="4" w:space="0" w:color="auto"/>
              <w:right w:val="single" w:sz="4" w:space="0" w:color="001D77"/>
            </w:tcBorders>
            <w:shd w:val="clear" w:color="auto" w:fill="auto"/>
            <w:vAlign w:val="center"/>
          </w:tcPr>
          <w:p w14:paraId="14DDA7C5" w14:textId="77777777" w:rsidR="001C0E95" w:rsidRPr="001C0E95" w:rsidRDefault="001C0E95" w:rsidP="001C0E95">
            <w:pPr>
              <w:spacing w:before="60" w:after="60" w:line="240" w:lineRule="atLeast"/>
              <w:jc w:val="right"/>
              <w:rPr>
                <w:rFonts w:eastAsia="Calibri" w:cs="Arial"/>
                <w:color w:val="000000"/>
                <w:sz w:val="16"/>
                <w:szCs w:val="16"/>
                <w:lang w:eastAsia="pl-PL"/>
              </w:rPr>
            </w:pPr>
            <w:r w:rsidRPr="001C0E95">
              <w:rPr>
                <w:rFonts w:eastAsia="Calibri" w:cs="Arial"/>
                <w:color w:val="000000"/>
                <w:sz w:val="16"/>
                <w:szCs w:val="16"/>
                <w:lang w:eastAsia="pl-PL"/>
              </w:rPr>
              <w:t>1144</w:t>
            </w:r>
          </w:p>
        </w:tc>
        <w:tc>
          <w:tcPr>
            <w:tcW w:w="399" w:type="pct"/>
            <w:tcBorders>
              <w:top w:val="single" w:sz="4" w:space="0" w:color="001D77"/>
              <w:left w:val="single" w:sz="4" w:space="0" w:color="001D77"/>
              <w:bottom w:val="single" w:sz="4" w:space="0" w:color="auto"/>
              <w:right w:val="single" w:sz="4" w:space="0" w:color="001D77"/>
            </w:tcBorders>
            <w:shd w:val="clear" w:color="auto" w:fill="auto"/>
            <w:vAlign w:val="center"/>
          </w:tcPr>
          <w:p w14:paraId="1679FB0C" w14:textId="77777777" w:rsidR="001C0E95" w:rsidRPr="001C0E95" w:rsidRDefault="001C0E95" w:rsidP="001C0E95">
            <w:pPr>
              <w:spacing w:before="60" w:after="60" w:line="240" w:lineRule="atLeast"/>
              <w:jc w:val="right"/>
              <w:rPr>
                <w:rFonts w:eastAsia="Calibri" w:cs="Arial"/>
                <w:color w:val="000000"/>
                <w:sz w:val="16"/>
                <w:szCs w:val="16"/>
                <w:lang w:eastAsia="pl-PL"/>
              </w:rPr>
            </w:pPr>
            <w:r w:rsidRPr="001C0E95">
              <w:rPr>
                <w:rFonts w:eastAsia="Calibri" w:cs="Arial"/>
                <w:color w:val="000000"/>
                <w:sz w:val="16"/>
                <w:szCs w:val="16"/>
                <w:lang w:eastAsia="pl-PL"/>
              </w:rPr>
              <w:t>1171</w:t>
            </w:r>
          </w:p>
        </w:tc>
        <w:tc>
          <w:tcPr>
            <w:tcW w:w="398" w:type="pct"/>
            <w:tcBorders>
              <w:top w:val="single" w:sz="4" w:space="0" w:color="001D77"/>
              <w:left w:val="single" w:sz="4" w:space="0" w:color="001D77"/>
              <w:bottom w:val="single" w:sz="4" w:space="0" w:color="auto"/>
              <w:right w:val="single" w:sz="4" w:space="0" w:color="001D77"/>
            </w:tcBorders>
            <w:shd w:val="clear" w:color="auto" w:fill="auto"/>
            <w:vAlign w:val="center"/>
          </w:tcPr>
          <w:p w14:paraId="60A0C3F7" w14:textId="77777777" w:rsidR="001C0E95" w:rsidRPr="001C0E95" w:rsidRDefault="001C0E95" w:rsidP="001C0E95">
            <w:pPr>
              <w:spacing w:before="60" w:after="60" w:line="240" w:lineRule="atLeast"/>
              <w:jc w:val="right"/>
              <w:rPr>
                <w:rFonts w:eastAsia="Calibri" w:cs="Arial"/>
                <w:color w:val="000000"/>
                <w:sz w:val="16"/>
                <w:szCs w:val="16"/>
                <w:lang w:eastAsia="pl-PL"/>
              </w:rPr>
            </w:pPr>
            <w:r w:rsidRPr="001C0E95">
              <w:rPr>
                <w:rFonts w:eastAsia="Calibri" w:cs="Arial"/>
                <w:color w:val="000000"/>
                <w:sz w:val="16"/>
                <w:szCs w:val="16"/>
                <w:lang w:eastAsia="pl-PL"/>
              </w:rPr>
              <w:t>1218</w:t>
            </w:r>
          </w:p>
        </w:tc>
        <w:tc>
          <w:tcPr>
            <w:tcW w:w="397" w:type="pct"/>
            <w:tcBorders>
              <w:top w:val="single" w:sz="4" w:space="0" w:color="001D77"/>
              <w:left w:val="single" w:sz="4" w:space="0" w:color="001D77"/>
              <w:bottom w:val="nil"/>
              <w:right w:val="single" w:sz="4" w:space="0" w:color="001D77"/>
            </w:tcBorders>
            <w:shd w:val="clear" w:color="auto" w:fill="auto"/>
            <w:vAlign w:val="center"/>
          </w:tcPr>
          <w:p w14:paraId="128AB4F2" w14:textId="77777777" w:rsidR="001C0E95" w:rsidRPr="001C0E95" w:rsidRDefault="001C0E95" w:rsidP="001C0E95">
            <w:pPr>
              <w:spacing w:before="60" w:after="60" w:line="240" w:lineRule="atLeast"/>
              <w:jc w:val="right"/>
              <w:rPr>
                <w:rFonts w:eastAsia="Calibri" w:cs="Arial"/>
                <w:color w:val="000000"/>
                <w:sz w:val="16"/>
                <w:szCs w:val="16"/>
                <w:lang w:eastAsia="pl-PL"/>
              </w:rPr>
            </w:pPr>
            <w:r w:rsidRPr="001C0E95">
              <w:rPr>
                <w:rFonts w:eastAsia="Calibri" w:cs="Arial"/>
                <w:color w:val="000000"/>
                <w:sz w:val="16"/>
                <w:szCs w:val="16"/>
                <w:lang w:eastAsia="pl-PL"/>
              </w:rPr>
              <w:t>2913</w:t>
            </w:r>
          </w:p>
        </w:tc>
        <w:tc>
          <w:tcPr>
            <w:tcW w:w="397" w:type="pct"/>
            <w:tcBorders>
              <w:top w:val="single" w:sz="4" w:space="0" w:color="001D77"/>
              <w:left w:val="single" w:sz="4" w:space="0" w:color="001D77"/>
              <w:bottom w:val="single" w:sz="4" w:space="0" w:color="001D77"/>
              <w:right w:val="single" w:sz="4" w:space="0" w:color="001D77"/>
            </w:tcBorders>
            <w:shd w:val="clear" w:color="auto" w:fill="auto"/>
            <w:vAlign w:val="center"/>
          </w:tcPr>
          <w:p w14:paraId="6E4C7610" w14:textId="77777777" w:rsidR="001C0E95" w:rsidRPr="001C0E95" w:rsidRDefault="001C0E95" w:rsidP="001C0E95">
            <w:pPr>
              <w:spacing w:before="60" w:after="60" w:line="240" w:lineRule="atLeast"/>
              <w:jc w:val="right"/>
              <w:rPr>
                <w:rFonts w:eastAsia="Calibri" w:cs="Arial"/>
                <w:color w:val="000000"/>
                <w:sz w:val="16"/>
                <w:szCs w:val="16"/>
                <w:lang w:eastAsia="pl-PL"/>
              </w:rPr>
            </w:pPr>
            <w:r w:rsidRPr="001C0E95">
              <w:rPr>
                <w:rFonts w:eastAsia="Calibri" w:cs="Arial"/>
                <w:color w:val="000000"/>
                <w:sz w:val="16"/>
                <w:szCs w:val="16"/>
                <w:lang w:eastAsia="pl-PL"/>
              </w:rPr>
              <w:t>2954</w:t>
            </w:r>
          </w:p>
        </w:tc>
        <w:tc>
          <w:tcPr>
            <w:tcW w:w="398" w:type="pct"/>
            <w:tcBorders>
              <w:top w:val="single" w:sz="4" w:space="0" w:color="001D77"/>
              <w:left w:val="single" w:sz="4" w:space="0" w:color="001D77"/>
              <w:bottom w:val="single" w:sz="4" w:space="0" w:color="001D77"/>
            </w:tcBorders>
            <w:shd w:val="clear" w:color="auto" w:fill="auto"/>
            <w:vAlign w:val="center"/>
          </w:tcPr>
          <w:p w14:paraId="065A2EF7" w14:textId="77777777" w:rsidR="001C0E95" w:rsidRPr="001C0E95" w:rsidRDefault="001C0E95" w:rsidP="001C0E95">
            <w:pPr>
              <w:spacing w:before="60" w:after="60" w:line="240" w:lineRule="atLeast"/>
              <w:jc w:val="right"/>
              <w:rPr>
                <w:rFonts w:eastAsia="Calibri" w:cs="Arial"/>
                <w:color w:val="000000"/>
                <w:sz w:val="16"/>
                <w:szCs w:val="16"/>
                <w:lang w:eastAsia="pl-PL"/>
              </w:rPr>
            </w:pPr>
            <w:r w:rsidRPr="001C0E95">
              <w:rPr>
                <w:rFonts w:eastAsia="Calibri" w:cs="Arial"/>
                <w:color w:val="000000"/>
                <w:sz w:val="16"/>
                <w:szCs w:val="16"/>
                <w:lang w:eastAsia="pl-PL"/>
              </w:rPr>
              <w:t>3090</w:t>
            </w:r>
          </w:p>
        </w:tc>
        <w:tc>
          <w:tcPr>
            <w:tcW w:w="400" w:type="pct"/>
            <w:tcBorders>
              <w:top w:val="single" w:sz="4" w:space="0" w:color="001D77"/>
              <w:left w:val="single" w:sz="4" w:space="0" w:color="001D77"/>
              <w:bottom w:val="single" w:sz="4" w:space="0" w:color="auto"/>
            </w:tcBorders>
            <w:shd w:val="clear" w:color="auto" w:fill="auto"/>
            <w:vAlign w:val="center"/>
          </w:tcPr>
          <w:p w14:paraId="4CC8639D" w14:textId="77777777" w:rsidR="001C0E95" w:rsidRPr="001C0E95" w:rsidRDefault="001C0E95" w:rsidP="001C0E95">
            <w:pPr>
              <w:spacing w:before="60" w:after="60" w:line="240" w:lineRule="atLeast"/>
              <w:jc w:val="right"/>
              <w:rPr>
                <w:rFonts w:eastAsia="Calibri" w:cs="Arial"/>
                <w:color w:val="000000"/>
                <w:sz w:val="16"/>
                <w:szCs w:val="16"/>
                <w:lang w:eastAsia="pl-PL"/>
              </w:rPr>
            </w:pPr>
            <w:r w:rsidRPr="001C0E95">
              <w:rPr>
                <w:rFonts w:eastAsia="Calibri" w:cs="Arial"/>
                <w:color w:val="000000"/>
                <w:sz w:val="16"/>
                <w:szCs w:val="16"/>
                <w:lang w:eastAsia="pl-PL"/>
              </w:rPr>
              <w:t>3163</w:t>
            </w:r>
          </w:p>
        </w:tc>
        <w:tc>
          <w:tcPr>
            <w:tcW w:w="395" w:type="pct"/>
            <w:tcBorders>
              <w:top w:val="single" w:sz="4" w:space="0" w:color="001D77"/>
              <w:left w:val="single" w:sz="4" w:space="0" w:color="001D77"/>
              <w:bottom w:val="single" w:sz="4" w:space="0" w:color="auto"/>
            </w:tcBorders>
            <w:shd w:val="clear" w:color="auto" w:fill="auto"/>
            <w:vAlign w:val="center"/>
          </w:tcPr>
          <w:p w14:paraId="3EA26C7B" w14:textId="77777777" w:rsidR="001C0E95" w:rsidRPr="001C0E95" w:rsidRDefault="001C0E95" w:rsidP="001C0E95">
            <w:pPr>
              <w:spacing w:before="60" w:after="60" w:line="240" w:lineRule="atLeast"/>
              <w:jc w:val="right"/>
              <w:rPr>
                <w:rFonts w:eastAsia="Calibri" w:cs="Arial"/>
                <w:color w:val="000000"/>
                <w:sz w:val="16"/>
                <w:szCs w:val="16"/>
                <w:lang w:eastAsia="pl-PL"/>
              </w:rPr>
            </w:pPr>
            <w:r w:rsidRPr="001C0E95">
              <w:rPr>
                <w:rFonts w:eastAsia="Calibri" w:cs="Arial"/>
                <w:color w:val="000000"/>
                <w:sz w:val="16"/>
                <w:szCs w:val="16"/>
                <w:lang w:eastAsia="pl-PL"/>
              </w:rPr>
              <w:t>3287</w:t>
            </w:r>
          </w:p>
        </w:tc>
      </w:tr>
      <w:tr w:rsidR="001C0E95" w:rsidRPr="001C0E95" w14:paraId="074AB860" w14:textId="77777777" w:rsidTr="005032A0">
        <w:trPr>
          <w:trHeight w:val="454"/>
        </w:trPr>
        <w:tc>
          <w:tcPr>
            <w:tcW w:w="1015" w:type="pct"/>
            <w:tcBorders>
              <w:top w:val="single" w:sz="4" w:space="0" w:color="001D77"/>
              <w:bottom w:val="nil"/>
              <w:right w:val="single" w:sz="4" w:space="0" w:color="001D77"/>
            </w:tcBorders>
            <w:shd w:val="clear" w:color="auto" w:fill="auto"/>
            <w:vAlign w:val="center"/>
          </w:tcPr>
          <w:p w14:paraId="43EFABAE" w14:textId="77777777" w:rsidR="001C0E95" w:rsidRPr="001C0E95" w:rsidRDefault="001C0E95" w:rsidP="001C0E95">
            <w:pPr>
              <w:spacing w:before="60" w:after="60" w:line="240" w:lineRule="atLeast"/>
              <w:ind w:left="170"/>
              <w:rPr>
                <w:rFonts w:eastAsia="Calibri" w:cs="Arial"/>
                <w:color w:val="000000"/>
                <w:sz w:val="16"/>
                <w:szCs w:val="16"/>
                <w:lang w:val="en-US" w:eastAsia="pl-PL"/>
              </w:rPr>
            </w:pPr>
            <w:r w:rsidRPr="001C0E95">
              <w:rPr>
                <w:rFonts w:eastAsia="Calibri" w:cs="Arial"/>
                <w:color w:val="000000"/>
                <w:sz w:val="16"/>
                <w:szCs w:val="16"/>
                <w:lang w:val="en-US" w:eastAsia="pl-PL"/>
              </w:rPr>
              <w:t xml:space="preserve">Privation – for households of farmers, retirees, pensioners and living on unearned sources </w:t>
            </w:r>
          </w:p>
        </w:tc>
        <w:tc>
          <w:tcPr>
            <w:tcW w:w="406" w:type="pct"/>
            <w:tcBorders>
              <w:top w:val="single" w:sz="4" w:space="0" w:color="001D77"/>
              <w:left w:val="single" w:sz="4" w:space="0" w:color="001D77"/>
              <w:bottom w:val="nil"/>
              <w:right w:val="single" w:sz="4" w:space="0" w:color="001D77"/>
            </w:tcBorders>
            <w:shd w:val="clear" w:color="auto" w:fill="auto"/>
            <w:vAlign w:val="center"/>
          </w:tcPr>
          <w:p w14:paraId="5C9A1ABC" w14:textId="77777777" w:rsidR="001C0E95" w:rsidRPr="001C0E95" w:rsidRDefault="001C0E95" w:rsidP="001C0E95">
            <w:pPr>
              <w:spacing w:before="60" w:after="60" w:line="240" w:lineRule="atLeast"/>
              <w:jc w:val="right"/>
              <w:rPr>
                <w:rFonts w:eastAsia="Calibri" w:cs="Arial"/>
                <w:color w:val="000000"/>
                <w:sz w:val="16"/>
                <w:szCs w:val="16"/>
                <w:lang w:eastAsia="pl-PL"/>
              </w:rPr>
            </w:pPr>
            <w:r w:rsidRPr="001C0E95">
              <w:rPr>
                <w:rFonts w:eastAsia="Calibri" w:cs="Arial"/>
                <w:color w:val="000000"/>
                <w:sz w:val="16"/>
                <w:szCs w:val="16"/>
                <w:lang w:eastAsia="pl-PL"/>
              </w:rPr>
              <w:t>1080</w:t>
            </w:r>
          </w:p>
        </w:tc>
        <w:tc>
          <w:tcPr>
            <w:tcW w:w="397" w:type="pct"/>
            <w:tcBorders>
              <w:top w:val="single" w:sz="4" w:space="0" w:color="auto"/>
              <w:left w:val="single" w:sz="4" w:space="0" w:color="001D77"/>
              <w:bottom w:val="nil"/>
              <w:right w:val="single" w:sz="4" w:space="0" w:color="001D77"/>
            </w:tcBorders>
            <w:shd w:val="clear" w:color="auto" w:fill="auto"/>
            <w:vAlign w:val="center"/>
          </w:tcPr>
          <w:p w14:paraId="1F00870D" w14:textId="77777777" w:rsidR="001C0E95" w:rsidRPr="001C0E95" w:rsidRDefault="001C0E95" w:rsidP="001C0E95">
            <w:pPr>
              <w:spacing w:before="60" w:after="60" w:line="240" w:lineRule="atLeast"/>
              <w:jc w:val="right"/>
              <w:rPr>
                <w:rFonts w:eastAsia="Calibri" w:cs="Arial"/>
                <w:color w:val="000000"/>
                <w:sz w:val="16"/>
                <w:szCs w:val="16"/>
                <w:lang w:eastAsia="pl-PL"/>
              </w:rPr>
            </w:pPr>
            <w:r w:rsidRPr="001C0E95">
              <w:rPr>
                <w:rFonts w:eastAsia="Calibri" w:cs="Arial"/>
                <w:color w:val="000000"/>
                <w:sz w:val="16"/>
                <w:szCs w:val="16"/>
                <w:lang w:eastAsia="pl-PL"/>
              </w:rPr>
              <w:t>1091</w:t>
            </w:r>
          </w:p>
        </w:tc>
        <w:tc>
          <w:tcPr>
            <w:tcW w:w="398" w:type="pct"/>
            <w:tcBorders>
              <w:top w:val="single" w:sz="4" w:space="0" w:color="auto"/>
              <w:left w:val="single" w:sz="4" w:space="0" w:color="001D77"/>
              <w:bottom w:val="nil"/>
              <w:right w:val="single" w:sz="4" w:space="0" w:color="auto"/>
            </w:tcBorders>
            <w:shd w:val="clear" w:color="auto" w:fill="auto"/>
            <w:vAlign w:val="center"/>
          </w:tcPr>
          <w:p w14:paraId="7249AEA6" w14:textId="77777777" w:rsidR="001C0E95" w:rsidRPr="001C0E95" w:rsidRDefault="001C0E95" w:rsidP="001C0E95">
            <w:pPr>
              <w:spacing w:before="60" w:after="60" w:line="240" w:lineRule="atLeast"/>
              <w:jc w:val="right"/>
              <w:rPr>
                <w:rFonts w:eastAsia="Calibri" w:cs="Arial"/>
                <w:color w:val="000000"/>
                <w:sz w:val="16"/>
                <w:szCs w:val="16"/>
                <w:lang w:eastAsia="pl-PL"/>
              </w:rPr>
            </w:pPr>
            <w:r w:rsidRPr="001C0E95">
              <w:rPr>
                <w:rFonts w:eastAsia="Calibri" w:cs="Arial"/>
                <w:color w:val="000000"/>
                <w:sz w:val="16"/>
                <w:szCs w:val="16"/>
                <w:lang w:eastAsia="pl-PL"/>
              </w:rPr>
              <w:t>1132</w:t>
            </w:r>
          </w:p>
        </w:tc>
        <w:tc>
          <w:tcPr>
            <w:tcW w:w="399" w:type="pct"/>
            <w:tcBorders>
              <w:top w:val="single" w:sz="4" w:space="0" w:color="auto"/>
              <w:left w:val="single" w:sz="4" w:space="0" w:color="auto"/>
              <w:bottom w:val="nil"/>
              <w:right w:val="single" w:sz="4" w:space="0" w:color="auto"/>
            </w:tcBorders>
            <w:shd w:val="clear" w:color="auto" w:fill="auto"/>
            <w:vAlign w:val="center"/>
          </w:tcPr>
          <w:p w14:paraId="0FBE0799" w14:textId="77777777" w:rsidR="001C0E95" w:rsidRPr="001C0E95" w:rsidRDefault="001C0E95" w:rsidP="001C0E95">
            <w:pPr>
              <w:spacing w:before="60" w:after="60" w:line="240" w:lineRule="atLeast"/>
              <w:jc w:val="right"/>
              <w:rPr>
                <w:rFonts w:eastAsia="Calibri" w:cs="Arial"/>
                <w:color w:val="000000"/>
                <w:sz w:val="16"/>
                <w:szCs w:val="16"/>
                <w:lang w:eastAsia="pl-PL"/>
              </w:rPr>
            </w:pPr>
            <w:r w:rsidRPr="001C0E95">
              <w:rPr>
                <w:rFonts w:eastAsia="Calibri" w:cs="Arial"/>
                <w:color w:val="000000"/>
                <w:sz w:val="16"/>
                <w:szCs w:val="16"/>
                <w:lang w:eastAsia="pl-PL"/>
              </w:rPr>
              <w:t>1155</w:t>
            </w:r>
          </w:p>
        </w:tc>
        <w:tc>
          <w:tcPr>
            <w:tcW w:w="398" w:type="pct"/>
            <w:tcBorders>
              <w:top w:val="single" w:sz="4" w:space="0" w:color="auto"/>
              <w:left w:val="single" w:sz="4" w:space="0" w:color="auto"/>
              <w:bottom w:val="nil"/>
              <w:right w:val="single" w:sz="4" w:space="0" w:color="auto"/>
            </w:tcBorders>
            <w:shd w:val="clear" w:color="auto" w:fill="auto"/>
            <w:vAlign w:val="center"/>
          </w:tcPr>
          <w:p w14:paraId="083644A3" w14:textId="77777777" w:rsidR="001C0E95" w:rsidRPr="001C0E95" w:rsidRDefault="001C0E95" w:rsidP="001C0E95">
            <w:pPr>
              <w:spacing w:before="60" w:after="60" w:line="240" w:lineRule="atLeast"/>
              <w:jc w:val="right"/>
              <w:rPr>
                <w:rFonts w:eastAsia="Calibri" w:cs="Arial"/>
                <w:color w:val="000000"/>
                <w:sz w:val="16"/>
                <w:szCs w:val="16"/>
                <w:lang w:eastAsia="pl-PL"/>
              </w:rPr>
            </w:pPr>
            <w:r w:rsidRPr="001C0E95">
              <w:rPr>
                <w:rFonts w:eastAsia="Calibri" w:cs="Arial"/>
                <w:color w:val="000000"/>
                <w:sz w:val="16"/>
                <w:szCs w:val="16"/>
                <w:lang w:eastAsia="pl-PL"/>
              </w:rPr>
              <w:t>1195</w:t>
            </w:r>
          </w:p>
        </w:tc>
        <w:tc>
          <w:tcPr>
            <w:tcW w:w="397" w:type="pct"/>
            <w:tcBorders>
              <w:top w:val="single" w:sz="4" w:space="0" w:color="001D77"/>
              <w:left w:val="single" w:sz="4" w:space="0" w:color="001D77"/>
              <w:bottom w:val="nil"/>
              <w:right w:val="single" w:sz="4" w:space="0" w:color="001D77"/>
            </w:tcBorders>
            <w:shd w:val="clear" w:color="auto" w:fill="auto"/>
            <w:vAlign w:val="center"/>
          </w:tcPr>
          <w:p w14:paraId="24F3E2B4" w14:textId="77777777" w:rsidR="001C0E95" w:rsidRPr="001C0E95" w:rsidRDefault="001C0E95" w:rsidP="001C0E95">
            <w:pPr>
              <w:spacing w:before="60" w:after="60" w:line="240" w:lineRule="atLeast"/>
              <w:jc w:val="right"/>
              <w:rPr>
                <w:rFonts w:eastAsia="Calibri" w:cs="Arial"/>
                <w:color w:val="000000"/>
                <w:sz w:val="16"/>
                <w:szCs w:val="16"/>
                <w:lang w:eastAsia="pl-PL"/>
              </w:rPr>
            </w:pPr>
            <w:r w:rsidRPr="001C0E95">
              <w:rPr>
                <w:rFonts w:eastAsia="Calibri" w:cs="Arial"/>
                <w:color w:val="000000"/>
                <w:sz w:val="16"/>
                <w:szCs w:val="16"/>
                <w:lang w:eastAsia="pl-PL"/>
              </w:rPr>
              <w:t>2915</w:t>
            </w:r>
          </w:p>
        </w:tc>
        <w:tc>
          <w:tcPr>
            <w:tcW w:w="397" w:type="pct"/>
            <w:tcBorders>
              <w:top w:val="single" w:sz="4" w:space="0" w:color="auto"/>
              <w:left w:val="single" w:sz="4" w:space="0" w:color="001D77"/>
              <w:bottom w:val="nil"/>
              <w:right w:val="single" w:sz="4" w:space="0" w:color="001D77"/>
            </w:tcBorders>
            <w:shd w:val="clear" w:color="auto" w:fill="auto"/>
            <w:vAlign w:val="center"/>
          </w:tcPr>
          <w:p w14:paraId="3B4CE3CA" w14:textId="77777777" w:rsidR="001C0E95" w:rsidRPr="001C0E95" w:rsidRDefault="001C0E95" w:rsidP="001C0E95">
            <w:pPr>
              <w:spacing w:before="60" w:after="60" w:line="240" w:lineRule="atLeast"/>
              <w:jc w:val="right"/>
              <w:rPr>
                <w:rFonts w:eastAsia="Calibri" w:cs="Arial"/>
                <w:color w:val="000000"/>
                <w:sz w:val="16"/>
                <w:szCs w:val="16"/>
                <w:lang w:eastAsia="pl-PL"/>
              </w:rPr>
            </w:pPr>
            <w:r w:rsidRPr="001C0E95">
              <w:rPr>
                <w:rFonts w:eastAsia="Calibri" w:cs="Arial"/>
                <w:color w:val="000000"/>
                <w:sz w:val="16"/>
                <w:szCs w:val="16"/>
                <w:lang w:eastAsia="pl-PL"/>
              </w:rPr>
              <w:t>2947</w:t>
            </w:r>
          </w:p>
        </w:tc>
        <w:tc>
          <w:tcPr>
            <w:tcW w:w="398" w:type="pct"/>
            <w:tcBorders>
              <w:top w:val="single" w:sz="4" w:space="0" w:color="auto"/>
              <w:left w:val="single" w:sz="4" w:space="0" w:color="001D77"/>
              <w:bottom w:val="nil"/>
              <w:right w:val="single" w:sz="4" w:space="0" w:color="auto"/>
            </w:tcBorders>
            <w:shd w:val="clear" w:color="auto" w:fill="auto"/>
            <w:vAlign w:val="center"/>
          </w:tcPr>
          <w:p w14:paraId="0FCB9267" w14:textId="77777777" w:rsidR="001C0E95" w:rsidRPr="001C0E95" w:rsidRDefault="001C0E95" w:rsidP="001C0E95">
            <w:pPr>
              <w:spacing w:before="60" w:after="60" w:line="240" w:lineRule="atLeast"/>
              <w:jc w:val="right"/>
              <w:rPr>
                <w:rFonts w:eastAsia="Calibri" w:cs="Arial"/>
                <w:color w:val="000000"/>
                <w:sz w:val="16"/>
                <w:szCs w:val="16"/>
                <w:lang w:eastAsia="pl-PL"/>
              </w:rPr>
            </w:pPr>
            <w:r w:rsidRPr="001C0E95">
              <w:rPr>
                <w:rFonts w:eastAsia="Calibri" w:cs="Arial"/>
                <w:color w:val="000000"/>
                <w:sz w:val="16"/>
                <w:szCs w:val="16"/>
                <w:lang w:eastAsia="pl-PL"/>
              </w:rPr>
              <w:t>3056</w:t>
            </w:r>
          </w:p>
        </w:tc>
        <w:tc>
          <w:tcPr>
            <w:tcW w:w="400" w:type="pct"/>
            <w:tcBorders>
              <w:top w:val="single" w:sz="4" w:space="0" w:color="auto"/>
              <w:left w:val="single" w:sz="4" w:space="0" w:color="auto"/>
              <w:bottom w:val="nil"/>
            </w:tcBorders>
            <w:shd w:val="clear" w:color="auto" w:fill="auto"/>
            <w:vAlign w:val="center"/>
          </w:tcPr>
          <w:p w14:paraId="0FBC40FA" w14:textId="77777777" w:rsidR="001C0E95" w:rsidRPr="001C0E95" w:rsidRDefault="001C0E95" w:rsidP="001C0E95">
            <w:pPr>
              <w:spacing w:before="60" w:after="60" w:line="240" w:lineRule="atLeast"/>
              <w:jc w:val="right"/>
              <w:rPr>
                <w:rFonts w:eastAsia="Calibri" w:cs="Arial"/>
                <w:color w:val="000000"/>
                <w:sz w:val="16"/>
                <w:szCs w:val="16"/>
                <w:lang w:eastAsia="pl-PL"/>
              </w:rPr>
            </w:pPr>
            <w:r w:rsidRPr="001C0E95">
              <w:rPr>
                <w:rFonts w:eastAsia="Calibri" w:cs="Arial"/>
                <w:color w:val="000000"/>
                <w:sz w:val="16"/>
                <w:szCs w:val="16"/>
                <w:lang w:eastAsia="pl-PL"/>
              </w:rPr>
              <w:t>3118</w:t>
            </w:r>
          </w:p>
        </w:tc>
        <w:tc>
          <w:tcPr>
            <w:tcW w:w="395" w:type="pct"/>
            <w:tcBorders>
              <w:top w:val="single" w:sz="4" w:space="0" w:color="auto"/>
              <w:left w:val="single" w:sz="4" w:space="0" w:color="auto"/>
              <w:bottom w:val="nil"/>
            </w:tcBorders>
            <w:shd w:val="clear" w:color="auto" w:fill="auto"/>
            <w:vAlign w:val="center"/>
          </w:tcPr>
          <w:p w14:paraId="44157C34" w14:textId="77777777" w:rsidR="001C0E95" w:rsidRPr="001C0E95" w:rsidRDefault="001C0E95" w:rsidP="001C0E95">
            <w:pPr>
              <w:spacing w:before="60" w:after="60" w:line="240" w:lineRule="atLeast"/>
              <w:jc w:val="right"/>
              <w:rPr>
                <w:rFonts w:eastAsia="Calibri" w:cs="Arial"/>
                <w:color w:val="000000"/>
                <w:sz w:val="16"/>
                <w:szCs w:val="16"/>
                <w:lang w:eastAsia="pl-PL"/>
              </w:rPr>
            </w:pPr>
            <w:r w:rsidRPr="001C0E95">
              <w:rPr>
                <w:rFonts w:eastAsia="Calibri" w:cs="Arial"/>
                <w:color w:val="000000"/>
                <w:sz w:val="16"/>
                <w:szCs w:val="16"/>
                <w:lang w:eastAsia="pl-PL"/>
              </w:rPr>
              <w:t>3226</w:t>
            </w:r>
          </w:p>
        </w:tc>
      </w:tr>
      <w:tr w:rsidR="001C0E95" w:rsidRPr="00603604" w14:paraId="133DBBF0" w14:textId="77777777" w:rsidTr="005032A0">
        <w:trPr>
          <w:trHeight w:val="947"/>
        </w:trPr>
        <w:tc>
          <w:tcPr>
            <w:tcW w:w="5000" w:type="pct"/>
            <w:gridSpan w:val="11"/>
            <w:tcBorders>
              <w:top w:val="nil"/>
              <w:bottom w:val="nil"/>
            </w:tcBorders>
          </w:tcPr>
          <w:p w14:paraId="588FFA6A" w14:textId="77777777" w:rsidR="001C0E95" w:rsidRPr="001C0E95" w:rsidRDefault="001C0E95" w:rsidP="001C0E95">
            <w:pPr>
              <w:spacing w:before="60" w:after="0" w:line="240" w:lineRule="atLeast"/>
              <w:jc w:val="both"/>
              <w:rPr>
                <w:rFonts w:eastAsia="Calibri" w:cs="Arial"/>
                <w:sz w:val="16"/>
                <w:szCs w:val="16"/>
                <w:lang w:val="en-US" w:eastAsia="pl-PL"/>
              </w:rPr>
            </w:pPr>
            <w:r w:rsidRPr="001C0E95">
              <w:rPr>
                <w:rFonts w:eastAsia="Calibri" w:cs="Arial"/>
                <w:i/>
                <w:sz w:val="16"/>
                <w:szCs w:val="16"/>
                <w:vertAlign w:val="superscript"/>
                <w:lang w:val="en-US" w:eastAsia="pl-PL"/>
              </w:rPr>
              <w:t>a</w:t>
            </w:r>
            <w:r w:rsidRPr="001C0E95">
              <w:rPr>
                <w:rFonts w:eastAsia="Calibri" w:cs="Times New Roman"/>
                <w:i/>
                <w:sz w:val="16"/>
                <w:szCs w:val="16"/>
                <w:lang w:val="en-US" w:eastAsia="pl-PL"/>
              </w:rPr>
              <w:t xml:space="preserve"> </w:t>
            </w:r>
            <w:r w:rsidRPr="001C0E95">
              <w:rPr>
                <w:rFonts w:eastAsia="Calibri" w:cs="Arial"/>
                <w:sz w:val="16"/>
                <w:szCs w:val="16"/>
                <w:lang w:val="en-US" w:eastAsia="pl-PL"/>
              </w:rPr>
              <w:t xml:space="preserve">Level of the thresholds in the 4th quarter of the year. </w:t>
            </w:r>
          </w:p>
          <w:p w14:paraId="26868F8C" w14:textId="77777777" w:rsidR="001C0E95" w:rsidRPr="001C0E95" w:rsidRDefault="001C0E95" w:rsidP="001C0E95">
            <w:pPr>
              <w:spacing w:before="60" w:after="0" w:line="240" w:lineRule="atLeast"/>
              <w:jc w:val="both"/>
              <w:rPr>
                <w:rFonts w:eastAsia="Calibri" w:cs="Arial"/>
                <w:i/>
                <w:sz w:val="16"/>
                <w:szCs w:val="16"/>
                <w:vertAlign w:val="superscript"/>
                <w:lang w:val="en-US" w:eastAsia="pl-PL"/>
              </w:rPr>
            </w:pPr>
            <w:r w:rsidRPr="001C0E95">
              <w:rPr>
                <w:rFonts w:eastAsia="Calibri" w:cs="Arial"/>
                <w:i/>
                <w:sz w:val="16"/>
                <w:szCs w:val="16"/>
                <w:vertAlign w:val="superscript"/>
                <w:lang w:val="en-US" w:eastAsia="pl-PL"/>
              </w:rPr>
              <w:t>b</w:t>
            </w:r>
            <w:r w:rsidRPr="001C0E95">
              <w:rPr>
                <w:rFonts w:eastAsia="Calibri" w:cs="Arial"/>
                <w:sz w:val="16"/>
                <w:szCs w:val="16"/>
                <w:lang w:val="en-US" w:eastAsia="pl-PL"/>
              </w:rPr>
              <w:t xml:space="preserve"> </w:t>
            </w:r>
            <w:r w:rsidRPr="001C0E95">
              <w:rPr>
                <w:rFonts w:eastAsia="Calibri" w:cs="Arial"/>
                <w:iCs/>
                <w:sz w:val="16"/>
                <w:szCs w:val="16"/>
                <w:lang w:val="en-US" w:eastAsia="pl-PL"/>
              </w:rPr>
              <w:t xml:space="preserve">Poverty line for a person living alone was: from October </w:t>
            </w:r>
            <w:r w:rsidRPr="001C0E95">
              <w:rPr>
                <w:rFonts w:eastAsia="Calibri" w:cs="Arial"/>
                <w:sz w:val="16"/>
                <w:szCs w:val="16"/>
                <w:lang w:val="en-US" w:eastAsia="pl-PL"/>
              </w:rPr>
              <w:t xml:space="preserve">2015  to September 2018 – PLN 634, since October 2018 – PLN 701. The line per person being a member of multi-level household was: </w:t>
            </w:r>
            <w:r w:rsidRPr="001C0E95">
              <w:rPr>
                <w:rFonts w:eastAsia="Calibri" w:cs="Arial"/>
                <w:iCs/>
                <w:sz w:val="16"/>
                <w:szCs w:val="16"/>
                <w:lang w:val="en-US" w:eastAsia="pl-PL"/>
              </w:rPr>
              <w:t xml:space="preserve"> from October </w:t>
            </w:r>
            <w:r w:rsidRPr="001C0E95">
              <w:rPr>
                <w:rFonts w:eastAsia="Calibri" w:cs="Arial"/>
                <w:sz w:val="16"/>
                <w:szCs w:val="16"/>
                <w:lang w:val="en-US" w:eastAsia="pl-PL"/>
              </w:rPr>
              <w:t>2015  to September 2018 – PLN 514, since October 2018 – PLN 528.</w:t>
            </w:r>
          </w:p>
        </w:tc>
      </w:tr>
    </w:tbl>
    <w:p w14:paraId="2E7FE402" w14:textId="77777777" w:rsidR="00277364" w:rsidRDefault="00277364" w:rsidP="001C0E95">
      <w:pPr>
        <w:autoSpaceDE w:val="0"/>
        <w:autoSpaceDN w:val="0"/>
        <w:adjustRightInd w:val="0"/>
        <w:spacing w:after="0" w:line="240" w:lineRule="auto"/>
        <w:jc w:val="both"/>
        <w:rPr>
          <w:rFonts w:cs="Fira Sans"/>
          <w:color w:val="000000"/>
          <w:szCs w:val="19"/>
          <w:lang w:val="en-GB"/>
        </w:rPr>
      </w:pPr>
    </w:p>
    <w:p w14:paraId="7C1D851E" w14:textId="77777777" w:rsidR="00277364" w:rsidRPr="001E786B" w:rsidRDefault="00277364" w:rsidP="001C0E95">
      <w:pPr>
        <w:autoSpaceDE w:val="0"/>
        <w:autoSpaceDN w:val="0"/>
        <w:adjustRightInd w:val="0"/>
        <w:spacing w:after="0" w:line="240" w:lineRule="auto"/>
        <w:jc w:val="both"/>
        <w:rPr>
          <w:rFonts w:cs="Fira Sans"/>
          <w:color w:val="000000"/>
          <w:szCs w:val="19"/>
          <w:lang w:val="en-GB"/>
        </w:rPr>
      </w:pPr>
    </w:p>
    <w:p w14:paraId="7B5AE129" w14:textId="687CEA30" w:rsidR="00277364" w:rsidRPr="001E786B" w:rsidRDefault="00277364" w:rsidP="00CE3DFA">
      <w:pPr>
        <w:autoSpaceDE w:val="0"/>
        <w:autoSpaceDN w:val="0"/>
        <w:adjustRightInd w:val="0"/>
        <w:spacing w:after="0" w:line="240" w:lineRule="auto"/>
        <w:rPr>
          <w:rFonts w:cs="Fira Sans"/>
          <w:color w:val="000000"/>
          <w:szCs w:val="19"/>
          <w:lang w:val="en-GB"/>
        </w:rPr>
      </w:pPr>
      <w:r w:rsidRPr="001E786B">
        <w:rPr>
          <w:szCs w:val="19"/>
          <w:lang w:val="en-US"/>
        </w:rPr>
        <w:t>Like the level of extreme poverty, the level of privation was varied. It was most often experienced by the same groups of households. In 2019, the highest percentages of people living in privation were recorded among households living on unearned sources other than pensions, farmers' households and households where the head of household had at most lower secondary education (60-62% each). A high value - more than 55% - of the privation rate was also recorded among households with at least 3 children under 18. The privation rate in rural areas (52%) was definitely higher than in urban areas (depending on the city or town size class - from 18% to 40%).</w:t>
      </w:r>
    </w:p>
    <w:p w14:paraId="1388C384" w14:textId="77777777" w:rsidR="00277364" w:rsidRPr="001E786B" w:rsidRDefault="00277364" w:rsidP="00CE3DFA">
      <w:pPr>
        <w:autoSpaceDE w:val="0"/>
        <w:autoSpaceDN w:val="0"/>
        <w:adjustRightInd w:val="0"/>
        <w:spacing w:after="0" w:line="240" w:lineRule="auto"/>
        <w:rPr>
          <w:rFonts w:cs="Fira Sans"/>
          <w:color w:val="000000"/>
          <w:szCs w:val="19"/>
          <w:lang w:val="en-GB"/>
        </w:rPr>
      </w:pPr>
    </w:p>
    <w:p w14:paraId="6A238E95" w14:textId="77777777" w:rsidR="00025FCF" w:rsidRPr="001E786B" w:rsidRDefault="001C0E95" w:rsidP="00CE3DFA">
      <w:pPr>
        <w:autoSpaceDE w:val="0"/>
        <w:autoSpaceDN w:val="0"/>
        <w:adjustRightInd w:val="0"/>
        <w:spacing w:after="0" w:line="240" w:lineRule="auto"/>
        <w:rPr>
          <w:noProof/>
          <w:szCs w:val="19"/>
          <w:lang w:val="en-US" w:eastAsia="pl-PL"/>
        </w:rPr>
      </w:pPr>
      <w:r w:rsidRPr="001E786B">
        <w:rPr>
          <w:rFonts w:cs="Fira Sans"/>
          <w:color w:val="000000"/>
          <w:szCs w:val="19"/>
          <w:lang w:val="en-GB"/>
        </w:rPr>
        <w:t>In the case of quoting data from the Statistics Poland, please provide information: "Statistics Poland data source", and in the case of publishing calculations made on data published by the Statistics Poland, please provide information: "Own study based on Statistics Poland data".</w:t>
      </w:r>
    </w:p>
    <w:p w14:paraId="7121CA42" w14:textId="77777777" w:rsidR="00207C9A" w:rsidRPr="001E786B" w:rsidRDefault="00207C9A" w:rsidP="008A720C">
      <w:pPr>
        <w:spacing w:before="240" w:line="240" w:lineRule="auto"/>
        <w:rPr>
          <w:noProof/>
          <w:szCs w:val="19"/>
          <w:lang w:val="en-US" w:eastAsia="pl-PL"/>
        </w:rPr>
      </w:pPr>
    </w:p>
    <w:p w14:paraId="385947E7" w14:textId="77777777" w:rsidR="00207C9A" w:rsidRPr="00947FE7" w:rsidRDefault="00207C9A" w:rsidP="008A720C">
      <w:pPr>
        <w:spacing w:before="240" w:line="240" w:lineRule="auto"/>
        <w:rPr>
          <w:noProof/>
          <w:szCs w:val="19"/>
          <w:lang w:val="en-US" w:eastAsia="pl-PL"/>
        </w:rPr>
      </w:pPr>
    </w:p>
    <w:p w14:paraId="5428418F" w14:textId="77777777" w:rsidR="00391B62" w:rsidRPr="00947FE7" w:rsidRDefault="00391B62" w:rsidP="008A720C">
      <w:pPr>
        <w:spacing w:before="240" w:line="240" w:lineRule="auto"/>
        <w:rPr>
          <w:noProof/>
          <w:szCs w:val="19"/>
          <w:lang w:val="en-US" w:eastAsia="pl-PL"/>
        </w:rPr>
        <w:sectPr w:rsidR="00391B62" w:rsidRPr="00947FE7" w:rsidSect="00EF7B36">
          <w:headerReference w:type="default" r:id="rId19"/>
          <w:footerReference w:type="default" r:id="rId20"/>
          <w:headerReference w:type="first" r:id="rId21"/>
          <w:footerReference w:type="first" r:id="rId22"/>
          <w:footnotePr>
            <w:numFmt w:val="lowerLetter"/>
          </w:footnotePr>
          <w:pgSz w:w="11906" w:h="16838"/>
          <w:pgMar w:top="720" w:right="3119" w:bottom="720" w:left="720" w:header="284" w:footer="283" w:gutter="0"/>
          <w:cols w:space="708"/>
          <w:titlePg/>
          <w:docGrid w:linePitch="360"/>
        </w:sectPr>
      </w:pPr>
    </w:p>
    <w:tbl>
      <w:tblPr>
        <w:tblpPr w:leftFromText="141" w:rightFromText="141" w:vertAnchor="text" w:horzAnchor="margin" w:tblpY="-95"/>
        <w:tblW w:w="0" w:type="auto"/>
        <w:tblLook w:val="04A0" w:firstRow="1" w:lastRow="0" w:firstColumn="1" w:lastColumn="0" w:noHBand="0" w:noVBand="1"/>
      </w:tblPr>
      <w:tblGrid>
        <w:gridCol w:w="4240"/>
        <w:gridCol w:w="3827"/>
      </w:tblGrid>
      <w:tr w:rsidR="009827E8" w:rsidRPr="00603604" w14:paraId="11C08D39" w14:textId="77777777" w:rsidTr="00CD0188">
        <w:trPr>
          <w:trHeight w:val="1912"/>
        </w:trPr>
        <w:tc>
          <w:tcPr>
            <w:tcW w:w="4240" w:type="dxa"/>
          </w:tcPr>
          <w:p w14:paraId="2767E038" w14:textId="77777777" w:rsidR="009827E8" w:rsidRPr="009827E8" w:rsidRDefault="009827E8" w:rsidP="009827E8">
            <w:pPr>
              <w:spacing w:before="0" w:after="0" w:line="276" w:lineRule="auto"/>
              <w:rPr>
                <w:rFonts w:cs="Arial"/>
                <w:color w:val="000000" w:themeColor="text1"/>
                <w:sz w:val="20"/>
                <w:lang w:val="en-US"/>
              </w:rPr>
            </w:pPr>
            <w:r w:rsidRPr="009827E8">
              <w:rPr>
                <w:rFonts w:cs="Arial"/>
                <w:color w:val="000000" w:themeColor="text1"/>
                <w:sz w:val="20"/>
                <w:lang w:val="en-US"/>
              </w:rPr>
              <w:lastRenderedPageBreak/>
              <w:t>Prepared by:</w:t>
            </w:r>
          </w:p>
          <w:p w14:paraId="571192F1" w14:textId="77777777" w:rsidR="009827E8" w:rsidRPr="009827E8" w:rsidRDefault="009827E8" w:rsidP="009827E8">
            <w:pPr>
              <w:keepNext/>
              <w:keepLines/>
              <w:spacing w:before="0" w:after="0" w:line="276" w:lineRule="auto"/>
              <w:outlineLvl w:val="2"/>
              <w:rPr>
                <w:rFonts w:cs="Arial"/>
                <w:b/>
                <w:color w:val="000000" w:themeColor="text1"/>
                <w:sz w:val="20"/>
                <w:lang w:val="en-GB"/>
              </w:rPr>
            </w:pPr>
            <w:r w:rsidRPr="009827E8">
              <w:rPr>
                <w:rFonts w:cs="Arial"/>
                <w:b/>
                <w:color w:val="000000" w:themeColor="text1"/>
                <w:sz w:val="20"/>
                <w:lang w:val="en-GB"/>
              </w:rPr>
              <w:t>Social Surveys Department</w:t>
            </w:r>
          </w:p>
          <w:p w14:paraId="583F1625" w14:textId="77777777" w:rsidR="009827E8" w:rsidRPr="009827E8" w:rsidRDefault="009827E8" w:rsidP="009827E8">
            <w:pPr>
              <w:keepNext/>
              <w:keepLines/>
              <w:spacing w:before="0" w:after="0" w:line="276" w:lineRule="auto"/>
              <w:outlineLvl w:val="2"/>
              <w:rPr>
                <w:rFonts w:eastAsiaTheme="majorEastAsia" w:cs="Arial"/>
                <w:b/>
                <w:color w:val="000000" w:themeColor="text1"/>
                <w:sz w:val="20"/>
                <w:szCs w:val="28"/>
                <w:lang w:val="en-GB"/>
              </w:rPr>
            </w:pPr>
            <w:r w:rsidRPr="009827E8">
              <w:rPr>
                <w:rFonts w:eastAsiaTheme="majorEastAsia" w:cs="Arial"/>
                <w:b/>
                <w:color w:val="000000" w:themeColor="text1"/>
                <w:sz w:val="20"/>
                <w:szCs w:val="28"/>
                <w:lang w:val="en-GB"/>
              </w:rPr>
              <w:t>Deputy Director Małgorzata Żyra</w:t>
            </w:r>
          </w:p>
          <w:p w14:paraId="0741672E" w14:textId="77777777" w:rsidR="009827E8" w:rsidRPr="009827E8" w:rsidRDefault="009827E8" w:rsidP="009827E8">
            <w:pPr>
              <w:keepNext/>
              <w:keepLines/>
              <w:spacing w:before="0" w:after="0" w:line="240" w:lineRule="auto"/>
              <w:outlineLvl w:val="2"/>
              <w:rPr>
                <w:rFonts w:eastAsiaTheme="majorEastAsia" w:cs="Arial"/>
                <w:color w:val="000000" w:themeColor="text1"/>
                <w:sz w:val="20"/>
                <w:szCs w:val="24"/>
                <w:lang w:val="fi-FI"/>
              </w:rPr>
            </w:pPr>
            <w:r w:rsidRPr="009827E8">
              <w:rPr>
                <w:rFonts w:eastAsiaTheme="majorEastAsia" w:cs="Arial"/>
                <w:color w:val="000000" w:themeColor="text1"/>
                <w:sz w:val="20"/>
                <w:szCs w:val="24"/>
                <w:lang w:val="en-GB"/>
              </w:rPr>
              <w:t>Office: tel. (+ 48 22)</w:t>
            </w:r>
            <w:r w:rsidRPr="009827E8">
              <w:rPr>
                <w:rFonts w:asciiTheme="majorHAnsi" w:eastAsiaTheme="majorEastAsia" w:hAnsiTheme="majorHAnsi" w:cstheme="majorBidi"/>
                <w:color w:val="1F4D78" w:themeColor="accent1" w:themeShade="7F"/>
                <w:sz w:val="24"/>
                <w:szCs w:val="24"/>
                <w:lang w:val="en-GB"/>
              </w:rPr>
              <w:t xml:space="preserve"> </w:t>
            </w:r>
            <w:r w:rsidRPr="009827E8">
              <w:rPr>
                <w:rFonts w:eastAsiaTheme="majorEastAsia" w:cs="Arial"/>
                <w:color w:val="000000" w:themeColor="text1"/>
                <w:sz w:val="20"/>
                <w:szCs w:val="24"/>
                <w:lang w:val="en-GB"/>
              </w:rPr>
              <w:t>608 31 22</w:t>
            </w:r>
          </w:p>
          <w:p w14:paraId="73200C1A" w14:textId="77777777" w:rsidR="009827E8" w:rsidRPr="009827E8" w:rsidRDefault="009827E8" w:rsidP="009827E8">
            <w:pPr>
              <w:keepNext/>
              <w:keepLines/>
              <w:spacing w:before="0" w:after="0" w:line="240" w:lineRule="auto"/>
              <w:outlineLvl w:val="2"/>
              <w:rPr>
                <w:rFonts w:eastAsiaTheme="majorEastAsia" w:cstheme="majorBidi"/>
                <w:color w:val="000000" w:themeColor="text1"/>
                <w:sz w:val="24"/>
                <w:szCs w:val="24"/>
                <w:lang w:val="fi-FI"/>
              </w:rPr>
            </w:pPr>
          </w:p>
        </w:tc>
        <w:tc>
          <w:tcPr>
            <w:tcW w:w="3827" w:type="dxa"/>
          </w:tcPr>
          <w:p w14:paraId="2F7D2AB9" w14:textId="77777777" w:rsidR="009827E8" w:rsidRPr="009827E8" w:rsidRDefault="009827E8" w:rsidP="009827E8">
            <w:pPr>
              <w:spacing w:before="0" w:after="0" w:line="276" w:lineRule="auto"/>
              <w:rPr>
                <w:rFonts w:cs="Fira Sans Extra Condensed"/>
                <w:color w:val="000000"/>
                <w:sz w:val="20"/>
                <w:szCs w:val="20"/>
                <w:lang w:val="en-US"/>
              </w:rPr>
            </w:pPr>
            <w:r w:rsidRPr="009827E8">
              <w:rPr>
                <w:rFonts w:cs="Arial"/>
                <w:color w:val="000000" w:themeColor="text1"/>
                <w:sz w:val="20"/>
                <w:lang w:val="en-US"/>
              </w:rPr>
              <w:t>Issued by:</w:t>
            </w:r>
            <w:r w:rsidRPr="009827E8">
              <w:rPr>
                <w:rFonts w:cs="Arial"/>
                <w:color w:val="000000" w:themeColor="text1"/>
                <w:sz w:val="20"/>
                <w:lang w:val="en-US"/>
              </w:rPr>
              <w:br/>
            </w:r>
            <w:r w:rsidRPr="009827E8">
              <w:rPr>
                <w:rFonts w:cs="Arial"/>
                <w:b/>
                <w:sz w:val="20"/>
                <w:lang w:val="en-US"/>
              </w:rPr>
              <w:t>The Spokesperson for the Presiden</w:t>
            </w:r>
            <w:r w:rsidRPr="009827E8">
              <w:rPr>
                <w:rFonts w:cs="Arial"/>
                <w:b/>
                <w:color w:val="000000" w:themeColor="text1"/>
                <w:sz w:val="20"/>
                <w:lang w:val="en-US"/>
              </w:rPr>
              <w:t xml:space="preserve">t </w:t>
            </w:r>
          </w:p>
          <w:p w14:paraId="6FDCB69F" w14:textId="77777777" w:rsidR="009827E8" w:rsidRPr="009827E8" w:rsidRDefault="009827E8" w:rsidP="009827E8">
            <w:pPr>
              <w:autoSpaceDE w:val="0"/>
              <w:autoSpaceDN w:val="0"/>
              <w:adjustRightInd w:val="0"/>
              <w:spacing w:before="0" w:after="0" w:line="240" w:lineRule="auto"/>
              <w:rPr>
                <w:rFonts w:cs="Arial"/>
                <w:b/>
                <w:sz w:val="20"/>
                <w:lang w:val="en-US"/>
              </w:rPr>
            </w:pPr>
            <w:r w:rsidRPr="009827E8">
              <w:rPr>
                <w:rFonts w:cs="Arial"/>
                <w:b/>
                <w:sz w:val="20"/>
                <w:lang w:val="en-US"/>
              </w:rPr>
              <w:t xml:space="preserve">of Statistics Poland </w:t>
            </w:r>
          </w:p>
          <w:p w14:paraId="0156F38B" w14:textId="77777777" w:rsidR="009827E8" w:rsidRPr="009827E8" w:rsidRDefault="009827E8" w:rsidP="009827E8">
            <w:pPr>
              <w:keepNext/>
              <w:keepLines/>
              <w:spacing w:before="0" w:after="0" w:line="240" w:lineRule="auto"/>
              <w:outlineLvl w:val="2"/>
              <w:rPr>
                <w:rFonts w:eastAsiaTheme="majorEastAsia" w:cs="Arial"/>
                <w:b/>
                <w:color w:val="000000" w:themeColor="text1"/>
                <w:sz w:val="20"/>
                <w:szCs w:val="28"/>
                <w:lang w:val="en-US"/>
              </w:rPr>
            </w:pPr>
            <w:r w:rsidRPr="009827E8">
              <w:rPr>
                <w:rFonts w:eastAsiaTheme="majorEastAsia" w:cs="Arial"/>
                <w:b/>
                <w:color w:val="000000" w:themeColor="text1"/>
                <w:sz w:val="20"/>
                <w:szCs w:val="28"/>
                <w:lang w:val="en-US"/>
              </w:rPr>
              <w:t>Karolina</w:t>
            </w:r>
            <w:r w:rsidRPr="009827E8">
              <w:rPr>
                <w:rFonts w:eastAsiaTheme="majorEastAsia" w:cs="Arial"/>
                <w:b/>
                <w:sz w:val="20"/>
                <w:szCs w:val="28"/>
                <w:lang w:val="en-US"/>
              </w:rPr>
              <w:t xml:space="preserve"> Banaszek</w:t>
            </w:r>
          </w:p>
          <w:p w14:paraId="7FC9BFAF" w14:textId="77777777" w:rsidR="009827E8" w:rsidRPr="009827E8" w:rsidRDefault="009827E8" w:rsidP="009827E8">
            <w:pPr>
              <w:keepNext/>
              <w:keepLines/>
              <w:spacing w:before="0" w:after="0" w:line="240" w:lineRule="auto"/>
              <w:outlineLvl w:val="2"/>
              <w:rPr>
                <w:rFonts w:eastAsiaTheme="majorEastAsia" w:cs="Arial"/>
                <w:color w:val="000000" w:themeColor="text1"/>
                <w:sz w:val="20"/>
                <w:szCs w:val="24"/>
                <w:lang w:val="fi-FI"/>
              </w:rPr>
            </w:pPr>
            <w:r w:rsidRPr="009827E8">
              <w:rPr>
                <w:rFonts w:eastAsiaTheme="majorEastAsia" w:cstheme="majorBidi"/>
                <w:sz w:val="20"/>
                <w:szCs w:val="24"/>
                <w:lang w:val="en-US"/>
              </w:rPr>
              <w:t xml:space="preserve">Mobile: (+48) </w:t>
            </w:r>
            <w:r w:rsidRPr="009827E8">
              <w:rPr>
                <w:rFonts w:eastAsiaTheme="majorEastAsia" w:cs="Arial"/>
                <w:color w:val="000000" w:themeColor="text1"/>
                <w:sz w:val="20"/>
                <w:szCs w:val="24"/>
                <w:lang w:val="fi-FI"/>
              </w:rPr>
              <w:t>695 255 011</w:t>
            </w:r>
          </w:p>
          <w:p w14:paraId="79CB9282" w14:textId="77777777" w:rsidR="009827E8" w:rsidRPr="009827E8" w:rsidRDefault="009827E8" w:rsidP="009827E8">
            <w:pPr>
              <w:keepNext/>
              <w:keepLines/>
              <w:spacing w:before="0" w:after="0" w:line="240" w:lineRule="auto"/>
              <w:outlineLvl w:val="2"/>
              <w:rPr>
                <w:rFonts w:eastAsiaTheme="majorEastAsia" w:cs="Arial"/>
                <w:color w:val="000000" w:themeColor="text1"/>
                <w:sz w:val="20"/>
                <w:szCs w:val="20"/>
                <w:lang w:val="en-US"/>
              </w:rPr>
            </w:pPr>
          </w:p>
        </w:tc>
      </w:tr>
    </w:tbl>
    <w:tbl>
      <w:tblPr>
        <w:tblStyle w:val="Tabela-Siatka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9827E8" w:rsidRPr="00603604" w14:paraId="1703C309" w14:textId="77777777" w:rsidTr="00CD0188">
        <w:trPr>
          <w:trHeight w:val="610"/>
        </w:trPr>
        <w:tc>
          <w:tcPr>
            <w:tcW w:w="2721" w:type="pct"/>
            <w:vMerge w:val="restart"/>
          </w:tcPr>
          <w:p w14:paraId="22F69143" w14:textId="77777777" w:rsidR="009827E8" w:rsidRPr="009827E8" w:rsidRDefault="009827E8" w:rsidP="009827E8">
            <w:pPr>
              <w:rPr>
                <w:b/>
                <w:sz w:val="20"/>
                <w:lang w:val="en-US"/>
              </w:rPr>
            </w:pPr>
            <w:bookmarkStart w:id="0" w:name="_GoBack" w:colFirst="3" w:colLast="3"/>
            <w:r w:rsidRPr="009827E8">
              <w:rPr>
                <w:b/>
                <w:sz w:val="20"/>
                <w:lang w:val="en-US"/>
              </w:rPr>
              <w:t xml:space="preserve">Press Office </w:t>
            </w:r>
          </w:p>
          <w:p w14:paraId="682F6ABD" w14:textId="77777777" w:rsidR="009827E8" w:rsidRPr="009827E8" w:rsidRDefault="009827E8" w:rsidP="009827E8">
            <w:pPr>
              <w:rPr>
                <w:sz w:val="20"/>
                <w:lang w:val="en-US"/>
              </w:rPr>
            </w:pPr>
            <w:r w:rsidRPr="009827E8">
              <w:rPr>
                <w:sz w:val="20"/>
                <w:lang w:val="en-US"/>
              </w:rPr>
              <w:t xml:space="preserve">Office: tel. (+48 22) 608 34 91, 22 608 38 04 </w:t>
            </w:r>
          </w:p>
          <w:p w14:paraId="7E1EC5B9" w14:textId="77777777" w:rsidR="009827E8" w:rsidRPr="009827E8" w:rsidRDefault="009827E8" w:rsidP="009827E8">
            <w:pPr>
              <w:rPr>
                <w:sz w:val="18"/>
                <w:lang w:val="en-US"/>
              </w:rPr>
            </w:pPr>
            <w:r w:rsidRPr="009827E8">
              <w:rPr>
                <w:b/>
                <w:sz w:val="20"/>
                <w:lang w:val="en-US"/>
              </w:rPr>
              <w:t>e-mail:</w:t>
            </w:r>
            <w:r w:rsidRPr="009827E8">
              <w:rPr>
                <w:sz w:val="20"/>
                <w:lang w:val="en-US"/>
              </w:rPr>
              <w:t xml:space="preserve"> </w:t>
            </w:r>
            <w:hyperlink r:id="rId23" w:history="1">
              <w:r w:rsidRPr="00CE3DFA">
                <w:rPr>
                  <w:rFonts w:eastAsiaTheme="majorEastAsia" w:cs="Arial"/>
                  <w:b/>
                  <w:sz w:val="20"/>
                  <w:szCs w:val="20"/>
                  <w:u w:val="single"/>
                  <w:lang w:val="en-US"/>
                </w:rPr>
                <w:t>obslugaprasowa@stat.gov.pl</w:t>
              </w:r>
            </w:hyperlink>
          </w:p>
        </w:tc>
        <w:tc>
          <w:tcPr>
            <w:tcW w:w="369" w:type="pct"/>
            <w:vAlign w:val="center"/>
          </w:tcPr>
          <w:p w14:paraId="7D944E14" w14:textId="77777777" w:rsidR="009827E8" w:rsidRPr="009827E8" w:rsidRDefault="009827E8" w:rsidP="009827E8">
            <w:pPr>
              <w:rPr>
                <w:sz w:val="18"/>
                <w:lang w:val="en-US"/>
              </w:rPr>
            </w:pPr>
            <w:r w:rsidRPr="009827E8">
              <w:rPr>
                <w:noProof/>
                <w:sz w:val="20"/>
                <w:lang w:eastAsia="pl-PL"/>
              </w:rPr>
              <w:drawing>
                <wp:anchor distT="0" distB="0" distL="114300" distR="114300" simplePos="0" relativeHeight="251852800" behindDoc="0" locked="0" layoutInCell="1" allowOverlap="1" wp14:anchorId="5BC83209" wp14:editId="2A34771C">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vAlign w:val="center"/>
          </w:tcPr>
          <w:p w14:paraId="3D84497B" w14:textId="77777777" w:rsidR="009827E8" w:rsidRPr="009827E8" w:rsidRDefault="009827E8" w:rsidP="009827E8">
            <w:pPr>
              <w:rPr>
                <w:sz w:val="18"/>
                <w:lang w:val="en-US"/>
              </w:rPr>
            </w:pPr>
            <w:r w:rsidRPr="009827E8">
              <w:rPr>
                <w:sz w:val="20"/>
                <w:lang w:val="en-US"/>
              </w:rPr>
              <w:t>www.stat.gov.pl/en/</w:t>
            </w:r>
          </w:p>
        </w:tc>
      </w:tr>
      <w:tr w:rsidR="009827E8" w:rsidRPr="009827E8" w14:paraId="55EA3B70" w14:textId="77777777" w:rsidTr="00CD0188">
        <w:trPr>
          <w:trHeight w:val="436"/>
        </w:trPr>
        <w:tc>
          <w:tcPr>
            <w:tcW w:w="2721" w:type="pct"/>
            <w:vMerge/>
            <w:vAlign w:val="center"/>
          </w:tcPr>
          <w:p w14:paraId="065DF176" w14:textId="77777777" w:rsidR="009827E8" w:rsidRPr="009827E8" w:rsidRDefault="009827E8" w:rsidP="009827E8">
            <w:pPr>
              <w:rPr>
                <w:sz w:val="18"/>
                <w:lang w:val="en-US"/>
              </w:rPr>
            </w:pPr>
          </w:p>
        </w:tc>
        <w:tc>
          <w:tcPr>
            <w:tcW w:w="369" w:type="pct"/>
            <w:vAlign w:val="center"/>
          </w:tcPr>
          <w:p w14:paraId="5D04F064" w14:textId="77777777" w:rsidR="009827E8" w:rsidRPr="009827E8" w:rsidRDefault="009827E8" w:rsidP="009827E8">
            <w:pPr>
              <w:rPr>
                <w:sz w:val="18"/>
                <w:lang w:val="en-US"/>
              </w:rPr>
            </w:pPr>
            <w:r w:rsidRPr="009827E8">
              <w:rPr>
                <w:noProof/>
                <w:sz w:val="20"/>
                <w:lang w:eastAsia="pl-PL"/>
              </w:rPr>
              <w:drawing>
                <wp:anchor distT="0" distB="0" distL="114300" distR="114300" simplePos="0" relativeHeight="251854848" behindDoc="0" locked="0" layoutInCell="1" allowOverlap="1" wp14:anchorId="39CA3FF8" wp14:editId="1F04DBEC">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14:paraId="218712D5" w14:textId="77777777" w:rsidR="009827E8" w:rsidRPr="009827E8" w:rsidRDefault="009827E8" w:rsidP="009827E8">
            <w:pPr>
              <w:rPr>
                <w:sz w:val="18"/>
                <w:lang w:val="en-US"/>
              </w:rPr>
            </w:pPr>
            <w:r w:rsidRPr="009827E8">
              <w:rPr>
                <w:sz w:val="20"/>
                <w:lang w:val="en-US"/>
              </w:rPr>
              <w:t>@</w:t>
            </w:r>
            <w:proofErr w:type="spellStart"/>
            <w:r w:rsidRPr="009827E8">
              <w:rPr>
                <w:sz w:val="20"/>
                <w:lang w:val="en-US"/>
              </w:rPr>
              <w:t>StatPoland</w:t>
            </w:r>
            <w:proofErr w:type="spellEnd"/>
          </w:p>
        </w:tc>
      </w:tr>
      <w:tr w:rsidR="009827E8" w:rsidRPr="009827E8" w14:paraId="77A06A00" w14:textId="77777777" w:rsidTr="00CD0188">
        <w:trPr>
          <w:trHeight w:val="436"/>
        </w:trPr>
        <w:tc>
          <w:tcPr>
            <w:tcW w:w="2721" w:type="pct"/>
            <w:vMerge/>
            <w:vAlign w:val="center"/>
          </w:tcPr>
          <w:p w14:paraId="15F70B29" w14:textId="77777777" w:rsidR="009827E8" w:rsidRPr="009827E8" w:rsidRDefault="009827E8" w:rsidP="009827E8">
            <w:pPr>
              <w:rPr>
                <w:sz w:val="18"/>
                <w:lang w:val="en-US"/>
              </w:rPr>
            </w:pPr>
          </w:p>
        </w:tc>
        <w:tc>
          <w:tcPr>
            <w:tcW w:w="369" w:type="pct"/>
            <w:vAlign w:val="center"/>
          </w:tcPr>
          <w:p w14:paraId="4173E4B5" w14:textId="77777777" w:rsidR="009827E8" w:rsidRPr="009827E8" w:rsidRDefault="009827E8" w:rsidP="009827E8">
            <w:pPr>
              <w:rPr>
                <w:sz w:val="18"/>
                <w:lang w:val="en-US"/>
              </w:rPr>
            </w:pPr>
            <w:r w:rsidRPr="009827E8">
              <w:rPr>
                <w:noProof/>
                <w:sz w:val="20"/>
                <w:lang w:eastAsia="pl-PL"/>
              </w:rPr>
              <w:drawing>
                <wp:anchor distT="0" distB="0" distL="114300" distR="114300" simplePos="0" relativeHeight="251853824" behindDoc="0" locked="0" layoutInCell="1" allowOverlap="1" wp14:anchorId="1875A382" wp14:editId="740E8399">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14:paraId="1619D22B" w14:textId="77777777" w:rsidR="009827E8" w:rsidRPr="009827E8" w:rsidRDefault="009827E8" w:rsidP="009827E8">
            <w:pPr>
              <w:rPr>
                <w:sz w:val="20"/>
                <w:lang w:val="en-US"/>
              </w:rPr>
            </w:pPr>
            <w:r w:rsidRPr="009827E8">
              <w:rPr>
                <w:sz w:val="20"/>
                <w:lang w:val="en-US"/>
              </w:rPr>
              <w:t>@</w:t>
            </w:r>
            <w:proofErr w:type="spellStart"/>
            <w:r w:rsidRPr="009827E8">
              <w:rPr>
                <w:sz w:val="20"/>
                <w:lang w:val="en-US"/>
              </w:rPr>
              <w:t>GlownyUrzadStatystyczny</w:t>
            </w:r>
            <w:proofErr w:type="spellEnd"/>
          </w:p>
        </w:tc>
      </w:tr>
    </w:tbl>
    <w:bookmarkEnd w:id="0"/>
    <w:p w14:paraId="600F6C8C" w14:textId="26C48763" w:rsidR="00D261A2" w:rsidRPr="00001C5B" w:rsidRDefault="00387B4E" w:rsidP="00E76D26">
      <w:pPr>
        <w:rPr>
          <w:sz w:val="18"/>
        </w:rPr>
      </w:pPr>
      <w:r>
        <w:rPr>
          <w:noProof/>
          <w:sz w:val="18"/>
          <w:lang w:eastAsia="pl-PL"/>
        </w:rPr>
        <mc:AlternateContent>
          <mc:Choice Requires="wps">
            <w:drawing>
              <wp:anchor distT="45720" distB="45720" distL="114300" distR="114300" simplePos="0" relativeHeight="251744256" behindDoc="0" locked="0" layoutInCell="1" allowOverlap="1" wp14:anchorId="6BDB6876" wp14:editId="412E8DE1">
                <wp:simplePos x="0" y="0"/>
                <wp:positionH relativeFrom="margin">
                  <wp:posOffset>-40005</wp:posOffset>
                </wp:positionH>
                <wp:positionV relativeFrom="paragraph">
                  <wp:posOffset>157480</wp:posOffset>
                </wp:positionV>
                <wp:extent cx="6559550" cy="3405505"/>
                <wp:effectExtent l="0" t="0" r="12700" b="2349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3405505"/>
                        </a:xfrm>
                        <a:prstGeom prst="rect">
                          <a:avLst/>
                        </a:prstGeom>
                        <a:solidFill>
                          <a:schemeClr val="bg1">
                            <a:lumMod val="95000"/>
                          </a:schemeClr>
                        </a:solidFill>
                        <a:ln w="9525">
                          <a:solidFill>
                            <a:schemeClr val="bg1"/>
                          </a:solidFill>
                          <a:miter lim="800000"/>
                          <a:headEnd/>
                          <a:tailEnd/>
                        </a:ln>
                      </wps:spPr>
                      <wps:txbx>
                        <w:txbxContent>
                          <w:p w14:paraId="10447E47" w14:textId="77777777" w:rsidR="002C6CCD" w:rsidRPr="00EC18B9" w:rsidRDefault="00714245" w:rsidP="002C6CCD">
                            <w:pPr>
                              <w:rPr>
                                <w:b/>
                                <w:lang w:val="en-US"/>
                              </w:rPr>
                            </w:pPr>
                            <w:r w:rsidRPr="00714245">
                              <w:rPr>
                                <w:b/>
                                <w:lang w:val="en-US"/>
                              </w:rPr>
                              <w:t xml:space="preserve">Related information </w:t>
                            </w:r>
                          </w:p>
                          <w:p w14:paraId="2EAD2FDA" w14:textId="77777777" w:rsidR="00714245" w:rsidRPr="00EC18B9" w:rsidRDefault="003E770A" w:rsidP="00714245">
                            <w:pPr>
                              <w:rPr>
                                <w:color w:val="001D77"/>
                                <w:lang w:val="en-US"/>
                              </w:rPr>
                            </w:pPr>
                            <w:hyperlink r:id="rId27" w:history="1">
                              <w:r w:rsidR="00714245" w:rsidRPr="00EC18B9">
                                <w:rPr>
                                  <w:rStyle w:val="Hipercze"/>
                                  <w:rFonts w:cstheme="minorBidi"/>
                                  <w:color w:val="001D77"/>
                                  <w:lang w:val="en-US"/>
                                </w:rPr>
                                <w:t>Incomes and living conditions of the population in Poland (report from the EU-SILC survey of 2018</w:t>
                              </w:r>
                            </w:hyperlink>
                            <w:r w:rsidR="00714245" w:rsidRPr="00EC18B9">
                              <w:rPr>
                                <w:color w:val="001D77"/>
                                <w:lang w:val="en-US"/>
                              </w:rPr>
                              <w:t>)</w:t>
                            </w:r>
                          </w:p>
                          <w:p w14:paraId="451191AA" w14:textId="77777777" w:rsidR="006E6C09" w:rsidRPr="00EC18B9" w:rsidRDefault="003E770A" w:rsidP="00714245">
                            <w:pPr>
                              <w:spacing w:before="60" w:after="60"/>
                              <w:rPr>
                                <w:rFonts w:eastAsia="Fira Sans Light"/>
                                <w:color w:val="001D77"/>
                                <w:szCs w:val="19"/>
                                <w:u w:val="single"/>
                                <w:lang w:val="en-US"/>
                              </w:rPr>
                            </w:pPr>
                            <w:hyperlink r:id="rId28" w:history="1">
                              <w:r w:rsidR="00575AAC" w:rsidRPr="00EC18B9">
                                <w:rPr>
                                  <w:rStyle w:val="Hipercze"/>
                                  <w:rFonts w:eastAsia="Fira Sans Light" w:cstheme="minorBidi"/>
                                  <w:color w:val="001D77"/>
                                  <w:szCs w:val="19"/>
                                  <w:lang w:val="en-US"/>
                                </w:rPr>
                                <w:t>The situation of households in 2019 - on the base of the result of Household Budget Survey</w:t>
                              </w:r>
                            </w:hyperlink>
                          </w:p>
                          <w:p w14:paraId="0C39683D" w14:textId="210515D6" w:rsidR="00714245" w:rsidRPr="008C517D" w:rsidRDefault="00714245" w:rsidP="00575AAC">
                            <w:pPr>
                              <w:spacing w:before="60" w:after="60"/>
                              <w:rPr>
                                <w:b/>
                                <w:color w:val="000000" w:themeColor="text1"/>
                                <w:szCs w:val="24"/>
                                <w:lang w:val="en-US"/>
                              </w:rPr>
                            </w:pPr>
                          </w:p>
                          <w:p w14:paraId="11609A8B" w14:textId="77777777" w:rsidR="002C6CCD" w:rsidRPr="00EC18B9" w:rsidRDefault="00163155" w:rsidP="002C6CCD">
                            <w:pPr>
                              <w:rPr>
                                <w:b/>
                                <w:color w:val="000000" w:themeColor="text1"/>
                                <w:szCs w:val="24"/>
                                <w:lang w:val="en-US"/>
                              </w:rPr>
                            </w:pPr>
                            <w:r w:rsidRPr="00EC18B9">
                              <w:rPr>
                                <w:b/>
                                <w:color w:val="000000" w:themeColor="text1"/>
                                <w:szCs w:val="24"/>
                                <w:lang w:val="en-US"/>
                              </w:rPr>
                              <w:t>Data available in databases</w:t>
                            </w:r>
                          </w:p>
                          <w:p w14:paraId="42158AAE" w14:textId="77777777" w:rsidR="002C6CCD" w:rsidRPr="00EC18B9" w:rsidRDefault="003E770A" w:rsidP="002C6CCD">
                            <w:pPr>
                              <w:rPr>
                                <w:rStyle w:val="Hipercze"/>
                                <w:color w:val="001D77"/>
                                <w:szCs w:val="19"/>
                                <w:lang w:val="en-US"/>
                              </w:rPr>
                            </w:pPr>
                            <w:hyperlink r:id="rId29" w:history="1">
                              <w:r w:rsidR="001E3516" w:rsidRPr="00EC18B9">
                                <w:rPr>
                                  <w:rStyle w:val="Hipercze"/>
                                  <w:color w:val="001D77"/>
                                  <w:szCs w:val="19"/>
                                  <w:lang w:val="en-US"/>
                                </w:rPr>
                                <w:t>Local</w:t>
                              </w:r>
                              <w:r w:rsidR="002C6CCD" w:rsidRPr="00EC18B9">
                                <w:rPr>
                                  <w:rStyle w:val="Hipercze"/>
                                  <w:color w:val="001D77"/>
                                  <w:szCs w:val="19"/>
                                  <w:lang w:val="en-US"/>
                                </w:rPr>
                                <w:t xml:space="preserve"> Da</w:t>
                              </w:r>
                              <w:r w:rsidR="001E3516" w:rsidRPr="00EC18B9">
                                <w:rPr>
                                  <w:rStyle w:val="Hipercze"/>
                                  <w:color w:val="001D77"/>
                                  <w:szCs w:val="19"/>
                                  <w:lang w:val="en-US"/>
                                </w:rPr>
                                <w:t>ta Bank</w:t>
                              </w:r>
                            </w:hyperlink>
                          </w:p>
                          <w:p w14:paraId="4F761A4A" w14:textId="77777777" w:rsidR="002C6CCD" w:rsidRPr="00EC18B9" w:rsidRDefault="003E770A" w:rsidP="002C6CCD">
                            <w:pPr>
                              <w:rPr>
                                <w:rStyle w:val="Hipercze"/>
                                <w:color w:val="001D77"/>
                                <w:szCs w:val="19"/>
                                <w:lang w:val="en-US"/>
                              </w:rPr>
                            </w:pPr>
                            <w:hyperlink r:id="rId30" w:history="1">
                              <w:r w:rsidR="001E3516" w:rsidRPr="00EC18B9">
                                <w:rPr>
                                  <w:rStyle w:val="Hipercze"/>
                                  <w:color w:val="001D77"/>
                                  <w:szCs w:val="19"/>
                                  <w:lang w:val="en-US"/>
                                </w:rPr>
                                <w:t>Knowledge Database Living Conditions</w:t>
                              </w:r>
                              <w:r w:rsidR="002C6CCD" w:rsidRPr="00EC18B9">
                                <w:rPr>
                                  <w:rStyle w:val="Hipercze"/>
                                  <w:color w:val="001D77"/>
                                  <w:szCs w:val="19"/>
                                  <w:lang w:val="en-US"/>
                                </w:rPr>
                                <w:t>/</w:t>
                              </w:r>
                              <w:r w:rsidR="001E3516" w:rsidRPr="00EC18B9">
                                <w:rPr>
                                  <w:rStyle w:val="Hipercze"/>
                                  <w:color w:val="001D77"/>
                                  <w:szCs w:val="19"/>
                                  <w:lang w:val="en-US"/>
                                </w:rPr>
                                <w:t>Poverty by socio-economic groups</w:t>
                              </w:r>
                            </w:hyperlink>
                          </w:p>
                          <w:p w14:paraId="00DB6400" w14:textId="77777777" w:rsidR="002C6CCD" w:rsidRPr="00EC18B9" w:rsidRDefault="003E770A" w:rsidP="002C6CCD">
                            <w:pPr>
                              <w:rPr>
                                <w:rStyle w:val="Hipercze"/>
                                <w:rFonts w:cstheme="minorBidi"/>
                                <w:color w:val="001D77"/>
                                <w:szCs w:val="19"/>
                                <w:lang w:val="en-US"/>
                              </w:rPr>
                            </w:pPr>
                            <w:hyperlink r:id="rId31" w:history="1">
                              <w:r w:rsidR="001E3516" w:rsidRPr="00EC18B9">
                                <w:rPr>
                                  <w:rStyle w:val="Hipercze"/>
                                  <w:color w:val="001D77"/>
                                  <w:szCs w:val="19"/>
                                  <w:lang w:val="en-US"/>
                                </w:rPr>
                                <w:t>Knowledge Database Living Conditions</w:t>
                              </w:r>
                              <w:r w:rsidR="002C6CCD" w:rsidRPr="00EC18B9">
                                <w:rPr>
                                  <w:rStyle w:val="Hipercze"/>
                                  <w:color w:val="001D77"/>
                                  <w:szCs w:val="19"/>
                                  <w:lang w:val="en-US"/>
                                </w:rPr>
                                <w:t>/</w:t>
                              </w:r>
                              <w:r w:rsidR="001E3516" w:rsidRPr="00EC18B9">
                                <w:rPr>
                                  <w:rStyle w:val="Hipercze"/>
                                  <w:color w:val="001D77"/>
                                  <w:szCs w:val="19"/>
                                  <w:lang w:val="en-US"/>
                                </w:rPr>
                                <w:t>Poverty by urban and rural areas</w:t>
                              </w:r>
                            </w:hyperlink>
                          </w:p>
                          <w:p w14:paraId="7B9802AD" w14:textId="77777777" w:rsidR="001E3516" w:rsidRPr="00EC18B9" w:rsidRDefault="003E770A" w:rsidP="002C6CCD">
                            <w:pPr>
                              <w:rPr>
                                <w:color w:val="001D77"/>
                                <w:szCs w:val="24"/>
                                <w:lang w:val="en-US"/>
                              </w:rPr>
                            </w:pPr>
                            <w:hyperlink r:id="rId32" w:history="1">
                              <w:r w:rsidR="00163155" w:rsidRPr="00EC18B9">
                                <w:rPr>
                                  <w:rStyle w:val="Hipercze"/>
                                  <w:rFonts w:cstheme="minorBidi"/>
                                  <w:color w:val="001D77"/>
                                  <w:szCs w:val="24"/>
                                  <w:lang w:val="en-US"/>
                                </w:rPr>
                                <w:t>Knowledge Database Living conditions/Poverty by voivodships</w:t>
                              </w:r>
                            </w:hyperlink>
                          </w:p>
                          <w:p w14:paraId="11ABAD46" w14:textId="77777777" w:rsidR="00163155" w:rsidRPr="001E3516" w:rsidRDefault="00163155" w:rsidP="002C6CCD">
                            <w:pPr>
                              <w:rPr>
                                <w:b/>
                                <w:color w:val="000000" w:themeColor="text1"/>
                                <w:szCs w:val="24"/>
                                <w:lang w:val="en-US"/>
                              </w:rPr>
                            </w:pPr>
                          </w:p>
                          <w:p w14:paraId="02231034" w14:textId="77777777" w:rsidR="002C6CCD" w:rsidRPr="00EC18B9" w:rsidRDefault="00163155" w:rsidP="002C6CCD">
                            <w:pPr>
                              <w:rPr>
                                <w:b/>
                                <w:color w:val="000000" w:themeColor="text1"/>
                                <w:szCs w:val="24"/>
                                <w:lang w:val="en-US"/>
                              </w:rPr>
                            </w:pPr>
                            <w:r w:rsidRPr="00EC18B9">
                              <w:rPr>
                                <w:b/>
                                <w:color w:val="000000" w:themeColor="text1"/>
                                <w:szCs w:val="24"/>
                                <w:lang w:val="en-US"/>
                              </w:rPr>
                              <w:t>Terms used in official statistics</w:t>
                            </w:r>
                          </w:p>
                          <w:p w14:paraId="16315018" w14:textId="77777777" w:rsidR="002C6CCD" w:rsidRPr="00EC18B9" w:rsidRDefault="003E770A" w:rsidP="002C6CCD">
                            <w:pPr>
                              <w:rPr>
                                <w:rStyle w:val="Hipercze"/>
                                <w:color w:val="001D77"/>
                                <w:szCs w:val="19"/>
                                <w:lang w:val="en-US"/>
                              </w:rPr>
                            </w:pPr>
                            <w:hyperlink r:id="rId33" w:history="1">
                              <w:r w:rsidR="00163155" w:rsidRPr="00EC18B9">
                                <w:rPr>
                                  <w:rStyle w:val="Hipercze"/>
                                  <w:color w:val="001D77"/>
                                  <w:szCs w:val="19"/>
                                  <w:lang w:val="en-US"/>
                                </w:rPr>
                                <w:t>Extreme poverty rate</w:t>
                              </w:r>
                            </w:hyperlink>
                          </w:p>
                          <w:p w14:paraId="7CDA5AD8" w14:textId="77777777" w:rsidR="002C6CCD" w:rsidRPr="00EC18B9" w:rsidRDefault="003E770A" w:rsidP="002C6CCD">
                            <w:pPr>
                              <w:rPr>
                                <w:rStyle w:val="Hipercze"/>
                                <w:color w:val="001D77"/>
                                <w:szCs w:val="19"/>
                                <w:lang w:val="en-US"/>
                              </w:rPr>
                            </w:pPr>
                            <w:hyperlink r:id="rId34" w:history="1">
                              <w:r w:rsidR="00163155" w:rsidRPr="00EC18B9">
                                <w:rPr>
                                  <w:rStyle w:val="Hipercze"/>
                                  <w:color w:val="001D77"/>
                                  <w:szCs w:val="19"/>
                                  <w:lang w:val="en-US"/>
                                </w:rPr>
                                <w:t>Relative poverty rate</w:t>
                              </w:r>
                            </w:hyperlink>
                          </w:p>
                          <w:p w14:paraId="5FDC152A" w14:textId="77777777" w:rsidR="004F7C9F" w:rsidRPr="00EC18B9" w:rsidRDefault="003E770A" w:rsidP="00883763">
                            <w:pPr>
                              <w:rPr>
                                <w:rStyle w:val="Hipercze"/>
                                <w:rFonts w:cstheme="minorBidi"/>
                                <w:color w:val="001D77"/>
                                <w:sz w:val="18"/>
                                <w:lang w:val="en-US"/>
                              </w:rPr>
                            </w:pPr>
                            <w:hyperlink r:id="rId35" w:history="1">
                              <w:r w:rsidR="00163155" w:rsidRPr="00EC18B9">
                                <w:rPr>
                                  <w:rStyle w:val="Hipercze"/>
                                  <w:color w:val="001D77"/>
                                  <w:szCs w:val="19"/>
                                  <w:lang w:val="en-US"/>
                                </w:rPr>
                                <w:t>Legal poverty rate</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DB6876" id="_x0000_s1040" type="#_x0000_t202" style="position:absolute;margin-left:-3.15pt;margin-top:12.4pt;width:516.5pt;height:268.15pt;z-index:251744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" fillcolor="#f2f2f2 [3052]" strokecolor="white [3212]">
                <v:textbox>
                  <w:txbxContent>
                    <w:p w14:paraId="10447E47" w14:textId="77777777" w:rsidR="002C6CCD" w:rsidRPr="00EC18B9" w:rsidRDefault="00714245" w:rsidP="002C6CCD">
                      <w:pPr>
                        <w:rPr>
                          <w:b/>
                          <w:lang w:val="en-US"/>
                        </w:rPr>
                      </w:pPr>
                      <w:r w:rsidRPr="00714245">
                        <w:rPr>
                          <w:b/>
                          <w:lang w:val="en-US"/>
                        </w:rPr>
                        <w:t xml:space="preserve">Related information </w:t>
                      </w:r>
                    </w:p>
                    <w:p w14:paraId="2EAD2FDA" w14:textId="77777777" w:rsidR="00714245" w:rsidRPr="00EC18B9" w:rsidRDefault="000A025C" w:rsidP="00714245">
                      <w:pPr>
                        <w:rPr>
                          <w:color w:val="001D77"/>
                          <w:lang w:val="en-US"/>
                        </w:rPr>
                      </w:pPr>
                      <w:hyperlink r:id="rId37" w:history="1">
                        <w:r w:rsidR="00714245" w:rsidRPr="00EC18B9">
                          <w:rPr>
                            <w:rStyle w:val="Hipercze"/>
                            <w:rFonts w:cstheme="minorBidi"/>
                            <w:color w:val="001D77"/>
                            <w:lang w:val="en-US"/>
                          </w:rPr>
                          <w:t>Incomes and living conditions of the population in Poland (report from the EU-SILC survey of 2018</w:t>
                        </w:r>
                      </w:hyperlink>
                      <w:r w:rsidR="00714245" w:rsidRPr="00EC18B9">
                        <w:rPr>
                          <w:color w:val="001D77"/>
                          <w:lang w:val="en-US"/>
                        </w:rPr>
                        <w:t>)</w:t>
                      </w:r>
                    </w:p>
                    <w:p w14:paraId="451191AA" w14:textId="77777777" w:rsidR="006E6C09" w:rsidRPr="00EC18B9" w:rsidRDefault="000A025C" w:rsidP="00714245">
                      <w:pPr>
                        <w:spacing w:before="60" w:after="60"/>
                        <w:rPr>
                          <w:rFonts w:eastAsia="Fira Sans Light"/>
                          <w:color w:val="001D77"/>
                          <w:szCs w:val="19"/>
                          <w:u w:val="single"/>
                          <w:lang w:val="en-US"/>
                        </w:rPr>
                      </w:pPr>
                      <w:hyperlink r:id="rId38" w:history="1">
                        <w:r w:rsidR="00575AAC" w:rsidRPr="00EC18B9">
                          <w:rPr>
                            <w:rStyle w:val="Hipercze"/>
                            <w:rFonts w:eastAsia="Fira Sans Light" w:cstheme="minorBidi"/>
                            <w:color w:val="001D77"/>
                            <w:szCs w:val="19"/>
                            <w:lang w:val="en-US"/>
                          </w:rPr>
                          <w:t>The situation of households in 2019 - on the base of the result of Household Budget Survey</w:t>
                        </w:r>
                      </w:hyperlink>
                    </w:p>
                    <w:p w14:paraId="0C39683D" w14:textId="210515D6" w:rsidR="00714245" w:rsidRPr="008C517D" w:rsidRDefault="00714245" w:rsidP="00575AAC">
                      <w:pPr>
                        <w:spacing w:before="60" w:after="60"/>
                        <w:rPr>
                          <w:b/>
                          <w:color w:val="000000" w:themeColor="text1"/>
                          <w:szCs w:val="24"/>
                          <w:lang w:val="en-US"/>
                        </w:rPr>
                      </w:pPr>
                    </w:p>
                    <w:p w14:paraId="11609A8B" w14:textId="77777777" w:rsidR="002C6CCD" w:rsidRPr="00EC18B9" w:rsidRDefault="00163155" w:rsidP="002C6CCD">
                      <w:pPr>
                        <w:rPr>
                          <w:b/>
                          <w:color w:val="000000" w:themeColor="text1"/>
                          <w:szCs w:val="24"/>
                          <w:lang w:val="en-US"/>
                        </w:rPr>
                      </w:pPr>
                      <w:r w:rsidRPr="00EC18B9">
                        <w:rPr>
                          <w:b/>
                          <w:color w:val="000000" w:themeColor="text1"/>
                          <w:szCs w:val="24"/>
                          <w:lang w:val="en-US"/>
                        </w:rPr>
                        <w:t>Data available in databases</w:t>
                      </w:r>
                    </w:p>
                    <w:p w14:paraId="42158AAE" w14:textId="77777777" w:rsidR="002C6CCD" w:rsidRPr="00EC18B9" w:rsidRDefault="000A025C" w:rsidP="002C6CCD">
                      <w:pPr>
                        <w:rPr>
                          <w:rStyle w:val="Hipercze"/>
                          <w:color w:val="001D77"/>
                          <w:szCs w:val="19"/>
                          <w:lang w:val="en-US"/>
                        </w:rPr>
                      </w:pPr>
                      <w:hyperlink r:id="rId39" w:history="1">
                        <w:r w:rsidR="001E3516" w:rsidRPr="00EC18B9">
                          <w:rPr>
                            <w:rStyle w:val="Hipercze"/>
                            <w:color w:val="001D77"/>
                            <w:szCs w:val="19"/>
                            <w:lang w:val="en-US"/>
                          </w:rPr>
                          <w:t>Local</w:t>
                        </w:r>
                        <w:r w:rsidR="002C6CCD" w:rsidRPr="00EC18B9">
                          <w:rPr>
                            <w:rStyle w:val="Hipercze"/>
                            <w:color w:val="001D77"/>
                            <w:szCs w:val="19"/>
                            <w:lang w:val="en-US"/>
                          </w:rPr>
                          <w:t xml:space="preserve"> Da</w:t>
                        </w:r>
                        <w:r w:rsidR="001E3516" w:rsidRPr="00EC18B9">
                          <w:rPr>
                            <w:rStyle w:val="Hipercze"/>
                            <w:color w:val="001D77"/>
                            <w:szCs w:val="19"/>
                            <w:lang w:val="en-US"/>
                          </w:rPr>
                          <w:t>ta Bank</w:t>
                        </w:r>
                      </w:hyperlink>
                    </w:p>
                    <w:p w14:paraId="4F761A4A" w14:textId="77777777" w:rsidR="002C6CCD" w:rsidRPr="00EC18B9" w:rsidRDefault="000A025C" w:rsidP="002C6CCD">
                      <w:pPr>
                        <w:rPr>
                          <w:rStyle w:val="Hipercze"/>
                          <w:color w:val="001D77"/>
                          <w:szCs w:val="19"/>
                          <w:lang w:val="en-US"/>
                        </w:rPr>
                      </w:pPr>
                      <w:hyperlink r:id="rId40" w:history="1">
                        <w:r w:rsidR="001E3516" w:rsidRPr="00EC18B9">
                          <w:rPr>
                            <w:rStyle w:val="Hipercze"/>
                            <w:color w:val="001D77"/>
                            <w:szCs w:val="19"/>
                            <w:lang w:val="en-US"/>
                          </w:rPr>
                          <w:t>Knowledge Database Living Conditions</w:t>
                        </w:r>
                        <w:r w:rsidR="002C6CCD" w:rsidRPr="00EC18B9">
                          <w:rPr>
                            <w:rStyle w:val="Hipercze"/>
                            <w:color w:val="001D77"/>
                            <w:szCs w:val="19"/>
                            <w:lang w:val="en-US"/>
                          </w:rPr>
                          <w:t>/</w:t>
                        </w:r>
                        <w:r w:rsidR="001E3516" w:rsidRPr="00EC18B9">
                          <w:rPr>
                            <w:rStyle w:val="Hipercze"/>
                            <w:color w:val="001D77"/>
                            <w:szCs w:val="19"/>
                            <w:lang w:val="en-US"/>
                          </w:rPr>
                          <w:t>Poverty by socio-economic groups</w:t>
                        </w:r>
                      </w:hyperlink>
                    </w:p>
                    <w:p w14:paraId="00DB6400" w14:textId="77777777" w:rsidR="002C6CCD" w:rsidRPr="00EC18B9" w:rsidRDefault="000A025C" w:rsidP="002C6CCD">
                      <w:pPr>
                        <w:rPr>
                          <w:rStyle w:val="Hipercze"/>
                          <w:rFonts w:cstheme="minorBidi"/>
                          <w:color w:val="001D77"/>
                          <w:szCs w:val="19"/>
                          <w:lang w:val="en-US"/>
                        </w:rPr>
                      </w:pPr>
                      <w:hyperlink r:id="rId41" w:history="1">
                        <w:r w:rsidR="001E3516" w:rsidRPr="00EC18B9">
                          <w:rPr>
                            <w:rStyle w:val="Hipercze"/>
                            <w:color w:val="001D77"/>
                            <w:szCs w:val="19"/>
                            <w:lang w:val="en-US"/>
                          </w:rPr>
                          <w:t>Knowledge Database Living Conditions</w:t>
                        </w:r>
                        <w:r w:rsidR="002C6CCD" w:rsidRPr="00EC18B9">
                          <w:rPr>
                            <w:rStyle w:val="Hipercze"/>
                            <w:color w:val="001D77"/>
                            <w:szCs w:val="19"/>
                            <w:lang w:val="en-US"/>
                          </w:rPr>
                          <w:t>/</w:t>
                        </w:r>
                        <w:r w:rsidR="001E3516" w:rsidRPr="00EC18B9">
                          <w:rPr>
                            <w:rStyle w:val="Hipercze"/>
                            <w:color w:val="001D77"/>
                            <w:szCs w:val="19"/>
                            <w:lang w:val="en-US"/>
                          </w:rPr>
                          <w:t>Poverty by urban and rural areas</w:t>
                        </w:r>
                      </w:hyperlink>
                    </w:p>
                    <w:p w14:paraId="7B9802AD" w14:textId="77777777" w:rsidR="001E3516" w:rsidRPr="00EC18B9" w:rsidRDefault="000A025C" w:rsidP="002C6CCD">
                      <w:pPr>
                        <w:rPr>
                          <w:color w:val="001D77"/>
                          <w:szCs w:val="24"/>
                          <w:lang w:val="en-US"/>
                        </w:rPr>
                      </w:pPr>
                      <w:hyperlink r:id="rId42" w:history="1">
                        <w:r w:rsidR="00163155" w:rsidRPr="00EC18B9">
                          <w:rPr>
                            <w:rStyle w:val="Hipercze"/>
                            <w:rFonts w:cstheme="minorBidi"/>
                            <w:color w:val="001D77"/>
                            <w:szCs w:val="24"/>
                            <w:lang w:val="en-US"/>
                          </w:rPr>
                          <w:t>Knowledge Database Living conditions/Poverty by voivodships</w:t>
                        </w:r>
                      </w:hyperlink>
                    </w:p>
                    <w:p w14:paraId="11ABAD46" w14:textId="77777777" w:rsidR="00163155" w:rsidRPr="001E3516" w:rsidRDefault="00163155" w:rsidP="002C6CCD">
                      <w:pPr>
                        <w:rPr>
                          <w:b/>
                          <w:color w:val="000000" w:themeColor="text1"/>
                          <w:szCs w:val="24"/>
                          <w:lang w:val="en-US"/>
                        </w:rPr>
                      </w:pPr>
                    </w:p>
                    <w:p w14:paraId="02231034" w14:textId="77777777" w:rsidR="002C6CCD" w:rsidRPr="00EC18B9" w:rsidRDefault="00163155" w:rsidP="002C6CCD">
                      <w:pPr>
                        <w:rPr>
                          <w:b/>
                          <w:color w:val="000000" w:themeColor="text1"/>
                          <w:szCs w:val="24"/>
                          <w:lang w:val="en-US"/>
                        </w:rPr>
                      </w:pPr>
                      <w:r w:rsidRPr="00EC18B9">
                        <w:rPr>
                          <w:b/>
                          <w:color w:val="000000" w:themeColor="text1"/>
                          <w:szCs w:val="24"/>
                          <w:lang w:val="en-US"/>
                        </w:rPr>
                        <w:t>Terms used in official statistics</w:t>
                      </w:r>
                    </w:p>
                    <w:p w14:paraId="16315018" w14:textId="77777777" w:rsidR="002C6CCD" w:rsidRPr="00EC18B9" w:rsidRDefault="000A025C" w:rsidP="002C6CCD">
                      <w:pPr>
                        <w:rPr>
                          <w:rStyle w:val="Hipercze"/>
                          <w:color w:val="001D77"/>
                          <w:szCs w:val="19"/>
                          <w:lang w:val="en-US"/>
                        </w:rPr>
                      </w:pPr>
                      <w:hyperlink r:id="rId43" w:history="1">
                        <w:r w:rsidR="00163155" w:rsidRPr="00EC18B9">
                          <w:rPr>
                            <w:rStyle w:val="Hipercze"/>
                            <w:color w:val="001D77"/>
                            <w:szCs w:val="19"/>
                            <w:lang w:val="en-US"/>
                          </w:rPr>
                          <w:t>Extreme poverty rate</w:t>
                        </w:r>
                      </w:hyperlink>
                    </w:p>
                    <w:p w14:paraId="7CDA5AD8" w14:textId="77777777" w:rsidR="002C6CCD" w:rsidRPr="00EC18B9" w:rsidRDefault="000A025C" w:rsidP="002C6CCD">
                      <w:pPr>
                        <w:rPr>
                          <w:rStyle w:val="Hipercze"/>
                          <w:color w:val="001D77"/>
                          <w:szCs w:val="19"/>
                          <w:lang w:val="en-US"/>
                        </w:rPr>
                      </w:pPr>
                      <w:hyperlink r:id="rId44" w:history="1">
                        <w:r w:rsidR="00163155" w:rsidRPr="00EC18B9">
                          <w:rPr>
                            <w:rStyle w:val="Hipercze"/>
                            <w:color w:val="001D77"/>
                            <w:szCs w:val="19"/>
                            <w:lang w:val="en-US"/>
                          </w:rPr>
                          <w:t>Relative poverty rate</w:t>
                        </w:r>
                      </w:hyperlink>
                    </w:p>
                    <w:p w14:paraId="5FDC152A" w14:textId="77777777" w:rsidR="004F7C9F" w:rsidRPr="00EC18B9" w:rsidRDefault="000A025C" w:rsidP="00883763">
                      <w:pPr>
                        <w:rPr>
                          <w:rStyle w:val="Hipercze"/>
                          <w:rFonts w:cstheme="minorBidi"/>
                          <w:color w:val="001D77"/>
                          <w:sz w:val="18"/>
                          <w:lang w:val="en-US"/>
                        </w:rPr>
                      </w:pPr>
                      <w:hyperlink r:id="rId45" w:history="1">
                        <w:r w:rsidR="00163155" w:rsidRPr="00EC18B9">
                          <w:rPr>
                            <w:rStyle w:val="Hipercze"/>
                            <w:color w:val="001D77"/>
                            <w:szCs w:val="19"/>
                            <w:lang w:val="en-US"/>
                          </w:rPr>
                          <w:t>Legal poverty rate</w:t>
                        </w:r>
                      </w:hyperlink>
                    </w:p>
                  </w:txbxContent>
                </v:textbox>
                <w10:wrap type="square" anchorx="margin"/>
              </v:shape>
            </w:pict>
          </mc:Fallback>
        </mc:AlternateContent>
      </w:r>
    </w:p>
    <w:sectPr w:rsidR="00D261A2" w:rsidRPr="00001C5B" w:rsidSect="00EF7B36">
      <w:headerReference w:type="default" r:id="rId46"/>
      <w:footerReference w:type="default" r:id="rId47"/>
      <w:footnotePr>
        <w:numFmt w:val="lowerLetter"/>
      </w:footnotePr>
      <w:pgSz w:w="11906" w:h="16838" w:code="9"/>
      <w:pgMar w:top="720" w:right="3119" w:bottom="720" w:left="720" w:header="170"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E02527" w14:textId="77777777" w:rsidR="003E770A" w:rsidRDefault="003E770A" w:rsidP="000662E2">
      <w:pPr>
        <w:spacing w:after="0" w:line="240" w:lineRule="auto"/>
      </w:pPr>
      <w:r>
        <w:separator/>
      </w:r>
    </w:p>
  </w:endnote>
  <w:endnote w:type="continuationSeparator" w:id="0">
    <w:p w14:paraId="41CEB536" w14:textId="77777777" w:rsidR="003E770A" w:rsidRDefault="003E770A"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Fira Sans Extra Condensed">
    <w:panose1 w:val="020B0503050000020004"/>
    <w:charset w:val="EE"/>
    <w:family w:val="swiss"/>
    <w:pitch w:val="variable"/>
    <w:sig w:usb0="600002FF"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3620116"/>
      <w:docPartObj>
        <w:docPartGallery w:val="Page Numbers (Bottom of Page)"/>
        <w:docPartUnique/>
      </w:docPartObj>
    </w:sdtPr>
    <w:sdtEndPr/>
    <w:sdtContent>
      <w:p w14:paraId="46C8F4D3" w14:textId="77777777" w:rsidR="004F7C9F" w:rsidRDefault="00A837D6" w:rsidP="003B18B6">
        <w:pPr>
          <w:pStyle w:val="Stopka"/>
          <w:jc w:val="center"/>
        </w:pPr>
        <w:r>
          <w:rPr>
            <w:noProof/>
          </w:rPr>
          <w:fldChar w:fldCharType="begin"/>
        </w:r>
        <w:r w:rsidR="004F7C9F">
          <w:rPr>
            <w:noProof/>
          </w:rPr>
          <w:instrText>PAGE   \* MERGEFORMAT</w:instrText>
        </w:r>
        <w:r>
          <w:rPr>
            <w:noProof/>
          </w:rPr>
          <w:fldChar w:fldCharType="separate"/>
        </w:r>
        <w:r w:rsidR="00CE3DFA">
          <w:rPr>
            <w:noProof/>
          </w:rPr>
          <w:t>7</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4512466"/>
      <w:docPartObj>
        <w:docPartGallery w:val="Page Numbers (Bottom of Page)"/>
        <w:docPartUnique/>
      </w:docPartObj>
    </w:sdtPr>
    <w:sdtEndPr/>
    <w:sdtContent>
      <w:p w14:paraId="6FC9F1EE" w14:textId="77777777" w:rsidR="004F7C9F" w:rsidRDefault="00A837D6" w:rsidP="003B18B6">
        <w:pPr>
          <w:pStyle w:val="Stopka"/>
          <w:jc w:val="center"/>
        </w:pPr>
        <w:r>
          <w:rPr>
            <w:noProof/>
          </w:rPr>
          <w:fldChar w:fldCharType="begin"/>
        </w:r>
        <w:r w:rsidR="004F7C9F">
          <w:rPr>
            <w:noProof/>
          </w:rPr>
          <w:instrText>PAGE   \* MERGEFORMAT</w:instrText>
        </w:r>
        <w:r>
          <w:rPr>
            <w:noProof/>
          </w:rPr>
          <w:fldChar w:fldCharType="separate"/>
        </w:r>
        <w:r w:rsidR="00CE3DFA">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3A4B2DBA" w14:textId="77777777" w:rsidR="004F7C9F" w:rsidRDefault="00A837D6" w:rsidP="003B18B6">
        <w:pPr>
          <w:pStyle w:val="Stopka"/>
          <w:jc w:val="center"/>
        </w:pPr>
        <w:r>
          <w:rPr>
            <w:noProof/>
          </w:rPr>
          <w:fldChar w:fldCharType="begin"/>
        </w:r>
        <w:r w:rsidR="004F7C9F">
          <w:rPr>
            <w:noProof/>
          </w:rPr>
          <w:instrText>PAGE   \* MERGEFORMAT</w:instrText>
        </w:r>
        <w:r>
          <w:rPr>
            <w:noProof/>
          </w:rPr>
          <w:fldChar w:fldCharType="separate"/>
        </w:r>
        <w:r w:rsidR="00CE3DFA">
          <w:rPr>
            <w:noProof/>
          </w:rPr>
          <w:t>8</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CE5CA1" w14:textId="77777777" w:rsidR="003E770A" w:rsidRDefault="003E770A" w:rsidP="000662E2">
      <w:pPr>
        <w:spacing w:after="0" w:line="240" w:lineRule="auto"/>
      </w:pPr>
      <w:r>
        <w:separator/>
      </w:r>
    </w:p>
  </w:footnote>
  <w:footnote w:type="continuationSeparator" w:id="0">
    <w:p w14:paraId="1CAF2488" w14:textId="77777777" w:rsidR="003E770A" w:rsidRDefault="003E770A" w:rsidP="000662E2">
      <w:pPr>
        <w:spacing w:after="0" w:line="240" w:lineRule="auto"/>
      </w:pPr>
      <w:r>
        <w:continuationSeparator/>
      </w:r>
    </w:p>
  </w:footnote>
  <w:footnote w:id="1">
    <w:p w14:paraId="4C5E7698" w14:textId="77777777" w:rsidR="008E1938" w:rsidRPr="00ED3085" w:rsidRDefault="008E1938">
      <w:pPr>
        <w:pStyle w:val="Tekstprzypisudolnego"/>
        <w:rPr>
          <w:sz w:val="14"/>
          <w:szCs w:val="14"/>
          <w:lang w:val="en-US"/>
        </w:rPr>
      </w:pPr>
      <w:r w:rsidRPr="00ED3085">
        <w:rPr>
          <w:rStyle w:val="Odwoanieprzypisudolnego"/>
          <w:sz w:val="14"/>
          <w:szCs w:val="14"/>
        </w:rPr>
        <w:footnoteRef/>
      </w:r>
      <w:r w:rsidRPr="00ED3085">
        <w:rPr>
          <w:sz w:val="14"/>
          <w:szCs w:val="14"/>
          <w:lang w:val="en-US"/>
        </w:rPr>
        <w:t xml:space="preserve"> </w:t>
      </w:r>
      <w:r w:rsidR="00ED3085" w:rsidRPr="00E467AB">
        <w:rPr>
          <w:sz w:val="14"/>
          <w:szCs w:val="14"/>
          <w:lang w:val="en-US"/>
        </w:rPr>
        <w:t xml:space="preserve">The head of </w:t>
      </w:r>
      <w:r w:rsidR="00722D0C" w:rsidRPr="00E467AB">
        <w:rPr>
          <w:sz w:val="14"/>
          <w:szCs w:val="14"/>
          <w:lang w:val="en-US"/>
        </w:rPr>
        <w:t>the</w:t>
      </w:r>
      <w:r w:rsidR="00ED3085" w:rsidRPr="00E467AB">
        <w:rPr>
          <w:sz w:val="14"/>
          <w:szCs w:val="14"/>
          <w:lang w:val="en-US"/>
        </w:rPr>
        <w:t xml:space="preserve"> household (defined as a reference person in Household Budget Survey) is a person at the age of 16 and over who gains permanent in the longer time, the highest income of all the household members.</w:t>
      </w:r>
    </w:p>
  </w:footnote>
  <w:footnote w:id="2">
    <w:p w14:paraId="5EF88606" w14:textId="77777777" w:rsidR="00E7228F" w:rsidRPr="00E7228F" w:rsidRDefault="00E7228F" w:rsidP="00E7228F">
      <w:pPr>
        <w:pStyle w:val="Tekstprzypisudolnego"/>
        <w:rPr>
          <w:lang w:val="en-US"/>
        </w:rPr>
      </w:pPr>
      <w:r w:rsidRPr="00F0048C">
        <w:rPr>
          <w:rStyle w:val="Odwoanieprzypisudolnego"/>
          <w:sz w:val="14"/>
          <w:szCs w:val="14"/>
        </w:rPr>
        <w:footnoteRef/>
      </w:r>
      <w:r w:rsidRPr="00E7228F">
        <w:rPr>
          <w:lang w:val="en-US"/>
        </w:rPr>
        <w:t xml:space="preserve"> </w:t>
      </w:r>
      <w:r w:rsidRPr="00E7228F">
        <w:rPr>
          <w:sz w:val="14"/>
          <w:szCs w:val="14"/>
          <w:lang w:val="en-US"/>
        </w:rPr>
        <w:t xml:space="preserve">Detailed data and methodological explanations are included in the annex to the news release..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F3B6B" w14:textId="78557039" w:rsidR="004F7C9F" w:rsidRDefault="00387B4E">
    <w:pPr>
      <w:pStyle w:val="Nagwek"/>
    </w:pPr>
    <w:r>
      <w:rPr>
        <w:noProof/>
        <w:lang w:eastAsia="pl-PL"/>
      </w:rPr>
      <mc:AlternateContent>
        <mc:Choice Requires="wps">
          <w:drawing>
            <wp:anchor distT="0" distB="0" distL="114300" distR="114300" simplePos="0" relativeHeight="251662336" behindDoc="1" locked="0" layoutInCell="1" allowOverlap="1" wp14:anchorId="140ADEF6" wp14:editId="15DA7209">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73A7D6"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" fillcolor="#f2f2f2 [3052]" stroked="f" strokeweight="1pt">
              <v:path arrowok="t"/>
            </v:rect>
          </w:pict>
        </mc:Fallback>
      </mc:AlternateContent>
    </w:r>
  </w:p>
  <w:p w14:paraId="01877ED2" w14:textId="77777777" w:rsidR="004F7C9F" w:rsidRDefault="004F7C9F">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ACCED7" w14:textId="380B4ACF" w:rsidR="004F7C9F" w:rsidRDefault="00387B4E">
    <w:pPr>
      <w:pStyle w:val="Nagwek"/>
      <w:rPr>
        <w:noProof/>
        <w:lang w:eastAsia="pl-PL"/>
      </w:rPr>
    </w:pPr>
    <w:r>
      <w:rPr>
        <w:noProof/>
        <w:lang w:eastAsia="pl-PL"/>
      </w:rPr>
      <mc:AlternateContent>
        <mc:Choice Requires="wps">
          <w:drawing>
            <wp:anchor distT="0" distB="0" distL="114300" distR="114300" simplePos="0" relativeHeight="251668480" behindDoc="0" locked="0" layoutInCell="1" allowOverlap="1" wp14:anchorId="001831FA" wp14:editId="3EC8CA72">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6D2505" w14:textId="77777777" w:rsidR="004F7C9F" w:rsidRPr="003C6C8D" w:rsidRDefault="00D32457" w:rsidP="00074DD8">
                          <w:pPr>
                            <w:spacing w:before="0" w:after="0" w:line="240" w:lineRule="auto"/>
                            <w:ind w:left="227"/>
                            <w:jc w:val="both"/>
                            <w:rPr>
                              <w:rFonts w:ascii="Fira Sans SemiBold" w:hAnsi="Fira Sans SemiBold"/>
                            </w:rPr>
                          </w:pPr>
                          <w:r w:rsidRPr="00D32457">
                            <w:rPr>
                              <w:noProof/>
                              <w:lang w:eastAsia="pl-PL"/>
                            </w:rPr>
                            <w:drawing>
                              <wp:inline distT="0" distB="0" distL="0" distR="0" wp14:anchorId="307BB538" wp14:editId="14E3E70F">
                                <wp:extent cx="1864995" cy="323449"/>
                                <wp:effectExtent l="0" t="0" r="1905" b="635"/>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4995" cy="32344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1831FA" id="Schemat blokowy: opóźnienie 6" o:spid="_x0000_s1041"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246D2505" w14:textId="77777777" w:rsidR="004F7C9F" w:rsidRPr="003C6C8D" w:rsidRDefault="00D32457" w:rsidP="00074DD8">
                    <w:pPr>
                      <w:spacing w:before="0" w:after="0" w:line="240" w:lineRule="auto"/>
                      <w:ind w:left="227"/>
                      <w:jc w:val="both"/>
                      <w:rPr>
                        <w:rFonts w:ascii="Fira Sans SemiBold" w:hAnsi="Fira Sans SemiBold"/>
                      </w:rPr>
                    </w:pPr>
                    <w:r w:rsidRPr="00D32457">
                      <w:rPr>
                        <w:noProof/>
                        <w:lang w:eastAsia="pl-PL"/>
                      </w:rPr>
                      <w:drawing>
                        <wp:inline distT="0" distB="0" distL="0" distR="0" wp14:anchorId="307BB538" wp14:editId="14E3E70F">
                          <wp:extent cx="1864995" cy="323449"/>
                          <wp:effectExtent l="0" t="0" r="1905" b="635"/>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64995" cy="323449"/>
                                  </a:xfrm>
                                  <a:prstGeom prst="rect">
                                    <a:avLst/>
                                  </a:prstGeom>
                                  <a:noFill/>
                                  <a:ln>
                                    <a:noFill/>
                                  </a:ln>
                                </pic:spPr>
                              </pic:pic>
                            </a:graphicData>
                          </a:graphic>
                        </wp:inline>
                      </w:drawing>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3B41F68C" wp14:editId="17BA0BC5">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40F030"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2rbpg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" fillcolor="#f2f2f2" stroked="f" strokeweight="1pt">
              <v:path arrowok="t"/>
              <w10:wrap type="tight"/>
            </v:rect>
          </w:pict>
        </mc:Fallback>
      </mc:AlternateContent>
    </w:r>
    <w:r w:rsidR="00D32457">
      <w:rPr>
        <w:noProof/>
        <w:lang w:eastAsia="pl-PL"/>
      </w:rPr>
      <w:drawing>
        <wp:inline distT="0" distB="0" distL="0" distR="0" wp14:anchorId="6C9C3193" wp14:editId="3F26BE47">
          <wp:extent cx="1957070" cy="743585"/>
          <wp:effectExtent l="0" t="0" r="0" b="0"/>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57070" cy="743585"/>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FEC3C9" w14:textId="77777777" w:rsidR="004F7C9F" w:rsidRDefault="004F7C9F">
    <w:pPr>
      <w:pStyle w:val="Nagwek"/>
    </w:pPr>
  </w:p>
  <w:p w14:paraId="11A9DE2C" w14:textId="77777777" w:rsidR="004F7C9F" w:rsidRDefault="004F7C9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23.4pt;height:125.15pt;visibility:visible;mso-wrap-style:square" o:bullet="t">
        <v:imagedata r:id="rId1" o:title=""/>
      </v:shape>
    </w:pict>
  </w:numPicBullet>
  <w:numPicBullet w:numPicBulletId="1">
    <w:pict>
      <v:shape id="_x0000_i1043" type="#_x0000_t75" style="width:124pt;height:125.1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99B09AA"/>
    <w:multiLevelType w:val="hybridMultilevel"/>
    <w:tmpl w:val="43A0AF3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526660D3"/>
    <w:multiLevelType w:val="hybridMultilevel"/>
    <w:tmpl w:val="E4B0E872"/>
    <w:lvl w:ilvl="0" w:tplc="18AE36AC">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66D84081"/>
    <w:multiLevelType w:val="hybridMultilevel"/>
    <w:tmpl w:val="1066547C"/>
    <w:lvl w:ilvl="0" w:tplc="616CFA40">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277"/>
    <w:rsid w:val="000014E9"/>
    <w:rsid w:val="00001C5B"/>
    <w:rsid w:val="000021B3"/>
    <w:rsid w:val="00003437"/>
    <w:rsid w:val="00003EB5"/>
    <w:rsid w:val="00006366"/>
    <w:rsid w:val="0000709F"/>
    <w:rsid w:val="00007310"/>
    <w:rsid w:val="000108B8"/>
    <w:rsid w:val="00010C9F"/>
    <w:rsid w:val="000116DD"/>
    <w:rsid w:val="000152F5"/>
    <w:rsid w:val="00015386"/>
    <w:rsid w:val="000158CF"/>
    <w:rsid w:val="00015BD6"/>
    <w:rsid w:val="00016161"/>
    <w:rsid w:val="00017329"/>
    <w:rsid w:val="00021239"/>
    <w:rsid w:val="000212F4"/>
    <w:rsid w:val="00023492"/>
    <w:rsid w:val="00025FCF"/>
    <w:rsid w:val="000305A0"/>
    <w:rsid w:val="00032A0F"/>
    <w:rsid w:val="000337BB"/>
    <w:rsid w:val="00034160"/>
    <w:rsid w:val="00035665"/>
    <w:rsid w:val="00040344"/>
    <w:rsid w:val="0004081F"/>
    <w:rsid w:val="000417D5"/>
    <w:rsid w:val="00042199"/>
    <w:rsid w:val="0004582E"/>
    <w:rsid w:val="0004646A"/>
    <w:rsid w:val="000470AA"/>
    <w:rsid w:val="00051119"/>
    <w:rsid w:val="00053AA7"/>
    <w:rsid w:val="00057831"/>
    <w:rsid w:val="00057CA1"/>
    <w:rsid w:val="00057F3F"/>
    <w:rsid w:val="0006547E"/>
    <w:rsid w:val="000662E2"/>
    <w:rsid w:val="00066883"/>
    <w:rsid w:val="00071D41"/>
    <w:rsid w:val="00073003"/>
    <w:rsid w:val="000730CD"/>
    <w:rsid w:val="0007339C"/>
    <w:rsid w:val="000739C9"/>
    <w:rsid w:val="00074DD8"/>
    <w:rsid w:val="000754E5"/>
    <w:rsid w:val="0007743F"/>
    <w:rsid w:val="00080209"/>
    <w:rsid w:val="000806F7"/>
    <w:rsid w:val="0008411D"/>
    <w:rsid w:val="00085030"/>
    <w:rsid w:val="000866F3"/>
    <w:rsid w:val="00086E82"/>
    <w:rsid w:val="0009119C"/>
    <w:rsid w:val="000925E1"/>
    <w:rsid w:val="00095EE8"/>
    <w:rsid w:val="0009696C"/>
    <w:rsid w:val="00097840"/>
    <w:rsid w:val="000A025C"/>
    <w:rsid w:val="000A0BAD"/>
    <w:rsid w:val="000A0E48"/>
    <w:rsid w:val="000A1A1A"/>
    <w:rsid w:val="000A2E3E"/>
    <w:rsid w:val="000A448B"/>
    <w:rsid w:val="000A6963"/>
    <w:rsid w:val="000A6CAC"/>
    <w:rsid w:val="000A7F1A"/>
    <w:rsid w:val="000B0727"/>
    <w:rsid w:val="000C040F"/>
    <w:rsid w:val="000C135D"/>
    <w:rsid w:val="000C1FDC"/>
    <w:rsid w:val="000D06E0"/>
    <w:rsid w:val="000D11C0"/>
    <w:rsid w:val="000D1D43"/>
    <w:rsid w:val="000D225C"/>
    <w:rsid w:val="000D2A5C"/>
    <w:rsid w:val="000D3477"/>
    <w:rsid w:val="000D3CDA"/>
    <w:rsid w:val="000D46F8"/>
    <w:rsid w:val="000E0918"/>
    <w:rsid w:val="000E1349"/>
    <w:rsid w:val="000E1F41"/>
    <w:rsid w:val="000E3DF4"/>
    <w:rsid w:val="000E480F"/>
    <w:rsid w:val="000E5691"/>
    <w:rsid w:val="000E7917"/>
    <w:rsid w:val="000F272F"/>
    <w:rsid w:val="000F38BD"/>
    <w:rsid w:val="000F42D7"/>
    <w:rsid w:val="000F5B9D"/>
    <w:rsid w:val="000F6476"/>
    <w:rsid w:val="000F704F"/>
    <w:rsid w:val="001011C3"/>
    <w:rsid w:val="00101E78"/>
    <w:rsid w:val="00101E9E"/>
    <w:rsid w:val="00102C97"/>
    <w:rsid w:val="00105496"/>
    <w:rsid w:val="00106181"/>
    <w:rsid w:val="00110C64"/>
    <w:rsid w:val="00110D87"/>
    <w:rsid w:val="00111C66"/>
    <w:rsid w:val="00113685"/>
    <w:rsid w:val="00113CC6"/>
    <w:rsid w:val="001149A1"/>
    <w:rsid w:val="00114DB9"/>
    <w:rsid w:val="00116087"/>
    <w:rsid w:val="0012558A"/>
    <w:rsid w:val="0012735D"/>
    <w:rsid w:val="00130296"/>
    <w:rsid w:val="00130FEE"/>
    <w:rsid w:val="0013285D"/>
    <w:rsid w:val="00135A93"/>
    <w:rsid w:val="00135B65"/>
    <w:rsid w:val="00136F89"/>
    <w:rsid w:val="00140E4F"/>
    <w:rsid w:val="00141D35"/>
    <w:rsid w:val="00142037"/>
    <w:rsid w:val="001423B6"/>
    <w:rsid w:val="001445DE"/>
    <w:rsid w:val="001448A7"/>
    <w:rsid w:val="00145302"/>
    <w:rsid w:val="00146621"/>
    <w:rsid w:val="00150BC9"/>
    <w:rsid w:val="00153582"/>
    <w:rsid w:val="00153F1D"/>
    <w:rsid w:val="001571B5"/>
    <w:rsid w:val="00162325"/>
    <w:rsid w:val="00163155"/>
    <w:rsid w:val="00164D84"/>
    <w:rsid w:val="00167B8C"/>
    <w:rsid w:val="00167F67"/>
    <w:rsid w:val="0017040B"/>
    <w:rsid w:val="00175ADA"/>
    <w:rsid w:val="001778BA"/>
    <w:rsid w:val="00180C89"/>
    <w:rsid w:val="00186576"/>
    <w:rsid w:val="0018675A"/>
    <w:rsid w:val="00191656"/>
    <w:rsid w:val="00191DA6"/>
    <w:rsid w:val="00193D72"/>
    <w:rsid w:val="001951DA"/>
    <w:rsid w:val="0019731B"/>
    <w:rsid w:val="001A195E"/>
    <w:rsid w:val="001A253B"/>
    <w:rsid w:val="001A4EEA"/>
    <w:rsid w:val="001A5D78"/>
    <w:rsid w:val="001B085B"/>
    <w:rsid w:val="001B09A2"/>
    <w:rsid w:val="001B4364"/>
    <w:rsid w:val="001C0E95"/>
    <w:rsid w:val="001C289A"/>
    <w:rsid w:val="001C2A2D"/>
    <w:rsid w:val="001C3269"/>
    <w:rsid w:val="001C3F17"/>
    <w:rsid w:val="001C3FD4"/>
    <w:rsid w:val="001C5F39"/>
    <w:rsid w:val="001D1206"/>
    <w:rsid w:val="001D1DB4"/>
    <w:rsid w:val="001D3440"/>
    <w:rsid w:val="001D4BB5"/>
    <w:rsid w:val="001D7C73"/>
    <w:rsid w:val="001E1D94"/>
    <w:rsid w:val="001E3516"/>
    <w:rsid w:val="001E48EA"/>
    <w:rsid w:val="001E786B"/>
    <w:rsid w:val="001E7DBB"/>
    <w:rsid w:val="001F00D1"/>
    <w:rsid w:val="001F3E2C"/>
    <w:rsid w:val="001F48D3"/>
    <w:rsid w:val="00201BC2"/>
    <w:rsid w:val="00202617"/>
    <w:rsid w:val="00203412"/>
    <w:rsid w:val="00207559"/>
    <w:rsid w:val="00207C9A"/>
    <w:rsid w:val="002172EF"/>
    <w:rsid w:val="002174AA"/>
    <w:rsid w:val="00217D35"/>
    <w:rsid w:val="0022027D"/>
    <w:rsid w:val="00224478"/>
    <w:rsid w:val="00233288"/>
    <w:rsid w:val="00234B06"/>
    <w:rsid w:val="002353DF"/>
    <w:rsid w:val="00237042"/>
    <w:rsid w:val="00240F47"/>
    <w:rsid w:val="00246959"/>
    <w:rsid w:val="002574F9"/>
    <w:rsid w:val="00257B3D"/>
    <w:rsid w:val="0026030D"/>
    <w:rsid w:val="00262B61"/>
    <w:rsid w:val="00262F01"/>
    <w:rsid w:val="002669C0"/>
    <w:rsid w:val="002676ED"/>
    <w:rsid w:val="00267967"/>
    <w:rsid w:val="00267AB1"/>
    <w:rsid w:val="00271E09"/>
    <w:rsid w:val="00272C76"/>
    <w:rsid w:val="002731F4"/>
    <w:rsid w:val="002761E5"/>
    <w:rsid w:val="00276811"/>
    <w:rsid w:val="00276C9A"/>
    <w:rsid w:val="00277364"/>
    <w:rsid w:val="002813EE"/>
    <w:rsid w:val="00282699"/>
    <w:rsid w:val="0029077F"/>
    <w:rsid w:val="00291D70"/>
    <w:rsid w:val="002926DF"/>
    <w:rsid w:val="0029416C"/>
    <w:rsid w:val="00296697"/>
    <w:rsid w:val="002A166D"/>
    <w:rsid w:val="002A1CFD"/>
    <w:rsid w:val="002A3F8F"/>
    <w:rsid w:val="002A43C4"/>
    <w:rsid w:val="002A4D80"/>
    <w:rsid w:val="002B0472"/>
    <w:rsid w:val="002B1B4A"/>
    <w:rsid w:val="002B4DFD"/>
    <w:rsid w:val="002B6B12"/>
    <w:rsid w:val="002B6EDD"/>
    <w:rsid w:val="002C6CCD"/>
    <w:rsid w:val="002D0020"/>
    <w:rsid w:val="002D5535"/>
    <w:rsid w:val="002E14E1"/>
    <w:rsid w:val="002E2E99"/>
    <w:rsid w:val="002E5500"/>
    <w:rsid w:val="002E6140"/>
    <w:rsid w:val="002E62E0"/>
    <w:rsid w:val="002E6985"/>
    <w:rsid w:val="002E71B6"/>
    <w:rsid w:val="002F670A"/>
    <w:rsid w:val="002F77C8"/>
    <w:rsid w:val="00301988"/>
    <w:rsid w:val="00304F22"/>
    <w:rsid w:val="00305162"/>
    <w:rsid w:val="0030639F"/>
    <w:rsid w:val="003067C1"/>
    <w:rsid w:val="00306C7C"/>
    <w:rsid w:val="00310E05"/>
    <w:rsid w:val="0031133C"/>
    <w:rsid w:val="00315200"/>
    <w:rsid w:val="0032271E"/>
    <w:rsid w:val="00322EDD"/>
    <w:rsid w:val="00327420"/>
    <w:rsid w:val="003279D3"/>
    <w:rsid w:val="00330E56"/>
    <w:rsid w:val="00331802"/>
    <w:rsid w:val="00332320"/>
    <w:rsid w:val="00333DD0"/>
    <w:rsid w:val="00334B55"/>
    <w:rsid w:val="00336AC6"/>
    <w:rsid w:val="00342947"/>
    <w:rsid w:val="00342EC4"/>
    <w:rsid w:val="00343187"/>
    <w:rsid w:val="0034677A"/>
    <w:rsid w:val="00347D72"/>
    <w:rsid w:val="00356A05"/>
    <w:rsid w:val="00357611"/>
    <w:rsid w:val="00364F5C"/>
    <w:rsid w:val="00367237"/>
    <w:rsid w:val="0037077F"/>
    <w:rsid w:val="00372411"/>
    <w:rsid w:val="00373882"/>
    <w:rsid w:val="00375F23"/>
    <w:rsid w:val="00380C23"/>
    <w:rsid w:val="003843DB"/>
    <w:rsid w:val="003869AC"/>
    <w:rsid w:val="00387B4E"/>
    <w:rsid w:val="003901AC"/>
    <w:rsid w:val="00390A37"/>
    <w:rsid w:val="00391B62"/>
    <w:rsid w:val="00393761"/>
    <w:rsid w:val="00393A7E"/>
    <w:rsid w:val="00393B98"/>
    <w:rsid w:val="00393DB9"/>
    <w:rsid w:val="00393FA8"/>
    <w:rsid w:val="00397D18"/>
    <w:rsid w:val="003A0330"/>
    <w:rsid w:val="003A1B36"/>
    <w:rsid w:val="003A440F"/>
    <w:rsid w:val="003B1454"/>
    <w:rsid w:val="003B18B6"/>
    <w:rsid w:val="003B5E1C"/>
    <w:rsid w:val="003C0256"/>
    <w:rsid w:val="003C09AD"/>
    <w:rsid w:val="003C2499"/>
    <w:rsid w:val="003C59E0"/>
    <w:rsid w:val="003C5C96"/>
    <w:rsid w:val="003C6C8D"/>
    <w:rsid w:val="003D0717"/>
    <w:rsid w:val="003D4675"/>
    <w:rsid w:val="003D4F95"/>
    <w:rsid w:val="003D5C58"/>
    <w:rsid w:val="003D5F42"/>
    <w:rsid w:val="003D60A9"/>
    <w:rsid w:val="003D7A3D"/>
    <w:rsid w:val="003E770A"/>
    <w:rsid w:val="003F0EA8"/>
    <w:rsid w:val="003F1FAD"/>
    <w:rsid w:val="003F2768"/>
    <w:rsid w:val="003F360E"/>
    <w:rsid w:val="003F4C97"/>
    <w:rsid w:val="003F5245"/>
    <w:rsid w:val="003F57C8"/>
    <w:rsid w:val="003F6323"/>
    <w:rsid w:val="003F650D"/>
    <w:rsid w:val="003F7FE6"/>
    <w:rsid w:val="00400193"/>
    <w:rsid w:val="00401184"/>
    <w:rsid w:val="00401C52"/>
    <w:rsid w:val="004025F5"/>
    <w:rsid w:val="00410FC6"/>
    <w:rsid w:val="00411D1D"/>
    <w:rsid w:val="00412B55"/>
    <w:rsid w:val="00412D03"/>
    <w:rsid w:val="00414018"/>
    <w:rsid w:val="004143EC"/>
    <w:rsid w:val="004160D3"/>
    <w:rsid w:val="00416B42"/>
    <w:rsid w:val="00417FB0"/>
    <w:rsid w:val="004212E7"/>
    <w:rsid w:val="0042434B"/>
    <w:rsid w:val="0042446D"/>
    <w:rsid w:val="00426ECB"/>
    <w:rsid w:val="00427212"/>
    <w:rsid w:val="00427BF8"/>
    <w:rsid w:val="00431C02"/>
    <w:rsid w:val="00432294"/>
    <w:rsid w:val="004343C9"/>
    <w:rsid w:val="00437395"/>
    <w:rsid w:val="00445047"/>
    <w:rsid w:val="00445261"/>
    <w:rsid w:val="004520C9"/>
    <w:rsid w:val="004524C4"/>
    <w:rsid w:val="00452E99"/>
    <w:rsid w:val="00455A32"/>
    <w:rsid w:val="00456132"/>
    <w:rsid w:val="004566AB"/>
    <w:rsid w:val="00456775"/>
    <w:rsid w:val="004575B5"/>
    <w:rsid w:val="004601AC"/>
    <w:rsid w:val="00461F5B"/>
    <w:rsid w:val="00461F98"/>
    <w:rsid w:val="00463E39"/>
    <w:rsid w:val="004657FC"/>
    <w:rsid w:val="004733F6"/>
    <w:rsid w:val="00474276"/>
    <w:rsid w:val="00474431"/>
    <w:rsid w:val="00474E69"/>
    <w:rsid w:val="004808CA"/>
    <w:rsid w:val="00480F69"/>
    <w:rsid w:val="0048607E"/>
    <w:rsid w:val="004926D7"/>
    <w:rsid w:val="00496001"/>
    <w:rsid w:val="0049621B"/>
    <w:rsid w:val="00496608"/>
    <w:rsid w:val="004A64B6"/>
    <w:rsid w:val="004A6DAC"/>
    <w:rsid w:val="004B025F"/>
    <w:rsid w:val="004B4B29"/>
    <w:rsid w:val="004B4F2D"/>
    <w:rsid w:val="004B4F81"/>
    <w:rsid w:val="004B5CC9"/>
    <w:rsid w:val="004B5F1D"/>
    <w:rsid w:val="004C1895"/>
    <w:rsid w:val="004C3CB2"/>
    <w:rsid w:val="004C6D40"/>
    <w:rsid w:val="004D02C6"/>
    <w:rsid w:val="004D19EF"/>
    <w:rsid w:val="004D32F8"/>
    <w:rsid w:val="004D35D1"/>
    <w:rsid w:val="004D5843"/>
    <w:rsid w:val="004F0C3C"/>
    <w:rsid w:val="004F1CF8"/>
    <w:rsid w:val="004F3BDA"/>
    <w:rsid w:val="004F529E"/>
    <w:rsid w:val="004F63FC"/>
    <w:rsid w:val="004F738F"/>
    <w:rsid w:val="004F7C9F"/>
    <w:rsid w:val="00502CA5"/>
    <w:rsid w:val="00502E6F"/>
    <w:rsid w:val="00503A1F"/>
    <w:rsid w:val="00504B76"/>
    <w:rsid w:val="00505A92"/>
    <w:rsid w:val="00510501"/>
    <w:rsid w:val="00510EBA"/>
    <w:rsid w:val="00514B54"/>
    <w:rsid w:val="0051646A"/>
    <w:rsid w:val="00516A50"/>
    <w:rsid w:val="005203F1"/>
    <w:rsid w:val="0052058B"/>
    <w:rsid w:val="00521B6E"/>
    <w:rsid w:val="00521BC3"/>
    <w:rsid w:val="005265D2"/>
    <w:rsid w:val="00526672"/>
    <w:rsid w:val="00526A58"/>
    <w:rsid w:val="00533150"/>
    <w:rsid w:val="00533632"/>
    <w:rsid w:val="0053648F"/>
    <w:rsid w:val="00541946"/>
    <w:rsid w:val="00541E6E"/>
    <w:rsid w:val="0054251F"/>
    <w:rsid w:val="00542ADC"/>
    <w:rsid w:val="0055163B"/>
    <w:rsid w:val="005520D8"/>
    <w:rsid w:val="00554B53"/>
    <w:rsid w:val="0055626A"/>
    <w:rsid w:val="00556CF1"/>
    <w:rsid w:val="005573EF"/>
    <w:rsid w:val="005574AD"/>
    <w:rsid w:val="005611CB"/>
    <w:rsid w:val="00564730"/>
    <w:rsid w:val="00567871"/>
    <w:rsid w:val="00567EBA"/>
    <w:rsid w:val="00571703"/>
    <w:rsid w:val="00575AAC"/>
    <w:rsid w:val="00575B6B"/>
    <w:rsid w:val="005762A7"/>
    <w:rsid w:val="00583894"/>
    <w:rsid w:val="005861D7"/>
    <w:rsid w:val="005877DE"/>
    <w:rsid w:val="005916D7"/>
    <w:rsid w:val="00594608"/>
    <w:rsid w:val="005A027E"/>
    <w:rsid w:val="005A14B0"/>
    <w:rsid w:val="005A538A"/>
    <w:rsid w:val="005A698C"/>
    <w:rsid w:val="005B3800"/>
    <w:rsid w:val="005B5807"/>
    <w:rsid w:val="005B5AAB"/>
    <w:rsid w:val="005C07E8"/>
    <w:rsid w:val="005C1AF8"/>
    <w:rsid w:val="005C49D5"/>
    <w:rsid w:val="005C7939"/>
    <w:rsid w:val="005D470D"/>
    <w:rsid w:val="005D4F7D"/>
    <w:rsid w:val="005D5F71"/>
    <w:rsid w:val="005E0095"/>
    <w:rsid w:val="005E0799"/>
    <w:rsid w:val="005E104D"/>
    <w:rsid w:val="005E2988"/>
    <w:rsid w:val="005E76DB"/>
    <w:rsid w:val="005F5A80"/>
    <w:rsid w:val="0060333C"/>
    <w:rsid w:val="00603604"/>
    <w:rsid w:val="006039C0"/>
    <w:rsid w:val="006044FF"/>
    <w:rsid w:val="00607C1F"/>
    <w:rsid w:val="00607CC5"/>
    <w:rsid w:val="00611336"/>
    <w:rsid w:val="00613DB1"/>
    <w:rsid w:val="00616441"/>
    <w:rsid w:val="006204E1"/>
    <w:rsid w:val="006220DA"/>
    <w:rsid w:val="00622953"/>
    <w:rsid w:val="00626512"/>
    <w:rsid w:val="00633014"/>
    <w:rsid w:val="0063437B"/>
    <w:rsid w:val="006352CF"/>
    <w:rsid w:val="00637746"/>
    <w:rsid w:val="00637C1E"/>
    <w:rsid w:val="00640790"/>
    <w:rsid w:val="00643236"/>
    <w:rsid w:val="00647757"/>
    <w:rsid w:val="00650320"/>
    <w:rsid w:val="0065082D"/>
    <w:rsid w:val="00650F9C"/>
    <w:rsid w:val="006619BD"/>
    <w:rsid w:val="006637DA"/>
    <w:rsid w:val="006673CA"/>
    <w:rsid w:val="006677A2"/>
    <w:rsid w:val="006716B9"/>
    <w:rsid w:val="006726E4"/>
    <w:rsid w:val="00673C26"/>
    <w:rsid w:val="00673D6D"/>
    <w:rsid w:val="00674A8B"/>
    <w:rsid w:val="00675B16"/>
    <w:rsid w:val="00677DF4"/>
    <w:rsid w:val="006812AF"/>
    <w:rsid w:val="00681EC0"/>
    <w:rsid w:val="0068327D"/>
    <w:rsid w:val="006838EE"/>
    <w:rsid w:val="00684B13"/>
    <w:rsid w:val="00685123"/>
    <w:rsid w:val="00691225"/>
    <w:rsid w:val="00693CA3"/>
    <w:rsid w:val="00694AF0"/>
    <w:rsid w:val="006978DE"/>
    <w:rsid w:val="006A07DC"/>
    <w:rsid w:val="006A14FE"/>
    <w:rsid w:val="006A404B"/>
    <w:rsid w:val="006A4686"/>
    <w:rsid w:val="006A4AF9"/>
    <w:rsid w:val="006A578A"/>
    <w:rsid w:val="006B046A"/>
    <w:rsid w:val="006B0E80"/>
    <w:rsid w:val="006B0E9E"/>
    <w:rsid w:val="006B208D"/>
    <w:rsid w:val="006B292D"/>
    <w:rsid w:val="006B4B96"/>
    <w:rsid w:val="006B5AE4"/>
    <w:rsid w:val="006C2FD3"/>
    <w:rsid w:val="006D0EA2"/>
    <w:rsid w:val="006D1507"/>
    <w:rsid w:val="006D4054"/>
    <w:rsid w:val="006D424E"/>
    <w:rsid w:val="006D6B72"/>
    <w:rsid w:val="006E00B6"/>
    <w:rsid w:val="006E02EC"/>
    <w:rsid w:val="006E2976"/>
    <w:rsid w:val="006E31FE"/>
    <w:rsid w:val="006E5A5D"/>
    <w:rsid w:val="006E6C09"/>
    <w:rsid w:val="006E73D7"/>
    <w:rsid w:val="006E7A8A"/>
    <w:rsid w:val="006F4F57"/>
    <w:rsid w:val="006F583A"/>
    <w:rsid w:val="00700B06"/>
    <w:rsid w:val="00700FBA"/>
    <w:rsid w:val="007059D5"/>
    <w:rsid w:val="0070644E"/>
    <w:rsid w:val="00706F0E"/>
    <w:rsid w:val="00714245"/>
    <w:rsid w:val="007162EB"/>
    <w:rsid w:val="00717F48"/>
    <w:rsid w:val="007211B1"/>
    <w:rsid w:val="00722D0C"/>
    <w:rsid w:val="00722F6B"/>
    <w:rsid w:val="00724F7E"/>
    <w:rsid w:val="00733D55"/>
    <w:rsid w:val="00737BB2"/>
    <w:rsid w:val="007401E0"/>
    <w:rsid w:val="0074163D"/>
    <w:rsid w:val="0074249C"/>
    <w:rsid w:val="00743BD5"/>
    <w:rsid w:val="0074479C"/>
    <w:rsid w:val="00746187"/>
    <w:rsid w:val="007464A5"/>
    <w:rsid w:val="0075237B"/>
    <w:rsid w:val="00752A67"/>
    <w:rsid w:val="00756E62"/>
    <w:rsid w:val="00757DDA"/>
    <w:rsid w:val="00761070"/>
    <w:rsid w:val="007619A7"/>
    <w:rsid w:val="00761CA8"/>
    <w:rsid w:val="0076254F"/>
    <w:rsid w:val="00764D8B"/>
    <w:rsid w:val="00765BEE"/>
    <w:rsid w:val="007764D0"/>
    <w:rsid w:val="007801F5"/>
    <w:rsid w:val="007824C9"/>
    <w:rsid w:val="007828D6"/>
    <w:rsid w:val="00783CA4"/>
    <w:rsid w:val="007842FB"/>
    <w:rsid w:val="00786124"/>
    <w:rsid w:val="00786328"/>
    <w:rsid w:val="00786AE8"/>
    <w:rsid w:val="007874A9"/>
    <w:rsid w:val="0078756B"/>
    <w:rsid w:val="007876E1"/>
    <w:rsid w:val="0079150A"/>
    <w:rsid w:val="0079372F"/>
    <w:rsid w:val="00794BF3"/>
    <w:rsid w:val="0079514B"/>
    <w:rsid w:val="00797CED"/>
    <w:rsid w:val="007A0AB2"/>
    <w:rsid w:val="007A2DC1"/>
    <w:rsid w:val="007A74A2"/>
    <w:rsid w:val="007B0E24"/>
    <w:rsid w:val="007B4C18"/>
    <w:rsid w:val="007B52E9"/>
    <w:rsid w:val="007B632D"/>
    <w:rsid w:val="007B74D8"/>
    <w:rsid w:val="007B7847"/>
    <w:rsid w:val="007C0655"/>
    <w:rsid w:val="007C302E"/>
    <w:rsid w:val="007C49C8"/>
    <w:rsid w:val="007D3319"/>
    <w:rsid w:val="007D335D"/>
    <w:rsid w:val="007D4522"/>
    <w:rsid w:val="007E1DB6"/>
    <w:rsid w:val="007E2010"/>
    <w:rsid w:val="007E2E61"/>
    <w:rsid w:val="007E3314"/>
    <w:rsid w:val="007E4B03"/>
    <w:rsid w:val="007E6CBB"/>
    <w:rsid w:val="007F146C"/>
    <w:rsid w:val="007F14B7"/>
    <w:rsid w:val="007F16D5"/>
    <w:rsid w:val="007F324B"/>
    <w:rsid w:val="007F45AB"/>
    <w:rsid w:val="007F6D53"/>
    <w:rsid w:val="007F7B7B"/>
    <w:rsid w:val="00802A9A"/>
    <w:rsid w:val="0080553C"/>
    <w:rsid w:val="00805B46"/>
    <w:rsid w:val="00805D3F"/>
    <w:rsid w:val="00811026"/>
    <w:rsid w:val="0081116C"/>
    <w:rsid w:val="00812A2D"/>
    <w:rsid w:val="00816BC7"/>
    <w:rsid w:val="00820B10"/>
    <w:rsid w:val="008219F7"/>
    <w:rsid w:val="0082498D"/>
    <w:rsid w:val="00825DC2"/>
    <w:rsid w:val="00827C83"/>
    <w:rsid w:val="00830861"/>
    <w:rsid w:val="00831172"/>
    <w:rsid w:val="00831DEF"/>
    <w:rsid w:val="00832545"/>
    <w:rsid w:val="00834AD3"/>
    <w:rsid w:val="00837A63"/>
    <w:rsid w:val="00837FC6"/>
    <w:rsid w:val="00843795"/>
    <w:rsid w:val="00846193"/>
    <w:rsid w:val="0084642E"/>
    <w:rsid w:val="00847F0F"/>
    <w:rsid w:val="00852448"/>
    <w:rsid w:val="00853FF8"/>
    <w:rsid w:val="008568CD"/>
    <w:rsid w:val="00860B06"/>
    <w:rsid w:val="00861AC7"/>
    <w:rsid w:val="00863FFC"/>
    <w:rsid w:val="00864AFD"/>
    <w:rsid w:val="00865967"/>
    <w:rsid w:val="00873926"/>
    <w:rsid w:val="00875548"/>
    <w:rsid w:val="00875E9E"/>
    <w:rsid w:val="00876BFD"/>
    <w:rsid w:val="008779FA"/>
    <w:rsid w:val="00877B12"/>
    <w:rsid w:val="00881F0B"/>
    <w:rsid w:val="0088258A"/>
    <w:rsid w:val="008832C4"/>
    <w:rsid w:val="00883763"/>
    <w:rsid w:val="00886332"/>
    <w:rsid w:val="00886943"/>
    <w:rsid w:val="008957B5"/>
    <w:rsid w:val="008A2173"/>
    <w:rsid w:val="008A26D9"/>
    <w:rsid w:val="008A2A88"/>
    <w:rsid w:val="008A720C"/>
    <w:rsid w:val="008B2734"/>
    <w:rsid w:val="008B27A9"/>
    <w:rsid w:val="008C0C29"/>
    <w:rsid w:val="008C517D"/>
    <w:rsid w:val="008C73C5"/>
    <w:rsid w:val="008C7A01"/>
    <w:rsid w:val="008D357B"/>
    <w:rsid w:val="008D53FF"/>
    <w:rsid w:val="008E1938"/>
    <w:rsid w:val="008E4744"/>
    <w:rsid w:val="008E6EF2"/>
    <w:rsid w:val="008E778B"/>
    <w:rsid w:val="008E7FA8"/>
    <w:rsid w:val="008F2CC2"/>
    <w:rsid w:val="008F3638"/>
    <w:rsid w:val="008F4441"/>
    <w:rsid w:val="008F6F31"/>
    <w:rsid w:val="008F74DF"/>
    <w:rsid w:val="0090087E"/>
    <w:rsid w:val="00903547"/>
    <w:rsid w:val="009127BA"/>
    <w:rsid w:val="00916353"/>
    <w:rsid w:val="00916782"/>
    <w:rsid w:val="00916C38"/>
    <w:rsid w:val="009200FC"/>
    <w:rsid w:val="00920915"/>
    <w:rsid w:val="009227A6"/>
    <w:rsid w:val="00923104"/>
    <w:rsid w:val="0092346B"/>
    <w:rsid w:val="00923FCE"/>
    <w:rsid w:val="00925691"/>
    <w:rsid w:val="00926162"/>
    <w:rsid w:val="00931CDD"/>
    <w:rsid w:val="00932B19"/>
    <w:rsid w:val="00933B26"/>
    <w:rsid w:val="00933EC1"/>
    <w:rsid w:val="009355A2"/>
    <w:rsid w:val="00936AB7"/>
    <w:rsid w:val="009372BE"/>
    <w:rsid w:val="00947FE7"/>
    <w:rsid w:val="009530DB"/>
    <w:rsid w:val="00953676"/>
    <w:rsid w:val="00954B54"/>
    <w:rsid w:val="0095536D"/>
    <w:rsid w:val="009578BB"/>
    <w:rsid w:val="00960F0F"/>
    <w:rsid w:val="009647B2"/>
    <w:rsid w:val="009705EE"/>
    <w:rsid w:val="00971A4C"/>
    <w:rsid w:val="00971DC1"/>
    <w:rsid w:val="00973EDB"/>
    <w:rsid w:val="009749EE"/>
    <w:rsid w:val="00975F7E"/>
    <w:rsid w:val="00977927"/>
    <w:rsid w:val="0098135C"/>
    <w:rsid w:val="0098156A"/>
    <w:rsid w:val="009827E8"/>
    <w:rsid w:val="00983C8A"/>
    <w:rsid w:val="0098460E"/>
    <w:rsid w:val="00985747"/>
    <w:rsid w:val="00985AF7"/>
    <w:rsid w:val="0098652F"/>
    <w:rsid w:val="009876F2"/>
    <w:rsid w:val="00990133"/>
    <w:rsid w:val="00991316"/>
    <w:rsid w:val="00991BAC"/>
    <w:rsid w:val="00995216"/>
    <w:rsid w:val="009A0726"/>
    <w:rsid w:val="009A1D47"/>
    <w:rsid w:val="009A284B"/>
    <w:rsid w:val="009A427B"/>
    <w:rsid w:val="009A6EA0"/>
    <w:rsid w:val="009B1280"/>
    <w:rsid w:val="009B1399"/>
    <w:rsid w:val="009B2C6B"/>
    <w:rsid w:val="009B5ABC"/>
    <w:rsid w:val="009C1335"/>
    <w:rsid w:val="009C156D"/>
    <w:rsid w:val="009C1AB2"/>
    <w:rsid w:val="009C5407"/>
    <w:rsid w:val="009C714D"/>
    <w:rsid w:val="009C7251"/>
    <w:rsid w:val="009D35D1"/>
    <w:rsid w:val="009D50E2"/>
    <w:rsid w:val="009D7F57"/>
    <w:rsid w:val="009E0C10"/>
    <w:rsid w:val="009E0DC3"/>
    <w:rsid w:val="009E0FB6"/>
    <w:rsid w:val="009E2E91"/>
    <w:rsid w:val="009E3BF4"/>
    <w:rsid w:val="009E4892"/>
    <w:rsid w:val="009F2D33"/>
    <w:rsid w:val="009F5815"/>
    <w:rsid w:val="009F661F"/>
    <w:rsid w:val="009F7DCD"/>
    <w:rsid w:val="00A036A8"/>
    <w:rsid w:val="00A0519C"/>
    <w:rsid w:val="00A07F00"/>
    <w:rsid w:val="00A12435"/>
    <w:rsid w:val="00A139F5"/>
    <w:rsid w:val="00A17CAA"/>
    <w:rsid w:val="00A202B4"/>
    <w:rsid w:val="00A2136A"/>
    <w:rsid w:val="00A221A2"/>
    <w:rsid w:val="00A2273C"/>
    <w:rsid w:val="00A238D5"/>
    <w:rsid w:val="00A2475E"/>
    <w:rsid w:val="00A24CEE"/>
    <w:rsid w:val="00A25CCA"/>
    <w:rsid w:val="00A25FF0"/>
    <w:rsid w:val="00A26BCC"/>
    <w:rsid w:val="00A27261"/>
    <w:rsid w:val="00A33F84"/>
    <w:rsid w:val="00A34A3F"/>
    <w:rsid w:val="00A34C24"/>
    <w:rsid w:val="00A35421"/>
    <w:rsid w:val="00A35651"/>
    <w:rsid w:val="00A365F4"/>
    <w:rsid w:val="00A37CE0"/>
    <w:rsid w:val="00A460E6"/>
    <w:rsid w:val="00A46BD5"/>
    <w:rsid w:val="00A47D80"/>
    <w:rsid w:val="00A51968"/>
    <w:rsid w:val="00A51E49"/>
    <w:rsid w:val="00A52D14"/>
    <w:rsid w:val="00A53132"/>
    <w:rsid w:val="00A55280"/>
    <w:rsid w:val="00A563F2"/>
    <w:rsid w:val="00A566E8"/>
    <w:rsid w:val="00A64EA6"/>
    <w:rsid w:val="00A65705"/>
    <w:rsid w:val="00A671AE"/>
    <w:rsid w:val="00A70AFB"/>
    <w:rsid w:val="00A76691"/>
    <w:rsid w:val="00A77099"/>
    <w:rsid w:val="00A810F9"/>
    <w:rsid w:val="00A81781"/>
    <w:rsid w:val="00A837D6"/>
    <w:rsid w:val="00A86ECC"/>
    <w:rsid w:val="00A86FCC"/>
    <w:rsid w:val="00A92078"/>
    <w:rsid w:val="00A9718A"/>
    <w:rsid w:val="00AA293B"/>
    <w:rsid w:val="00AA4416"/>
    <w:rsid w:val="00AA6344"/>
    <w:rsid w:val="00AA710D"/>
    <w:rsid w:val="00AA7119"/>
    <w:rsid w:val="00AB1A9B"/>
    <w:rsid w:val="00AB1E44"/>
    <w:rsid w:val="00AB4185"/>
    <w:rsid w:val="00AB6D25"/>
    <w:rsid w:val="00AC3A14"/>
    <w:rsid w:val="00AC7483"/>
    <w:rsid w:val="00AC7FA4"/>
    <w:rsid w:val="00AD1BBD"/>
    <w:rsid w:val="00AD2387"/>
    <w:rsid w:val="00AD2BA7"/>
    <w:rsid w:val="00AD4947"/>
    <w:rsid w:val="00AD55FA"/>
    <w:rsid w:val="00AD7D8F"/>
    <w:rsid w:val="00AE0D9E"/>
    <w:rsid w:val="00AE1D05"/>
    <w:rsid w:val="00AE20FD"/>
    <w:rsid w:val="00AE2D4B"/>
    <w:rsid w:val="00AE3075"/>
    <w:rsid w:val="00AE32EA"/>
    <w:rsid w:val="00AE3D89"/>
    <w:rsid w:val="00AE4F99"/>
    <w:rsid w:val="00AE55E4"/>
    <w:rsid w:val="00AE636D"/>
    <w:rsid w:val="00AF0027"/>
    <w:rsid w:val="00AF38BA"/>
    <w:rsid w:val="00AF3FAC"/>
    <w:rsid w:val="00AF6A14"/>
    <w:rsid w:val="00B04DD4"/>
    <w:rsid w:val="00B056F3"/>
    <w:rsid w:val="00B11721"/>
    <w:rsid w:val="00B1188B"/>
    <w:rsid w:val="00B11B69"/>
    <w:rsid w:val="00B14952"/>
    <w:rsid w:val="00B15058"/>
    <w:rsid w:val="00B15BF3"/>
    <w:rsid w:val="00B22193"/>
    <w:rsid w:val="00B23A98"/>
    <w:rsid w:val="00B24394"/>
    <w:rsid w:val="00B27F51"/>
    <w:rsid w:val="00B3004F"/>
    <w:rsid w:val="00B31E5A"/>
    <w:rsid w:val="00B322EC"/>
    <w:rsid w:val="00B3255C"/>
    <w:rsid w:val="00B32B44"/>
    <w:rsid w:val="00B349BC"/>
    <w:rsid w:val="00B355A6"/>
    <w:rsid w:val="00B36E3F"/>
    <w:rsid w:val="00B37708"/>
    <w:rsid w:val="00B56B8D"/>
    <w:rsid w:val="00B606DD"/>
    <w:rsid w:val="00B609CE"/>
    <w:rsid w:val="00B653AB"/>
    <w:rsid w:val="00B65F9E"/>
    <w:rsid w:val="00B66B19"/>
    <w:rsid w:val="00B71133"/>
    <w:rsid w:val="00B7305F"/>
    <w:rsid w:val="00B74BE2"/>
    <w:rsid w:val="00B77A84"/>
    <w:rsid w:val="00B834FA"/>
    <w:rsid w:val="00B841AF"/>
    <w:rsid w:val="00B85D58"/>
    <w:rsid w:val="00B914E9"/>
    <w:rsid w:val="00B921FC"/>
    <w:rsid w:val="00B939B5"/>
    <w:rsid w:val="00B93CB1"/>
    <w:rsid w:val="00B94737"/>
    <w:rsid w:val="00B956EE"/>
    <w:rsid w:val="00B97152"/>
    <w:rsid w:val="00B972E0"/>
    <w:rsid w:val="00BA1326"/>
    <w:rsid w:val="00BA2BA1"/>
    <w:rsid w:val="00BA3562"/>
    <w:rsid w:val="00BA495E"/>
    <w:rsid w:val="00BA5009"/>
    <w:rsid w:val="00BA5A42"/>
    <w:rsid w:val="00BB2EDA"/>
    <w:rsid w:val="00BB2F35"/>
    <w:rsid w:val="00BB4F09"/>
    <w:rsid w:val="00BB7B72"/>
    <w:rsid w:val="00BC4896"/>
    <w:rsid w:val="00BC515D"/>
    <w:rsid w:val="00BC5757"/>
    <w:rsid w:val="00BC5C8D"/>
    <w:rsid w:val="00BC6D4A"/>
    <w:rsid w:val="00BC7D35"/>
    <w:rsid w:val="00BD1FFB"/>
    <w:rsid w:val="00BD375E"/>
    <w:rsid w:val="00BD3992"/>
    <w:rsid w:val="00BD49C9"/>
    <w:rsid w:val="00BD4E33"/>
    <w:rsid w:val="00BD6632"/>
    <w:rsid w:val="00BE0EBC"/>
    <w:rsid w:val="00BE145F"/>
    <w:rsid w:val="00BE1CFB"/>
    <w:rsid w:val="00BE3505"/>
    <w:rsid w:val="00BE3D40"/>
    <w:rsid w:val="00BE5495"/>
    <w:rsid w:val="00BE626C"/>
    <w:rsid w:val="00BE778D"/>
    <w:rsid w:val="00BE7831"/>
    <w:rsid w:val="00BE78E1"/>
    <w:rsid w:val="00BF4927"/>
    <w:rsid w:val="00BF49E5"/>
    <w:rsid w:val="00BF4ABF"/>
    <w:rsid w:val="00BF68FE"/>
    <w:rsid w:val="00BF6F12"/>
    <w:rsid w:val="00BF7E0E"/>
    <w:rsid w:val="00C00EDA"/>
    <w:rsid w:val="00C0123A"/>
    <w:rsid w:val="00C030DE"/>
    <w:rsid w:val="00C04FEC"/>
    <w:rsid w:val="00C05CCE"/>
    <w:rsid w:val="00C123F4"/>
    <w:rsid w:val="00C141A0"/>
    <w:rsid w:val="00C15200"/>
    <w:rsid w:val="00C15681"/>
    <w:rsid w:val="00C163E1"/>
    <w:rsid w:val="00C22105"/>
    <w:rsid w:val="00C22FB2"/>
    <w:rsid w:val="00C244B6"/>
    <w:rsid w:val="00C24913"/>
    <w:rsid w:val="00C2630C"/>
    <w:rsid w:val="00C27D75"/>
    <w:rsid w:val="00C303F7"/>
    <w:rsid w:val="00C32F2B"/>
    <w:rsid w:val="00C34038"/>
    <w:rsid w:val="00C348B0"/>
    <w:rsid w:val="00C3702F"/>
    <w:rsid w:val="00C40A97"/>
    <w:rsid w:val="00C413DD"/>
    <w:rsid w:val="00C43656"/>
    <w:rsid w:val="00C4500A"/>
    <w:rsid w:val="00C52267"/>
    <w:rsid w:val="00C52277"/>
    <w:rsid w:val="00C52B9D"/>
    <w:rsid w:val="00C54E5E"/>
    <w:rsid w:val="00C55977"/>
    <w:rsid w:val="00C55C91"/>
    <w:rsid w:val="00C56B22"/>
    <w:rsid w:val="00C56E8E"/>
    <w:rsid w:val="00C64470"/>
    <w:rsid w:val="00C64A37"/>
    <w:rsid w:val="00C67619"/>
    <w:rsid w:val="00C71465"/>
    <w:rsid w:val="00C7158E"/>
    <w:rsid w:val="00C7250B"/>
    <w:rsid w:val="00C7346B"/>
    <w:rsid w:val="00C74548"/>
    <w:rsid w:val="00C7499C"/>
    <w:rsid w:val="00C77C0E"/>
    <w:rsid w:val="00C77D75"/>
    <w:rsid w:val="00C77DAE"/>
    <w:rsid w:val="00C8000E"/>
    <w:rsid w:val="00C8057B"/>
    <w:rsid w:val="00C81155"/>
    <w:rsid w:val="00C8596C"/>
    <w:rsid w:val="00C85FF2"/>
    <w:rsid w:val="00C90542"/>
    <w:rsid w:val="00C90979"/>
    <w:rsid w:val="00C9104F"/>
    <w:rsid w:val="00C91687"/>
    <w:rsid w:val="00C91DEE"/>
    <w:rsid w:val="00C924A8"/>
    <w:rsid w:val="00C9296C"/>
    <w:rsid w:val="00C92F37"/>
    <w:rsid w:val="00C945FE"/>
    <w:rsid w:val="00C950B4"/>
    <w:rsid w:val="00C96FAA"/>
    <w:rsid w:val="00C97A04"/>
    <w:rsid w:val="00CA107B"/>
    <w:rsid w:val="00CA22CA"/>
    <w:rsid w:val="00CA247A"/>
    <w:rsid w:val="00CA484D"/>
    <w:rsid w:val="00CA4FB6"/>
    <w:rsid w:val="00CA7A1E"/>
    <w:rsid w:val="00CB12B9"/>
    <w:rsid w:val="00CB76D2"/>
    <w:rsid w:val="00CC0580"/>
    <w:rsid w:val="00CC1315"/>
    <w:rsid w:val="00CC739E"/>
    <w:rsid w:val="00CD1E2E"/>
    <w:rsid w:val="00CD252F"/>
    <w:rsid w:val="00CD3639"/>
    <w:rsid w:val="00CD58B7"/>
    <w:rsid w:val="00CE3DFA"/>
    <w:rsid w:val="00CF4099"/>
    <w:rsid w:val="00D00796"/>
    <w:rsid w:val="00D014A0"/>
    <w:rsid w:val="00D01DD2"/>
    <w:rsid w:val="00D02D2C"/>
    <w:rsid w:val="00D13953"/>
    <w:rsid w:val="00D13BE7"/>
    <w:rsid w:val="00D1537F"/>
    <w:rsid w:val="00D16512"/>
    <w:rsid w:val="00D2072B"/>
    <w:rsid w:val="00D22C4F"/>
    <w:rsid w:val="00D22F3F"/>
    <w:rsid w:val="00D230B7"/>
    <w:rsid w:val="00D2483A"/>
    <w:rsid w:val="00D261A2"/>
    <w:rsid w:val="00D273A2"/>
    <w:rsid w:val="00D32457"/>
    <w:rsid w:val="00D33434"/>
    <w:rsid w:val="00D4272B"/>
    <w:rsid w:val="00D4466E"/>
    <w:rsid w:val="00D468C0"/>
    <w:rsid w:val="00D478C0"/>
    <w:rsid w:val="00D538E4"/>
    <w:rsid w:val="00D608C9"/>
    <w:rsid w:val="00D616D2"/>
    <w:rsid w:val="00D62BD2"/>
    <w:rsid w:val="00D63B5F"/>
    <w:rsid w:val="00D64849"/>
    <w:rsid w:val="00D67ADC"/>
    <w:rsid w:val="00D7066F"/>
    <w:rsid w:val="00D70EF7"/>
    <w:rsid w:val="00D72BB0"/>
    <w:rsid w:val="00D7444B"/>
    <w:rsid w:val="00D75ADE"/>
    <w:rsid w:val="00D815F5"/>
    <w:rsid w:val="00D8397C"/>
    <w:rsid w:val="00D87084"/>
    <w:rsid w:val="00D92F18"/>
    <w:rsid w:val="00D94EED"/>
    <w:rsid w:val="00D96026"/>
    <w:rsid w:val="00DA0243"/>
    <w:rsid w:val="00DA3908"/>
    <w:rsid w:val="00DA433C"/>
    <w:rsid w:val="00DA56D1"/>
    <w:rsid w:val="00DA7C1C"/>
    <w:rsid w:val="00DB08AC"/>
    <w:rsid w:val="00DB0F96"/>
    <w:rsid w:val="00DB147A"/>
    <w:rsid w:val="00DB1888"/>
    <w:rsid w:val="00DB1B7A"/>
    <w:rsid w:val="00DB2254"/>
    <w:rsid w:val="00DB2762"/>
    <w:rsid w:val="00DB65D4"/>
    <w:rsid w:val="00DC15CA"/>
    <w:rsid w:val="00DC1C55"/>
    <w:rsid w:val="00DC6708"/>
    <w:rsid w:val="00DD3249"/>
    <w:rsid w:val="00DD7785"/>
    <w:rsid w:val="00DE341A"/>
    <w:rsid w:val="00DF4B86"/>
    <w:rsid w:val="00DF712D"/>
    <w:rsid w:val="00DF7C13"/>
    <w:rsid w:val="00E005DC"/>
    <w:rsid w:val="00E01436"/>
    <w:rsid w:val="00E0173C"/>
    <w:rsid w:val="00E045BD"/>
    <w:rsid w:val="00E11028"/>
    <w:rsid w:val="00E11099"/>
    <w:rsid w:val="00E1284C"/>
    <w:rsid w:val="00E17A9F"/>
    <w:rsid w:val="00E17B77"/>
    <w:rsid w:val="00E23337"/>
    <w:rsid w:val="00E2484A"/>
    <w:rsid w:val="00E259EA"/>
    <w:rsid w:val="00E25C1F"/>
    <w:rsid w:val="00E27E85"/>
    <w:rsid w:val="00E30793"/>
    <w:rsid w:val="00E32061"/>
    <w:rsid w:val="00E36B51"/>
    <w:rsid w:val="00E41CA5"/>
    <w:rsid w:val="00E41FCF"/>
    <w:rsid w:val="00E4234B"/>
    <w:rsid w:val="00E42FF9"/>
    <w:rsid w:val="00E44C7E"/>
    <w:rsid w:val="00E44FA9"/>
    <w:rsid w:val="00E467AB"/>
    <w:rsid w:val="00E4714C"/>
    <w:rsid w:val="00E5084E"/>
    <w:rsid w:val="00E51AEB"/>
    <w:rsid w:val="00E522A7"/>
    <w:rsid w:val="00E52681"/>
    <w:rsid w:val="00E52C9E"/>
    <w:rsid w:val="00E52E39"/>
    <w:rsid w:val="00E54452"/>
    <w:rsid w:val="00E5639F"/>
    <w:rsid w:val="00E5790D"/>
    <w:rsid w:val="00E57C17"/>
    <w:rsid w:val="00E63984"/>
    <w:rsid w:val="00E651E3"/>
    <w:rsid w:val="00E65A0C"/>
    <w:rsid w:val="00E664C5"/>
    <w:rsid w:val="00E671A2"/>
    <w:rsid w:val="00E7228F"/>
    <w:rsid w:val="00E74509"/>
    <w:rsid w:val="00E75E7E"/>
    <w:rsid w:val="00E76D26"/>
    <w:rsid w:val="00E80F67"/>
    <w:rsid w:val="00E82EDF"/>
    <w:rsid w:val="00E84D22"/>
    <w:rsid w:val="00E90DD3"/>
    <w:rsid w:val="00E9245E"/>
    <w:rsid w:val="00E93515"/>
    <w:rsid w:val="00EA0F2D"/>
    <w:rsid w:val="00EA1451"/>
    <w:rsid w:val="00EB02C9"/>
    <w:rsid w:val="00EB09B0"/>
    <w:rsid w:val="00EB1390"/>
    <w:rsid w:val="00EB2C71"/>
    <w:rsid w:val="00EB4142"/>
    <w:rsid w:val="00EB4340"/>
    <w:rsid w:val="00EB556D"/>
    <w:rsid w:val="00EB5A7D"/>
    <w:rsid w:val="00EC18B9"/>
    <w:rsid w:val="00EC5A5F"/>
    <w:rsid w:val="00EC5B0F"/>
    <w:rsid w:val="00ED3085"/>
    <w:rsid w:val="00ED3475"/>
    <w:rsid w:val="00ED41E6"/>
    <w:rsid w:val="00ED55C0"/>
    <w:rsid w:val="00ED619B"/>
    <w:rsid w:val="00ED682B"/>
    <w:rsid w:val="00ED71DD"/>
    <w:rsid w:val="00EE07FB"/>
    <w:rsid w:val="00EE41D5"/>
    <w:rsid w:val="00EE447E"/>
    <w:rsid w:val="00EE696D"/>
    <w:rsid w:val="00EF7B36"/>
    <w:rsid w:val="00F0048C"/>
    <w:rsid w:val="00F007B6"/>
    <w:rsid w:val="00F031E7"/>
    <w:rsid w:val="00F037A4"/>
    <w:rsid w:val="00F12FEC"/>
    <w:rsid w:val="00F14357"/>
    <w:rsid w:val="00F161D3"/>
    <w:rsid w:val="00F168B5"/>
    <w:rsid w:val="00F16CA6"/>
    <w:rsid w:val="00F17C38"/>
    <w:rsid w:val="00F20448"/>
    <w:rsid w:val="00F24783"/>
    <w:rsid w:val="00F26013"/>
    <w:rsid w:val="00F268A5"/>
    <w:rsid w:val="00F273C7"/>
    <w:rsid w:val="00F27C8F"/>
    <w:rsid w:val="00F30570"/>
    <w:rsid w:val="00F30A0C"/>
    <w:rsid w:val="00F32749"/>
    <w:rsid w:val="00F34DE8"/>
    <w:rsid w:val="00F351D4"/>
    <w:rsid w:val="00F360EB"/>
    <w:rsid w:val="00F37172"/>
    <w:rsid w:val="00F428ED"/>
    <w:rsid w:val="00F42CF6"/>
    <w:rsid w:val="00F4477E"/>
    <w:rsid w:val="00F45717"/>
    <w:rsid w:val="00F472F8"/>
    <w:rsid w:val="00F50C9C"/>
    <w:rsid w:val="00F510DE"/>
    <w:rsid w:val="00F53BD1"/>
    <w:rsid w:val="00F65EEC"/>
    <w:rsid w:val="00F6637E"/>
    <w:rsid w:val="00F67D8F"/>
    <w:rsid w:val="00F708C4"/>
    <w:rsid w:val="00F72954"/>
    <w:rsid w:val="00F739B3"/>
    <w:rsid w:val="00F74926"/>
    <w:rsid w:val="00F74B10"/>
    <w:rsid w:val="00F74EC4"/>
    <w:rsid w:val="00F80247"/>
    <w:rsid w:val="00F802BE"/>
    <w:rsid w:val="00F80E93"/>
    <w:rsid w:val="00F86024"/>
    <w:rsid w:val="00F8611A"/>
    <w:rsid w:val="00F866F2"/>
    <w:rsid w:val="00F86C02"/>
    <w:rsid w:val="00F86DF5"/>
    <w:rsid w:val="00F90BB1"/>
    <w:rsid w:val="00F9121B"/>
    <w:rsid w:val="00F915B4"/>
    <w:rsid w:val="00F9358F"/>
    <w:rsid w:val="00F93B25"/>
    <w:rsid w:val="00F9518C"/>
    <w:rsid w:val="00F968F6"/>
    <w:rsid w:val="00FA4D4A"/>
    <w:rsid w:val="00FA5128"/>
    <w:rsid w:val="00FA5BDD"/>
    <w:rsid w:val="00FB13F8"/>
    <w:rsid w:val="00FB2A1E"/>
    <w:rsid w:val="00FB42D4"/>
    <w:rsid w:val="00FB5906"/>
    <w:rsid w:val="00FB762F"/>
    <w:rsid w:val="00FC1EA0"/>
    <w:rsid w:val="00FC2AED"/>
    <w:rsid w:val="00FC6342"/>
    <w:rsid w:val="00FD0589"/>
    <w:rsid w:val="00FD3DC6"/>
    <w:rsid w:val="00FD5EA7"/>
    <w:rsid w:val="00FD6BE5"/>
    <w:rsid w:val="00FE2FEC"/>
    <w:rsid w:val="00FE4A1E"/>
    <w:rsid w:val="00FF314D"/>
    <w:rsid w:val="00FF76E1"/>
    <w:rsid w:val="00FF7A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486F7F"/>
  <w15:docId w15:val="{E2501A34-76EB-47F6-9790-A13AA9CB4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lsdException w:name="heading 4" w:semiHidden="1" w:uiPriority="9" w:unhideWhenUsed="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F34DE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nhideWhenUsed/>
    <w:qFormat/>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7">
    <w:name w:val="heading 7"/>
    <w:basedOn w:val="Normalny"/>
    <w:next w:val="Normalny"/>
    <w:link w:val="Nagwek7Znak"/>
    <w:uiPriority w:val="9"/>
    <w:semiHidden/>
    <w:unhideWhenUsed/>
    <w:qFormat/>
    <w:rsid w:val="009C156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table" w:customStyle="1" w:styleId="Siatkatabelijasna10">
    <w:name w:val="Siatka tabeli — jasna1"/>
    <w:basedOn w:val="Standardowy"/>
    <w:uiPriority w:val="40"/>
    <w:rsid w:val="0068512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agwek7Znak">
    <w:name w:val="Nagłówek 7 Znak"/>
    <w:basedOn w:val="Domylnaczcionkaakapitu"/>
    <w:link w:val="Nagwek7"/>
    <w:uiPriority w:val="9"/>
    <w:semiHidden/>
    <w:rsid w:val="009C156D"/>
    <w:rPr>
      <w:rFonts w:asciiTheme="majorHAnsi" w:eastAsiaTheme="majorEastAsia" w:hAnsiTheme="majorHAnsi" w:cstheme="majorBidi"/>
      <w:i/>
      <w:iCs/>
      <w:color w:val="1F4D78" w:themeColor="accent1" w:themeShade="7F"/>
      <w:sz w:val="19"/>
    </w:rPr>
  </w:style>
  <w:style w:type="paragraph" w:styleId="NormalnyWeb">
    <w:name w:val="Normal (Web)"/>
    <w:basedOn w:val="Normalny"/>
    <w:uiPriority w:val="99"/>
    <w:semiHidden/>
    <w:unhideWhenUsed/>
    <w:rsid w:val="009D50E2"/>
    <w:pPr>
      <w:spacing w:before="100" w:beforeAutospacing="1" w:after="100" w:afterAutospacing="1" w:line="240" w:lineRule="auto"/>
    </w:pPr>
    <w:rPr>
      <w:rFonts w:ascii="Times New Roman" w:eastAsiaTheme="minorEastAsia" w:hAnsi="Times New Roman" w:cs="Times New Roman"/>
      <w:sz w:val="24"/>
      <w:szCs w:val="24"/>
      <w:lang w:eastAsia="pl-PL"/>
    </w:rPr>
  </w:style>
  <w:style w:type="character" w:styleId="UyteHipercze">
    <w:name w:val="FollowedHyperlink"/>
    <w:basedOn w:val="Domylnaczcionkaakapitu"/>
    <w:uiPriority w:val="99"/>
    <w:semiHidden/>
    <w:unhideWhenUsed/>
    <w:rsid w:val="00BE7831"/>
    <w:rPr>
      <w:color w:val="954F72" w:themeColor="followedHyperlink"/>
      <w:u w:val="single"/>
    </w:rPr>
  </w:style>
  <w:style w:type="paragraph" w:styleId="Tekstprzypisukocowego">
    <w:name w:val="endnote text"/>
    <w:basedOn w:val="Normalny"/>
    <w:link w:val="TekstprzypisukocowegoZnak"/>
    <w:uiPriority w:val="99"/>
    <w:semiHidden/>
    <w:unhideWhenUsed/>
    <w:rsid w:val="004160D3"/>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160D3"/>
    <w:rPr>
      <w:rFonts w:ascii="Fira Sans" w:hAnsi="Fira Sans"/>
      <w:sz w:val="20"/>
      <w:szCs w:val="20"/>
    </w:rPr>
  </w:style>
  <w:style w:type="character" w:styleId="Odwoanieprzypisukocowego">
    <w:name w:val="endnote reference"/>
    <w:basedOn w:val="Domylnaczcionkaakapitu"/>
    <w:uiPriority w:val="99"/>
    <w:semiHidden/>
    <w:unhideWhenUsed/>
    <w:rsid w:val="004160D3"/>
    <w:rPr>
      <w:vertAlign w:val="superscript"/>
    </w:rPr>
  </w:style>
  <w:style w:type="character" w:styleId="Odwoaniedokomentarza">
    <w:name w:val="annotation reference"/>
    <w:basedOn w:val="Domylnaczcionkaakapitu"/>
    <w:uiPriority w:val="99"/>
    <w:semiHidden/>
    <w:unhideWhenUsed/>
    <w:rsid w:val="00AE3D89"/>
    <w:rPr>
      <w:sz w:val="16"/>
      <w:szCs w:val="16"/>
    </w:rPr>
  </w:style>
  <w:style w:type="paragraph" w:styleId="Tekstkomentarza">
    <w:name w:val="annotation text"/>
    <w:basedOn w:val="Normalny"/>
    <w:link w:val="TekstkomentarzaZnak"/>
    <w:uiPriority w:val="99"/>
    <w:semiHidden/>
    <w:unhideWhenUsed/>
    <w:rsid w:val="00AE3D8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E3D89"/>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AE3D89"/>
    <w:rPr>
      <w:b/>
      <w:bCs/>
    </w:rPr>
  </w:style>
  <w:style w:type="character" w:customStyle="1" w:styleId="TematkomentarzaZnak">
    <w:name w:val="Temat komentarza Znak"/>
    <w:basedOn w:val="TekstkomentarzaZnak"/>
    <w:link w:val="Tematkomentarza"/>
    <w:uiPriority w:val="99"/>
    <w:semiHidden/>
    <w:rsid w:val="00AE3D89"/>
    <w:rPr>
      <w:rFonts w:ascii="Fira Sans" w:hAnsi="Fira Sans"/>
      <w:b/>
      <w:bCs/>
      <w:sz w:val="20"/>
      <w:szCs w:val="20"/>
    </w:rPr>
  </w:style>
  <w:style w:type="character" w:customStyle="1" w:styleId="e24kjd">
    <w:name w:val="e24kjd"/>
    <w:basedOn w:val="Domylnaczcionkaakapitu"/>
    <w:rsid w:val="000E7917"/>
  </w:style>
  <w:style w:type="paragraph" w:customStyle="1" w:styleId="Default">
    <w:name w:val="Default"/>
    <w:rsid w:val="001C2A2D"/>
    <w:pPr>
      <w:autoSpaceDE w:val="0"/>
      <w:autoSpaceDN w:val="0"/>
      <w:adjustRightInd w:val="0"/>
      <w:spacing w:after="0" w:line="240" w:lineRule="auto"/>
    </w:pPr>
    <w:rPr>
      <w:rFonts w:ascii="Fira Sans" w:hAnsi="Fira Sans" w:cs="Fira Sans"/>
      <w:color w:val="000000"/>
      <w:sz w:val="24"/>
      <w:szCs w:val="24"/>
    </w:rPr>
  </w:style>
  <w:style w:type="table" w:customStyle="1" w:styleId="Tabela-Siatka1">
    <w:name w:val="Tabela - Siatka1"/>
    <w:basedOn w:val="Standardowy"/>
    <w:next w:val="Tabela-Siatka"/>
    <w:uiPriority w:val="39"/>
    <w:rsid w:val="009827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698313">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11229171">
      <w:bodyDiv w:val="1"/>
      <w:marLeft w:val="0"/>
      <w:marRight w:val="0"/>
      <w:marTop w:val="0"/>
      <w:marBottom w:val="0"/>
      <w:divBdr>
        <w:top w:val="none" w:sz="0" w:space="0" w:color="auto"/>
        <w:left w:val="none" w:sz="0" w:space="0" w:color="auto"/>
        <w:bottom w:val="none" w:sz="0" w:space="0" w:color="auto"/>
        <w:right w:val="none" w:sz="0" w:space="0" w:color="auto"/>
      </w:divBdr>
    </w:div>
    <w:div w:id="8053177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87951454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image" Target="media/image7.png"/><Relationship Id="rId39" Type="http://schemas.openxmlformats.org/officeDocument/2006/relationships/hyperlink" Target="https://bdl.stat.gov.pl/BDL/metadane/cechy/2713?back=True" TargetMode="External"/><Relationship Id="rId21" Type="http://schemas.openxmlformats.org/officeDocument/2006/relationships/header" Target="header2.xml"/><Relationship Id="rId34" Type="http://schemas.openxmlformats.org/officeDocument/2006/relationships/hyperlink" Target="http://stat.gov.pl/metainformacje/slownik-pojec/pojecia-stosowane-w-statystyce-publicznej/3215,pojecie.html" TargetMode="External"/><Relationship Id="rId42" Type="http://schemas.openxmlformats.org/officeDocument/2006/relationships/hyperlink" Target="http://swaid.stat.gov.pl/en/WarunkiZyciaLudnosci_dashboards/Raporty_predefiniowane/RAP_DBD_WZL_12.aspx" TargetMode="External"/><Relationship Id="rId47" Type="http://schemas.openxmlformats.org/officeDocument/2006/relationships/footer" Target="footer3.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chart" Target="charts/chart7.xml"/><Relationship Id="rId29" Type="http://schemas.openxmlformats.org/officeDocument/2006/relationships/hyperlink" Target="https://bdl.stat.gov.pl/BDL/metadane/cechy/2713?back=Tru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5.png"/><Relationship Id="rId32" Type="http://schemas.openxmlformats.org/officeDocument/2006/relationships/hyperlink" Target="http://swaid.stat.gov.pl/en/WarunkiZyciaLudnosci_dashboards/Raporty_predefiniowane/RAP_DBD_WZL_12.aspx" TargetMode="External"/><Relationship Id="rId37" Type="http://schemas.openxmlformats.org/officeDocument/2006/relationships/hyperlink" Target="https://stat.gov.pl/en/topics/living-conditions/living-conditions/incomes-and-living-conditions-of-the-population-in-poland-report-from-the-eu-silc-survey-of-2018,1,11.html" TargetMode="External"/><Relationship Id="rId40" Type="http://schemas.openxmlformats.org/officeDocument/2006/relationships/hyperlink" Target="http://swaid.stat.gov.pl/WarunkiZyciaLudnosci_dashboards/Raporty_predefiniowane/RAP_DBD_WZL_10.aspx" TargetMode="External"/><Relationship Id="rId45" Type="http://schemas.openxmlformats.org/officeDocument/2006/relationships/hyperlink" Target="http://stat.gov.pl/metainformacje/slownik-pojec/pojecia-stosowane-w-statystyce-publicznej/3217,pojecie.html" TargetMode="External"/><Relationship Id="rId5" Type="http://schemas.openxmlformats.org/officeDocument/2006/relationships/styles" Target="styles.xml"/><Relationship Id="rId15" Type="http://schemas.openxmlformats.org/officeDocument/2006/relationships/chart" Target="charts/chart6.xml"/><Relationship Id="rId23" Type="http://schemas.openxmlformats.org/officeDocument/2006/relationships/hyperlink" Target="mailto:obslugaprasowa@stat.gov.pl" TargetMode="External"/><Relationship Id="rId28" Type="http://schemas.openxmlformats.org/officeDocument/2006/relationships/hyperlink" Target="https://stat.gov.pl/en/topics/living-conditions/living-conditions/the-situation-of-households-in-2019-on-the-base-of-the-result-of-household-budget-survey,12,19.html" TargetMode="External"/><Relationship Id="rId49"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header" Target="header1.xml"/><Relationship Id="rId31" Type="http://schemas.openxmlformats.org/officeDocument/2006/relationships/hyperlink" Target="http://swaid.stat.gov.pl/WarunkiZyciaLudnosci_dashboards/Raporty_predefiniowane/RAP_DBD_WZL_11.aspx" TargetMode="External"/><Relationship Id="rId44" Type="http://schemas.openxmlformats.org/officeDocument/2006/relationships/hyperlink" Target="http://stat.gov.pl/metainformacje/slownik-pojec/pojecia-stosowane-w-statystyce-publicznej/3215,pojecie.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5.xml"/><Relationship Id="rId22" Type="http://schemas.openxmlformats.org/officeDocument/2006/relationships/footer" Target="footer2.xml"/><Relationship Id="rId27" Type="http://schemas.openxmlformats.org/officeDocument/2006/relationships/hyperlink" Target="https://stat.gov.pl/en/topics/living-conditions/living-conditions/incomes-and-living-conditions-of-the-population-in-poland-report-from-the-eu-silc-survey-of-2018,1,11.html" TargetMode="External"/><Relationship Id="rId30" Type="http://schemas.openxmlformats.org/officeDocument/2006/relationships/hyperlink" Target="http://swaid.stat.gov.pl/WarunkiZyciaLudnosci_dashboards/Raporty_predefiniowane/RAP_DBD_WZL_10.aspx" TargetMode="External"/><Relationship Id="rId35" Type="http://schemas.openxmlformats.org/officeDocument/2006/relationships/hyperlink" Target="http://stat.gov.pl/metainformacje/slownik-pojec/pojecia-stosowane-w-statystyce-publicznej/3217,pojecie.html" TargetMode="External"/><Relationship Id="rId43" Type="http://schemas.openxmlformats.org/officeDocument/2006/relationships/hyperlink" Target="http://stat.gov.pl/metainformacje/slownik-pojec/pojecia-stosowane-w-statystyce-publicznej/3214,pojecie.html" TargetMode="External"/><Relationship Id="rId48"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image" Target="media/image6.png"/><Relationship Id="rId33" Type="http://schemas.openxmlformats.org/officeDocument/2006/relationships/hyperlink" Target="http://stat.gov.pl/metainformacje/slownik-pojec/pojecia-stosowane-w-statystyce-publicznej/3214,pojecie.html" TargetMode="External"/><Relationship Id="rId38" Type="http://schemas.openxmlformats.org/officeDocument/2006/relationships/hyperlink" Target="https://stat.gov.pl/en/topics/living-conditions/living-conditions/the-situation-of-households-in-2019-on-the-base-of-the-result-of-household-budget-survey,12,19.html" TargetMode="External"/><Relationship Id="rId46" Type="http://schemas.openxmlformats.org/officeDocument/2006/relationships/header" Target="header3.xml"/><Relationship Id="rId20" Type="http://schemas.openxmlformats.org/officeDocument/2006/relationships/footer" Target="footer1.xml"/><Relationship Id="rId41" Type="http://schemas.openxmlformats.org/officeDocument/2006/relationships/hyperlink" Target="http://swaid.stat.gov.pl/WarunkiZyciaLudnosci_dashboards/Raporty_predefiniowane/RAP_DBD_WZL_11.aspx"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4.emf"/><Relationship Id="rId1" Type="http://schemas.openxmlformats.org/officeDocument/2006/relationships/image" Target="media/image3.emf"/></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Arkusz_programu_Microsoft_Excel1.xlsx"/></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Arkusz_programu_Microsoft_Excel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Arkusz_programu_Microsoft_Excel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package" Target="../embeddings/Arkusz_programu_Microsoft_Excel4.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Arkusz_programu_Microsoft_Excel5.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package" Target="../embeddings/Arkusz_programu_Microsoft_Excel6.xlsx"/></Relationships>
</file>

<file path=word/charts/_rels/chart7.xml.rels><?xml version="1.0" encoding="UTF-8" standalone="yes"?>
<Relationships xmlns="http://schemas.openxmlformats.org/package/2006/relationships"><Relationship Id="rId2" Type="http://schemas.openxmlformats.org/officeDocument/2006/relationships/package" Target="../embeddings/Arkusz_programu_Microsoft_Excel7.xlsx"/><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package" Target="../embeddings/Arkusz_programu_Microsoft_Excel8.xlsx"/><Relationship Id="rId1" Type="http://schemas.openxmlformats.org/officeDocument/2006/relationships/themeOverride" Target="../theme/themeOverride6.xml"/></Relationships>
</file>

<file path=word/charts/_rels/chart9.xml.rels><?xml version="1.0" encoding="UTF-8" standalone="yes"?>
<Relationships xmlns="http://schemas.openxmlformats.org/package/2006/relationships"><Relationship Id="rId2" Type="http://schemas.openxmlformats.org/officeDocument/2006/relationships/package" Target="../embeddings/Arkusz_programu_Microsoft_Excel9.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881761731003139E-2"/>
          <c:y val="6.6666588882367969E-2"/>
          <c:w val="0.88576051469176109"/>
          <c:h val="0.74233464905474578"/>
        </c:manualLayout>
      </c:layout>
      <c:lineChart>
        <c:grouping val="standard"/>
        <c:varyColors val="0"/>
        <c:ser>
          <c:idx val="0"/>
          <c:order val="0"/>
          <c:tx>
            <c:strRef>
              <c:f>Trend!$A$3</c:f>
              <c:strCache>
                <c:ptCount val="1"/>
                <c:pt idx="0">
                  <c:v>extreme poverty (subsistence minimum)</c:v>
                </c:pt>
              </c:strCache>
            </c:strRef>
          </c:tx>
          <c:spPr>
            <a:ln>
              <a:solidFill>
                <a:srgbClr val="001D77"/>
              </a:solidFill>
            </a:ln>
          </c:spPr>
          <c:marker>
            <c:spPr>
              <a:solidFill>
                <a:srgbClr val="001D77"/>
              </a:solidFill>
              <a:ln>
                <a:solidFill>
                  <a:srgbClr val="001D77"/>
                </a:solidFill>
              </a:ln>
            </c:spPr>
          </c:marker>
          <c:dLbls>
            <c:dLbl>
              <c:idx val="0"/>
              <c:tx>
                <c:rich>
                  <a:bodyPr/>
                  <a:lstStyle/>
                  <a:p>
                    <a:r>
                      <a:rPr lang="en-US"/>
                      <a:t>5.6</a:t>
                    </a:r>
                  </a:p>
                </c:rich>
              </c:tx>
              <c:dLblPos val="b"/>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5.7</a:t>
                    </a:r>
                  </a:p>
                </c:rich>
              </c:tx>
              <c:dLblPos val="b"/>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5.8</a:t>
                    </a:r>
                  </a:p>
                </c:rich>
              </c:tx>
              <c:dLblPos val="b"/>
              <c:showLegendKey val="0"/>
              <c:showVal val="1"/>
              <c:showCatName val="0"/>
              <c:showSerName val="0"/>
              <c:showPercent val="0"/>
              <c:showBubbleSize val="0"/>
              <c:extLst>
                <c:ext xmlns:c15="http://schemas.microsoft.com/office/drawing/2012/chart" uri="{CE6537A1-D6FC-4f65-9D91-7224C49458BB}"/>
              </c:extLst>
            </c:dLbl>
            <c:dLbl>
              <c:idx val="3"/>
              <c:layout>
                <c:manualLayout>
                  <c:x val="-3.188079748482265E-2"/>
                  <c:y val="-3.7312265331664582E-2"/>
                </c:manualLayout>
              </c:layout>
              <c:tx>
                <c:rich>
                  <a:bodyPr/>
                  <a:lstStyle/>
                  <a:p>
                    <a:r>
                      <a:rPr lang="en-US"/>
                      <a:t>6.8</a:t>
                    </a:r>
                  </a:p>
                </c:rich>
              </c:tx>
              <c:dLblPos val="r"/>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6.8</a:t>
                    </a:r>
                  </a:p>
                </c:rich>
              </c:tx>
              <c:dLblPos val="b"/>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a:t>7.4</a:t>
                    </a:r>
                  </a:p>
                </c:rich>
              </c:tx>
              <c:dLblPos val="b"/>
              <c:showLegendKey val="0"/>
              <c:showVal val="1"/>
              <c:showCatName val="0"/>
              <c:showSerName val="0"/>
              <c:showPercent val="0"/>
              <c:showBubbleSize val="0"/>
              <c:extLst>
                <c:ext xmlns:c15="http://schemas.microsoft.com/office/drawing/2012/chart" uri="{CE6537A1-D6FC-4f65-9D91-7224C49458BB}"/>
              </c:extLst>
            </c:dLbl>
            <c:dLbl>
              <c:idx val="6"/>
              <c:layout>
                <c:manualLayout>
                  <c:x val="-3.9490109468023817E-2"/>
                  <c:y val="3.5499402740919013E-2"/>
                </c:manualLayout>
              </c:layout>
              <c:tx>
                <c:rich>
                  <a:bodyPr/>
                  <a:lstStyle/>
                  <a:p>
                    <a:r>
                      <a:rPr lang="en-US"/>
                      <a:t>7.4</a:t>
                    </a:r>
                  </a:p>
                </c:rich>
              </c:tx>
              <c:dLblPos val="r"/>
              <c:showLegendKey val="0"/>
              <c:showVal val="1"/>
              <c:showCatName val="0"/>
              <c:showSerName val="0"/>
              <c:showPercent val="0"/>
              <c:showBubbleSize val="0"/>
              <c:extLst>
                <c:ext xmlns:c15="http://schemas.microsoft.com/office/drawing/2012/chart" uri="{CE6537A1-D6FC-4f65-9D91-7224C49458BB}"/>
              </c:extLst>
            </c:dLbl>
            <c:dLbl>
              <c:idx val="7"/>
              <c:tx>
                <c:rich>
                  <a:bodyPr/>
                  <a:lstStyle/>
                  <a:p>
                    <a:r>
                      <a:rPr lang="en-US"/>
                      <a:t>6.5</a:t>
                    </a:r>
                  </a:p>
                </c:rich>
              </c:tx>
              <c:dLblPos val="b"/>
              <c:showLegendKey val="0"/>
              <c:showVal val="1"/>
              <c:showCatName val="0"/>
              <c:showSerName val="0"/>
              <c:showPercent val="0"/>
              <c:showBubbleSize val="0"/>
              <c:extLst>
                <c:ext xmlns:c15="http://schemas.microsoft.com/office/drawing/2012/chart" uri="{CE6537A1-D6FC-4f65-9D91-7224C49458BB}"/>
              </c:extLst>
            </c:dLbl>
            <c:dLbl>
              <c:idx val="8"/>
              <c:tx>
                <c:rich>
                  <a:bodyPr/>
                  <a:lstStyle/>
                  <a:p>
                    <a:r>
                      <a:rPr lang="en-US"/>
                      <a:t>4.9</a:t>
                    </a:r>
                  </a:p>
                </c:rich>
              </c:tx>
              <c:dLblPos val="b"/>
              <c:showLegendKey val="0"/>
              <c:showVal val="1"/>
              <c:showCatName val="0"/>
              <c:showSerName val="0"/>
              <c:showPercent val="0"/>
              <c:showBubbleSize val="0"/>
              <c:extLst>
                <c:ext xmlns:c15="http://schemas.microsoft.com/office/drawing/2012/chart" uri="{CE6537A1-D6FC-4f65-9D91-7224C49458BB}"/>
              </c:extLst>
            </c:dLbl>
            <c:dLbl>
              <c:idx val="9"/>
              <c:tx>
                <c:rich>
                  <a:bodyPr/>
                  <a:lstStyle/>
                  <a:p>
                    <a:r>
                      <a:rPr lang="en-US"/>
                      <a:t>4.3</a:t>
                    </a:r>
                  </a:p>
                </c:rich>
              </c:tx>
              <c:dLblPos val="b"/>
              <c:showLegendKey val="0"/>
              <c:showVal val="1"/>
              <c:showCatName val="0"/>
              <c:showSerName val="0"/>
              <c:showPercent val="0"/>
              <c:showBubbleSize val="0"/>
              <c:extLst>
                <c:ext xmlns:c15="http://schemas.microsoft.com/office/drawing/2012/chart" uri="{CE6537A1-D6FC-4f65-9D91-7224C49458BB}"/>
              </c:extLst>
            </c:dLbl>
            <c:dLbl>
              <c:idx val="10"/>
              <c:tx>
                <c:rich>
                  <a:bodyPr/>
                  <a:lstStyle/>
                  <a:p>
                    <a:r>
                      <a:rPr lang="en-US"/>
                      <a:t>5.4</a:t>
                    </a:r>
                  </a:p>
                </c:rich>
              </c:tx>
              <c:dLblPos val="b"/>
              <c:showLegendKey val="0"/>
              <c:showVal val="1"/>
              <c:showCatName val="0"/>
              <c:showSerName val="0"/>
              <c:showPercent val="0"/>
              <c:showBubbleSize val="0"/>
              <c:extLst>
                <c:ext xmlns:c15="http://schemas.microsoft.com/office/drawing/2012/chart" uri="{CE6537A1-D6FC-4f65-9D91-7224C49458BB}"/>
              </c:extLst>
            </c:dLbl>
            <c:dLbl>
              <c:idx val="11"/>
              <c:tx>
                <c:rich>
                  <a:bodyPr/>
                  <a:lstStyle/>
                  <a:p>
                    <a:r>
                      <a:rPr lang="en-US"/>
                      <a:t>4.2</a:t>
                    </a:r>
                  </a:p>
                </c:rich>
              </c:tx>
              <c:dLblPos val="b"/>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800"/>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Trend!$B$2:$M$2</c:f>
              <c:numCache>
                <c:formatCode>General</c:formatCode>
                <c:ptCount val="12"/>
                <c:pt idx="0">
                  <c:v>2008</c:v>
                </c:pt>
                <c:pt idx="1">
                  <c:v>2009</c:v>
                </c:pt>
                <c:pt idx="2">
                  <c:v>2010</c:v>
                </c:pt>
                <c:pt idx="3">
                  <c:v>2011</c:v>
                </c:pt>
                <c:pt idx="4">
                  <c:v>2012</c:v>
                </c:pt>
                <c:pt idx="5">
                  <c:v>2013</c:v>
                </c:pt>
                <c:pt idx="6">
                  <c:v>2014</c:v>
                </c:pt>
                <c:pt idx="7">
                  <c:v>2015</c:v>
                </c:pt>
                <c:pt idx="8">
                  <c:v>2016</c:v>
                </c:pt>
                <c:pt idx="9">
                  <c:v>2017</c:v>
                </c:pt>
                <c:pt idx="10">
                  <c:v>2018</c:v>
                </c:pt>
                <c:pt idx="11">
                  <c:v>2019</c:v>
                </c:pt>
              </c:numCache>
            </c:numRef>
          </c:cat>
          <c:val>
            <c:numRef>
              <c:f>Trend!$B$3:$M$3</c:f>
              <c:numCache>
                <c:formatCode>General</c:formatCode>
                <c:ptCount val="12"/>
                <c:pt idx="0">
                  <c:v>5.6</c:v>
                </c:pt>
                <c:pt idx="1">
                  <c:v>5.7</c:v>
                </c:pt>
                <c:pt idx="2">
                  <c:v>5.8</c:v>
                </c:pt>
                <c:pt idx="3">
                  <c:v>6.8</c:v>
                </c:pt>
                <c:pt idx="4">
                  <c:v>6.8</c:v>
                </c:pt>
                <c:pt idx="5">
                  <c:v>7.4</c:v>
                </c:pt>
                <c:pt idx="6">
                  <c:v>7.4</c:v>
                </c:pt>
                <c:pt idx="7">
                  <c:v>6.5</c:v>
                </c:pt>
                <c:pt idx="8">
                  <c:v>4.9000000000000004</c:v>
                </c:pt>
                <c:pt idx="9">
                  <c:v>4.3</c:v>
                </c:pt>
                <c:pt idx="10">
                  <c:v>5.4</c:v>
                </c:pt>
                <c:pt idx="11">
                  <c:v>4.2</c:v>
                </c:pt>
              </c:numCache>
            </c:numRef>
          </c:val>
          <c:smooth val="0"/>
        </c:ser>
        <c:ser>
          <c:idx val="1"/>
          <c:order val="1"/>
          <c:tx>
            <c:strRef>
              <c:f>Trend!$A$4</c:f>
              <c:strCache>
                <c:ptCount val="1"/>
                <c:pt idx="0">
                  <c:v>relative poverty </c:v>
                </c:pt>
              </c:strCache>
            </c:strRef>
          </c:tx>
          <c:spPr>
            <a:ln>
              <a:solidFill>
                <a:srgbClr val="754FAD"/>
              </a:solidFill>
            </a:ln>
          </c:spPr>
          <c:marker>
            <c:spPr>
              <a:solidFill>
                <a:srgbClr val="754FAD"/>
              </a:solidFill>
              <a:ln>
                <a:solidFill>
                  <a:srgbClr val="754FAD"/>
                </a:solidFill>
              </a:ln>
            </c:spPr>
          </c:marker>
          <c:dLbls>
            <c:dLbl>
              <c:idx val="0"/>
              <c:tx>
                <c:rich>
                  <a:bodyPr/>
                  <a:lstStyle/>
                  <a:p>
                    <a:r>
                      <a:rPr lang="en-US"/>
                      <a:t>17.6</a:t>
                    </a:r>
                  </a:p>
                </c:rich>
              </c:tx>
              <c:dLblPos val="t"/>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17.3</a:t>
                    </a:r>
                  </a:p>
                </c:rich>
              </c:tx>
              <c:dLblPos val="t"/>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17.4</a:t>
                    </a:r>
                  </a:p>
                </c:rich>
              </c:tx>
              <c:dLblPos val="t"/>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16.9</a:t>
                    </a:r>
                  </a:p>
                </c:rich>
              </c:tx>
              <c:dLblPos val="t"/>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16.3</a:t>
                    </a:r>
                  </a:p>
                </c:rich>
              </c:tx>
              <c:dLblPos val="t"/>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a:t>16.2</a:t>
                    </a:r>
                  </a:p>
                </c:rich>
              </c:tx>
              <c:dLblPos val="t"/>
              <c:showLegendKey val="0"/>
              <c:showVal val="1"/>
              <c:showCatName val="0"/>
              <c:showSerName val="0"/>
              <c:showPercent val="0"/>
              <c:showBubbleSize val="0"/>
              <c:extLst>
                <c:ext xmlns:c15="http://schemas.microsoft.com/office/drawing/2012/chart" uri="{CE6537A1-D6FC-4f65-9D91-7224C49458BB}"/>
              </c:extLst>
            </c:dLbl>
            <c:dLbl>
              <c:idx val="6"/>
              <c:tx>
                <c:rich>
                  <a:bodyPr/>
                  <a:lstStyle/>
                  <a:p>
                    <a:r>
                      <a:rPr lang="en-US"/>
                      <a:t>16.2</a:t>
                    </a:r>
                  </a:p>
                </c:rich>
              </c:tx>
              <c:dLblPos val="t"/>
              <c:showLegendKey val="0"/>
              <c:showVal val="1"/>
              <c:showCatName val="0"/>
              <c:showSerName val="0"/>
              <c:showPercent val="0"/>
              <c:showBubbleSize val="0"/>
              <c:extLst>
                <c:ext xmlns:c15="http://schemas.microsoft.com/office/drawing/2012/chart" uri="{CE6537A1-D6FC-4f65-9D91-7224C49458BB}"/>
              </c:extLst>
            </c:dLbl>
            <c:dLbl>
              <c:idx val="7"/>
              <c:tx>
                <c:rich>
                  <a:bodyPr/>
                  <a:lstStyle/>
                  <a:p>
                    <a:r>
                      <a:rPr lang="en-US"/>
                      <a:t>15.5</a:t>
                    </a:r>
                  </a:p>
                </c:rich>
              </c:tx>
              <c:dLblPos val="t"/>
              <c:showLegendKey val="0"/>
              <c:showVal val="1"/>
              <c:showCatName val="0"/>
              <c:showSerName val="0"/>
              <c:showPercent val="0"/>
              <c:showBubbleSize val="0"/>
              <c:extLst>
                <c:ext xmlns:c15="http://schemas.microsoft.com/office/drawing/2012/chart" uri="{CE6537A1-D6FC-4f65-9D91-7224C49458BB}"/>
              </c:extLst>
            </c:dLbl>
            <c:dLbl>
              <c:idx val="8"/>
              <c:tx>
                <c:rich>
                  <a:bodyPr/>
                  <a:lstStyle/>
                  <a:p>
                    <a:r>
                      <a:rPr lang="en-US"/>
                      <a:t>13.9</a:t>
                    </a:r>
                  </a:p>
                </c:rich>
              </c:tx>
              <c:dLblPos val="t"/>
              <c:showLegendKey val="0"/>
              <c:showVal val="1"/>
              <c:showCatName val="0"/>
              <c:showSerName val="0"/>
              <c:showPercent val="0"/>
              <c:showBubbleSize val="0"/>
              <c:extLst>
                <c:ext xmlns:c15="http://schemas.microsoft.com/office/drawing/2012/chart" uri="{CE6537A1-D6FC-4f65-9D91-7224C49458BB}"/>
              </c:extLst>
            </c:dLbl>
            <c:dLbl>
              <c:idx val="9"/>
              <c:tx>
                <c:rich>
                  <a:bodyPr/>
                  <a:lstStyle/>
                  <a:p>
                    <a:r>
                      <a:rPr lang="en-US"/>
                      <a:t>13.4</a:t>
                    </a:r>
                  </a:p>
                </c:rich>
              </c:tx>
              <c:dLblPos val="t"/>
              <c:showLegendKey val="0"/>
              <c:showVal val="1"/>
              <c:showCatName val="0"/>
              <c:showSerName val="0"/>
              <c:showPercent val="0"/>
              <c:showBubbleSize val="0"/>
              <c:extLst>
                <c:ext xmlns:c15="http://schemas.microsoft.com/office/drawing/2012/chart" uri="{CE6537A1-D6FC-4f65-9D91-7224C49458BB}"/>
              </c:extLst>
            </c:dLbl>
            <c:dLbl>
              <c:idx val="10"/>
              <c:tx>
                <c:rich>
                  <a:bodyPr/>
                  <a:lstStyle/>
                  <a:p>
                    <a:r>
                      <a:rPr lang="en-US"/>
                      <a:t>14.2</a:t>
                    </a:r>
                  </a:p>
                </c:rich>
              </c:tx>
              <c:dLblPos val="t"/>
              <c:showLegendKey val="0"/>
              <c:showVal val="1"/>
              <c:showCatName val="0"/>
              <c:showSerName val="0"/>
              <c:showPercent val="0"/>
              <c:showBubbleSize val="0"/>
              <c:extLst>
                <c:ext xmlns:c15="http://schemas.microsoft.com/office/drawing/2012/chart" uri="{CE6537A1-D6FC-4f65-9D91-7224C49458BB}"/>
              </c:extLst>
            </c:dLbl>
            <c:dLbl>
              <c:idx val="11"/>
              <c:tx>
                <c:rich>
                  <a:bodyPr/>
                  <a:lstStyle/>
                  <a:p>
                    <a:r>
                      <a:rPr lang="en-US"/>
                      <a:t>13.0</a:t>
                    </a:r>
                  </a:p>
                </c:rich>
              </c:tx>
              <c:dLblPos val="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800"/>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Trend!$B$2:$M$2</c:f>
              <c:numCache>
                <c:formatCode>General</c:formatCode>
                <c:ptCount val="12"/>
                <c:pt idx="0">
                  <c:v>2008</c:v>
                </c:pt>
                <c:pt idx="1">
                  <c:v>2009</c:v>
                </c:pt>
                <c:pt idx="2">
                  <c:v>2010</c:v>
                </c:pt>
                <c:pt idx="3">
                  <c:v>2011</c:v>
                </c:pt>
                <c:pt idx="4">
                  <c:v>2012</c:v>
                </c:pt>
                <c:pt idx="5">
                  <c:v>2013</c:v>
                </c:pt>
                <c:pt idx="6">
                  <c:v>2014</c:v>
                </c:pt>
                <c:pt idx="7">
                  <c:v>2015</c:v>
                </c:pt>
                <c:pt idx="8">
                  <c:v>2016</c:v>
                </c:pt>
                <c:pt idx="9">
                  <c:v>2017</c:v>
                </c:pt>
                <c:pt idx="10">
                  <c:v>2018</c:v>
                </c:pt>
                <c:pt idx="11">
                  <c:v>2019</c:v>
                </c:pt>
              </c:numCache>
            </c:numRef>
          </c:cat>
          <c:val>
            <c:numRef>
              <c:f>Trend!$B$4:$M$4</c:f>
              <c:numCache>
                <c:formatCode>General</c:formatCode>
                <c:ptCount val="12"/>
                <c:pt idx="0">
                  <c:v>17.600000000000001</c:v>
                </c:pt>
                <c:pt idx="1">
                  <c:v>17.3</c:v>
                </c:pt>
                <c:pt idx="2">
                  <c:v>17.399999999999999</c:v>
                </c:pt>
                <c:pt idx="3">
                  <c:v>16.899999999999999</c:v>
                </c:pt>
                <c:pt idx="4">
                  <c:v>16.3</c:v>
                </c:pt>
                <c:pt idx="5">
                  <c:v>16.2</c:v>
                </c:pt>
                <c:pt idx="6">
                  <c:v>16.2</c:v>
                </c:pt>
                <c:pt idx="7">
                  <c:v>15.5</c:v>
                </c:pt>
                <c:pt idx="8">
                  <c:v>13.9</c:v>
                </c:pt>
                <c:pt idx="9">
                  <c:v>13.4</c:v>
                </c:pt>
                <c:pt idx="10">
                  <c:v>14.2</c:v>
                </c:pt>
                <c:pt idx="11" formatCode="0.0">
                  <c:v>13</c:v>
                </c:pt>
              </c:numCache>
            </c:numRef>
          </c:val>
          <c:smooth val="0"/>
        </c:ser>
        <c:ser>
          <c:idx val="2"/>
          <c:order val="2"/>
          <c:tx>
            <c:strRef>
              <c:f>Trend!$A$5</c:f>
              <c:strCache>
                <c:ptCount val="1"/>
                <c:pt idx="0">
                  <c:v>"legal" poverty </c:v>
                </c:pt>
              </c:strCache>
            </c:strRef>
          </c:tx>
          <c:spPr>
            <a:ln>
              <a:solidFill>
                <a:srgbClr val="69BE28"/>
              </a:solidFill>
            </a:ln>
          </c:spPr>
          <c:marker>
            <c:spPr>
              <a:solidFill>
                <a:srgbClr val="69BE28"/>
              </a:solidFill>
              <a:ln>
                <a:solidFill>
                  <a:srgbClr val="69BE28"/>
                </a:solidFill>
              </a:ln>
            </c:spPr>
          </c:marker>
          <c:dLbls>
            <c:dLbl>
              <c:idx val="0"/>
              <c:layout>
                <c:manualLayout>
                  <c:x val="-3.7301869278535321E-2"/>
                  <c:y val="-4.0160034050632717E-2"/>
                </c:manualLayout>
              </c:layout>
              <c:tx>
                <c:rich>
                  <a:bodyPr/>
                  <a:lstStyle/>
                  <a:p>
                    <a:r>
                      <a:rPr lang="en-US"/>
                      <a:t>10.6</a:t>
                    </a:r>
                  </a:p>
                </c:rich>
              </c:tx>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3.0116989949427089E-2"/>
                  <c:y val="-3.7046244917413602E-2"/>
                </c:manualLayout>
              </c:layout>
              <c:tx>
                <c:rich>
                  <a:bodyPr/>
                  <a:lstStyle/>
                  <a:p>
                    <a:r>
                      <a:rPr lang="en-US"/>
                      <a:t>8.3</a:t>
                    </a:r>
                  </a:p>
                </c:rich>
              </c:tx>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2.8084469624223802E-2"/>
                  <c:y val="-3.7046244917413484E-2"/>
                </c:manualLayout>
              </c:layout>
              <c:tx>
                <c:rich>
                  <a:bodyPr/>
                  <a:lstStyle/>
                  <a:p>
                    <a:r>
                      <a:rPr lang="en-US"/>
                      <a:t>7.4</a:t>
                    </a:r>
                  </a:p>
                </c:rich>
              </c:tx>
              <c:dLblPos val="r"/>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6.6</a:t>
                    </a:r>
                  </a:p>
                </c:rich>
              </c:tx>
              <c:dLblPos val="b"/>
              <c:showLegendKey val="0"/>
              <c:showVal val="1"/>
              <c:showCatName val="0"/>
              <c:showSerName val="0"/>
              <c:showPercent val="0"/>
              <c:showBubbleSize val="0"/>
              <c:extLst>
                <c:ext xmlns:c15="http://schemas.microsoft.com/office/drawing/2012/chart" uri="{CE6537A1-D6FC-4f65-9D91-7224C49458BB}"/>
              </c:extLst>
            </c:dLbl>
            <c:dLbl>
              <c:idx val="4"/>
              <c:layout>
                <c:manualLayout>
                  <c:x val="-3.8489213238589157E-2"/>
                  <c:y val="-2.8302626959235352E-2"/>
                </c:manualLayout>
              </c:layout>
              <c:tx>
                <c:rich>
                  <a:bodyPr/>
                  <a:lstStyle/>
                  <a:p>
                    <a:r>
                      <a:rPr lang="en-US"/>
                      <a:t>7.2</a:t>
                    </a:r>
                  </a:p>
                </c:rich>
              </c:tx>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3.9520837334357593E-2"/>
                  <c:y val="-3.4001106253273211E-2"/>
                </c:manualLayout>
              </c:layout>
              <c:tx>
                <c:rich>
                  <a:bodyPr/>
                  <a:lstStyle/>
                  <a:p>
                    <a:r>
                      <a:rPr lang="en-US"/>
                      <a:t>12.8</a:t>
                    </a:r>
                  </a:p>
                </c:rich>
              </c:tx>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3.3028295243582355E-2"/>
                  <c:y val="-3.633988062664148E-2"/>
                </c:manualLayout>
              </c:layout>
              <c:tx>
                <c:rich>
                  <a:bodyPr/>
                  <a:lstStyle/>
                  <a:p>
                    <a:r>
                      <a:rPr lang="en-US"/>
                      <a:t>12.2</a:t>
                    </a:r>
                  </a:p>
                </c:rich>
              </c:tx>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3.8730875104026778E-2"/>
                  <c:y val="-3.6056452261444522E-2"/>
                </c:manualLayout>
              </c:layout>
              <c:tx>
                <c:rich>
                  <a:bodyPr/>
                  <a:lstStyle/>
                  <a:p>
                    <a:r>
                      <a:rPr lang="en-US"/>
                      <a:t>12.2</a:t>
                    </a:r>
                  </a:p>
                </c:rich>
              </c:tx>
              <c:dLblPos val="r"/>
              <c:showLegendKey val="0"/>
              <c:showVal val="1"/>
              <c:showCatName val="0"/>
              <c:showSerName val="0"/>
              <c:showPercent val="0"/>
              <c:showBubbleSize val="0"/>
              <c:extLst>
                <c:ext xmlns:c15="http://schemas.microsoft.com/office/drawing/2012/chart" uri="{CE6537A1-D6FC-4f65-9D91-7224C49458BB}"/>
              </c:extLst>
            </c:dLbl>
            <c:dLbl>
              <c:idx val="8"/>
              <c:tx>
                <c:rich>
                  <a:bodyPr/>
                  <a:lstStyle/>
                  <a:p>
                    <a:r>
                      <a:rPr lang="en-US"/>
                      <a:t>12.7</a:t>
                    </a:r>
                  </a:p>
                </c:rich>
              </c:tx>
              <c:dLblPos val="b"/>
              <c:showLegendKey val="0"/>
              <c:showVal val="1"/>
              <c:showCatName val="0"/>
              <c:showSerName val="0"/>
              <c:showPercent val="0"/>
              <c:showBubbleSize val="0"/>
              <c:extLst>
                <c:ext xmlns:c15="http://schemas.microsoft.com/office/drawing/2012/chart" uri="{CE6537A1-D6FC-4f65-9D91-7224C49458BB}"/>
              </c:extLst>
            </c:dLbl>
            <c:dLbl>
              <c:idx val="9"/>
              <c:tx>
                <c:rich>
                  <a:bodyPr/>
                  <a:lstStyle/>
                  <a:p>
                    <a:r>
                      <a:rPr lang="en-US"/>
                      <a:t>10.7</a:t>
                    </a:r>
                  </a:p>
                </c:rich>
              </c:tx>
              <c:dLblPos val="b"/>
              <c:showLegendKey val="0"/>
              <c:showVal val="1"/>
              <c:showCatName val="0"/>
              <c:showSerName val="0"/>
              <c:showPercent val="0"/>
              <c:showBubbleSize val="0"/>
              <c:extLst>
                <c:ext xmlns:c15="http://schemas.microsoft.com/office/drawing/2012/chart" uri="{CE6537A1-D6FC-4f65-9D91-7224C49458BB}"/>
              </c:extLst>
            </c:dLbl>
            <c:dLbl>
              <c:idx val="10"/>
              <c:tx>
                <c:rich>
                  <a:bodyPr/>
                  <a:lstStyle/>
                  <a:p>
                    <a:r>
                      <a:rPr lang="en-US"/>
                      <a:t>10.9</a:t>
                    </a:r>
                  </a:p>
                </c:rich>
              </c:tx>
              <c:dLblPos val="b"/>
              <c:showLegendKey val="0"/>
              <c:showVal val="1"/>
              <c:showCatName val="0"/>
              <c:showSerName val="0"/>
              <c:showPercent val="0"/>
              <c:showBubbleSize val="0"/>
              <c:extLst>
                <c:ext xmlns:c15="http://schemas.microsoft.com/office/drawing/2012/chart" uri="{CE6537A1-D6FC-4f65-9D91-7224C49458BB}"/>
              </c:extLst>
            </c:dLbl>
            <c:dLbl>
              <c:idx val="11"/>
              <c:tx>
                <c:rich>
                  <a:bodyPr/>
                  <a:lstStyle/>
                  <a:p>
                    <a:r>
                      <a:rPr lang="en-US"/>
                      <a:t>9.0</a:t>
                    </a:r>
                  </a:p>
                </c:rich>
              </c:tx>
              <c:dLblPos val="b"/>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800"/>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Trend!$B$2:$M$2</c:f>
              <c:numCache>
                <c:formatCode>General</c:formatCode>
                <c:ptCount val="12"/>
                <c:pt idx="0">
                  <c:v>2008</c:v>
                </c:pt>
                <c:pt idx="1">
                  <c:v>2009</c:v>
                </c:pt>
                <c:pt idx="2">
                  <c:v>2010</c:v>
                </c:pt>
                <c:pt idx="3">
                  <c:v>2011</c:v>
                </c:pt>
                <c:pt idx="4">
                  <c:v>2012</c:v>
                </c:pt>
                <c:pt idx="5">
                  <c:v>2013</c:v>
                </c:pt>
                <c:pt idx="6">
                  <c:v>2014</c:v>
                </c:pt>
                <c:pt idx="7">
                  <c:v>2015</c:v>
                </c:pt>
                <c:pt idx="8">
                  <c:v>2016</c:v>
                </c:pt>
                <c:pt idx="9">
                  <c:v>2017</c:v>
                </c:pt>
                <c:pt idx="10">
                  <c:v>2018</c:v>
                </c:pt>
                <c:pt idx="11">
                  <c:v>2019</c:v>
                </c:pt>
              </c:numCache>
            </c:numRef>
          </c:cat>
          <c:val>
            <c:numRef>
              <c:f>Trend!$B$5:$M$5</c:f>
              <c:numCache>
                <c:formatCode>General</c:formatCode>
                <c:ptCount val="12"/>
                <c:pt idx="0">
                  <c:v>10.6</c:v>
                </c:pt>
                <c:pt idx="1">
                  <c:v>8.3000000000000007</c:v>
                </c:pt>
                <c:pt idx="2">
                  <c:v>7.4</c:v>
                </c:pt>
                <c:pt idx="3">
                  <c:v>6.6</c:v>
                </c:pt>
                <c:pt idx="4">
                  <c:v>7.2</c:v>
                </c:pt>
                <c:pt idx="5">
                  <c:v>12.8</c:v>
                </c:pt>
                <c:pt idx="6">
                  <c:v>12.2</c:v>
                </c:pt>
                <c:pt idx="7">
                  <c:v>12.2</c:v>
                </c:pt>
                <c:pt idx="8">
                  <c:v>12.7</c:v>
                </c:pt>
                <c:pt idx="9">
                  <c:v>10.7</c:v>
                </c:pt>
                <c:pt idx="10">
                  <c:v>10.9</c:v>
                </c:pt>
                <c:pt idx="11" formatCode="#\ ##0.0">
                  <c:v>9</c:v>
                </c:pt>
              </c:numCache>
            </c:numRef>
          </c:val>
          <c:smooth val="0"/>
        </c:ser>
        <c:dLbls>
          <c:showLegendKey val="0"/>
          <c:showVal val="0"/>
          <c:showCatName val="0"/>
          <c:showSerName val="0"/>
          <c:showPercent val="0"/>
          <c:showBubbleSize val="0"/>
        </c:dLbls>
        <c:marker val="1"/>
        <c:smooth val="0"/>
        <c:axId val="-1596532448"/>
        <c:axId val="-1596525920"/>
      </c:lineChart>
      <c:catAx>
        <c:axId val="-1596532448"/>
        <c:scaling>
          <c:orientation val="minMax"/>
        </c:scaling>
        <c:delete val="0"/>
        <c:axPos val="b"/>
        <c:title>
          <c:tx>
            <c:rich>
              <a:bodyPr/>
              <a:lstStyle/>
              <a:p>
                <a:pPr>
                  <a:defRPr sz="800" b="0"/>
                </a:pPr>
                <a:r>
                  <a:rPr lang="pl-PL" sz="800" b="0"/>
                  <a:t>rok</a:t>
                </a:r>
              </a:p>
            </c:rich>
          </c:tx>
          <c:layout>
            <c:manualLayout>
              <c:xMode val="edge"/>
              <c:yMode val="edge"/>
              <c:x val="0.51260242622111263"/>
              <c:y val="0.86500792422557382"/>
            </c:manualLayout>
          </c:layout>
          <c:overlay val="0"/>
        </c:title>
        <c:numFmt formatCode="General" sourceLinked="1"/>
        <c:majorTickMark val="out"/>
        <c:minorTickMark val="none"/>
        <c:tickLblPos val="nextTo"/>
        <c:txPr>
          <a:bodyPr/>
          <a:lstStyle/>
          <a:p>
            <a:pPr>
              <a:defRPr sz="800"/>
            </a:pPr>
            <a:endParaRPr lang="pl-PL"/>
          </a:p>
        </c:txPr>
        <c:crossAx val="-1596525920"/>
        <c:crosses val="autoZero"/>
        <c:auto val="1"/>
        <c:lblAlgn val="ctr"/>
        <c:lblOffset val="100"/>
        <c:noMultiLvlLbl val="0"/>
      </c:catAx>
      <c:valAx>
        <c:axId val="-1596525920"/>
        <c:scaling>
          <c:orientation val="minMax"/>
        </c:scaling>
        <c:delete val="0"/>
        <c:axPos val="l"/>
        <c:majorGridlines/>
        <c:title>
          <c:tx>
            <c:rich>
              <a:bodyPr rot="0" vert="horz"/>
              <a:lstStyle/>
              <a:p>
                <a:pPr>
                  <a:defRPr sz="800" b="0"/>
                </a:pPr>
                <a:r>
                  <a:rPr lang="pl-PL" sz="800" b="0"/>
                  <a:t>%</a:t>
                </a:r>
              </a:p>
            </c:rich>
          </c:tx>
          <c:overlay val="0"/>
        </c:title>
        <c:numFmt formatCode="General" sourceLinked="0"/>
        <c:majorTickMark val="out"/>
        <c:minorTickMark val="none"/>
        <c:tickLblPos val="nextTo"/>
        <c:txPr>
          <a:bodyPr/>
          <a:lstStyle/>
          <a:p>
            <a:pPr>
              <a:defRPr sz="800"/>
            </a:pPr>
            <a:endParaRPr lang="pl-PL"/>
          </a:p>
        </c:txPr>
        <c:crossAx val="-1596532448"/>
        <c:crosses val="autoZero"/>
        <c:crossBetween val="between"/>
        <c:majorUnit val="5"/>
      </c:valAx>
    </c:plotArea>
    <c:legend>
      <c:legendPos val="b"/>
      <c:legendEntry>
        <c:idx val="0"/>
        <c:txPr>
          <a:bodyPr/>
          <a:lstStyle/>
          <a:p>
            <a:pPr>
              <a:defRPr sz="800"/>
            </a:pPr>
            <a:endParaRPr lang="pl-PL"/>
          </a:p>
        </c:txPr>
      </c:legendEntry>
      <c:layout>
        <c:manualLayout>
          <c:xMode val="edge"/>
          <c:yMode val="edge"/>
          <c:x val="7.4025234797457547E-3"/>
          <c:y val="0.92090607831253224"/>
          <c:w val="0.98784255130759258"/>
          <c:h val="7.614857138373847E-2"/>
        </c:manualLayout>
      </c:layout>
      <c:overlay val="0"/>
      <c:txPr>
        <a:bodyPr/>
        <a:lstStyle/>
        <a:p>
          <a:pPr>
            <a:defRPr sz="800"/>
          </a:pPr>
          <a:endParaRPr lang="pl-PL"/>
        </a:p>
      </c:txPr>
    </c:legend>
    <c:plotVisOnly val="1"/>
    <c:dispBlanksAs val="gap"/>
    <c:showDLblsOverMax val="0"/>
  </c:chart>
  <c:spPr>
    <a:ln>
      <a:noFill/>
    </a:ln>
  </c:spPr>
  <c:txPr>
    <a:bodyPr/>
    <a:lstStyle/>
    <a:p>
      <a:pPr>
        <a:defRPr>
          <a:latin typeface="Fira Sans" panose="020B0503050000020004" pitchFamily="34" charset="0"/>
          <a:ea typeface="Fira Sans" panose="020B0503050000020004" pitchFamily="34" charset="0"/>
        </a:defRPr>
      </a:pPr>
      <a:endParaRPr lang="pl-PL"/>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5268253968253982"/>
          <c:y val="5.1735498830291937E-2"/>
          <c:w val="0.59698511904761808"/>
          <c:h val="0.71669405310274958"/>
        </c:manualLayout>
      </c:layout>
      <c:barChart>
        <c:barDir val="bar"/>
        <c:grouping val="clustered"/>
        <c:varyColors val="0"/>
        <c:ser>
          <c:idx val="0"/>
          <c:order val="0"/>
          <c:tx>
            <c:strRef>
              <c:f>'Socio-economic groups'!$B$1</c:f>
              <c:strCache>
                <c:ptCount val="1"/>
                <c:pt idx="0">
                  <c:v>2018</c:v>
                </c:pt>
              </c:strCache>
            </c:strRef>
          </c:tx>
          <c:spPr>
            <a:solidFill>
              <a:srgbClr val="D9E2FF"/>
            </a:solidFill>
            <a:ln>
              <a:noFill/>
            </a:ln>
            <a:effectLst/>
          </c:spPr>
          <c:invertIfNegative val="0"/>
          <c:dLbls>
            <c:dLbl>
              <c:idx val="0"/>
              <c:tx>
                <c:rich>
                  <a:bodyPr/>
                  <a:lstStyle/>
                  <a:p>
                    <a:r>
                      <a:rPr lang="en-US"/>
                      <a:t>14.1</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11.0</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8.4</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4.7</a:t>
                    </a:r>
                  </a:p>
                </c:rich>
              </c:tx>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4.6</a:t>
                    </a:r>
                  </a:p>
                </c:rich>
              </c:tx>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a:t>3.4</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'Socio-economic groups'!$A$2:$A$7</c:f>
              <c:strCache>
                <c:ptCount val="6"/>
                <c:pt idx="0">
                  <c:v>living on unearned sources</c:v>
                </c:pt>
                <c:pt idx="1">
                  <c:v>farmers</c:v>
                </c:pt>
                <c:pt idx="2">
                  <c:v>pensioners</c:v>
                </c:pt>
                <c:pt idx="3">
                  <c:v>employees </c:v>
                </c:pt>
                <c:pt idx="4">
                  <c:v>retirees</c:v>
                </c:pt>
                <c:pt idx="5">
                  <c:v>the self-employed</c:v>
                </c:pt>
              </c:strCache>
            </c:strRef>
          </c:cat>
          <c:val>
            <c:numRef>
              <c:f>'Socio-economic groups'!$B$2:$B$7</c:f>
              <c:numCache>
                <c:formatCode>0.0</c:formatCode>
                <c:ptCount val="6"/>
                <c:pt idx="0">
                  <c:v>14.1</c:v>
                </c:pt>
                <c:pt idx="1">
                  <c:v>11</c:v>
                </c:pt>
                <c:pt idx="2">
                  <c:v>8.4</c:v>
                </c:pt>
                <c:pt idx="3">
                  <c:v>4.7</c:v>
                </c:pt>
                <c:pt idx="4" formatCode="General">
                  <c:v>4.5999999999999996</c:v>
                </c:pt>
                <c:pt idx="5" formatCode="General">
                  <c:v>3.4</c:v>
                </c:pt>
              </c:numCache>
            </c:numRef>
          </c:val>
          <c:extLst xmlns:c16r2="http://schemas.microsoft.com/office/drawing/2015/06/chart">
            <c:ext xmlns:c16="http://schemas.microsoft.com/office/drawing/2014/chart" uri="{C3380CC4-5D6E-409C-BE32-E72D297353CC}">
              <c16:uniqueId val="{00000001-910E-450B-B3B3-1362D9EB7FB7}"/>
            </c:ext>
          </c:extLst>
        </c:ser>
        <c:ser>
          <c:idx val="1"/>
          <c:order val="1"/>
          <c:tx>
            <c:strRef>
              <c:f>'Socio-economic groups'!$C$1</c:f>
              <c:strCache>
                <c:ptCount val="1"/>
                <c:pt idx="0">
                  <c:v>2019</c:v>
                </c:pt>
              </c:strCache>
            </c:strRef>
          </c:tx>
          <c:spPr>
            <a:solidFill>
              <a:srgbClr val="001D77"/>
            </a:solidFill>
            <a:effectLst/>
          </c:spPr>
          <c:invertIfNegative val="0"/>
          <c:dLbls>
            <c:dLbl>
              <c:idx val="0"/>
              <c:tx>
                <c:rich>
                  <a:bodyPr/>
                  <a:lstStyle/>
                  <a:p>
                    <a:r>
                      <a:rPr lang="en-US"/>
                      <a:t>10.9</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9.8</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6.3</a:t>
                    </a:r>
                  </a:p>
                </c:rich>
              </c:tx>
              <c:dLblPos val="outEnd"/>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3.6</a:t>
                    </a:r>
                  </a:p>
                </c:rich>
              </c:tx>
              <c:dLblPos val="outEnd"/>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3.5</a:t>
                    </a:r>
                  </a:p>
                </c:rich>
              </c:tx>
              <c:dLblPos val="outEnd"/>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a:t>2.4</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'Socio-economic groups'!$A$2:$A$7</c:f>
              <c:strCache>
                <c:ptCount val="6"/>
                <c:pt idx="0">
                  <c:v>living on unearned sources</c:v>
                </c:pt>
                <c:pt idx="1">
                  <c:v>farmers</c:v>
                </c:pt>
                <c:pt idx="2">
                  <c:v>pensioners</c:v>
                </c:pt>
                <c:pt idx="3">
                  <c:v>employees </c:v>
                </c:pt>
                <c:pt idx="4">
                  <c:v>retirees</c:v>
                </c:pt>
                <c:pt idx="5">
                  <c:v>the self-employed</c:v>
                </c:pt>
              </c:strCache>
            </c:strRef>
          </c:cat>
          <c:val>
            <c:numRef>
              <c:f>'Socio-economic groups'!$C$2:$C$7</c:f>
              <c:numCache>
                <c:formatCode>0.0</c:formatCode>
                <c:ptCount val="6"/>
                <c:pt idx="0">
                  <c:v>10.9</c:v>
                </c:pt>
                <c:pt idx="1">
                  <c:v>9.8000000000000007</c:v>
                </c:pt>
                <c:pt idx="2">
                  <c:v>6.3</c:v>
                </c:pt>
                <c:pt idx="3">
                  <c:v>3.6</c:v>
                </c:pt>
                <c:pt idx="4" formatCode="General">
                  <c:v>3.5</c:v>
                </c:pt>
                <c:pt idx="5" formatCode="General">
                  <c:v>2.4</c:v>
                </c:pt>
              </c:numCache>
            </c:numRef>
          </c:val>
          <c:extLst xmlns:c16r2="http://schemas.microsoft.com/office/drawing/2015/06/chart">
            <c:ext xmlns:c16="http://schemas.microsoft.com/office/drawing/2014/chart" uri="{C3380CC4-5D6E-409C-BE32-E72D297353CC}">
              <c16:uniqueId val="{00000002-910E-450B-B3B3-1362D9EB7FB7}"/>
            </c:ext>
          </c:extLst>
        </c:ser>
        <c:dLbls>
          <c:showLegendKey val="0"/>
          <c:showVal val="0"/>
          <c:showCatName val="0"/>
          <c:showSerName val="0"/>
          <c:showPercent val="0"/>
          <c:showBubbleSize val="0"/>
        </c:dLbls>
        <c:gapWidth val="60"/>
        <c:axId val="-1596521024"/>
        <c:axId val="-1596525376"/>
      </c:barChart>
      <c:catAx>
        <c:axId val="-1596521024"/>
        <c:scaling>
          <c:orientation val="minMax"/>
        </c:scaling>
        <c:delete val="0"/>
        <c:axPos val="l"/>
        <c:numFmt formatCode="General" sourceLinked="0"/>
        <c:majorTickMark val="out"/>
        <c:minorTickMark val="none"/>
        <c:tickLblPos val="nextTo"/>
        <c:crossAx val="-1596525376"/>
        <c:crosses val="autoZero"/>
        <c:auto val="0"/>
        <c:lblAlgn val="ctr"/>
        <c:lblOffset val="100"/>
        <c:noMultiLvlLbl val="0"/>
      </c:catAx>
      <c:valAx>
        <c:axId val="-1596525376"/>
        <c:scaling>
          <c:orientation val="minMax"/>
        </c:scaling>
        <c:delete val="0"/>
        <c:axPos val="b"/>
        <c:majorGridlines/>
        <c:title>
          <c:tx>
            <c:rich>
              <a:bodyPr/>
              <a:lstStyle/>
              <a:p>
                <a:pPr>
                  <a:defRPr b="0"/>
                </a:pPr>
                <a:r>
                  <a:rPr lang="pl-PL" b="0"/>
                  <a:t>% of</a:t>
                </a:r>
                <a:r>
                  <a:rPr lang="pl-PL" b="0" baseline="0"/>
                  <a:t> people in households</a:t>
                </a:r>
                <a:endParaRPr lang="pl-PL" b="0"/>
              </a:p>
            </c:rich>
          </c:tx>
          <c:layout>
            <c:manualLayout>
              <c:xMode val="edge"/>
              <c:yMode val="edge"/>
              <c:x val="0.46615158730158734"/>
              <c:y val="0.82845246951057361"/>
            </c:manualLayout>
          </c:layout>
          <c:overlay val="0"/>
        </c:title>
        <c:numFmt formatCode="General" sourceLinked="0"/>
        <c:majorTickMark val="out"/>
        <c:minorTickMark val="none"/>
        <c:tickLblPos val="nextTo"/>
        <c:crossAx val="-1596521024"/>
        <c:crosses val="autoZero"/>
        <c:crossBetween val="between"/>
      </c:valAx>
    </c:plotArea>
    <c:legend>
      <c:legendPos val="b"/>
      <c:overlay val="0"/>
      <c:txPr>
        <a:bodyPr/>
        <a:lstStyle/>
        <a:p>
          <a:pPr>
            <a:defRPr sz="900"/>
          </a:pPr>
          <a:endParaRPr lang="pl-PL"/>
        </a:p>
      </c:tx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4990091653381888"/>
          <c:y val="6.4113503336368519E-2"/>
          <c:w val="0.60480641808802404"/>
          <c:h val="0.72413383905386763"/>
        </c:manualLayout>
      </c:layout>
      <c:barChart>
        <c:barDir val="bar"/>
        <c:grouping val="clustered"/>
        <c:varyColors val="0"/>
        <c:ser>
          <c:idx val="0"/>
          <c:order val="0"/>
          <c:tx>
            <c:strRef>
              <c:f>'HH types'!$B$1</c:f>
              <c:strCache>
                <c:ptCount val="1"/>
                <c:pt idx="0">
                  <c:v>2018</c:v>
                </c:pt>
              </c:strCache>
            </c:strRef>
          </c:tx>
          <c:spPr>
            <a:solidFill>
              <a:srgbClr val="D9E2FF"/>
            </a:solidFill>
            <a:effectLst/>
          </c:spPr>
          <c:invertIfNegative val="0"/>
          <c:dLbls>
            <c:dLbl>
              <c:idx val="0"/>
              <c:tx>
                <c:rich>
                  <a:bodyPr/>
                  <a:lstStyle/>
                  <a:p>
                    <a:r>
                      <a:rPr lang="en-US"/>
                      <a:t>2.9</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7.0</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2.5</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1.9</a:t>
                    </a:r>
                  </a:p>
                </c:rich>
              </c:tx>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1.8</a:t>
                    </a:r>
                  </a:p>
                </c:rich>
              </c:tx>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a:t>1.9</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'HH types'!$A$2:$A$7</c:f>
              <c:strCache>
                <c:ptCount val="6"/>
                <c:pt idx="0">
                  <c:v>Mather or fatherwith
dependent children</c:v>
                </c:pt>
                <c:pt idx="1">
                  <c:v>with 3 and more
dependent children</c:v>
                </c:pt>
                <c:pt idx="2">
                  <c:v>with 2 children</c:v>
                </c:pt>
                <c:pt idx="3">
                  <c:v>with 1 child</c:v>
                </c:pt>
                <c:pt idx="4">
                  <c:v>without dependent
children</c:v>
                </c:pt>
                <c:pt idx="5">
                  <c:v>One-person households</c:v>
                </c:pt>
              </c:strCache>
            </c:strRef>
          </c:cat>
          <c:val>
            <c:numRef>
              <c:f>'HH types'!$B$2:$B$7</c:f>
              <c:numCache>
                <c:formatCode>0.0</c:formatCode>
                <c:ptCount val="6"/>
                <c:pt idx="0">
                  <c:v>2.9</c:v>
                </c:pt>
                <c:pt idx="1">
                  <c:v>7</c:v>
                </c:pt>
                <c:pt idx="2">
                  <c:v>2.5</c:v>
                </c:pt>
                <c:pt idx="3">
                  <c:v>1.9000000000000001</c:v>
                </c:pt>
                <c:pt idx="4">
                  <c:v>1.8</c:v>
                </c:pt>
                <c:pt idx="5">
                  <c:v>1.9000000000000001</c:v>
                </c:pt>
              </c:numCache>
            </c:numRef>
          </c:val>
          <c:extLst xmlns:c16r2="http://schemas.microsoft.com/office/drawing/2015/06/chart">
            <c:ext xmlns:c16="http://schemas.microsoft.com/office/drawing/2014/chart" uri="{C3380CC4-5D6E-409C-BE32-E72D297353CC}">
              <c16:uniqueId val="{00000001-469A-48C0-AB97-04CE2863352F}"/>
            </c:ext>
          </c:extLst>
        </c:ser>
        <c:ser>
          <c:idx val="1"/>
          <c:order val="1"/>
          <c:tx>
            <c:strRef>
              <c:f>'HH types'!$C$1</c:f>
              <c:strCache>
                <c:ptCount val="1"/>
                <c:pt idx="0">
                  <c:v>2019</c:v>
                </c:pt>
              </c:strCache>
            </c:strRef>
          </c:tx>
          <c:spPr>
            <a:solidFill>
              <a:srgbClr val="001D77"/>
            </a:solidFill>
          </c:spPr>
          <c:invertIfNegative val="0"/>
          <c:dLbls>
            <c:dLbl>
              <c:idx val="0"/>
              <c:tx>
                <c:rich>
                  <a:bodyPr/>
                  <a:lstStyle/>
                  <a:p>
                    <a:r>
                      <a:rPr lang="en-US"/>
                      <a:t>1.9</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5.0</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1.9</a:t>
                    </a:r>
                  </a:p>
                </c:rich>
              </c:tx>
              <c:dLblPos val="outEnd"/>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1.0</a:t>
                    </a:r>
                  </a:p>
                </c:rich>
              </c:tx>
              <c:dLblPos val="outEnd"/>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1.1</a:t>
                    </a:r>
                  </a:p>
                </c:rich>
              </c:tx>
              <c:dLblPos val="outEnd"/>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a:t>1.3</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'HH types'!$A$2:$A$7</c:f>
              <c:strCache>
                <c:ptCount val="6"/>
                <c:pt idx="0">
                  <c:v>Mather or fatherwith
dependent children</c:v>
                </c:pt>
                <c:pt idx="1">
                  <c:v>with 3 and more
dependent children</c:v>
                </c:pt>
                <c:pt idx="2">
                  <c:v>with 2 children</c:v>
                </c:pt>
                <c:pt idx="3">
                  <c:v>with 1 child</c:v>
                </c:pt>
                <c:pt idx="4">
                  <c:v>without dependent
children</c:v>
                </c:pt>
                <c:pt idx="5">
                  <c:v>One-person households</c:v>
                </c:pt>
              </c:strCache>
            </c:strRef>
          </c:cat>
          <c:val>
            <c:numRef>
              <c:f>'HH types'!$C$2:$C$7</c:f>
              <c:numCache>
                <c:formatCode>0.0</c:formatCode>
                <c:ptCount val="6"/>
                <c:pt idx="0">
                  <c:v>1.9000000000000001</c:v>
                </c:pt>
                <c:pt idx="1">
                  <c:v>5</c:v>
                </c:pt>
                <c:pt idx="2">
                  <c:v>1.9000000000000001</c:v>
                </c:pt>
                <c:pt idx="3">
                  <c:v>1</c:v>
                </c:pt>
                <c:pt idx="4">
                  <c:v>1.1000000000000001</c:v>
                </c:pt>
                <c:pt idx="5">
                  <c:v>1.3</c:v>
                </c:pt>
              </c:numCache>
            </c:numRef>
          </c:val>
          <c:extLst xmlns:c16r2="http://schemas.microsoft.com/office/drawing/2015/06/chart">
            <c:ext xmlns:c16="http://schemas.microsoft.com/office/drawing/2014/chart" uri="{C3380CC4-5D6E-409C-BE32-E72D297353CC}">
              <c16:uniqueId val="{00000002-469A-48C0-AB97-04CE2863352F}"/>
            </c:ext>
          </c:extLst>
        </c:ser>
        <c:dLbls>
          <c:showLegendKey val="0"/>
          <c:showVal val="0"/>
          <c:showCatName val="0"/>
          <c:showSerName val="0"/>
          <c:showPercent val="0"/>
          <c:showBubbleSize val="0"/>
        </c:dLbls>
        <c:gapWidth val="60"/>
        <c:axId val="-1596524832"/>
        <c:axId val="-1596532992"/>
      </c:barChart>
      <c:catAx>
        <c:axId val="-1596524832"/>
        <c:scaling>
          <c:orientation val="minMax"/>
        </c:scaling>
        <c:delete val="0"/>
        <c:axPos val="l"/>
        <c:numFmt formatCode="General" sourceLinked="0"/>
        <c:majorTickMark val="out"/>
        <c:minorTickMark val="none"/>
        <c:tickLblPos val="nextTo"/>
        <c:crossAx val="-1596532992"/>
        <c:crosses val="autoZero"/>
        <c:auto val="0"/>
        <c:lblAlgn val="ctr"/>
        <c:lblOffset val="100"/>
        <c:noMultiLvlLbl val="0"/>
      </c:catAx>
      <c:valAx>
        <c:axId val="-1596532992"/>
        <c:scaling>
          <c:orientation val="minMax"/>
        </c:scaling>
        <c:delete val="0"/>
        <c:axPos val="b"/>
        <c:majorGridlines/>
        <c:title>
          <c:tx>
            <c:rich>
              <a:bodyPr/>
              <a:lstStyle/>
              <a:p>
                <a:pPr>
                  <a:defRPr b="0"/>
                </a:pPr>
                <a:r>
                  <a:rPr lang="pl-PL" b="0"/>
                  <a:t>% of people in households</a:t>
                </a:r>
              </a:p>
            </c:rich>
          </c:tx>
          <c:layout>
            <c:manualLayout>
              <c:xMode val="edge"/>
              <c:yMode val="edge"/>
              <c:x val="0.48632599206349275"/>
              <c:y val="0.84759569590339745"/>
            </c:manualLayout>
          </c:layout>
          <c:overlay val="0"/>
        </c:title>
        <c:numFmt formatCode="General" sourceLinked="0"/>
        <c:majorTickMark val="out"/>
        <c:minorTickMark val="none"/>
        <c:tickLblPos val="nextTo"/>
        <c:crossAx val="-1596524832"/>
        <c:crosses val="autoZero"/>
        <c:crossBetween val="between"/>
      </c:valAx>
    </c:plotArea>
    <c:legend>
      <c:legendPos val="b"/>
      <c:layout>
        <c:manualLayout>
          <c:xMode val="edge"/>
          <c:yMode val="edge"/>
          <c:x val="0.39263908730158736"/>
          <c:y val="0.92043618714204745"/>
          <c:w val="0.21472182539682541"/>
          <c:h val="6.7442554461354817E-2"/>
        </c:manualLayout>
      </c:layout>
      <c:overlay val="0"/>
      <c:txPr>
        <a:bodyPr/>
        <a:lstStyle/>
        <a:p>
          <a:pPr>
            <a:defRPr sz="900"/>
          </a:pPr>
          <a:endParaRPr lang="pl-PL"/>
        </a:p>
      </c:tx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2496428571428693"/>
          <c:y val="5.5141505285560881E-2"/>
          <c:w val="0.64486210317460313"/>
          <c:h val="0.72075281867271823"/>
        </c:manualLayout>
      </c:layout>
      <c:barChart>
        <c:barDir val="bar"/>
        <c:grouping val="clustered"/>
        <c:varyColors val="0"/>
        <c:ser>
          <c:idx val="0"/>
          <c:order val="0"/>
          <c:tx>
            <c:strRef>
              <c:f>'Number of children'!$D$8</c:f>
              <c:strCache>
                <c:ptCount val="1"/>
                <c:pt idx="0">
                  <c:v>2018</c:v>
                </c:pt>
              </c:strCache>
            </c:strRef>
          </c:tx>
          <c:spPr>
            <a:solidFill>
              <a:srgbClr val="D9E2FF"/>
            </a:solidFill>
            <a:ln>
              <a:noFill/>
            </a:ln>
            <a:effectLst/>
          </c:spPr>
          <c:invertIfNegative val="0"/>
          <c:dLbls>
            <c:dLbl>
              <c:idx val="0"/>
              <c:tx>
                <c:rich>
                  <a:bodyPr/>
                  <a:lstStyle/>
                  <a:p>
                    <a:r>
                      <a:rPr lang="en-US"/>
                      <a:t>9.7</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5.6</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5.5</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6.4</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'Number of children'!$A$10:$C$13</c:f>
              <c:strCache>
                <c:ptCount val="4"/>
                <c:pt idx="0">
                  <c:v>with at least 3 children  
aged 0-17 </c:v>
                </c:pt>
                <c:pt idx="1">
                  <c:v>with exactly 2 children  
aged 0-17 lat</c:v>
                </c:pt>
                <c:pt idx="2">
                  <c:v>with exactly 1 child 
 aged 0-17</c:v>
                </c:pt>
                <c:pt idx="3">
                  <c:v>with at least 1 child  
aged 0-17 </c:v>
                </c:pt>
              </c:strCache>
            </c:strRef>
          </c:cat>
          <c:val>
            <c:numRef>
              <c:f>'Number of children'!$D$10:$D$13</c:f>
              <c:numCache>
                <c:formatCode>General</c:formatCode>
                <c:ptCount val="4"/>
                <c:pt idx="0">
                  <c:v>9.7000000000000011</c:v>
                </c:pt>
                <c:pt idx="1">
                  <c:v>5.6</c:v>
                </c:pt>
                <c:pt idx="2">
                  <c:v>5.5</c:v>
                </c:pt>
                <c:pt idx="3">
                  <c:v>6.4</c:v>
                </c:pt>
              </c:numCache>
            </c:numRef>
          </c:val>
          <c:extLst xmlns:c16r2="http://schemas.microsoft.com/office/drawing/2015/06/chart">
            <c:ext xmlns:c16="http://schemas.microsoft.com/office/drawing/2014/chart" uri="{C3380CC4-5D6E-409C-BE32-E72D297353CC}">
              <c16:uniqueId val="{00000001-7163-49C0-8A31-FC278BDCBE2D}"/>
            </c:ext>
          </c:extLst>
        </c:ser>
        <c:ser>
          <c:idx val="1"/>
          <c:order val="1"/>
          <c:tx>
            <c:strRef>
              <c:f>'Number of children'!$E$8</c:f>
              <c:strCache>
                <c:ptCount val="1"/>
                <c:pt idx="0">
                  <c:v>2019</c:v>
                </c:pt>
              </c:strCache>
            </c:strRef>
          </c:tx>
          <c:spPr>
            <a:solidFill>
              <a:srgbClr val="001D77"/>
            </a:solidFill>
            <a:effectLst/>
          </c:spPr>
          <c:invertIfNegative val="0"/>
          <c:dLbls>
            <c:dLbl>
              <c:idx val="0"/>
              <c:tx>
                <c:rich>
                  <a:bodyPr/>
                  <a:lstStyle/>
                  <a:p>
                    <a:r>
                      <a:rPr lang="en-US"/>
                      <a:t>6.8</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5.1</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4.0</a:t>
                    </a:r>
                  </a:p>
                </c:rich>
              </c:tx>
              <c:dLblPos val="outEnd"/>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5.1</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'Number of children'!$A$10:$C$13</c:f>
              <c:strCache>
                <c:ptCount val="4"/>
                <c:pt idx="0">
                  <c:v>with at least 3 children  
aged 0-17 </c:v>
                </c:pt>
                <c:pt idx="1">
                  <c:v>with exactly 2 children  
aged 0-17 lat</c:v>
                </c:pt>
                <c:pt idx="2">
                  <c:v>with exactly 1 child 
 aged 0-17</c:v>
                </c:pt>
                <c:pt idx="3">
                  <c:v>with at least 1 child  
aged 0-17 </c:v>
                </c:pt>
              </c:strCache>
            </c:strRef>
          </c:cat>
          <c:val>
            <c:numRef>
              <c:f>'Number of children'!$E$10:$E$13</c:f>
              <c:numCache>
                <c:formatCode>General</c:formatCode>
                <c:ptCount val="4"/>
                <c:pt idx="0">
                  <c:v>6.8</c:v>
                </c:pt>
                <c:pt idx="1">
                  <c:v>5.0999999999999996</c:v>
                </c:pt>
                <c:pt idx="2">
                  <c:v>4</c:v>
                </c:pt>
                <c:pt idx="3">
                  <c:v>5.0999999999999996</c:v>
                </c:pt>
              </c:numCache>
            </c:numRef>
          </c:val>
          <c:extLst xmlns:c16r2="http://schemas.microsoft.com/office/drawing/2015/06/chart">
            <c:ext xmlns:c16="http://schemas.microsoft.com/office/drawing/2014/chart" uri="{C3380CC4-5D6E-409C-BE32-E72D297353CC}">
              <c16:uniqueId val="{00000002-7163-49C0-8A31-FC278BDCBE2D}"/>
            </c:ext>
          </c:extLst>
        </c:ser>
        <c:dLbls>
          <c:showLegendKey val="0"/>
          <c:showVal val="0"/>
          <c:showCatName val="0"/>
          <c:showSerName val="0"/>
          <c:showPercent val="0"/>
          <c:showBubbleSize val="0"/>
        </c:dLbls>
        <c:gapWidth val="60"/>
        <c:axId val="-1441933600"/>
        <c:axId val="-1441923808"/>
      </c:barChart>
      <c:catAx>
        <c:axId val="-1441933600"/>
        <c:scaling>
          <c:orientation val="minMax"/>
        </c:scaling>
        <c:delete val="0"/>
        <c:axPos val="l"/>
        <c:numFmt formatCode="General" sourceLinked="0"/>
        <c:majorTickMark val="out"/>
        <c:minorTickMark val="none"/>
        <c:tickLblPos val="nextTo"/>
        <c:crossAx val="-1441923808"/>
        <c:crosses val="autoZero"/>
        <c:auto val="0"/>
        <c:lblAlgn val="ctr"/>
        <c:lblOffset val="100"/>
        <c:noMultiLvlLbl val="0"/>
      </c:catAx>
      <c:valAx>
        <c:axId val="-1441923808"/>
        <c:scaling>
          <c:orientation val="minMax"/>
        </c:scaling>
        <c:delete val="0"/>
        <c:axPos val="b"/>
        <c:majorGridlines/>
        <c:title>
          <c:tx>
            <c:rich>
              <a:bodyPr/>
              <a:lstStyle/>
              <a:p>
                <a:pPr>
                  <a:defRPr b="0"/>
                </a:pPr>
                <a:r>
                  <a:rPr lang="pl-PL" b="0"/>
                  <a:t>% of people in households</a:t>
                </a:r>
              </a:p>
            </c:rich>
          </c:tx>
          <c:layout>
            <c:manualLayout>
              <c:xMode val="edge"/>
              <c:yMode val="edge"/>
              <c:x val="0.49638968253968346"/>
              <c:y val="0.8350999947232336"/>
            </c:manualLayout>
          </c:layout>
          <c:overlay val="0"/>
        </c:title>
        <c:numFmt formatCode="General" sourceLinked="0"/>
        <c:majorTickMark val="out"/>
        <c:minorTickMark val="none"/>
        <c:tickLblPos val="nextTo"/>
        <c:crossAx val="-1441933600"/>
        <c:crosses val="autoZero"/>
        <c:crossBetween val="between"/>
      </c:valAx>
    </c:plotArea>
    <c:legend>
      <c:legendPos val="b"/>
      <c:layout>
        <c:manualLayout>
          <c:xMode val="edge"/>
          <c:yMode val="edge"/>
          <c:x val="0.40476468253968306"/>
          <c:y val="0.91202293634460863"/>
          <c:w val="0.21472182539682541"/>
          <c:h val="8.3669378313169659E-2"/>
        </c:manualLayout>
      </c:layout>
      <c:overlay val="0"/>
      <c:txPr>
        <a:bodyPr/>
        <a:lstStyle/>
        <a:p>
          <a:pPr>
            <a:defRPr sz="900"/>
          </a:pPr>
          <a:endParaRPr lang="pl-PL"/>
        </a:p>
      </c:tx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821170634920641"/>
          <c:y val="6.2777401693566715E-2"/>
          <c:w val="0.71373769841269863"/>
          <c:h val="0.63473786173169833"/>
        </c:manualLayout>
      </c:layout>
      <c:barChart>
        <c:barDir val="bar"/>
        <c:grouping val="clustered"/>
        <c:varyColors val="0"/>
        <c:ser>
          <c:idx val="0"/>
          <c:order val="0"/>
          <c:tx>
            <c:strRef>
              <c:f>Age!$C$1</c:f>
              <c:strCache>
                <c:ptCount val="1"/>
                <c:pt idx="0">
                  <c:v>2018</c:v>
                </c:pt>
              </c:strCache>
            </c:strRef>
          </c:tx>
          <c:spPr>
            <a:solidFill>
              <a:srgbClr val="D9E2FF"/>
            </a:solidFill>
            <a:effectLst/>
          </c:spPr>
          <c:invertIfNegative val="0"/>
          <c:dLbls>
            <c:dLbl>
              <c:idx val="0"/>
              <c:tx>
                <c:rich>
                  <a:bodyPr/>
                  <a:lstStyle/>
                  <a:p>
                    <a:r>
                      <a:rPr lang="en-US"/>
                      <a:t>4.1</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5.5</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6.0</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Age!$B$2:$B$4</c:f>
              <c:strCache>
                <c:ptCount val="3"/>
                <c:pt idx="0">
                  <c:v>65 years and over</c:v>
                </c:pt>
                <c:pt idx="1">
                  <c:v>18-64 years</c:v>
                </c:pt>
                <c:pt idx="2">
                  <c:v>0-17 years</c:v>
                </c:pt>
              </c:strCache>
            </c:strRef>
          </c:cat>
          <c:val>
            <c:numRef>
              <c:f>Age!$C$2:$C$4</c:f>
              <c:numCache>
                <c:formatCode>0.0</c:formatCode>
                <c:ptCount val="3"/>
                <c:pt idx="0">
                  <c:v>4.0999999999999996</c:v>
                </c:pt>
                <c:pt idx="1">
                  <c:v>5.5</c:v>
                </c:pt>
                <c:pt idx="2">
                  <c:v>6</c:v>
                </c:pt>
              </c:numCache>
            </c:numRef>
          </c:val>
          <c:extLst xmlns:c16r2="http://schemas.microsoft.com/office/drawing/2015/06/chart">
            <c:ext xmlns:c16="http://schemas.microsoft.com/office/drawing/2014/chart" uri="{C3380CC4-5D6E-409C-BE32-E72D297353CC}">
              <c16:uniqueId val="{00000001-FAE3-4C61-8072-67D15BE66783}"/>
            </c:ext>
          </c:extLst>
        </c:ser>
        <c:ser>
          <c:idx val="1"/>
          <c:order val="1"/>
          <c:tx>
            <c:strRef>
              <c:f>Age!$D$1</c:f>
              <c:strCache>
                <c:ptCount val="1"/>
                <c:pt idx="0">
                  <c:v>2019</c:v>
                </c:pt>
              </c:strCache>
            </c:strRef>
          </c:tx>
          <c:spPr>
            <a:solidFill>
              <a:srgbClr val="001D77"/>
            </a:solidFill>
            <a:effectLst/>
          </c:spPr>
          <c:invertIfNegative val="0"/>
          <c:dLbls>
            <c:dLbl>
              <c:idx val="0"/>
              <c:tx>
                <c:rich>
                  <a:bodyPr/>
                  <a:lstStyle/>
                  <a:p>
                    <a:r>
                      <a:rPr lang="en-US"/>
                      <a:t>3.8</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4.2</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4.5</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Age!$B$2:$B$4</c:f>
              <c:strCache>
                <c:ptCount val="3"/>
                <c:pt idx="0">
                  <c:v>65 years and over</c:v>
                </c:pt>
                <c:pt idx="1">
                  <c:v>18-64 years</c:v>
                </c:pt>
                <c:pt idx="2">
                  <c:v>0-17 years</c:v>
                </c:pt>
              </c:strCache>
            </c:strRef>
          </c:cat>
          <c:val>
            <c:numRef>
              <c:f>Age!$D$2:$D$4</c:f>
              <c:numCache>
                <c:formatCode>0.0</c:formatCode>
                <c:ptCount val="3"/>
                <c:pt idx="0">
                  <c:v>3.8</c:v>
                </c:pt>
                <c:pt idx="1">
                  <c:v>4.2</c:v>
                </c:pt>
                <c:pt idx="2">
                  <c:v>4.5</c:v>
                </c:pt>
              </c:numCache>
            </c:numRef>
          </c:val>
          <c:extLst xmlns:c16r2="http://schemas.microsoft.com/office/drawing/2015/06/chart">
            <c:ext xmlns:c16="http://schemas.microsoft.com/office/drawing/2014/chart" uri="{C3380CC4-5D6E-409C-BE32-E72D297353CC}">
              <c16:uniqueId val="{00000002-FAE3-4C61-8072-67D15BE66783}"/>
            </c:ext>
          </c:extLst>
        </c:ser>
        <c:dLbls>
          <c:showLegendKey val="0"/>
          <c:showVal val="0"/>
          <c:showCatName val="0"/>
          <c:showSerName val="0"/>
          <c:showPercent val="0"/>
          <c:showBubbleSize val="0"/>
        </c:dLbls>
        <c:gapWidth val="60"/>
        <c:axId val="-1441929792"/>
        <c:axId val="-1441935232"/>
      </c:barChart>
      <c:catAx>
        <c:axId val="-1441929792"/>
        <c:scaling>
          <c:orientation val="minMax"/>
        </c:scaling>
        <c:delete val="0"/>
        <c:axPos val="l"/>
        <c:numFmt formatCode="General" sourceLinked="0"/>
        <c:majorTickMark val="out"/>
        <c:minorTickMark val="none"/>
        <c:tickLblPos val="nextTo"/>
        <c:crossAx val="-1441935232"/>
        <c:crosses val="autoZero"/>
        <c:auto val="0"/>
        <c:lblAlgn val="ctr"/>
        <c:lblOffset val="100"/>
        <c:noMultiLvlLbl val="0"/>
      </c:catAx>
      <c:valAx>
        <c:axId val="-1441935232"/>
        <c:scaling>
          <c:orientation val="minMax"/>
        </c:scaling>
        <c:delete val="0"/>
        <c:axPos val="b"/>
        <c:majorGridlines/>
        <c:title>
          <c:tx>
            <c:rich>
              <a:bodyPr/>
              <a:lstStyle/>
              <a:p>
                <a:pPr>
                  <a:defRPr b="0"/>
                </a:pPr>
                <a:r>
                  <a:rPr lang="pl-PL" b="0"/>
                  <a:t>% of people in households</a:t>
                </a:r>
              </a:p>
            </c:rich>
          </c:tx>
          <c:layout>
            <c:manualLayout>
              <c:xMode val="edge"/>
              <c:yMode val="edge"/>
              <c:x val="0.37763214285714286"/>
              <c:y val="0.77743494732841756"/>
            </c:manualLayout>
          </c:layout>
          <c:overlay val="0"/>
        </c:title>
        <c:numFmt formatCode="General" sourceLinked="0"/>
        <c:majorTickMark val="out"/>
        <c:minorTickMark val="none"/>
        <c:tickLblPos val="nextTo"/>
        <c:crossAx val="-1441929792"/>
        <c:crosses val="autoZero"/>
        <c:crossBetween val="between"/>
      </c:valAx>
    </c:plotArea>
    <c:legend>
      <c:legendPos val="b"/>
      <c:layout>
        <c:manualLayout>
          <c:xMode val="edge"/>
          <c:yMode val="edge"/>
          <c:x val="0.41689027777777865"/>
          <c:y val="0.88722794266101368"/>
          <c:w val="0.21472182539682541"/>
          <c:h val="0.10070569233144502"/>
        </c:manualLayout>
      </c:layout>
      <c:overlay val="0"/>
      <c:txPr>
        <a:bodyPr/>
        <a:lstStyle/>
        <a:p>
          <a:pPr>
            <a:defRPr sz="900"/>
          </a:pPr>
          <a:endParaRPr lang="pl-PL"/>
        </a:p>
      </c:tx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44275218253968252"/>
          <c:y val="7.4468044162851771E-2"/>
          <c:w val="0.52350873015873012"/>
          <c:h val="0.67160848282853081"/>
        </c:manualLayout>
      </c:layout>
      <c:barChart>
        <c:barDir val="bar"/>
        <c:grouping val="clustered"/>
        <c:varyColors val="0"/>
        <c:ser>
          <c:idx val="0"/>
          <c:order val="0"/>
          <c:tx>
            <c:strRef>
              <c:f>'Disability (2)'!$C$17</c:f>
              <c:strCache>
                <c:ptCount val="1"/>
                <c:pt idx="0">
                  <c:v>2018</c:v>
                </c:pt>
              </c:strCache>
            </c:strRef>
          </c:tx>
          <c:spPr>
            <a:solidFill>
              <a:srgbClr val="D9E2FF"/>
            </a:solidFill>
            <a:effectLst/>
          </c:spPr>
          <c:invertIfNegative val="0"/>
          <c:dPt>
            <c:idx val="6"/>
            <c:invertIfNegative val="0"/>
            <c:bubble3D val="0"/>
          </c:dPt>
          <c:dLbls>
            <c:dLbl>
              <c:idx val="0"/>
              <c:tx>
                <c:rich>
                  <a:bodyPr/>
                  <a:lstStyle/>
                  <a:p>
                    <a:r>
                      <a:rPr lang="en-US"/>
                      <a:t>4.8</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5.7</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8.0</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7.8</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'Disability (2)'!$B$18:$B$21</c:f>
              <c:strCache>
                <c:ptCount val="4"/>
                <c:pt idx="0">
                  <c:v>Houesholds without people
with disabilities</c:v>
                </c:pt>
                <c:pt idx="1">
                  <c:v>   Households with at least
1 child up to the age
of 16 with a disability certificate </c:v>
                </c:pt>
                <c:pt idx="2">
                  <c:v>Households with the household
head with disabilities </c:v>
                </c:pt>
                <c:pt idx="3">
                  <c:v>Households with at least 1 person
with disabilities</c:v>
                </c:pt>
              </c:strCache>
            </c:strRef>
          </c:cat>
          <c:val>
            <c:numRef>
              <c:f>'Disability (2)'!$C$18:$C$21</c:f>
              <c:numCache>
                <c:formatCode>0.0</c:formatCode>
                <c:ptCount val="4"/>
                <c:pt idx="0" formatCode="General">
                  <c:v>4.8</c:v>
                </c:pt>
                <c:pt idx="1">
                  <c:v>5.7</c:v>
                </c:pt>
                <c:pt idx="2">
                  <c:v>8</c:v>
                </c:pt>
                <c:pt idx="3">
                  <c:v>7.8</c:v>
                </c:pt>
              </c:numCache>
            </c:numRef>
          </c:val>
        </c:ser>
        <c:ser>
          <c:idx val="1"/>
          <c:order val="1"/>
          <c:tx>
            <c:strRef>
              <c:f>'Disability (2)'!$D$17</c:f>
              <c:strCache>
                <c:ptCount val="1"/>
                <c:pt idx="0">
                  <c:v>2019</c:v>
                </c:pt>
              </c:strCache>
            </c:strRef>
          </c:tx>
          <c:spPr>
            <a:solidFill>
              <a:srgbClr val="001D77"/>
            </a:solidFill>
          </c:spPr>
          <c:invertIfNegative val="0"/>
          <c:dLbls>
            <c:dLbl>
              <c:idx val="0"/>
              <c:tx>
                <c:rich>
                  <a:bodyPr/>
                  <a:lstStyle/>
                  <a:p>
                    <a:r>
                      <a:rPr lang="en-US"/>
                      <a:t>3.7</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5.5</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5.0</a:t>
                    </a:r>
                  </a:p>
                </c:rich>
              </c:tx>
              <c:dLblPos val="outEnd"/>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6.5</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'Disability (2)'!$B$18:$B$21</c:f>
              <c:strCache>
                <c:ptCount val="4"/>
                <c:pt idx="0">
                  <c:v>Houesholds without people
with disabilities</c:v>
                </c:pt>
                <c:pt idx="1">
                  <c:v>   Households with at least
1 child up to the age
of 16 with a disability certificate </c:v>
                </c:pt>
                <c:pt idx="2">
                  <c:v>Households with the household
head with disabilities </c:v>
                </c:pt>
                <c:pt idx="3">
                  <c:v>Households with at least 1 person
with disabilities</c:v>
                </c:pt>
              </c:strCache>
            </c:strRef>
          </c:cat>
          <c:val>
            <c:numRef>
              <c:f>'Disability (2)'!$D$18:$D$21</c:f>
              <c:numCache>
                <c:formatCode>0.0</c:formatCode>
                <c:ptCount val="4"/>
                <c:pt idx="0" formatCode="General">
                  <c:v>3.7</c:v>
                </c:pt>
                <c:pt idx="1">
                  <c:v>5.5</c:v>
                </c:pt>
                <c:pt idx="2">
                  <c:v>5</c:v>
                </c:pt>
                <c:pt idx="3">
                  <c:v>6.5</c:v>
                </c:pt>
              </c:numCache>
            </c:numRef>
          </c:val>
        </c:ser>
        <c:dLbls>
          <c:showLegendKey val="0"/>
          <c:showVal val="0"/>
          <c:showCatName val="0"/>
          <c:showSerName val="0"/>
          <c:showPercent val="0"/>
          <c:showBubbleSize val="0"/>
        </c:dLbls>
        <c:gapWidth val="60"/>
        <c:axId val="-1441931424"/>
        <c:axId val="-1441921088"/>
      </c:barChart>
      <c:catAx>
        <c:axId val="-1441931424"/>
        <c:scaling>
          <c:orientation val="minMax"/>
        </c:scaling>
        <c:delete val="0"/>
        <c:axPos val="l"/>
        <c:numFmt formatCode="General" sourceLinked="0"/>
        <c:majorTickMark val="out"/>
        <c:minorTickMark val="none"/>
        <c:tickLblPos val="nextTo"/>
        <c:crossAx val="-1441921088"/>
        <c:crosses val="autoZero"/>
        <c:auto val="0"/>
        <c:lblAlgn val="ctr"/>
        <c:lblOffset val="100"/>
        <c:noMultiLvlLbl val="0"/>
      </c:catAx>
      <c:valAx>
        <c:axId val="-1441921088"/>
        <c:scaling>
          <c:orientation val="minMax"/>
        </c:scaling>
        <c:delete val="0"/>
        <c:axPos val="b"/>
        <c:majorGridlines/>
        <c:title>
          <c:tx>
            <c:rich>
              <a:bodyPr/>
              <a:lstStyle/>
              <a:p>
                <a:pPr>
                  <a:defRPr b="0"/>
                </a:pPr>
                <a:r>
                  <a:rPr lang="pl-PL" b="0"/>
                  <a:t>% of</a:t>
                </a:r>
                <a:r>
                  <a:rPr lang="pl-PL" b="0" baseline="0"/>
                  <a:t> people in households</a:t>
                </a:r>
                <a:endParaRPr lang="pl-PL" b="0"/>
              </a:p>
            </c:rich>
          </c:tx>
          <c:layout>
            <c:manualLayout>
              <c:xMode val="edge"/>
              <c:yMode val="edge"/>
              <c:x val="0.52684722222222224"/>
              <c:y val="0.82272081184648305"/>
            </c:manualLayout>
          </c:layout>
          <c:overlay val="0"/>
        </c:title>
        <c:numFmt formatCode="General" sourceLinked="0"/>
        <c:majorTickMark val="out"/>
        <c:minorTickMark val="none"/>
        <c:tickLblPos val="nextTo"/>
        <c:crossAx val="-1441931424"/>
        <c:crosses val="autoZero"/>
        <c:crossBetween val="between"/>
      </c:valAx>
    </c:plotArea>
    <c:legend>
      <c:legendPos val="b"/>
      <c:layout>
        <c:manualLayout>
          <c:xMode val="edge"/>
          <c:yMode val="edge"/>
          <c:x val="0.39263908730158736"/>
          <c:y val="0.9041142866836932"/>
          <c:w val="0.21472182539682538"/>
          <c:h val="8.5626150414078381E-2"/>
        </c:manualLayout>
      </c:layout>
      <c:overlay val="0"/>
      <c:txPr>
        <a:bodyPr/>
        <a:lstStyle/>
        <a:p>
          <a:pPr>
            <a:defRPr sz="900"/>
          </a:pPr>
          <a:endParaRPr lang="pl-PL"/>
        </a:p>
      </c:tx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107281746031747"/>
          <c:y val="8.3793302432940739E-2"/>
          <c:w val="0.75149206349206354"/>
          <c:h val="0.64323970142030162"/>
        </c:manualLayout>
      </c:layout>
      <c:barChart>
        <c:barDir val="bar"/>
        <c:grouping val="clustered"/>
        <c:varyColors val="0"/>
        <c:ser>
          <c:idx val="0"/>
          <c:order val="0"/>
          <c:tx>
            <c:strRef>
              <c:f>'Education level'!$B$1</c:f>
              <c:strCache>
                <c:ptCount val="1"/>
                <c:pt idx="0">
                  <c:v>2018</c:v>
                </c:pt>
              </c:strCache>
            </c:strRef>
          </c:tx>
          <c:spPr>
            <a:solidFill>
              <a:srgbClr val="D9E2FF"/>
            </a:solidFill>
            <a:effectLst/>
          </c:spPr>
          <c:invertIfNegative val="0"/>
          <c:dLbls>
            <c:dLbl>
              <c:idx val="0"/>
              <c:tx>
                <c:rich>
                  <a:bodyPr/>
                  <a:lstStyle/>
                  <a:p>
                    <a:r>
                      <a:rPr lang="en-US"/>
                      <a:t>1.3</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3.7</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8.4</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11.9</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'Education level'!$A$2:$A$5</c:f>
              <c:strCache>
                <c:ptCount val="4"/>
                <c:pt idx="0">
                  <c:v>Tertiary </c:v>
                </c:pt>
                <c:pt idx="1">
                  <c:v>Secondary</c:v>
                </c:pt>
                <c:pt idx="2">
                  <c:v>Basic vocational </c:v>
                </c:pt>
                <c:pt idx="3">
                  <c:v>Not higher than lower secondary </c:v>
                </c:pt>
              </c:strCache>
            </c:strRef>
          </c:cat>
          <c:val>
            <c:numRef>
              <c:f>'Education level'!$B$2:$B$5</c:f>
              <c:numCache>
                <c:formatCode>0.0</c:formatCode>
                <c:ptCount val="4"/>
                <c:pt idx="0">
                  <c:v>1.3</c:v>
                </c:pt>
                <c:pt idx="1">
                  <c:v>3.7</c:v>
                </c:pt>
                <c:pt idx="2">
                  <c:v>8.4</c:v>
                </c:pt>
                <c:pt idx="3">
                  <c:v>11.9</c:v>
                </c:pt>
              </c:numCache>
            </c:numRef>
          </c:val>
          <c:extLst xmlns:c16r2="http://schemas.microsoft.com/office/drawing/2015/06/chart">
            <c:ext xmlns:c16="http://schemas.microsoft.com/office/drawing/2014/chart" uri="{C3380CC4-5D6E-409C-BE32-E72D297353CC}">
              <c16:uniqueId val="{00000001-220C-4E79-972E-DCA2945E8CB0}"/>
            </c:ext>
          </c:extLst>
        </c:ser>
        <c:ser>
          <c:idx val="1"/>
          <c:order val="1"/>
          <c:tx>
            <c:strRef>
              <c:f>'Education level'!$C$1</c:f>
              <c:strCache>
                <c:ptCount val="1"/>
                <c:pt idx="0">
                  <c:v>2019</c:v>
                </c:pt>
              </c:strCache>
            </c:strRef>
          </c:tx>
          <c:spPr>
            <a:solidFill>
              <a:srgbClr val="001D77"/>
            </a:solidFill>
          </c:spPr>
          <c:invertIfNegative val="0"/>
          <c:dLbls>
            <c:dLbl>
              <c:idx val="0"/>
              <c:tx>
                <c:rich>
                  <a:bodyPr/>
                  <a:lstStyle/>
                  <a:p>
                    <a:r>
                      <a:rPr lang="en-US"/>
                      <a:t>1.1</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2.9</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6.4</a:t>
                    </a:r>
                  </a:p>
                </c:rich>
              </c:tx>
              <c:dLblPos val="outEnd"/>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10.1</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'Education level'!$A$2:$A$5</c:f>
              <c:strCache>
                <c:ptCount val="4"/>
                <c:pt idx="0">
                  <c:v>Tertiary </c:v>
                </c:pt>
                <c:pt idx="1">
                  <c:v>Secondary</c:v>
                </c:pt>
                <c:pt idx="2">
                  <c:v>Basic vocational </c:v>
                </c:pt>
                <c:pt idx="3">
                  <c:v>Not higher than lower secondary </c:v>
                </c:pt>
              </c:strCache>
            </c:strRef>
          </c:cat>
          <c:val>
            <c:numRef>
              <c:f>'Education level'!$C$2:$C$5</c:f>
              <c:numCache>
                <c:formatCode>0.0</c:formatCode>
                <c:ptCount val="4"/>
                <c:pt idx="0">
                  <c:v>1.1000000000000001</c:v>
                </c:pt>
                <c:pt idx="1">
                  <c:v>2.9</c:v>
                </c:pt>
                <c:pt idx="2">
                  <c:v>6.4</c:v>
                </c:pt>
                <c:pt idx="3">
                  <c:v>10.1</c:v>
                </c:pt>
              </c:numCache>
            </c:numRef>
          </c:val>
          <c:extLst xmlns:c16r2="http://schemas.microsoft.com/office/drawing/2015/06/chart">
            <c:ext xmlns:c16="http://schemas.microsoft.com/office/drawing/2014/chart" uri="{C3380CC4-5D6E-409C-BE32-E72D297353CC}">
              <c16:uniqueId val="{00000002-220C-4E79-972E-DCA2945E8CB0}"/>
            </c:ext>
          </c:extLst>
        </c:ser>
        <c:dLbls>
          <c:showLegendKey val="0"/>
          <c:showVal val="0"/>
          <c:showCatName val="0"/>
          <c:showSerName val="0"/>
          <c:showPercent val="0"/>
          <c:showBubbleSize val="0"/>
        </c:dLbls>
        <c:gapWidth val="60"/>
        <c:axId val="-1441927072"/>
        <c:axId val="-1441920000"/>
      </c:barChart>
      <c:catAx>
        <c:axId val="-1441927072"/>
        <c:scaling>
          <c:orientation val="minMax"/>
        </c:scaling>
        <c:delete val="0"/>
        <c:axPos val="l"/>
        <c:numFmt formatCode="General" sourceLinked="0"/>
        <c:majorTickMark val="out"/>
        <c:minorTickMark val="none"/>
        <c:tickLblPos val="nextTo"/>
        <c:crossAx val="-1441920000"/>
        <c:crosses val="autoZero"/>
        <c:auto val="0"/>
        <c:lblAlgn val="ctr"/>
        <c:lblOffset val="100"/>
        <c:noMultiLvlLbl val="0"/>
      </c:catAx>
      <c:valAx>
        <c:axId val="-1441920000"/>
        <c:scaling>
          <c:orientation val="minMax"/>
        </c:scaling>
        <c:delete val="0"/>
        <c:axPos val="b"/>
        <c:majorGridlines/>
        <c:title>
          <c:tx>
            <c:rich>
              <a:bodyPr/>
              <a:lstStyle/>
              <a:p>
                <a:pPr>
                  <a:defRPr b="0"/>
                </a:pPr>
                <a:r>
                  <a:rPr lang="pl-PL" b="0"/>
                  <a:t>% of people in households</a:t>
                </a:r>
              </a:p>
            </c:rich>
          </c:tx>
          <c:layout>
            <c:manualLayout>
              <c:xMode val="edge"/>
              <c:yMode val="edge"/>
              <c:x val="0.43997649778937292"/>
              <c:y val="0.79557752089499456"/>
            </c:manualLayout>
          </c:layout>
          <c:overlay val="0"/>
        </c:title>
        <c:numFmt formatCode="General" sourceLinked="0"/>
        <c:majorTickMark val="out"/>
        <c:minorTickMark val="none"/>
        <c:tickLblPos val="nextTo"/>
        <c:crossAx val="-1441927072"/>
        <c:crosses val="autoZero"/>
        <c:crossBetween val="between"/>
      </c:valAx>
    </c:plotArea>
    <c:legend>
      <c:legendPos val="b"/>
      <c:layout>
        <c:manualLayout>
          <c:xMode val="edge"/>
          <c:yMode val="edge"/>
          <c:x val="0.46575993433146334"/>
          <c:y val="0.8927093687757115"/>
          <c:w val="0.21472182539682541"/>
          <c:h val="9.2826187574686747E-2"/>
        </c:manualLayout>
      </c:layout>
      <c:overlay val="0"/>
      <c:txPr>
        <a:bodyPr/>
        <a:lstStyle/>
        <a:p>
          <a:pPr>
            <a:defRPr sz="900"/>
          </a:pPr>
          <a:endParaRPr lang="pl-PL"/>
        </a:p>
      </c:tx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8492658730158804"/>
          <c:y val="6.2577483249422819E-2"/>
          <c:w val="0.66978075396825465"/>
          <c:h val="0.7116907113875629"/>
        </c:manualLayout>
      </c:layout>
      <c:barChart>
        <c:barDir val="bar"/>
        <c:grouping val="clustered"/>
        <c:varyColors val="0"/>
        <c:ser>
          <c:idx val="0"/>
          <c:order val="0"/>
          <c:tx>
            <c:strRef>
              <c:f>'Place of residence'!$C$1</c:f>
              <c:strCache>
                <c:ptCount val="1"/>
                <c:pt idx="0">
                  <c:v>2018</c:v>
                </c:pt>
              </c:strCache>
            </c:strRef>
          </c:tx>
          <c:spPr>
            <a:solidFill>
              <a:srgbClr val="D9E2FF"/>
            </a:solidFill>
            <a:effectLst/>
          </c:spPr>
          <c:invertIfNegative val="0"/>
          <c:dLbls>
            <c:dLbl>
              <c:idx val="0"/>
              <c:tx>
                <c:rich>
                  <a:bodyPr/>
                  <a:lstStyle/>
                  <a:p>
                    <a:r>
                      <a:rPr lang="en-US"/>
                      <a:t>9.4</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5.1</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3.1</a:t>
                    </a:r>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2.7</a:t>
                    </a:r>
                  </a:p>
                </c:rich>
              </c:tx>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1.2</a:t>
                    </a:r>
                  </a:p>
                </c:rich>
              </c:tx>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a:t>0.9</a:t>
                    </a:r>
                  </a:p>
                </c:rich>
              </c:tx>
              <c:showLegendKey val="0"/>
              <c:showVal val="1"/>
              <c:showCatName val="0"/>
              <c:showSerName val="0"/>
              <c:showPercent val="0"/>
              <c:showBubbleSize val="0"/>
              <c:extLst>
                <c:ext xmlns:c15="http://schemas.microsoft.com/office/drawing/2012/chart" uri="{CE6537A1-D6FC-4f65-9D91-7224C49458BB}"/>
              </c:extLst>
            </c:dLbl>
            <c:dLbl>
              <c:idx val="6"/>
              <c:tx>
                <c:rich>
                  <a:bodyPr/>
                  <a:lstStyle/>
                  <a:p>
                    <a:r>
                      <a:rPr lang="en-US"/>
                      <a:t>2.8</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'Place of residence'!$B$2:$B$8</c:f>
              <c:strCache>
                <c:ptCount val="7"/>
                <c:pt idx="0">
                  <c:v>Rural areas</c:v>
                </c:pt>
                <c:pt idx="1">
                  <c:v>      up to 20 thous. </c:v>
                </c:pt>
                <c:pt idx="2">
                  <c:v>       20 - 100 thous.</c:v>
                </c:pt>
                <c:pt idx="3">
                  <c:v>     100 - 200 thous.</c:v>
                </c:pt>
                <c:pt idx="4">
                  <c:v>     200 - 500 thous.</c:v>
                </c:pt>
                <c:pt idx="5">
                  <c:v>     500 thous.
and more</c:v>
                </c:pt>
                <c:pt idx="6">
                  <c:v>Urban areas total</c:v>
                </c:pt>
              </c:strCache>
            </c:strRef>
          </c:cat>
          <c:val>
            <c:numRef>
              <c:f>'Place of residence'!$C$2:$C$8</c:f>
              <c:numCache>
                <c:formatCode>0.0</c:formatCode>
                <c:ptCount val="7"/>
                <c:pt idx="0">
                  <c:v>9.4</c:v>
                </c:pt>
                <c:pt idx="1">
                  <c:v>5.0999999999999996</c:v>
                </c:pt>
                <c:pt idx="2">
                  <c:v>3.1</c:v>
                </c:pt>
                <c:pt idx="3">
                  <c:v>2.7</c:v>
                </c:pt>
                <c:pt idx="4">
                  <c:v>1.2</c:v>
                </c:pt>
                <c:pt idx="5">
                  <c:v>0.9</c:v>
                </c:pt>
                <c:pt idx="6">
                  <c:v>2.8</c:v>
                </c:pt>
              </c:numCache>
            </c:numRef>
          </c:val>
          <c:extLst xmlns:c16r2="http://schemas.microsoft.com/office/drawing/2015/06/chart">
            <c:ext xmlns:c16="http://schemas.microsoft.com/office/drawing/2014/chart" uri="{C3380CC4-5D6E-409C-BE32-E72D297353CC}">
              <c16:uniqueId val="{00000001-C9BB-46DF-8240-861BD945A1DB}"/>
            </c:ext>
          </c:extLst>
        </c:ser>
        <c:ser>
          <c:idx val="1"/>
          <c:order val="1"/>
          <c:tx>
            <c:strRef>
              <c:f>'Place of residence'!$D$1</c:f>
              <c:strCache>
                <c:ptCount val="1"/>
                <c:pt idx="0">
                  <c:v>2019</c:v>
                </c:pt>
              </c:strCache>
            </c:strRef>
          </c:tx>
          <c:spPr>
            <a:solidFill>
              <a:srgbClr val="001D77"/>
            </a:solidFill>
          </c:spPr>
          <c:invertIfNegative val="0"/>
          <c:dLbls>
            <c:dLbl>
              <c:idx val="0"/>
              <c:tx>
                <c:rich>
                  <a:bodyPr/>
                  <a:lstStyle/>
                  <a:p>
                    <a:r>
                      <a:rPr lang="en-US"/>
                      <a:t>7.5</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2.8</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2.5</a:t>
                    </a:r>
                  </a:p>
                </c:rich>
              </c:tx>
              <c:dLblPos val="outEnd"/>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2.1</a:t>
                    </a:r>
                  </a:p>
                </c:rich>
              </c:tx>
              <c:dLblPos val="outEnd"/>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1.4</a:t>
                    </a:r>
                  </a:p>
                </c:rich>
              </c:tx>
              <c:dLblPos val="outEnd"/>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a:t>1.0</a:t>
                    </a:r>
                  </a:p>
                </c:rich>
              </c:tx>
              <c:dLblPos val="outEnd"/>
              <c:showLegendKey val="0"/>
              <c:showVal val="1"/>
              <c:showCatName val="0"/>
              <c:showSerName val="0"/>
              <c:showPercent val="0"/>
              <c:showBubbleSize val="0"/>
              <c:extLst>
                <c:ext xmlns:c15="http://schemas.microsoft.com/office/drawing/2012/chart" uri="{CE6537A1-D6FC-4f65-9D91-7224C49458BB}"/>
              </c:extLst>
            </c:dLbl>
            <c:dLbl>
              <c:idx val="6"/>
              <c:tx>
                <c:rich>
                  <a:bodyPr/>
                  <a:lstStyle/>
                  <a:p>
                    <a:r>
                      <a:rPr lang="en-US"/>
                      <a:t>2.1</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'Place of residence'!$B$2:$B$8</c:f>
              <c:strCache>
                <c:ptCount val="7"/>
                <c:pt idx="0">
                  <c:v>Rural areas</c:v>
                </c:pt>
                <c:pt idx="1">
                  <c:v>      up to 20 thous. </c:v>
                </c:pt>
                <c:pt idx="2">
                  <c:v>       20 - 100 thous.</c:v>
                </c:pt>
                <c:pt idx="3">
                  <c:v>     100 - 200 thous.</c:v>
                </c:pt>
                <c:pt idx="4">
                  <c:v>     200 - 500 thous.</c:v>
                </c:pt>
                <c:pt idx="5">
                  <c:v>     500 thous.
and more</c:v>
                </c:pt>
                <c:pt idx="6">
                  <c:v>Urban areas total</c:v>
                </c:pt>
              </c:strCache>
            </c:strRef>
          </c:cat>
          <c:val>
            <c:numRef>
              <c:f>'Place of residence'!$D$2:$D$8</c:f>
              <c:numCache>
                <c:formatCode>0.0</c:formatCode>
                <c:ptCount val="7"/>
                <c:pt idx="0">
                  <c:v>7.5</c:v>
                </c:pt>
                <c:pt idx="1">
                  <c:v>2.8</c:v>
                </c:pt>
                <c:pt idx="2">
                  <c:v>2.5</c:v>
                </c:pt>
                <c:pt idx="3">
                  <c:v>2.1</c:v>
                </c:pt>
                <c:pt idx="4">
                  <c:v>1.4</c:v>
                </c:pt>
                <c:pt idx="5">
                  <c:v>1</c:v>
                </c:pt>
                <c:pt idx="6">
                  <c:v>2.1</c:v>
                </c:pt>
              </c:numCache>
            </c:numRef>
          </c:val>
          <c:extLst xmlns:c16r2="http://schemas.microsoft.com/office/drawing/2015/06/chart">
            <c:ext xmlns:c16="http://schemas.microsoft.com/office/drawing/2014/chart" uri="{C3380CC4-5D6E-409C-BE32-E72D297353CC}">
              <c16:uniqueId val="{00000002-C9BB-46DF-8240-861BD945A1DB}"/>
            </c:ext>
          </c:extLst>
        </c:ser>
        <c:dLbls>
          <c:showLegendKey val="0"/>
          <c:showVal val="0"/>
          <c:showCatName val="0"/>
          <c:showSerName val="0"/>
          <c:showPercent val="0"/>
          <c:showBubbleSize val="0"/>
        </c:dLbls>
        <c:gapWidth val="60"/>
        <c:axId val="-1441926528"/>
        <c:axId val="-1441927616"/>
      </c:barChart>
      <c:catAx>
        <c:axId val="-1441926528"/>
        <c:scaling>
          <c:orientation val="minMax"/>
        </c:scaling>
        <c:delete val="0"/>
        <c:axPos val="l"/>
        <c:numFmt formatCode="General" sourceLinked="0"/>
        <c:majorTickMark val="out"/>
        <c:minorTickMark val="none"/>
        <c:tickLblPos val="nextTo"/>
        <c:crossAx val="-1441927616"/>
        <c:crosses val="autoZero"/>
        <c:auto val="0"/>
        <c:lblAlgn val="ctr"/>
        <c:lblOffset val="100"/>
        <c:noMultiLvlLbl val="0"/>
      </c:catAx>
      <c:valAx>
        <c:axId val="-1441927616"/>
        <c:scaling>
          <c:orientation val="minMax"/>
        </c:scaling>
        <c:delete val="0"/>
        <c:axPos val="b"/>
        <c:majorGridlines/>
        <c:title>
          <c:tx>
            <c:rich>
              <a:bodyPr/>
              <a:lstStyle/>
              <a:p>
                <a:pPr>
                  <a:defRPr b="0"/>
                </a:pPr>
                <a:r>
                  <a:rPr lang="pl-PL" b="0"/>
                  <a:t>% of people in households</a:t>
                </a:r>
                <a:r>
                  <a:rPr lang="pl-PL" b="0" baseline="0"/>
                  <a:t> </a:t>
                </a:r>
                <a:endParaRPr lang="pl-PL" b="0"/>
              </a:p>
            </c:rich>
          </c:tx>
          <c:layout>
            <c:manualLayout>
              <c:xMode val="edge"/>
              <c:yMode val="edge"/>
              <c:x val="0.48379041760784824"/>
              <c:y val="0.82626285227596707"/>
            </c:manualLayout>
          </c:layout>
          <c:overlay val="0"/>
        </c:title>
        <c:numFmt formatCode="General" sourceLinked="0"/>
        <c:majorTickMark val="out"/>
        <c:minorTickMark val="none"/>
        <c:tickLblPos val="nextTo"/>
        <c:crossAx val="-1441926528"/>
        <c:crosses val="autoZero"/>
        <c:crossBetween val="between"/>
      </c:valAx>
    </c:plotArea>
    <c:legend>
      <c:legendPos val="b"/>
      <c:overlay val="0"/>
      <c:txPr>
        <a:bodyPr/>
        <a:lstStyle/>
        <a:p>
          <a:pPr>
            <a:defRPr sz="900"/>
          </a:pPr>
          <a:endParaRPr lang="pl-PL"/>
        </a:p>
      </c:tx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1086341480042479E-2"/>
          <c:y val="5.9139784946236763E-2"/>
          <c:w val="0.81427079190858764"/>
          <c:h val="0.63627570891505414"/>
        </c:manualLayout>
      </c:layout>
      <c:barChart>
        <c:barDir val="col"/>
        <c:grouping val="clustered"/>
        <c:varyColors val="0"/>
        <c:ser>
          <c:idx val="2"/>
          <c:order val="2"/>
          <c:tx>
            <c:strRef>
              <c:f>'Extreme poverty and privation'!$A$8</c:f>
              <c:strCache>
                <c:ptCount val="1"/>
                <c:pt idx="0">
                  <c:v>Extreme poverty threshold for 1-person household of employees  (in PLN)</c:v>
                </c:pt>
              </c:strCache>
            </c:strRef>
          </c:tx>
          <c:spPr>
            <a:solidFill>
              <a:srgbClr val="D9E2FF"/>
            </a:solidFill>
            <a:ln>
              <a:noFill/>
            </a:ln>
            <a:effectLst/>
          </c:spPr>
          <c:invertIfNegative val="0"/>
          <c:cat>
            <c:numRef>
              <c:f>'Extreme poverty and privation'!$B$5:$M$5</c:f>
              <c:numCache>
                <c:formatCode>General</c:formatCode>
                <c:ptCount val="12"/>
                <c:pt idx="0">
                  <c:v>2008</c:v>
                </c:pt>
                <c:pt idx="1">
                  <c:v>2009</c:v>
                </c:pt>
                <c:pt idx="2">
                  <c:v>2010</c:v>
                </c:pt>
                <c:pt idx="3">
                  <c:v>2011</c:v>
                </c:pt>
                <c:pt idx="4">
                  <c:v>2012</c:v>
                </c:pt>
                <c:pt idx="5">
                  <c:v>2013</c:v>
                </c:pt>
                <c:pt idx="6">
                  <c:v>2014</c:v>
                </c:pt>
                <c:pt idx="7">
                  <c:v>2015</c:v>
                </c:pt>
                <c:pt idx="8">
                  <c:v>2016</c:v>
                </c:pt>
                <c:pt idx="9">
                  <c:v>2017</c:v>
                </c:pt>
                <c:pt idx="10">
                  <c:v>2018</c:v>
                </c:pt>
                <c:pt idx="11">
                  <c:v>2019</c:v>
                </c:pt>
              </c:numCache>
            </c:numRef>
          </c:cat>
          <c:val>
            <c:numRef>
              <c:f>'Extreme poverty and privation'!$B$8:$M$8</c:f>
              <c:numCache>
                <c:formatCode>General</c:formatCode>
                <c:ptCount val="12"/>
                <c:pt idx="0">
                  <c:v>418</c:v>
                </c:pt>
                <c:pt idx="1">
                  <c:v>443</c:v>
                </c:pt>
                <c:pt idx="2">
                  <c:v>466</c:v>
                </c:pt>
                <c:pt idx="3">
                  <c:v>495</c:v>
                </c:pt>
                <c:pt idx="4">
                  <c:v>519</c:v>
                </c:pt>
                <c:pt idx="5">
                  <c:v>551</c:v>
                </c:pt>
                <c:pt idx="6">
                  <c:v>540</c:v>
                </c:pt>
                <c:pt idx="7">
                  <c:v>545</c:v>
                </c:pt>
                <c:pt idx="8">
                  <c:v>550</c:v>
                </c:pt>
                <c:pt idx="9">
                  <c:v>582</c:v>
                </c:pt>
                <c:pt idx="10">
                  <c:v>595</c:v>
                </c:pt>
                <c:pt idx="11">
                  <c:v>614</c:v>
                </c:pt>
              </c:numCache>
            </c:numRef>
          </c:val>
          <c:extLst xmlns:c16r2="http://schemas.microsoft.com/office/drawing/2015/06/chart">
            <c:ext xmlns:c16="http://schemas.microsoft.com/office/drawing/2014/chart" uri="{C3380CC4-5D6E-409C-BE32-E72D297353CC}">
              <c16:uniqueId val="{00000000-AAF9-4F9D-8A14-A5834AF42FBF}"/>
            </c:ext>
          </c:extLst>
        </c:ser>
        <c:ser>
          <c:idx val="3"/>
          <c:order val="3"/>
          <c:tx>
            <c:strRef>
              <c:f>'Extreme poverty and privation'!$A$9</c:f>
              <c:strCache>
                <c:ptCount val="1"/>
                <c:pt idx="0">
                  <c:v>Privation threshold for 1-person household of employees  (in PLN)</c:v>
                </c:pt>
              </c:strCache>
            </c:strRef>
          </c:tx>
          <c:spPr>
            <a:solidFill>
              <a:srgbClr val="BFBFBF"/>
            </a:solidFill>
            <a:ln>
              <a:noFill/>
            </a:ln>
            <a:effectLst/>
          </c:spPr>
          <c:invertIfNegative val="0"/>
          <c:cat>
            <c:numRef>
              <c:f>'Extreme poverty and privation'!$B$5:$M$5</c:f>
              <c:numCache>
                <c:formatCode>General</c:formatCode>
                <c:ptCount val="12"/>
                <c:pt idx="0">
                  <c:v>2008</c:v>
                </c:pt>
                <c:pt idx="1">
                  <c:v>2009</c:v>
                </c:pt>
                <c:pt idx="2">
                  <c:v>2010</c:v>
                </c:pt>
                <c:pt idx="3">
                  <c:v>2011</c:v>
                </c:pt>
                <c:pt idx="4">
                  <c:v>2012</c:v>
                </c:pt>
                <c:pt idx="5">
                  <c:v>2013</c:v>
                </c:pt>
                <c:pt idx="6">
                  <c:v>2014</c:v>
                </c:pt>
                <c:pt idx="7">
                  <c:v>2015</c:v>
                </c:pt>
                <c:pt idx="8">
                  <c:v>2016</c:v>
                </c:pt>
                <c:pt idx="9">
                  <c:v>2017</c:v>
                </c:pt>
                <c:pt idx="10">
                  <c:v>2018</c:v>
                </c:pt>
                <c:pt idx="11">
                  <c:v>2019</c:v>
                </c:pt>
              </c:numCache>
            </c:numRef>
          </c:cat>
          <c:val>
            <c:numRef>
              <c:f>'Extreme poverty and privation'!$B$9:$M$9</c:f>
              <c:numCache>
                <c:formatCode>General</c:formatCode>
                <c:ptCount val="12"/>
                <c:pt idx="0">
                  <c:v>862</c:v>
                </c:pt>
                <c:pt idx="1">
                  <c:v>884</c:v>
                </c:pt>
                <c:pt idx="2">
                  <c:v>938</c:v>
                </c:pt>
                <c:pt idx="3">
                  <c:v>983</c:v>
                </c:pt>
                <c:pt idx="4">
                  <c:v>1027</c:v>
                </c:pt>
                <c:pt idx="5">
                  <c:v>1063</c:v>
                </c:pt>
                <c:pt idx="6">
                  <c:v>1062</c:v>
                </c:pt>
                <c:pt idx="7">
                  <c:v>1079</c:v>
                </c:pt>
                <c:pt idx="8">
                  <c:v>1094</c:v>
                </c:pt>
                <c:pt idx="9">
                  <c:v>1144</c:v>
                </c:pt>
                <c:pt idx="10">
                  <c:v>1171</c:v>
                </c:pt>
                <c:pt idx="11">
                  <c:v>1218</c:v>
                </c:pt>
              </c:numCache>
            </c:numRef>
          </c:val>
          <c:extLst xmlns:c16r2="http://schemas.microsoft.com/office/drawing/2015/06/chart">
            <c:ext xmlns:c16="http://schemas.microsoft.com/office/drawing/2014/chart" uri="{C3380CC4-5D6E-409C-BE32-E72D297353CC}">
              <c16:uniqueId val="{00000001-AAF9-4F9D-8A14-A5834AF42FBF}"/>
            </c:ext>
          </c:extLst>
        </c:ser>
        <c:dLbls>
          <c:showLegendKey val="0"/>
          <c:showVal val="0"/>
          <c:showCatName val="0"/>
          <c:showSerName val="0"/>
          <c:showPercent val="0"/>
          <c:showBubbleSize val="0"/>
        </c:dLbls>
        <c:gapWidth val="169"/>
        <c:axId val="-1441929248"/>
        <c:axId val="-1441933056"/>
      </c:barChart>
      <c:lineChart>
        <c:grouping val="standard"/>
        <c:varyColors val="0"/>
        <c:ser>
          <c:idx val="0"/>
          <c:order val="0"/>
          <c:tx>
            <c:strRef>
              <c:f>'Extreme poverty and privation'!$A$6</c:f>
              <c:strCache>
                <c:ptCount val="1"/>
                <c:pt idx="0">
                  <c:v>Extreme poverty rate % of people in households</c:v>
                </c:pt>
              </c:strCache>
            </c:strRef>
          </c:tx>
          <c:spPr>
            <a:ln w="28575" cap="rnd">
              <a:solidFill>
                <a:srgbClr val="001D77"/>
              </a:solidFill>
              <a:round/>
            </a:ln>
            <a:effectLst/>
          </c:spPr>
          <c:marker>
            <c:symbol val="none"/>
          </c:marker>
          <c:dLbls>
            <c:dLbl>
              <c:idx val="0"/>
              <c:layout>
                <c:manualLayout>
                  <c:x val="-1.8190086402910421E-2"/>
                  <c:y val="-2.1505376344086141E-2"/>
                </c:manualLayout>
              </c:layout>
              <c:tx>
                <c:rich>
                  <a:bodyPr/>
                  <a:lstStyle/>
                  <a:p>
                    <a:r>
                      <a:rPr lang="en-US"/>
                      <a:t>5.6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AF9-4F9D-8A14-A5834AF42FBF}"/>
                </c:ext>
                <c:ext xmlns:c15="http://schemas.microsoft.com/office/drawing/2012/chart" uri="{CE6537A1-D6FC-4f65-9D91-7224C49458BB}"/>
              </c:extLst>
            </c:dLbl>
            <c:dLbl>
              <c:idx val="1"/>
              <c:layout>
                <c:manualLayout>
                  <c:x val="-2.1853348389955136E-2"/>
                  <c:y val="-2.419354838709678E-2"/>
                </c:manualLayout>
              </c:layout>
              <c:tx>
                <c:rich>
                  <a:bodyPr/>
                  <a:lstStyle/>
                  <a:p>
                    <a:r>
                      <a:rPr lang="en-US"/>
                      <a:t>5.7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AF9-4F9D-8A14-A5834AF42FBF}"/>
                </c:ext>
                <c:ext xmlns:c15="http://schemas.microsoft.com/office/drawing/2012/chart" uri="{CE6537A1-D6FC-4f65-9D91-7224C49458BB}"/>
              </c:extLst>
            </c:dLbl>
            <c:dLbl>
              <c:idx val="2"/>
              <c:layout>
                <c:manualLayout>
                  <c:x val="-2.5491314161120233E-2"/>
                  <c:y val="-2.9569892473118291E-2"/>
                </c:manualLayout>
              </c:layout>
              <c:tx>
                <c:rich>
                  <a:bodyPr/>
                  <a:lstStyle/>
                  <a:p>
                    <a:r>
                      <a:rPr lang="en-US"/>
                      <a:t>5.8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AAF9-4F9D-8A14-A5834AF42FBF}"/>
                </c:ext>
                <c:ext xmlns:c15="http://schemas.microsoft.com/office/drawing/2012/chart" uri="{CE6537A1-D6FC-4f65-9D91-7224C49458BB}"/>
              </c:extLst>
            </c:dLbl>
            <c:dLbl>
              <c:idx val="3"/>
              <c:layout>
                <c:manualLayout>
                  <c:x val="-2.7310368826935851E-2"/>
                  <c:y val="-2.6881720430107576E-2"/>
                </c:manualLayout>
              </c:layout>
              <c:tx>
                <c:rich>
                  <a:bodyPr/>
                  <a:lstStyle/>
                  <a:p>
                    <a:r>
                      <a:rPr lang="en-US"/>
                      <a:t>6.3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AAF9-4F9D-8A14-A5834AF42FBF}"/>
                </c:ext>
                <c:ext xmlns:c15="http://schemas.microsoft.com/office/drawing/2012/chart" uri="{CE6537A1-D6FC-4f65-9D91-7224C49458BB}"/>
              </c:extLst>
            </c:dLbl>
            <c:dLbl>
              <c:idx val="4"/>
              <c:layout>
                <c:manualLayout>
                  <c:x val="-2.5487150907603739E-2"/>
                  <c:y val="-2.6881720430107576E-2"/>
                </c:manualLayout>
              </c:layout>
              <c:tx>
                <c:rich>
                  <a:bodyPr/>
                  <a:lstStyle/>
                  <a:p>
                    <a:r>
                      <a:rPr lang="en-US"/>
                      <a:t>6.8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AAF9-4F9D-8A14-A5834AF42FBF}"/>
                </c:ext>
                <c:ext xmlns:c15="http://schemas.microsoft.com/office/drawing/2012/chart" uri="{CE6537A1-D6FC-4f65-9D91-7224C49458BB}"/>
              </c:extLst>
            </c:dLbl>
            <c:dLbl>
              <c:idx val="5"/>
              <c:layout>
                <c:manualLayout>
                  <c:x val="-1.8190086402910421E-2"/>
                  <c:y val="-2.419354838709678E-2"/>
                </c:manualLayout>
              </c:layout>
              <c:tx>
                <c:rich>
                  <a:bodyPr/>
                  <a:lstStyle/>
                  <a:p>
                    <a:r>
                      <a:rPr lang="en-US"/>
                      <a:t>7.4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AAF9-4F9D-8A14-A5834AF42FBF}"/>
                </c:ext>
                <c:ext xmlns:c15="http://schemas.microsoft.com/office/drawing/2012/chart" uri="{CE6537A1-D6FC-4f65-9D91-7224C49458BB}"/>
              </c:extLst>
            </c:dLbl>
            <c:dLbl>
              <c:idx val="6"/>
              <c:layout>
                <c:manualLayout>
                  <c:x val="-1.819427923027472E-2"/>
                  <c:y val="-2.419354838709678E-2"/>
                </c:manualLayout>
              </c:layout>
              <c:tx>
                <c:rich>
                  <a:bodyPr/>
                  <a:lstStyle/>
                  <a:p>
                    <a:r>
                      <a:rPr lang="en-US"/>
                      <a:t>7.4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AAF9-4F9D-8A14-A5834AF42FBF}"/>
                </c:ext>
                <c:ext xmlns:c15="http://schemas.microsoft.com/office/drawing/2012/chart" uri="{CE6537A1-D6FC-4f65-9D91-7224C49458BB}"/>
              </c:extLst>
            </c:dLbl>
            <c:dLbl>
              <c:idx val="7"/>
              <c:layout>
                <c:manualLayout>
                  <c:x val="-1.8190086402910421E-2"/>
                  <c:y val="-2.6881720430107576E-2"/>
                </c:manualLayout>
              </c:layout>
              <c:tx>
                <c:rich>
                  <a:bodyPr/>
                  <a:lstStyle/>
                  <a:p>
                    <a:r>
                      <a:rPr lang="en-US"/>
                      <a:t>6.5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AAF9-4F9D-8A14-A5834AF42FBF}"/>
                </c:ext>
                <c:ext xmlns:c15="http://schemas.microsoft.com/office/drawing/2012/chart" uri="{CE6537A1-D6FC-4f65-9D91-7224C49458BB}"/>
              </c:extLst>
            </c:dLbl>
            <c:dLbl>
              <c:idx val="8"/>
              <c:layout>
                <c:manualLayout>
                  <c:x val="-2.0021660403123736E-2"/>
                  <c:y val="-2.6881720430107652E-2"/>
                </c:manualLayout>
              </c:layout>
              <c:tx>
                <c:rich>
                  <a:bodyPr/>
                  <a:lstStyle/>
                  <a:p>
                    <a:r>
                      <a:rPr lang="en-US"/>
                      <a:t>4.9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AAF9-4F9D-8A14-A5834AF42FBF}"/>
                </c:ext>
                <c:ext xmlns:c15="http://schemas.microsoft.com/office/drawing/2012/chart" uri="{CE6537A1-D6FC-4f65-9D91-7224C49458BB}"/>
              </c:extLst>
            </c:dLbl>
            <c:dLbl>
              <c:idx val="9"/>
              <c:layout>
                <c:manualLayout>
                  <c:x val="-2.3655462920772152E-2"/>
                  <c:y val="-2.6881720430107652E-2"/>
                </c:manualLayout>
              </c:layout>
              <c:tx>
                <c:rich>
                  <a:bodyPr/>
                  <a:lstStyle/>
                  <a:p>
                    <a:r>
                      <a:rPr lang="en-US"/>
                      <a:t>4.3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AAF9-4F9D-8A14-A5834AF42FBF}"/>
                </c:ext>
                <c:ext xmlns:c15="http://schemas.microsoft.com/office/drawing/2012/chart" uri="{CE6537A1-D6FC-4f65-9D91-7224C49458BB}"/>
              </c:extLst>
            </c:dLbl>
            <c:dLbl>
              <c:idx val="10"/>
              <c:layout>
                <c:manualLayout>
                  <c:x val="-2.3663932988271442E-2"/>
                  <c:y val="-2.6881720430107576E-2"/>
                </c:manualLayout>
              </c:layout>
              <c:tx>
                <c:rich>
                  <a:bodyPr/>
                  <a:lstStyle/>
                  <a:p>
                    <a:r>
                      <a:rPr lang="en-US"/>
                      <a:t>5.4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AAF9-4F9D-8A14-A5834AF42FBF}"/>
                </c:ext>
                <c:ext xmlns:c15="http://schemas.microsoft.com/office/drawing/2012/chart" uri="{CE6537A1-D6FC-4f65-9D91-7224C49458BB}"/>
              </c:extLst>
            </c:dLbl>
            <c:dLbl>
              <c:idx val="11"/>
              <c:layout>
                <c:manualLayout>
                  <c:x val="-2.5466120964074582E-2"/>
                  <c:y val="-3.2258064516129087E-2"/>
                </c:manualLayout>
              </c:layout>
              <c:tx>
                <c:rich>
                  <a:bodyPr/>
                  <a:lstStyle/>
                  <a:p>
                    <a:r>
                      <a:rPr lang="en-US"/>
                      <a:t>4.2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AAF9-4F9D-8A14-A5834AF42FB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'Extreme poverty and privation'!$B$5:$M$5</c:f>
              <c:numCache>
                <c:formatCode>General</c:formatCode>
                <c:ptCount val="12"/>
                <c:pt idx="0">
                  <c:v>2008</c:v>
                </c:pt>
                <c:pt idx="1">
                  <c:v>2009</c:v>
                </c:pt>
                <c:pt idx="2">
                  <c:v>2010</c:v>
                </c:pt>
                <c:pt idx="3">
                  <c:v>2011</c:v>
                </c:pt>
                <c:pt idx="4">
                  <c:v>2012</c:v>
                </c:pt>
                <c:pt idx="5">
                  <c:v>2013</c:v>
                </c:pt>
                <c:pt idx="6">
                  <c:v>2014</c:v>
                </c:pt>
                <c:pt idx="7">
                  <c:v>2015</c:v>
                </c:pt>
                <c:pt idx="8">
                  <c:v>2016</c:v>
                </c:pt>
                <c:pt idx="9">
                  <c:v>2017</c:v>
                </c:pt>
                <c:pt idx="10">
                  <c:v>2018</c:v>
                </c:pt>
                <c:pt idx="11">
                  <c:v>2019</c:v>
                </c:pt>
              </c:numCache>
            </c:numRef>
          </c:cat>
          <c:val>
            <c:numRef>
              <c:f>'Extreme poverty and privation'!$B$6:$M$6</c:f>
              <c:numCache>
                <c:formatCode>General</c:formatCode>
                <c:ptCount val="12"/>
                <c:pt idx="0">
                  <c:v>5.6</c:v>
                </c:pt>
                <c:pt idx="1">
                  <c:v>5.7</c:v>
                </c:pt>
                <c:pt idx="2">
                  <c:v>5.8</c:v>
                </c:pt>
                <c:pt idx="3">
                  <c:v>6.8</c:v>
                </c:pt>
                <c:pt idx="4">
                  <c:v>6.8</c:v>
                </c:pt>
                <c:pt idx="5">
                  <c:v>7.4</c:v>
                </c:pt>
                <c:pt idx="6">
                  <c:v>7.4</c:v>
                </c:pt>
                <c:pt idx="7">
                  <c:v>6.5</c:v>
                </c:pt>
                <c:pt idx="8">
                  <c:v>4.9000000000000004</c:v>
                </c:pt>
                <c:pt idx="9">
                  <c:v>4.3</c:v>
                </c:pt>
                <c:pt idx="10">
                  <c:v>5.4</c:v>
                </c:pt>
                <c:pt idx="11">
                  <c:v>4.2</c:v>
                </c:pt>
              </c:numCache>
            </c:numRef>
          </c:val>
          <c:smooth val="0"/>
          <c:extLst xmlns:c16r2="http://schemas.microsoft.com/office/drawing/2015/06/chart">
            <c:ext xmlns:c16="http://schemas.microsoft.com/office/drawing/2014/chart" uri="{C3380CC4-5D6E-409C-BE32-E72D297353CC}">
              <c16:uniqueId val="{0000000E-AAF9-4F9D-8A14-A5834AF42FBF}"/>
            </c:ext>
          </c:extLst>
        </c:ser>
        <c:ser>
          <c:idx val="1"/>
          <c:order val="1"/>
          <c:tx>
            <c:strRef>
              <c:f>'Extreme poverty and privation'!$A$7</c:f>
              <c:strCache>
                <c:ptCount val="1"/>
                <c:pt idx="0">
                  <c:v>Privation rate % of people in households </c:v>
                </c:pt>
              </c:strCache>
            </c:strRef>
          </c:tx>
          <c:spPr>
            <a:ln w="28575" cap="rnd">
              <a:solidFill>
                <a:schemeClr val="bg1">
                  <a:lumMod val="50000"/>
                </a:schemeClr>
              </a:solidFill>
              <a:round/>
            </a:ln>
            <a:effectLst/>
          </c:spPr>
          <c:marker>
            <c:symbol val="none"/>
          </c:marker>
          <c:dLbls>
            <c:dLbl>
              <c:idx val="0"/>
              <c:layout>
                <c:manualLayout>
                  <c:x val="-2.1828103683492531E-2"/>
                  <c:y val="-2.9569892473118291E-2"/>
                </c:manualLayout>
              </c:layout>
              <c:tx>
                <c:rich>
                  <a:bodyPr/>
                  <a:lstStyle/>
                  <a:p>
                    <a:r>
                      <a:rPr lang="en-US"/>
                      <a:t>42.9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AAF9-4F9D-8A14-A5834AF42FBF}"/>
                </c:ext>
                <c:ext xmlns:c15="http://schemas.microsoft.com/office/drawing/2012/chart" uri="{CE6537A1-D6FC-4f65-9D91-7224C49458BB}"/>
              </c:extLst>
            </c:dLbl>
            <c:dLbl>
              <c:idx val="1"/>
              <c:layout>
                <c:manualLayout>
                  <c:x val="-2.3668096241787954E-2"/>
                  <c:y val="-2.6881720430107576E-2"/>
                </c:manualLayout>
              </c:layout>
              <c:tx>
                <c:rich>
                  <a:bodyPr/>
                  <a:lstStyle/>
                  <a:p>
                    <a:r>
                      <a:rPr lang="en-US"/>
                      <a:t>41.7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AAF9-4F9D-8A14-A5834AF42FBF}"/>
                </c:ext>
                <c:ext xmlns:c15="http://schemas.microsoft.com/office/drawing/2012/chart" uri="{CE6537A1-D6FC-4f65-9D91-7224C49458BB}"/>
              </c:extLst>
            </c:dLbl>
            <c:dLbl>
              <c:idx val="2"/>
              <c:layout>
                <c:manualLayout>
                  <c:x val="-3.4586443929732355E-2"/>
                  <c:y val="-2.9569892473118291E-2"/>
                </c:manualLayout>
              </c:layout>
              <c:tx>
                <c:rich>
                  <a:bodyPr/>
                  <a:lstStyle/>
                  <a:p>
                    <a:r>
                      <a:rPr lang="en-US"/>
                      <a:t>41.2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AAF9-4F9D-8A14-A5834AF42FBF}"/>
                </c:ext>
                <c:ext xmlns:c15="http://schemas.microsoft.com/office/drawing/2012/chart" uri="{CE6537A1-D6FC-4f65-9D91-7224C49458BB}"/>
              </c:extLst>
            </c:dLbl>
            <c:dLbl>
              <c:idx val="3"/>
              <c:layout>
                <c:manualLayout>
                  <c:x val="-2.9137749999784694E-2"/>
                  <c:y val="-2.9569892473118291E-2"/>
                </c:manualLayout>
              </c:layout>
              <c:tx>
                <c:rich>
                  <a:bodyPr/>
                  <a:lstStyle/>
                  <a:p>
                    <a:r>
                      <a:rPr lang="en-US"/>
                      <a:t>42.5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AAF9-4F9D-8A14-A5834AF42FBF}"/>
                </c:ext>
                <c:ext xmlns:c15="http://schemas.microsoft.com/office/drawing/2012/chart" uri="{CE6537A1-D6FC-4f65-9D91-7224C49458BB}"/>
              </c:extLst>
            </c:dLbl>
            <c:dLbl>
              <c:idx val="4"/>
              <c:layout>
                <c:manualLayout>
                  <c:x val="-2.9150383320800506E-2"/>
                  <c:y val="-2.9569892473118291E-2"/>
                </c:manualLayout>
              </c:layout>
              <c:tx>
                <c:rich>
                  <a:bodyPr/>
                  <a:lstStyle/>
                  <a:p>
                    <a:r>
                      <a:rPr lang="en-US"/>
                      <a:t>43.4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AAF9-4F9D-8A14-A5834AF42FBF}"/>
                </c:ext>
                <c:ext xmlns:c15="http://schemas.microsoft.com/office/drawing/2012/chart" uri="{CE6537A1-D6FC-4f65-9D91-7224C49458BB}"/>
              </c:extLst>
            </c:dLbl>
            <c:dLbl>
              <c:idx val="5"/>
              <c:layout>
                <c:manualLayout>
                  <c:x val="-2.3680729562803832E-2"/>
                  <c:y val="-2.6881720430107576E-2"/>
                </c:manualLayout>
              </c:layout>
              <c:tx>
                <c:rich>
                  <a:bodyPr/>
                  <a:lstStyle/>
                  <a:p>
                    <a:r>
                      <a:rPr lang="en-US"/>
                      <a:t>44.7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AAF9-4F9D-8A14-A5834AF42FBF}"/>
                </c:ext>
                <c:ext xmlns:c15="http://schemas.microsoft.com/office/drawing/2012/chart" uri="{CE6537A1-D6FC-4f65-9D91-7224C49458BB}"/>
              </c:extLst>
            </c:dLbl>
            <c:dLbl>
              <c:idx val="6"/>
              <c:layout>
                <c:manualLayout>
                  <c:x val="-2.7335635468967626E-2"/>
                  <c:y val="-2.6881720430107583E-2"/>
                </c:manualLayout>
              </c:layout>
              <c:tx>
                <c:rich>
                  <a:bodyPr/>
                  <a:lstStyle/>
                  <a:p>
                    <a:r>
                      <a:rPr lang="en-US"/>
                      <a:t>43.4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AAF9-4F9D-8A14-A5834AF42FBF}"/>
                </c:ext>
                <c:ext xmlns:c15="http://schemas.microsoft.com/office/drawing/2012/chart" uri="{CE6537A1-D6FC-4f65-9D91-7224C49458BB}"/>
              </c:extLst>
            </c:dLbl>
            <c:dLbl>
              <c:idx val="7"/>
              <c:layout>
                <c:manualLayout>
                  <c:x val="-2.3693362883819763E-2"/>
                  <c:y val="-2.419354838709678E-2"/>
                </c:manualLayout>
              </c:layout>
              <c:tx>
                <c:rich>
                  <a:bodyPr/>
                  <a:lstStyle/>
                  <a:p>
                    <a:r>
                      <a:rPr lang="en-US"/>
                      <a:t>42.7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AAF9-4F9D-8A14-A5834AF42FBF}"/>
                </c:ext>
                <c:ext xmlns:c15="http://schemas.microsoft.com/office/drawing/2012/chart" uri="{CE6537A1-D6FC-4f65-9D91-7224C49458BB}"/>
              </c:extLst>
            </c:dLbl>
            <c:dLbl>
              <c:idx val="8"/>
              <c:layout>
                <c:manualLayout>
                  <c:x val="-2.548298765408705E-2"/>
                  <c:y val="-2.9569892473118354E-2"/>
                </c:manualLayout>
              </c:layout>
              <c:tx>
                <c:rich>
                  <a:bodyPr/>
                  <a:lstStyle/>
                  <a:p>
                    <a:r>
                      <a:rPr lang="en-US"/>
                      <a:t>39.9</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AAF9-4F9D-8A14-A5834AF42FBF}"/>
                </c:ext>
                <c:ext xmlns:c15="http://schemas.microsoft.com/office/drawing/2012/chart" uri="{CE6537A1-D6FC-4f65-9D91-7224C49458BB}"/>
              </c:extLst>
            </c:dLbl>
            <c:dLbl>
              <c:idx val="9"/>
              <c:layout>
                <c:manualLayout>
                  <c:x val="-2.5478680840104493E-2"/>
                  <c:y val="-3.2258064516129087E-2"/>
                </c:manualLayout>
              </c:layout>
              <c:tx>
                <c:rich>
                  <a:bodyPr/>
                  <a:lstStyle/>
                  <a:p>
                    <a:r>
                      <a:rPr lang="en-US"/>
                      <a:t>38.7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8-AAF9-4F9D-8A14-A5834AF42FBF}"/>
                </c:ext>
                <c:ext xmlns:c15="http://schemas.microsoft.com/office/drawing/2012/chart" uri="{CE6537A1-D6FC-4f65-9D91-7224C49458BB}"/>
              </c:extLst>
            </c:dLbl>
            <c:dLbl>
              <c:idx val="10"/>
              <c:layout>
                <c:manualLayout>
                  <c:x val="-3.0965274733099582E-2"/>
                  <c:y val="-2.6881720430107593E-2"/>
                </c:manualLayout>
              </c:layout>
              <c:tx>
                <c:rich>
                  <a:bodyPr/>
                  <a:lstStyle/>
                  <a:p>
                    <a:r>
                      <a:rPr lang="en-US"/>
                      <a:t>41.2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9-AAF9-4F9D-8A14-A5834AF42FBF}"/>
                </c:ext>
                <c:ext xmlns:c15="http://schemas.microsoft.com/office/drawing/2012/chart" uri="{CE6537A1-D6FC-4f65-9D91-7224C49458BB}"/>
              </c:extLst>
            </c:dLbl>
            <c:dLbl>
              <c:idx val="11"/>
              <c:layout>
                <c:manualLayout>
                  <c:x val="-2.1853348389955098E-2"/>
                  <c:y val="-2.9569892473118291E-2"/>
                </c:manualLayout>
              </c:layout>
              <c:tx>
                <c:rich>
                  <a:bodyPr/>
                  <a:lstStyle/>
                  <a:p>
                    <a:r>
                      <a:rPr lang="en-US"/>
                      <a:t>39.4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A-AAF9-4F9D-8A14-A5834AF42FB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'Extreme poverty and privation'!$B$5:$M$5</c:f>
              <c:numCache>
                <c:formatCode>General</c:formatCode>
                <c:ptCount val="12"/>
                <c:pt idx="0">
                  <c:v>2008</c:v>
                </c:pt>
                <c:pt idx="1">
                  <c:v>2009</c:v>
                </c:pt>
                <c:pt idx="2">
                  <c:v>2010</c:v>
                </c:pt>
                <c:pt idx="3">
                  <c:v>2011</c:v>
                </c:pt>
                <c:pt idx="4">
                  <c:v>2012</c:v>
                </c:pt>
                <c:pt idx="5">
                  <c:v>2013</c:v>
                </c:pt>
                <c:pt idx="6">
                  <c:v>2014</c:v>
                </c:pt>
                <c:pt idx="7">
                  <c:v>2015</c:v>
                </c:pt>
                <c:pt idx="8">
                  <c:v>2016</c:v>
                </c:pt>
                <c:pt idx="9">
                  <c:v>2017</c:v>
                </c:pt>
                <c:pt idx="10">
                  <c:v>2018</c:v>
                </c:pt>
                <c:pt idx="11">
                  <c:v>2019</c:v>
                </c:pt>
              </c:numCache>
            </c:numRef>
          </c:cat>
          <c:val>
            <c:numRef>
              <c:f>'Extreme poverty and privation'!$B$7:$M$7</c:f>
              <c:numCache>
                <c:formatCode>General</c:formatCode>
                <c:ptCount val="12"/>
                <c:pt idx="0">
                  <c:v>42.9</c:v>
                </c:pt>
                <c:pt idx="1">
                  <c:v>41.7</c:v>
                </c:pt>
                <c:pt idx="2">
                  <c:v>41.2</c:v>
                </c:pt>
                <c:pt idx="3">
                  <c:v>42.5</c:v>
                </c:pt>
                <c:pt idx="4">
                  <c:v>43.4</c:v>
                </c:pt>
                <c:pt idx="5">
                  <c:v>44.7</c:v>
                </c:pt>
                <c:pt idx="6">
                  <c:v>43.4</c:v>
                </c:pt>
                <c:pt idx="7">
                  <c:v>42.7</c:v>
                </c:pt>
                <c:pt idx="8">
                  <c:v>39.9</c:v>
                </c:pt>
                <c:pt idx="9">
                  <c:v>38.700000000000003</c:v>
                </c:pt>
                <c:pt idx="10">
                  <c:v>41.2</c:v>
                </c:pt>
                <c:pt idx="11">
                  <c:v>39.4</c:v>
                </c:pt>
              </c:numCache>
            </c:numRef>
          </c:val>
          <c:smooth val="0"/>
          <c:extLst xmlns:c16r2="http://schemas.microsoft.com/office/drawing/2015/06/chart">
            <c:ext xmlns:c16="http://schemas.microsoft.com/office/drawing/2014/chart" uri="{C3380CC4-5D6E-409C-BE32-E72D297353CC}">
              <c16:uniqueId val="{0000001B-AAF9-4F9D-8A14-A5834AF42FBF}"/>
            </c:ext>
          </c:extLst>
        </c:ser>
        <c:dLbls>
          <c:showLegendKey val="0"/>
          <c:showVal val="0"/>
          <c:showCatName val="0"/>
          <c:showSerName val="0"/>
          <c:showPercent val="0"/>
          <c:showBubbleSize val="0"/>
        </c:dLbls>
        <c:marker val="1"/>
        <c:smooth val="0"/>
        <c:axId val="-1441934144"/>
        <c:axId val="-1441925440"/>
      </c:lineChart>
      <c:catAx>
        <c:axId val="-144193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endParaRPr lang="pl-PL"/>
          </a:p>
        </c:txPr>
        <c:crossAx val="-1441925440"/>
        <c:crosses val="autoZero"/>
        <c:auto val="1"/>
        <c:lblAlgn val="ctr"/>
        <c:lblOffset val="100"/>
        <c:noMultiLvlLbl val="0"/>
      </c:catAx>
      <c:valAx>
        <c:axId val="-14419254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r>
                  <a:rPr lang="pl-PL" sz="800"/>
                  <a:t>% of people in households</a:t>
                </a:r>
              </a:p>
            </c:rich>
          </c:tx>
          <c:layout>
            <c:manualLayout>
              <c:xMode val="edge"/>
              <c:yMode val="edge"/>
              <c:x val="8.9275936082552857E-3"/>
              <c:y val="0.2012388752050232"/>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endParaRPr lang="pl-PL"/>
          </a:p>
        </c:txPr>
        <c:crossAx val="-1441934144"/>
        <c:crosses val="autoZero"/>
        <c:crossBetween val="between"/>
      </c:valAx>
      <c:valAx>
        <c:axId val="-1441933056"/>
        <c:scaling>
          <c:orientation val="minMax"/>
        </c:scaling>
        <c:delete val="0"/>
        <c:axPos val="r"/>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r>
                  <a:rPr lang="pl-PL"/>
                  <a:t>PLN</a:t>
                </a:r>
                <a:endParaRPr lang="en-US"/>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endParaRPr lang="pl-PL"/>
          </a:p>
        </c:txPr>
        <c:crossAx val="-1441929248"/>
        <c:crosses val="max"/>
        <c:crossBetween val="between"/>
      </c:valAx>
      <c:catAx>
        <c:axId val="-1441929248"/>
        <c:scaling>
          <c:orientation val="minMax"/>
        </c:scaling>
        <c:delete val="1"/>
        <c:axPos val="b"/>
        <c:numFmt formatCode="General" sourceLinked="1"/>
        <c:majorTickMark val="out"/>
        <c:minorTickMark val="none"/>
        <c:tickLblPos val="none"/>
        <c:crossAx val="-144193305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b="0">
          <a:latin typeface="Fira Sans" panose="020B0503050000020004" pitchFamily="34" charset="0"/>
          <a:ea typeface="Fira Sans" panose="020B0503050000020004" pitchFamily="34" charset="0"/>
        </a:defRPr>
      </a:pPr>
      <a:endParaRPr lang="pl-PL"/>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0.01797</cdr:x>
      <cdr:y>0.02234</cdr:y>
    </cdr:from>
    <cdr:to>
      <cdr:x>0.99673</cdr:x>
      <cdr:y>0.13499</cdr:y>
    </cdr:to>
    <cdr:sp macro="" textlink="">
      <cdr:nvSpPr>
        <cdr:cNvPr id="2" name="pole tekstowe 1"/>
        <cdr:cNvSpPr txBox="1"/>
      </cdr:nvSpPr>
      <cdr:spPr>
        <a:xfrm xmlns:a="http://schemas.openxmlformats.org/drawingml/2006/main">
          <a:off x="104775" y="85019"/>
          <a:ext cx="5705475" cy="4286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sz="1100"/>
        </a:p>
      </cdr:txBody>
    </cdr:sp>
  </cdr:relSizeAnchor>
</c:userShapes>
</file>

<file path=word/drawings/drawing2.xml><?xml version="1.0" encoding="utf-8"?>
<c:userShapes xmlns:c="http://schemas.openxmlformats.org/drawingml/2006/chart">
  <cdr:relSizeAnchor xmlns:cdr="http://schemas.openxmlformats.org/drawingml/2006/chartDrawing">
    <cdr:from>
      <cdr:x>0.06701</cdr:x>
      <cdr:y>0.0477</cdr:y>
    </cdr:from>
    <cdr:to>
      <cdr:x>0.08958</cdr:x>
      <cdr:y>0.76152</cdr:y>
    </cdr:to>
    <cdr:sp macro="" textlink="">
      <cdr:nvSpPr>
        <cdr:cNvPr id="2" name="Nawias otwierający 1"/>
        <cdr:cNvSpPr/>
      </cdr:nvSpPr>
      <cdr:spPr>
        <a:xfrm xmlns:a="http://schemas.openxmlformats.org/drawingml/2006/main">
          <a:off x="337754" y="147582"/>
          <a:ext cx="113753" cy="2208355"/>
        </a:xfrm>
        <a:prstGeom xmlns:a="http://schemas.openxmlformats.org/drawingml/2006/main" prst="leftBracket">
          <a:avLst/>
        </a:prstGeom>
        <a:ln xmlns:a="http://schemas.openxmlformats.org/drawingml/2006/main" w="6350">
          <a:solidFill>
            <a:schemeClr val="tx1"/>
          </a:solidFill>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pl-PL"/>
        </a:p>
      </cdr:txBody>
    </cdr:sp>
  </cdr:relSizeAnchor>
  <cdr:relSizeAnchor xmlns:cdr="http://schemas.openxmlformats.org/drawingml/2006/chartDrawing">
    <cdr:from>
      <cdr:x>0.02973</cdr:x>
      <cdr:y>0.078</cdr:y>
    </cdr:from>
    <cdr:to>
      <cdr:x>0.05619</cdr:x>
      <cdr:y>0.7461</cdr:y>
    </cdr:to>
    <cdr:sp macro="" textlink="">
      <cdr:nvSpPr>
        <cdr:cNvPr id="3" name="pole tekstowe 2"/>
        <cdr:cNvSpPr txBox="1"/>
      </cdr:nvSpPr>
      <cdr:spPr>
        <a:xfrm xmlns:a="http://schemas.openxmlformats.org/drawingml/2006/main">
          <a:off x="149860" y="241300"/>
          <a:ext cx="133349" cy="2066925"/>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vert="vert270"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pl-PL" sz="800" b="0">
              <a:latin typeface="Fira Sans" panose="020B0503050000020004" pitchFamily="34" charset="0"/>
              <a:ea typeface="Fira Sans" panose="020B0503050000020004" pitchFamily="34" charset="0"/>
            </a:rPr>
            <a:t>Households of:</a:t>
          </a:r>
        </a:p>
      </cdr:txBody>
    </cdr:sp>
  </cdr:relSizeAnchor>
</c:userShapes>
</file>

<file path=word/drawings/drawing3.xml><?xml version="1.0" encoding="utf-8"?>
<c:userShapes xmlns:c="http://schemas.openxmlformats.org/drawingml/2006/chart">
  <cdr:relSizeAnchor xmlns:cdr="http://schemas.openxmlformats.org/drawingml/2006/chartDrawing">
    <cdr:from>
      <cdr:x>0.0765</cdr:x>
      <cdr:y>0.2</cdr:y>
    </cdr:from>
    <cdr:to>
      <cdr:x>0.09449</cdr:x>
      <cdr:y>0.64848</cdr:y>
    </cdr:to>
    <cdr:sp macro="" textlink="">
      <cdr:nvSpPr>
        <cdr:cNvPr id="2" name="Nawias otwierający 1"/>
        <cdr:cNvSpPr/>
      </cdr:nvSpPr>
      <cdr:spPr>
        <a:xfrm xmlns:a="http://schemas.openxmlformats.org/drawingml/2006/main">
          <a:off x="385560" y="628638"/>
          <a:ext cx="90690" cy="1409700"/>
        </a:xfrm>
        <a:prstGeom xmlns:a="http://schemas.openxmlformats.org/drawingml/2006/main" prst="leftBracket">
          <a:avLst/>
        </a:prstGeom>
        <a:ln xmlns:a="http://schemas.openxmlformats.org/drawingml/2006/main" w="3175">
          <a:solidFill>
            <a:schemeClr val="tx1"/>
          </a:solidFill>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pl-PL"/>
        </a:p>
      </cdr:txBody>
    </cdr:sp>
  </cdr:relSizeAnchor>
  <cdr:relSizeAnchor xmlns:cdr="http://schemas.openxmlformats.org/drawingml/2006/chartDrawing">
    <cdr:from>
      <cdr:x>0.03089</cdr:x>
      <cdr:y>0.19373</cdr:y>
    </cdr:from>
    <cdr:to>
      <cdr:x>0.07188</cdr:x>
      <cdr:y>0.66251</cdr:y>
    </cdr:to>
    <cdr:sp macro="" textlink="">
      <cdr:nvSpPr>
        <cdr:cNvPr id="3" name="pole tekstowe 3"/>
        <cdr:cNvSpPr txBox="1"/>
      </cdr:nvSpPr>
      <cdr:spPr>
        <a:xfrm xmlns:a="http://schemas.openxmlformats.org/drawingml/2006/main">
          <a:off x="165100" y="561340"/>
          <a:ext cx="219075" cy="1358265"/>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vert="vert270"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pl-PL" sz="800" b="0">
              <a:latin typeface="Fira Sans" panose="020B0503050000020004" pitchFamily="34" charset="0"/>
              <a:ea typeface="Fira Sans" panose="020B0503050000020004" pitchFamily="34" charset="0"/>
            </a:rPr>
            <a:t>Marriages:</a:t>
          </a:r>
        </a:p>
      </cdr:txBody>
    </cdr:sp>
  </cdr:relSizeAnchor>
</c:userShapes>
</file>

<file path=word/drawings/drawing4.xml><?xml version="1.0" encoding="utf-8"?>
<c:userShapes xmlns:c="http://schemas.openxmlformats.org/drawingml/2006/chart">
  <cdr:relSizeAnchor xmlns:cdr="http://schemas.openxmlformats.org/drawingml/2006/chartDrawing">
    <cdr:from>
      <cdr:x>0.01701</cdr:x>
      <cdr:y>0.07088</cdr:y>
    </cdr:from>
    <cdr:to>
      <cdr:x>0.04914</cdr:x>
      <cdr:y>0.76732</cdr:y>
    </cdr:to>
    <cdr:sp macro="" textlink="">
      <cdr:nvSpPr>
        <cdr:cNvPr id="3" name="pole tekstowe 2"/>
        <cdr:cNvSpPr txBox="1"/>
      </cdr:nvSpPr>
      <cdr:spPr>
        <a:xfrm xmlns:a="http://schemas.openxmlformats.org/drawingml/2006/main">
          <a:off x="85725" y="201492"/>
          <a:ext cx="161925" cy="1979722"/>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vert="vert270"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pl-PL" sz="800" b="0">
              <a:latin typeface="Fira Sans" panose="020B0503050000020004" pitchFamily="34" charset="0"/>
              <a:ea typeface="Fira Sans" panose="020B0503050000020004" pitchFamily="34" charset="0"/>
            </a:rPr>
            <a:t>Households:</a:t>
          </a:r>
        </a:p>
      </cdr:txBody>
    </cdr:sp>
  </cdr:relSizeAnchor>
  <cdr:relSizeAnchor xmlns:cdr="http://schemas.openxmlformats.org/drawingml/2006/chartDrawing">
    <cdr:from>
      <cdr:x>0.05328</cdr:x>
      <cdr:y>0.07142</cdr:y>
    </cdr:from>
    <cdr:to>
      <cdr:x>0.06993</cdr:x>
      <cdr:y>0.76397</cdr:y>
    </cdr:to>
    <cdr:sp macro="" textlink="">
      <cdr:nvSpPr>
        <cdr:cNvPr id="2" name="Nawias otwierający 1"/>
        <cdr:cNvSpPr/>
      </cdr:nvSpPr>
      <cdr:spPr>
        <a:xfrm xmlns:a="http://schemas.openxmlformats.org/drawingml/2006/main">
          <a:off x="268524" y="203012"/>
          <a:ext cx="83901" cy="1968677"/>
        </a:xfrm>
        <a:prstGeom xmlns:a="http://schemas.openxmlformats.org/drawingml/2006/main" prst="leftBracket">
          <a:avLst/>
        </a:prstGeom>
        <a:ln xmlns:a="http://schemas.openxmlformats.org/drawingml/2006/main" w="6350">
          <a:solidFill>
            <a:schemeClr val="tx1"/>
          </a:solidFill>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pl-PL">
            <a:latin typeface="Fira Sans" panose="020B0503050000020004" pitchFamily="34" charset="0"/>
            <a:ea typeface="Fira Sans" panose="020B0503050000020004" pitchFamily="34" charset="0"/>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0.08064</cdr:x>
      <cdr:y>0.25683</cdr:y>
    </cdr:from>
    <cdr:to>
      <cdr:x>0.08972</cdr:x>
      <cdr:y>0.57211</cdr:y>
    </cdr:to>
    <cdr:sp macro="" textlink="">
      <cdr:nvSpPr>
        <cdr:cNvPr id="2" name="Nawias otwierający 1"/>
        <cdr:cNvSpPr/>
      </cdr:nvSpPr>
      <cdr:spPr>
        <a:xfrm xmlns:a="http://schemas.openxmlformats.org/drawingml/2006/main">
          <a:off x="406001" y="793053"/>
          <a:ext cx="45719" cy="973511"/>
        </a:xfrm>
        <a:prstGeom xmlns:a="http://schemas.openxmlformats.org/drawingml/2006/main" prst="leftBracket">
          <a:avLst/>
        </a:prstGeom>
        <a:ln xmlns:a="http://schemas.openxmlformats.org/drawingml/2006/main" w="6350">
          <a:solidFill>
            <a:schemeClr val="tx1"/>
          </a:solidFill>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pl-PL"/>
        </a:p>
      </cdr:txBody>
    </cdr:sp>
  </cdr:relSizeAnchor>
  <cdr:relSizeAnchor xmlns:cdr="http://schemas.openxmlformats.org/drawingml/2006/chartDrawing">
    <cdr:from>
      <cdr:x>0.03526</cdr:x>
      <cdr:y>0.11464</cdr:y>
    </cdr:from>
    <cdr:to>
      <cdr:x>0.0655</cdr:x>
      <cdr:y>0.71786</cdr:y>
    </cdr:to>
    <cdr:sp macro="" textlink="">
      <cdr:nvSpPr>
        <cdr:cNvPr id="3" name="pole tekstowe 2"/>
        <cdr:cNvSpPr txBox="1"/>
      </cdr:nvSpPr>
      <cdr:spPr>
        <a:xfrm xmlns:a="http://schemas.openxmlformats.org/drawingml/2006/main">
          <a:off x="178495" y="358266"/>
          <a:ext cx="153068" cy="1885121"/>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vert="vert270"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pl-PL" sz="800" b="0">
              <a:latin typeface="Fira Sans" panose="020B0503050000020004" pitchFamily="34" charset="0"/>
              <a:ea typeface="Fira Sans" panose="020B0503050000020004" pitchFamily="34" charset="0"/>
            </a:rPr>
            <a:t>of</a:t>
          </a:r>
          <a:r>
            <a:rPr lang="pl-PL" sz="800" b="0" baseline="0">
              <a:latin typeface="Fira Sans" panose="020B0503050000020004" pitchFamily="34" charset="0"/>
              <a:ea typeface="Fira Sans" panose="020B0503050000020004" pitchFamily="34" charset="0"/>
            </a:rPr>
            <a:t> which</a:t>
          </a:r>
          <a:r>
            <a:rPr lang="pl-PL" sz="800" b="0">
              <a:latin typeface="Fira Sans" panose="020B0503050000020004" pitchFamily="34" charset="0"/>
              <a:ea typeface="Fira Sans" panose="020B0503050000020004" pitchFamily="34" charset="0"/>
            </a:rPr>
            <a:t>:</a:t>
          </a:r>
        </a:p>
      </cdr:txBody>
    </cdr:sp>
  </cdr:relSizeAnchor>
</c:userShapes>
</file>

<file path=word/drawings/drawing6.xml><?xml version="1.0" encoding="utf-8"?>
<c:userShapes xmlns:c="http://schemas.openxmlformats.org/drawingml/2006/chart">
  <cdr:relSizeAnchor xmlns:cdr="http://schemas.openxmlformats.org/drawingml/2006/chartDrawing">
    <cdr:from>
      <cdr:x>0.06922</cdr:x>
      <cdr:y>0.18122</cdr:y>
    </cdr:from>
    <cdr:to>
      <cdr:x>0.08077</cdr:x>
      <cdr:y>0.67497</cdr:y>
    </cdr:to>
    <cdr:sp macro="" textlink="">
      <cdr:nvSpPr>
        <cdr:cNvPr id="2" name="Nawias otwierający 1"/>
        <cdr:cNvSpPr/>
      </cdr:nvSpPr>
      <cdr:spPr>
        <a:xfrm xmlns:a="http://schemas.openxmlformats.org/drawingml/2006/main">
          <a:off x="348874" y="557539"/>
          <a:ext cx="58197" cy="1519053"/>
        </a:xfrm>
        <a:prstGeom xmlns:a="http://schemas.openxmlformats.org/drawingml/2006/main" prst="leftBracket">
          <a:avLst/>
        </a:prstGeom>
        <a:ln xmlns:a="http://schemas.openxmlformats.org/drawingml/2006/main" w="6350">
          <a:solidFill>
            <a:schemeClr val="tx1"/>
          </a:solidFill>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pl-PL"/>
        </a:p>
      </cdr:txBody>
    </cdr:sp>
  </cdr:relSizeAnchor>
  <cdr:relSizeAnchor xmlns:cdr="http://schemas.openxmlformats.org/drawingml/2006/chartDrawing">
    <cdr:from>
      <cdr:x>0.02369</cdr:x>
      <cdr:y>0.12121</cdr:y>
    </cdr:from>
    <cdr:to>
      <cdr:x>0.0577</cdr:x>
      <cdr:y>0.7317</cdr:y>
    </cdr:to>
    <cdr:sp macro="" textlink="">
      <cdr:nvSpPr>
        <cdr:cNvPr id="4" name="pole tekstowe 3"/>
        <cdr:cNvSpPr txBox="1"/>
      </cdr:nvSpPr>
      <cdr:spPr>
        <a:xfrm xmlns:a="http://schemas.openxmlformats.org/drawingml/2006/main">
          <a:off x="119380" y="347980"/>
          <a:ext cx="171451" cy="1752600"/>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vert="vert270"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pl-PL" sz="800" b="0">
              <a:latin typeface="Fira Sans" panose="020B0503050000020004" pitchFamily="34" charset="0"/>
              <a:ea typeface="Fira Sans" panose="020B0503050000020004" pitchFamily="34" charset="0"/>
            </a:rPr>
            <a:t>Urban areas by population:</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news on poverty in 2019.docx.docx</NazwaPliku>
    <_SourceUrl xmlns="http://schemas.microsoft.com/sharepoint/v3" xsi:nil="true"/>
    <Odbiorcy2 xmlns="8C029B3F-2CC4-4A59-AF0D-A90575FA3373" xsi:nil="true"/>
    <xd_ProgID xmlns="http://schemas.microsoft.com/sharepoint/v3" xsi:nil="true"/>
    <Osoba xmlns="8C029B3F-2CC4-4A59-AF0D-A90575FA3373">STAT\CIECIELAGP</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39804-E15D-40D9-A3F2-808567566B96}">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3D86A57F-471D-435A-BE00-6EDF7423AE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6B862C-906A-4339-94A9-E5DF98B03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1798</Words>
  <Characters>10789</Characters>
  <Application>Microsoft Office Word</Application>
  <DocSecurity>0</DocSecurity>
  <Lines>89</Lines>
  <Paragraphs>25</Paragraphs>
  <ScaleCrop>false</ScaleCrop>
  <HeadingPairs>
    <vt:vector size="2" baseType="variant">
      <vt:variant>
        <vt:lpstr>Tytuł</vt:lpstr>
      </vt:variant>
      <vt:variant>
        <vt:i4>1</vt:i4>
      </vt:variant>
    </vt:vector>
  </HeadingPairs>
  <TitlesOfParts>
    <vt:vector size="1" baseType="lpstr">
      <vt:lpstr/>
    </vt:vector>
  </TitlesOfParts>
  <Company>GUS</Company>
  <LinksUpToDate>false</LinksUpToDate>
  <CharactersWithSpaces>12562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2020-06-23T08:37:00Z</cp:lastPrinted>
  <dcterms:created xsi:type="dcterms:W3CDTF">2020-06-29T09:40:00Z</dcterms:created>
  <dcterms:modified xsi:type="dcterms:W3CDTF">2020-06-30T06:55:00Z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