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B34C4C" w:rsidRDefault="001F1170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B34C4C">
        <w:rPr>
          <w:szCs w:val="32"/>
          <w:lang w:val="en-US"/>
        </w:rPr>
        <w:t xml:space="preserve">Residential construction </w:t>
      </w:r>
      <w:r w:rsidR="00A05A3A" w:rsidRPr="00B34C4C">
        <w:rPr>
          <w:rStyle w:val="Odwoanieprzypisudolnego"/>
          <w:szCs w:val="32"/>
          <w:lang w:val="en-US"/>
        </w:rPr>
        <w:footnoteReference w:id="1"/>
      </w:r>
      <w:r w:rsidRPr="00B34C4C">
        <w:rPr>
          <w:szCs w:val="32"/>
          <w:lang w:val="en-US"/>
        </w:rPr>
        <w:t xml:space="preserve"> in </w:t>
      </w:r>
      <w:r w:rsidR="00436B47">
        <w:rPr>
          <w:szCs w:val="32"/>
          <w:lang w:val="en-US"/>
        </w:rPr>
        <w:t>I-</w:t>
      </w:r>
      <w:r w:rsidR="009651E5">
        <w:rPr>
          <w:szCs w:val="32"/>
          <w:lang w:val="en-US"/>
        </w:rPr>
        <w:t>IX</w:t>
      </w:r>
      <w:r w:rsidRPr="00B34C4C">
        <w:rPr>
          <w:szCs w:val="32"/>
          <w:lang w:val="en-US"/>
        </w:rPr>
        <w:t xml:space="preserve"> </w:t>
      </w:r>
      <w:r w:rsidR="00C733A3" w:rsidRPr="00B34C4C">
        <w:rPr>
          <w:szCs w:val="32"/>
          <w:shd w:val="clear" w:color="auto" w:fill="FFFFFF"/>
          <w:lang w:val="en-US"/>
        </w:rPr>
        <w:t>2019</w:t>
      </w:r>
    </w:p>
    <w:p w:rsidR="00393761" w:rsidRPr="00612A93" w:rsidRDefault="005F302D" w:rsidP="00074DD8">
      <w:pPr>
        <w:pStyle w:val="tytuinformacji"/>
        <w:rPr>
          <w:b/>
          <w:szCs w:val="40"/>
          <w:lang w:val="en-GB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4466B1" w:rsidRDefault="00B519FF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:rsidR="00B519FF" w:rsidRPr="004466B1" w:rsidRDefault="00B519FF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95A18" w:rsidRPr="002B1FCD" w:rsidRDefault="005F302D" w:rsidP="00896EB9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612A93" w:rsidRDefault="00B519FF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5280" cy="335280"/>
                                  <wp:effectExtent l="0" t="0" r="7620" b="7620"/>
                                  <wp:docPr id="17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12A9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612A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100,5</w:t>
                            </w:r>
                          </w:p>
                          <w:p w:rsidR="00B519FF" w:rsidRPr="00F64AC1" w:rsidRDefault="00B519F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>Lorem ipsum dolor sit amet, consectetur adipiscing elit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B519FF" w:rsidRPr="00612A93" w:rsidRDefault="00B519FF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5280" cy="335280"/>
                            <wp:effectExtent l="0" t="0" r="7620" b="7620"/>
                            <wp:docPr id="17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12A9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612A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100,5</w:t>
                      </w:r>
                    </w:p>
                    <w:p w:rsidR="00B519FF" w:rsidRPr="00F64AC1" w:rsidRDefault="00B519F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370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AB788D" w:rsidRDefault="00B519FF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420897" cy="384838"/>
                                  <wp:effectExtent l="19050" t="19050" r="0" b="0"/>
                                  <wp:docPr id="18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651E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112</w:t>
                            </w:r>
                            <w:r w:rsidRPr="00A3375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.</w:t>
                            </w:r>
                            <w:r w:rsidR="009651E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  <w:p w:rsidR="00B519FF" w:rsidRPr="00A519B5" w:rsidRDefault="00B519FF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number of dwellings </w:t>
                            </w:r>
                            <w:r>
                              <w:rPr>
                                <w:lang w:val="en-US"/>
                              </w:rPr>
                              <w:t>completed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:rsidR="00B519FF" w:rsidRPr="00AB788D" w:rsidRDefault="00B519FF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420897" cy="384838"/>
                            <wp:effectExtent l="19050" t="19050" r="0" b="0"/>
                            <wp:docPr id="18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651E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112</w:t>
                      </w:r>
                      <w:r w:rsidRPr="00A3375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.</w:t>
                      </w:r>
                      <w:r w:rsidR="009651E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2</w:t>
                      </w:r>
                    </w:p>
                    <w:p w:rsidR="00B519FF" w:rsidRPr="00A519B5" w:rsidRDefault="00B519FF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rPr>
                          <w:lang w:val="en-US"/>
                        </w:rPr>
                        <w:t>Index</w:t>
                      </w:r>
                      <w:r w:rsidRPr="001D3843">
                        <w:rPr>
                          <w:lang w:val="en-US"/>
                        </w:rPr>
                        <w:t xml:space="preserve"> number of dwellings </w:t>
                      </w:r>
                      <w:r>
                        <w:rPr>
                          <w:lang w:val="en-US"/>
                        </w:rPr>
                        <w:t>completed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1492" w:rsidRPr="00612A93">
        <w:rPr>
          <w:lang w:val="en-GB"/>
        </w:rPr>
        <w:t xml:space="preserve">In </w:t>
      </w:r>
      <w:r w:rsidR="00F54505">
        <w:rPr>
          <w:lang w:val="en-US"/>
        </w:rPr>
        <w:t xml:space="preserve">the </w:t>
      </w:r>
      <w:r w:rsidR="001052CB">
        <w:rPr>
          <w:lang w:val="en-US"/>
        </w:rPr>
        <w:t xml:space="preserve">period of </w:t>
      </w:r>
      <w:r w:rsidR="009651E5">
        <w:rPr>
          <w:lang w:val="en-US"/>
        </w:rPr>
        <w:t>nine</w:t>
      </w:r>
      <w:r w:rsidR="007715B1">
        <w:rPr>
          <w:lang w:val="en-US"/>
        </w:rPr>
        <w:t xml:space="preserve"> months</w:t>
      </w:r>
      <w:r w:rsidR="002D6C7A">
        <w:rPr>
          <w:lang w:val="en-US"/>
        </w:rPr>
        <w:t xml:space="preserve"> </w:t>
      </w:r>
      <w:r w:rsidR="00F54505">
        <w:rPr>
          <w:lang w:val="en-US"/>
        </w:rPr>
        <w:t xml:space="preserve">of </w:t>
      </w:r>
      <w:r w:rsidR="00C733A3">
        <w:rPr>
          <w:lang w:val="en-US"/>
        </w:rPr>
        <w:t>2019</w:t>
      </w:r>
      <w:r w:rsidR="00AD1492" w:rsidRPr="001E693A">
        <w:rPr>
          <w:lang w:val="en-US"/>
        </w:rPr>
        <w:t xml:space="preserve"> there were </w:t>
      </w:r>
      <w:r w:rsidR="00AD1492">
        <w:rPr>
          <w:lang w:val="en-US"/>
        </w:rPr>
        <w:t>more</w:t>
      </w:r>
      <w:r w:rsidR="00AD1492" w:rsidRPr="001E693A">
        <w:rPr>
          <w:lang w:val="en-US"/>
        </w:rPr>
        <w:t xml:space="preserve"> dwellings completed than the year before. </w:t>
      </w:r>
      <w:r w:rsidR="00095A18" w:rsidRPr="007323FA">
        <w:rPr>
          <w:lang w:val="en-US"/>
        </w:rPr>
        <w:t xml:space="preserve">The number of dwellings </w:t>
      </w:r>
      <w:r w:rsidR="00F54505">
        <w:rPr>
          <w:lang w:val="en-US"/>
        </w:rPr>
        <w:t>in which construction has</w:t>
      </w:r>
      <w:r w:rsidR="00435283">
        <w:rPr>
          <w:lang w:val="en-US"/>
        </w:rPr>
        <w:t xml:space="preserve"> begun </w:t>
      </w:r>
      <w:r w:rsidR="003C0487">
        <w:rPr>
          <w:lang w:val="en-US"/>
        </w:rPr>
        <w:t xml:space="preserve">and the number of </w:t>
      </w:r>
      <w:r w:rsidR="003C0487" w:rsidRPr="003C0487">
        <w:rPr>
          <w:lang w:val="en-US"/>
        </w:rPr>
        <w:t xml:space="preserve">dwellings for which permits have been granted or which have been registered with a construction project </w:t>
      </w:r>
      <w:r w:rsidR="003C0487">
        <w:rPr>
          <w:lang w:val="en-US"/>
        </w:rPr>
        <w:t>also increased</w:t>
      </w:r>
      <w:r w:rsidR="003C0487">
        <w:rPr>
          <w:spacing w:val="-4"/>
          <w:shd w:val="clear" w:color="auto" w:fill="FFFFFF"/>
          <w:lang w:val="en-US"/>
        </w:rPr>
        <w:t>.</w:t>
      </w:r>
    </w:p>
    <w:p w:rsidR="0075636C" w:rsidRPr="00612A93" w:rsidRDefault="00074DD8" w:rsidP="00095A18">
      <w:pPr>
        <w:pStyle w:val="LID"/>
        <w:jc w:val="both"/>
        <w:rPr>
          <w:lang w:val="en-GB"/>
        </w:rPr>
      </w:pPr>
      <w:r w:rsidRPr="00612A93">
        <w:rPr>
          <w:shd w:val="clear" w:color="auto" w:fill="FFFFFF"/>
          <w:lang w:val="en-GB"/>
        </w:rPr>
        <w:t xml:space="preserve"> </w:t>
      </w:r>
    </w:p>
    <w:p w:rsidR="00C733A3" w:rsidRPr="00E55DC7" w:rsidRDefault="00B407E7" w:rsidP="009B0770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</w:pPr>
      <w:r w:rsidRPr="00E55DC7">
        <w:rPr>
          <w:rFonts w:ascii="Fira Sans SemiBold" w:hAnsi="Fira Sans SemiBold"/>
          <w:noProof/>
          <w:color w:val="001D77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page">
                  <wp:posOffset>5686425</wp:posOffset>
                </wp:positionH>
                <wp:positionV relativeFrom="paragraph">
                  <wp:posOffset>105410</wp:posOffset>
                </wp:positionV>
                <wp:extent cx="1809115" cy="866775"/>
                <wp:effectExtent l="0" t="0" r="0" b="0"/>
                <wp:wrapTight wrapText="bothSides">
                  <wp:wrapPolygon edited="0">
                    <wp:start x="682" y="0"/>
                    <wp:lineTo x="682" y="20888"/>
                    <wp:lineTo x="20698" y="20888"/>
                    <wp:lineTo x="20698" y="0"/>
                    <wp:lineTo x="68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AD1492" w:rsidRDefault="00011E33" w:rsidP="00AD1492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completed 62.4</w:t>
                            </w:r>
                            <w:r w:rsidR="00B519FF">
                              <w:rPr>
                                <w:lang w:val="en-US"/>
                              </w:rPr>
                              <w:t>% of t</w:t>
                            </w:r>
                            <w:r w:rsidR="00575C63">
                              <w:rPr>
                                <w:lang w:val="en-US"/>
                              </w:rPr>
                              <w:t>ot</w:t>
                            </w:r>
                            <w:r>
                              <w:rPr>
                                <w:lang w:val="en-US"/>
                              </w:rPr>
                              <w:t>al number of dwellings, i.e. 2.5</w:t>
                            </w:r>
                            <w:r w:rsidR="00B519FF">
                              <w:rPr>
                                <w:lang w:val="en-US"/>
                              </w:rPr>
                              <w:t xml:space="preserve"> percentage points </w:t>
                            </w:r>
                            <w:r w:rsidR="00575C63">
                              <w:rPr>
                                <w:lang w:val="en-US"/>
                              </w:rPr>
                              <w:t>more than in the previous year.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47.75pt;margin-top:8.3pt;width:142.45pt;height:68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" filled="f" stroked="f">
                <v:textbox>
                  <w:txbxContent>
                    <w:p w:rsidR="00B519FF" w:rsidRPr="00AD1492" w:rsidRDefault="00011E33" w:rsidP="00AD1492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completed 62.4</w:t>
                      </w:r>
                      <w:r w:rsidR="00B519FF">
                        <w:rPr>
                          <w:lang w:val="en-US"/>
                        </w:rPr>
                        <w:t>% of t</w:t>
                      </w:r>
                      <w:r w:rsidR="00575C63">
                        <w:rPr>
                          <w:lang w:val="en-US"/>
                        </w:rPr>
                        <w:t>ot</w:t>
                      </w:r>
                      <w:r>
                        <w:rPr>
                          <w:lang w:val="en-US"/>
                        </w:rPr>
                        <w:t>al number of dwellings, i.e. 2.5</w:t>
                      </w:r>
                      <w:r w:rsidR="00B519FF">
                        <w:rPr>
                          <w:lang w:val="en-US"/>
                        </w:rPr>
                        <w:t xml:space="preserve"> percentage points </w:t>
                      </w:r>
                      <w:r w:rsidR="00575C63">
                        <w:rPr>
                          <w:lang w:val="en-US"/>
                        </w:rPr>
                        <w:t>more than in the previous year.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733A3" w:rsidRPr="00E55DC7"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  <w:t>Dwellings completed</w:t>
      </w:r>
    </w:p>
    <w:p w:rsidR="0042048D" w:rsidRDefault="0071658F" w:rsidP="00896EB9">
      <w:pPr>
        <w:rPr>
          <w:spacing w:val="-4"/>
          <w:shd w:val="clear" w:color="auto" w:fill="FFFFFF"/>
          <w:lang w:val="en-US"/>
        </w:rPr>
      </w:pPr>
      <w:r w:rsidRPr="00C733A3">
        <w:rPr>
          <w:b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>
                <wp:simplePos x="0" y="0"/>
                <wp:positionH relativeFrom="page">
                  <wp:posOffset>5767705</wp:posOffset>
                </wp:positionH>
                <wp:positionV relativeFrom="paragraph">
                  <wp:posOffset>1245235</wp:posOffset>
                </wp:positionV>
                <wp:extent cx="1749425" cy="8001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AE3772" w:rsidRDefault="00B519FF" w:rsidP="00CD44F1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4C7185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Average useful floor </w:t>
                            </w:r>
                            <w:r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area of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br/>
                            </w:r>
                            <w:r w:rsidR="00011E3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 dwelling in the period of I-IX</w:t>
                            </w:r>
                            <w:r w:rsidR="00575C6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2019</w:t>
                            </w:r>
                            <w:r w:rsidR="00011E3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was 89.7</w:t>
                            </w:r>
                            <w:r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sq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54.15pt;margin-top:98.05pt;width:137.75pt;height:63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" filled="f" stroked="f">
                <v:textbox>
                  <w:txbxContent>
                    <w:p w:rsidR="00B519FF" w:rsidRPr="00AE3772" w:rsidRDefault="00B519FF" w:rsidP="00CD44F1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4C7185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Average useful floor </w:t>
                      </w:r>
                      <w:r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area of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br/>
                      </w:r>
                      <w:r w:rsidR="00011E3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 dwelling in the period of I-IX</w:t>
                      </w:r>
                      <w:r w:rsidR="00575C6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2019</w:t>
                      </w:r>
                      <w:r w:rsidR="00011E3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was 89.7</w:t>
                      </w:r>
                      <w:r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sq 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D1492" w:rsidRPr="00A33759">
        <w:rPr>
          <w:spacing w:val="-4"/>
          <w:shd w:val="clear" w:color="auto" w:fill="FFFFFF"/>
          <w:lang w:val="en-US"/>
        </w:rPr>
        <w:t xml:space="preserve">According </w:t>
      </w:r>
      <w:r w:rsidR="00C733A3" w:rsidRPr="00C733A3">
        <w:rPr>
          <w:spacing w:val="-4"/>
          <w:shd w:val="clear" w:color="auto" w:fill="FFFFFF"/>
          <w:lang w:val="en-US"/>
        </w:rPr>
        <w:t xml:space="preserve">to </w:t>
      </w:r>
      <w:r w:rsidR="00F54505">
        <w:rPr>
          <w:spacing w:val="-4"/>
          <w:shd w:val="clear" w:color="auto" w:fill="FFFFFF"/>
          <w:lang w:val="en-US"/>
        </w:rPr>
        <w:t xml:space="preserve">the </w:t>
      </w:r>
      <w:r w:rsidR="00111FD5" w:rsidRPr="00A33759">
        <w:rPr>
          <w:spacing w:val="-4"/>
          <w:shd w:val="clear" w:color="auto" w:fill="FFFFFF"/>
          <w:lang w:val="en-US"/>
        </w:rPr>
        <w:t xml:space="preserve">preliminary </w:t>
      </w:r>
      <w:r w:rsidR="00A72CF4">
        <w:rPr>
          <w:spacing w:val="-4"/>
          <w:shd w:val="clear" w:color="auto" w:fill="FFFFFF"/>
          <w:lang w:val="en-US"/>
        </w:rPr>
        <w:t xml:space="preserve">data, </w:t>
      </w:r>
      <w:r w:rsidR="00011E33">
        <w:rPr>
          <w:spacing w:val="-4"/>
          <w:shd w:val="clear" w:color="auto" w:fill="FFFFFF"/>
          <w:lang w:val="en-US"/>
        </w:rPr>
        <w:t>145</w:t>
      </w:r>
      <w:r w:rsidR="00D45F1D">
        <w:rPr>
          <w:spacing w:val="-4"/>
          <w:shd w:val="clear" w:color="auto" w:fill="FFFFFF"/>
          <w:lang w:val="en-US"/>
        </w:rPr>
        <w:t>.</w:t>
      </w:r>
      <w:r w:rsidR="00011E33">
        <w:rPr>
          <w:spacing w:val="-4"/>
          <w:shd w:val="clear" w:color="auto" w:fill="FFFFFF"/>
          <w:lang w:val="en-US"/>
        </w:rPr>
        <w:t>6</w:t>
      </w:r>
      <w:r w:rsidR="00C733A3" w:rsidRPr="00C733A3">
        <w:rPr>
          <w:spacing w:val="-4"/>
          <w:shd w:val="clear" w:color="auto" w:fill="FFFFFF"/>
          <w:lang w:val="en-US"/>
        </w:rPr>
        <w:t xml:space="preserve"> thous. dwellings were co</w:t>
      </w:r>
      <w:r w:rsidR="009664CD">
        <w:rPr>
          <w:spacing w:val="-4"/>
          <w:shd w:val="clear" w:color="auto" w:fill="FFFFFF"/>
          <w:lang w:val="en-US"/>
        </w:rPr>
        <w:t xml:space="preserve">mpleted in </w:t>
      </w:r>
      <w:r w:rsidR="00F54505">
        <w:rPr>
          <w:spacing w:val="-4"/>
          <w:shd w:val="clear" w:color="auto" w:fill="FFFFFF"/>
          <w:lang w:val="en-US"/>
        </w:rPr>
        <w:t>the period of January-</w:t>
      </w:r>
      <w:r w:rsidR="00011E33">
        <w:rPr>
          <w:spacing w:val="-4"/>
          <w:shd w:val="clear" w:color="auto" w:fill="FFFFFF"/>
          <w:lang w:val="en-US"/>
        </w:rPr>
        <w:t>September</w:t>
      </w:r>
      <w:r w:rsidR="009664CD">
        <w:rPr>
          <w:spacing w:val="-4"/>
          <w:shd w:val="clear" w:color="auto" w:fill="FFFFFF"/>
          <w:lang w:val="en-US"/>
        </w:rPr>
        <w:t xml:space="preserve"> 2019, i.e. by </w:t>
      </w:r>
      <w:r w:rsidR="00D45F1D">
        <w:rPr>
          <w:spacing w:val="-4"/>
          <w:shd w:val="clear" w:color="auto" w:fill="FFFFFF"/>
          <w:lang w:val="en-US"/>
        </w:rPr>
        <w:t>1</w:t>
      </w:r>
      <w:r w:rsidR="00011E33">
        <w:rPr>
          <w:spacing w:val="-4"/>
          <w:shd w:val="clear" w:color="auto" w:fill="FFFFFF"/>
          <w:lang w:val="en-US"/>
        </w:rPr>
        <w:t>2</w:t>
      </w:r>
      <w:r w:rsidR="0042048D">
        <w:rPr>
          <w:spacing w:val="-4"/>
          <w:shd w:val="clear" w:color="auto" w:fill="FFFFFF"/>
          <w:lang w:val="en-US"/>
        </w:rPr>
        <w:t>.</w:t>
      </w:r>
      <w:r w:rsidR="00011E33">
        <w:rPr>
          <w:spacing w:val="-4"/>
          <w:shd w:val="clear" w:color="auto" w:fill="FFFFFF"/>
          <w:lang w:val="en-US"/>
        </w:rPr>
        <w:t>2</w:t>
      </w:r>
      <w:r w:rsidR="00C733A3" w:rsidRPr="00C733A3">
        <w:rPr>
          <w:spacing w:val="-4"/>
          <w:shd w:val="clear" w:color="auto" w:fill="FFFFFF"/>
          <w:lang w:val="en-US"/>
        </w:rPr>
        <w:t>% more than a year ago.</w:t>
      </w:r>
      <w:r w:rsidR="00C733A3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b/>
          <w:spacing w:val="-4"/>
          <w:shd w:val="clear" w:color="auto" w:fill="FFFFFF"/>
          <w:lang w:val="en-US"/>
        </w:rPr>
        <w:t>Developers</w:t>
      </w:r>
      <w:r w:rsidR="00C733A3">
        <w:rPr>
          <w:rStyle w:val="Odwoanieprzypisudolnego"/>
          <w:spacing w:val="-4"/>
          <w:shd w:val="clear" w:color="auto" w:fill="FFFFFF"/>
          <w:lang w:val="en-US"/>
        </w:rPr>
        <w:footnoteReference w:id="2"/>
      </w:r>
      <w:r w:rsidR="00C733A3" w:rsidRPr="00C733A3">
        <w:rPr>
          <w:spacing w:val="-4"/>
          <w:shd w:val="clear" w:color="auto" w:fill="FFFFFF"/>
          <w:lang w:val="en-US"/>
        </w:rPr>
        <w:t xml:space="preserve"> completed </w:t>
      </w:r>
      <w:r w:rsidR="00011E33">
        <w:rPr>
          <w:spacing w:val="-4"/>
          <w:shd w:val="clear" w:color="auto" w:fill="FFFFFF"/>
          <w:lang w:val="en-US"/>
        </w:rPr>
        <w:t>90</w:t>
      </w:r>
      <w:r w:rsidR="00D45F1D">
        <w:rPr>
          <w:spacing w:val="-4"/>
          <w:shd w:val="clear" w:color="auto" w:fill="FFFFFF"/>
          <w:lang w:val="en-US"/>
        </w:rPr>
        <w:t>.</w:t>
      </w:r>
      <w:r w:rsidR="00011E33">
        <w:rPr>
          <w:spacing w:val="-4"/>
          <w:shd w:val="clear" w:color="auto" w:fill="FFFFFF"/>
          <w:lang w:val="en-US"/>
        </w:rPr>
        <w:t>8</w:t>
      </w:r>
      <w:r w:rsidR="00A72CF4">
        <w:rPr>
          <w:spacing w:val="-4"/>
          <w:shd w:val="clear" w:color="auto" w:fill="FFFFFF"/>
          <w:lang w:val="en-US"/>
        </w:rPr>
        <w:t xml:space="preserve"> thous. dwellings </w:t>
      </w:r>
      <w:r w:rsidR="00011E33">
        <w:rPr>
          <w:spacing w:val="-4"/>
          <w:shd w:val="clear" w:color="auto" w:fill="FFFFFF"/>
          <w:lang w:val="en-US"/>
        </w:rPr>
        <w:t>(16.8</w:t>
      </w:r>
      <w:r w:rsidR="00C733A3" w:rsidRPr="00C733A3">
        <w:rPr>
          <w:spacing w:val="-4"/>
          <w:shd w:val="clear" w:color="auto" w:fill="FFFFFF"/>
          <w:lang w:val="en-US"/>
        </w:rPr>
        <w:t xml:space="preserve">% more than in the </w:t>
      </w:r>
      <w:r w:rsidR="009664CD">
        <w:rPr>
          <w:spacing w:val="-4"/>
          <w:shd w:val="clear" w:color="auto" w:fill="FFFFFF"/>
          <w:lang w:val="en-US"/>
        </w:rPr>
        <w:t>corresponding</w:t>
      </w:r>
      <w:r w:rsidR="00C733A3">
        <w:rPr>
          <w:spacing w:val="-4"/>
          <w:shd w:val="clear" w:color="auto" w:fill="FFFFFF"/>
          <w:lang w:val="en-US"/>
        </w:rPr>
        <w:t xml:space="preserve"> </w:t>
      </w:r>
      <w:r w:rsidR="00F54505">
        <w:rPr>
          <w:spacing w:val="-4"/>
          <w:shd w:val="clear" w:color="auto" w:fill="FFFFFF"/>
          <w:lang w:val="en-US"/>
        </w:rPr>
        <w:t>period</w:t>
      </w:r>
      <w:r w:rsidR="00C733A3">
        <w:rPr>
          <w:spacing w:val="-4"/>
          <w:shd w:val="clear" w:color="auto" w:fill="FFFFFF"/>
          <w:lang w:val="en-US"/>
        </w:rPr>
        <w:t xml:space="preserve"> of the previous year), whereas </w:t>
      </w:r>
      <w:r w:rsidR="00C733A3" w:rsidRPr="00054314">
        <w:rPr>
          <w:b/>
          <w:spacing w:val="-4"/>
          <w:shd w:val="clear" w:color="auto" w:fill="FFFFFF"/>
          <w:lang w:val="en-US"/>
        </w:rPr>
        <w:t>private</w:t>
      </w:r>
      <w:r w:rsidR="00C733A3">
        <w:rPr>
          <w:spacing w:val="-4"/>
          <w:shd w:val="clear" w:color="auto" w:fill="FFFFFF"/>
          <w:lang w:val="en-US"/>
        </w:rPr>
        <w:t xml:space="preserve"> </w:t>
      </w:r>
      <w:r w:rsidR="00C733A3" w:rsidRPr="00054314">
        <w:rPr>
          <w:b/>
          <w:spacing w:val="-4"/>
          <w:shd w:val="clear" w:color="auto" w:fill="FFFFFF"/>
          <w:lang w:val="en-US"/>
        </w:rPr>
        <w:t>investors</w:t>
      </w:r>
      <w:r w:rsidR="00C733A3" w:rsidRPr="00054314">
        <w:rPr>
          <w:spacing w:val="-4"/>
          <w:shd w:val="clear" w:color="auto" w:fill="FFFFFF"/>
          <w:vertAlign w:val="superscript"/>
          <w:lang w:val="en-US"/>
        </w:rPr>
        <w:t>b</w:t>
      </w:r>
      <w:r w:rsidR="00837231">
        <w:rPr>
          <w:spacing w:val="-4"/>
          <w:shd w:val="clear" w:color="auto" w:fill="FFFFFF"/>
          <w:lang w:val="en-US"/>
        </w:rPr>
        <w:t xml:space="preserve"> completed </w:t>
      </w:r>
      <w:r w:rsidR="00011E33">
        <w:rPr>
          <w:spacing w:val="-4"/>
          <w:shd w:val="clear" w:color="auto" w:fill="FFFFFF"/>
          <w:lang w:val="en-US"/>
        </w:rPr>
        <w:t>50.0</w:t>
      </w:r>
      <w:r w:rsidR="00C733A3" w:rsidRPr="00C733A3">
        <w:rPr>
          <w:spacing w:val="-4"/>
          <w:shd w:val="clear" w:color="auto" w:fill="FFFFFF"/>
          <w:lang w:val="en-US"/>
        </w:rPr>
        <w:t xml:space="preserve"> thous. dwellings, </w:t>
      </w:r>
      <w:r w:rsidR="009664CD">
        <w:rPr>
          <w:spacing w:val="-4"/>
          <w:shd w:val="clear" w:color="auto" w:fill="FFFFFF"/>
          <w:lang w:val="en-US"/>
        </w:rPr>
        <w:t xml:space="preserve">i.e. by </w:t>
      </w:r>
      <w:r w:rsidR="00011E33">
        <w:rPr>
          <w:spacing w:val="-4"/>
          <w:shd w:val="clear" w:color="auto" w:fill="FFFFFF"/>
          <w:lang w:val="en-US"/>
        </w:rPr>
        <w:t>3</w:t>
      </w:r>
      <w:r w:rsidR="00837231">
        <w:rPr>
          <w:spacing w:val="-4"/>
          <w:shd w:val="clear" w:color="auto" w:fill="FFFFFF"/>
          <w:lang w:val="en-US"/>
        </w:rPr>
        <w:t>.</w:t>
      </w:r>
      <w:r w:rsidR="00011E33">
        <w:rPr>
          <w:spacing w:val="-4"/>
          <w:shd w:val="clear" w:color="auto" w:fill="FFFFFF"/>
          <w:lang w:val="en-US"/>
        </w:rPr>
        <w:t>9</w:t>
      </w:r>
      <w:r w:rsidR="00C733A3" w:rsidRPr="00C733A3">
        <w:rPr>
          <w:spacing w:val="-4"/>
          <w:shd w:val="clear" w:color="auto" w:fill="FFFFFF"/>
          <w:lang w:val="en-US"/>
        </w:rPr>
        <w:t xml:space="preserve">% </w:t>
      </w:r>
      <w:r w:rsidR="00E724BA">
        <w:rPr>
          <w:spacing w:val="-4"/>
          <w:shd w:val="clear" w:color="auto" w:fill="FFFFFF"/>
          <w:lang w:val="en-US"/>
        </w:rPr>
        <w:t>more</w:t>
      </w:r>
      <w:r w:rsidR="00C733A3" w:rsidRPr="00C733A3">
        <w:rPr>
          <w:spacing w:val="-4"/>
          <w:shd w:val="clear" w:color="auto" w:fill="FFFFFF"/>
          <w:lang w:val="en-US"/>
        </w:rPr>
        <w:t xml:space="preserve"> than in </w:t>
      </w:r>
      <w:r>
        <w:rPr>
          <w:spacing w:val="-4"/>
          <w:shd w:val="clear" w:color="auto" w:fill="FFFFFF"/>
          <w:lang w:val="en-US"/>
        </w:rPr>
        <w:t xml:space="preserve">2018. Within these forms of </w:t>
      </w:r>
      <w:r w:rsidR="00435283">
        <w:rPr>
          <w:spacing w:val="-4"/>
          <w:shd w:val="clear" w:color="auto" w:fill="FFFFFF"/>
          <w:lang w:val="en-US"/>
        </w:rPr>
        <w:t xml:space="preserve">construction, </w:t>
      </w:r>
      <w:r w:rsidR="00E717AF">
        <w:rPr>
          <w:spacing w:val="-4"/>
          <w:shd w:val="clear" w:color="auto" w:fill="FFFFFF"/>
          <w:lang w:val="en-US"/>
        </w:rPr>
        <w:t>96</w:t>
      </w:r>
      <w:r w:rsidR="00E724BA">
        <w:rPr>
          <w:spacing w:val="-4"/>
          <w:shd w:val="clear" w:color="auto" w:fill="FFFFFF"/>
          <w:lang w:val="en-US"/>
        </w:rPr>
        <w:t>.</w:t>
      </w:r>
      <w:r w:rsidR="00011E33">
        <w:rPr>
          <w:spacing w:val="-4"/>
          <w:shd w:val="clear" w:color="auto" w:fill="FFFFFF"/>
          <w:lang w:val="en-US"/>
        </w:rPr>
        <w:t>7</w:t>
      </w:r>
      <w:r w:rsidR="00C733A3" w:rsidRPr="00C733A3">
        <w:rPr>
          <w:spacing w:val="-4"/>
          <w:shd w:val="clear" w:color="auto" w:fill="FFFFFF"/>
          <w:lang w:val="en-US"/>
        </w:rPr>
        <w:t>% of a total number of comple</w:t>
      </w:r>
      <w:r w:rsidR="001C1808">
        <w:rPr>
          <w:spacing w:val="-4"/>
          <w:shd w:val="clear" w:color="auto" w:fill="FFFFFF"/>
          <w:lang w:val="en-US"/>
        </w:rPr>
        <w:t>ted dwellings was built</w:t>
      </w:r>
      <w:r w:rsidR="00C733A3" w:rsidRPr="00C733A3">
        <w:rPr>
          <w:spacing w:val="-4"/>
          <w:shd w:val="clear" w:color="auto" w:fill="FFFFFF"/>
          <w:lang w:val="en-US"/>
        </w:rPr>
        <w:t xml:space="preserve">. </w:t>
      </w:r>
      <w:r w:rsidR="002C39C1">
        <w:rPr>
          <w:spacing w:val="-4"/>
          <w:shd w:val="clear" w:color="auto" w:fill="FFFFFF"/>
          <w:lang w:val="en-US"/>
        </w:rPr>
        <w:t>Less</w:t>
      </w:r>
      <w:r w:rsidR="00C733A3" w:rsidRPr="00C733A3">
        <w:rPr>
          <w:spacing w:val="-4"/>
          <w:shd w:val="clear" w:color="auto" w:fill="FFFFFF"/>
          <w:lang w:val="en-US"/>
        </w:rPr>
        <w:t xml:space="preserve"> dwellings than </w:t>
      </w:r>
      <w:r w:rsidR="002C39C1">
        <w:rPr>
          <w:spacing w:val="-4"/>
          <w:shd w:val="clear" w:color="auto" w:fill="FFFFFF"/>
          <w:lang w:val="en-US"/>
        </w:rPr>
        <w:br/>
      </w:r>
      <w:r w:rsidR="00C733A3" w:rsidRPr="00C733A3">
        <w:rPr>
          <w:spacing w:val="-4"/>
          <w:shd w:val="clear" w:color="auto" w:fill="FFFFFF"/>
          <w:lang w:val="en-US"/>
        </w:rPr>
        <w:t xml:space="preserve">a year ago were completed within </w:t>
      </w:r>
      <w:r w:rsidR="00C733A3" w:rsidRPr="00435283">
        <w:rPr>
          <w:b/>
          <w:spacing w:val="-4"/>
          <w:shd w:val="clear" w:color="auto" w:fill="FFFFFF"/>
          <w:lang w:val="en-US"/>
        </w:rPr>
        <w:t>cooperative</w:t>
      </w:r>
      <w:r w:rsidR="00C733A3" w:rsidRPr="00C733A3">
        <w:rPr>
          <w:spacing w:val="-4"/>
          <w:shd w:val="clear" w:color="auto" w:fill="FFFFFF"/>
          <w:lang w:val="en-US"/>
        </w:rPr>
        <w:t xml:space="preserve"> construction (</w:t>
      </w:r>
      <w:r w:rsidR="00011E33">
        <w:rPr>
          <w:spacing w:val="-4"/>
          <w:shd w:val="clear" w:color="auto" w:fill="FFFFFF"/>
          <w:lang w:val="en-US"/>
        </w:rPr>
        <w:t>1511</w:t>
      </w:r>
      <w:r w:rsidR="002C39C1" w:rsidRPr="002C39C1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spacing w:val="-4"/>
          <w:shd w:val="clear" w:color="auto" w:fill="FFFFFF"/>
          <w:lang w:val="en-US"/>
        </w:rPr>
        <w:t xml:space="preserve">compared to </w:t>
      </w:r>
      <w:r w:rsidR="00011E33">
        <w:rPr>
          <w:spacing w:val="-4"/>
          <w:shd w:val="clear" w:color="auto" w:fill="FFFFFF"/>
          <w:lang w:val="en-US"/>
        </w:rPr>
        <w:t>1775</w:t>
      </w:r>
      <w:r w:rsidR="002C39C1" w:rsidRPr="002C39C1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spacing w:val="-4"/>
          <w:shd w:val="clear" w:color="auto" w:fill="FFFFFF"/>
          <w:lang w:val="en-US"/>
        </w:rPr>
        <w:t>dw</w:t>
      </w:r>
      <w:r w:rsidR="00FF795E">
        <w:rPr>
          <w:spacing w:val="-4"/>
          <w:shd w:val="clear" w:color="auto" w:fill="FFFFFF"/>
          <w:lang w:val="en-US"/>
        </w:rPr>
        <w:t xml:space="preserve">ellings); </w:t>
      </w:r>
      <w:r w:rsidR="00FF795E" w:rsidRPr="00FF795E">
        <w:rPr>
          <w:lang w:val="en-GB"/>
        </w:rPr>
        <w:t>i</w:t>
      </w:r>
      <w:r w:rsidR="003A358E" w:rsidRPr="00FF795E">
        <w:rPr>
          <w:lang w:val="en-GB"/>
        </w:rPr>
        <w:t>n</w:t>
      </w:r>
      <w:r w:rsidR="00FF795E">
        <w:rPr>
          <w:lang w:val="en-GB"/>
        </w:rPr>
        <w:t> </w:t>
      </w:r>
      <w:r w:rsidR="003A358E" w:rsidRPr="00FF795E">
        <w:rPr>
          <w:b/>
          <w:lang w:val="en-GB"/>
        </w:rPr>
        <w:t>other</w:t>
      </w:r>
      <w:r w:rsidR="003A358E" w:rsidRPr="00435283">
        <w:rPr>
          <w:b/>
          <w:spacing w:val="-4"/>
          <w:shd w:val="clear" w:color="auto" w:fill="FFFFFF"/>
          <w:lang w:val="en-US"/>
        </w:rPr>
        <w:t xml:space="preserve"> forms</w:t>
      </w:r>
      <w:r w:rsidR="003A358E">
        <w:rPr>
          <w:spacing w:val="-4"/>
          <w:shd w:val="clear" w:color="auto" w:fill="FFFFFF"/>
          <w:lang w:val="en-US"/>
        </w:rPr>
        <w:t xml:space="preserve"> of </w:t>
      </w:r>
      <w:r w:rsidR="00C733A3" w:rsidRPr="00C733A3">
        <w:rPr>
          <w:spacing w:val="-4"/>
          <w:shd w:val="clear" w:color="auto" w:fill="FFFFFF"/>
          <w:lang w:val="en-US"/>
        </w:rPr>
        <w:t>construction (municipal</w:t>
      </w:r>
      <w:r w:rsidR="0042048D">
        <w:rPr>
          <w:spacing w:val="-4"/>
          <w:shd w:val="clear" w:color="auto" w:fill="FFFFFF"/>
          <w:lang w:val="en-US"/>
        </w:rPr>
        <w:t xml:space="preserve">, </w:t>
      </w:r>
      <w:r w:rsidR="0042048D" w:rsidRPr="00C733A3">
        <w:rPr>
          <w:spacing w:val="-4"/>
          <w:shd w:val="clear" w:color="auto" w:fill="FFFFFF"/>
          <w:lang w:val="en-US"/>
        </w:rPr>
        <w:t xml:space="preserve">public building society </w:t>
      </w:r>
      <w:r w:rsidR="002B1FCD">
        <w:rPr>
          <w:spacing w:val="-4"/>
          <w:shd w:val="clear" w:color="auto" w:fill="FFFFFF"/>
          <w:lang w:val="en-US"/>
        </w:rPr>
        <w:t>and company construction)</w:t>
      </w:r>
      <w:r w:rsidR="00C733A3" w:rsidRPr="00C733A3">
        <w:rPr>
          <w:spacing w:val="-4"/>
          <w:shd w:val="clear" w:color="auto" w:fill="FFFFFF"/>
          <w:lang w:val="en-US"/>
        </w:rPr>
        <w:t xml:space="preserve"> </w:t>
      </w:r>
      <w:r w:rsidR="00011E33">
        <w:rPr>
          <w:spacing w:val="-4"/>
          <w:shd w:val="clear" w:color="auto" w:fill="FFFFFF"/>
          <w:lang w:val="en-US"/>
        </w:rPr>
        <w:t>3224</w:t>
      </w:r>
      <w:r w:rsidR="002C39C1" w:rsidRPr="002C39C1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spacing w:val="-4"/>
          <w:shd w:val="clear" w:color="auto" w:fill="FFFFFF"/>
          <w:lang w:val="en-US"/>
        </w:rPr>
        <w:t>dwellings were complete</w:t>
      </w:r>
      <w:r w:rsidR="0043577A">
        <w:rPr>
          <w:spacing w:val="-4"/>
          <w:shd w:val="clear" w:color="auto" w:fill="FFFFFF"/>
          <w:lang w:val="en-US"/>
        </w:rPr>
        <w:t>d</w:t>
      </w:r>
      <w:r w:rsidR="00C733A3" w:rsidRPr="00C733A3">
        <w:rPr>
          <w:spacing w:val="-4"/>
          <w:shd w:val="clear" w:color="auto" w:fill="FFFFFF"/>
          <w:lang w:val="en-US"/>
        </w:rPr>
        <w:t xml:space="preserve"> in total, </w:t>
      </w:r>
      <w:r w:rsidR="009664CD">
        <w:rPr>
          <w:spacing w:val="-4"/>
          <w:shd w:val="clear" w:color="auto" w:fill="FFFFFF"/>
          <w:lang w:val="en-US"/>
        </w:rPr>
        <w:t>i.e. by</w:t>
      </w:r>
      <w:r w:rsidR="00C733A3" w:rsidRPr="00C733A3">
        <w:rPr>
          <w:spacing w:val="-4"/>
          <w:shd w:val="clear" w:color="auto" w:fill="FFFFFF"/>
          <w:lang w:val="en-US"/>
        </w:rPr>
        <w:t xml:space="preserve"> </w:t>
      </w:r>
      <w:r w:rsidR="00011E33">
        <w:rPr>
          <w:spacing w:val="-4"/>
          <w:shd w:val="clear" w:color="auto" w:fill="FFFFFF"/>
          <w:lang w:val="en-US"/>
        </w:rPr>
        <w:t>56.7</w:t>
      </w:r>
      <w:r w:rsidR="00C733A3" w:rsidRPr="00C733A3">
        <w:rPr>
          <w:spacing w:val="-4"/>
          <w:shd w:val="clear" w:color="auto" w:fill="FFFFFF"/>
          <w:lang w:val="en-US"/>
        </w:rPr>
        <w:t>% more than a year ago</w:t>
      </w:r>
      <w:r w:rsidR="0042048D">
        <w:rPr>
          <w:spacing w:val="-4"/>
          <w:shd w:val="clear" w:color="auto" w:fill="FFFFFF"/>
          <w:lang w:val="en-US"/>
        </w:rPr>
        <w:t>.</w:t>
      </w:r>
    </w:p>
    <w:p w:rsidR="00054314" w:rsidRDefault="000A7C88" w:rsidP="00896EB9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Total useful floor area of dwellings completed in </w:t>
      </w:r>
      <w:r w:rsidR="00837231">
        <w:rPr>
          <w:shd w:val="clear" w:color="auto" w:fill="FFFFFF"/>
          <w:lang w:val="en-US"/>
        </w:rPr>
        <w:t>the period of I-</w:t>
      </w:r>
      <w:r w:rsidR="00011E33">
        <w:rPr>
          <w:shd w:val="clear" w:color="auto" w:fill="FFFFFF"/>
          <w:lang w:val="en-US"/>
        </w:rPr>
        <w:t>IX</w:t>
      </w:r>
      <w:r w:rsidR="002C39C1">
        <w:rPr>
          <w:shd w:val="clear" w:color="auto" w:fill="FFFFFF"/>
          <w:lang w:val="en-US"/>
        </w:rPr>
        <w:t xml:space="preserve"> </w:t>
      </w:r>
      <w:r w:rsidR="0042048D">
        <w:rPr>
          <w:shd w:val="clear" w:color="auto" w:fill="FFFFFF"/>
          <w:lang w:val="en-US"/>
        </w:rPr>
        <w:t>of</w:t>
      </w:r>
      <w:r w:rsidR="00054314">
        <w:rPr>
          <w:shd w:val="clear" w:color="auto" w:fill="FFFFFF"/>
          <w:lang w:val="en-US"/>
        </w:rPr>
        <w:t xml:space="preserve"> 2019</w:t>
      </w:r>
      <w:r w:rsidR="007C6C81">
        <w:rPr>
          <w:shd w:val="clear" w:color="auto" w:fill="FFFFFF"/>
          <w:lang w:val="en-US"/>
        </w:rPr>
        <w:t xml:space="preserve"> </w:t>
      </w:r>
      <w:r w:rsidR="006A0E22" w:rsidRPr="006A0E22">
        <w:rPr>
          <w:shd w:val="clear" w:color="auto" w:fill="FFFFFF"/>
          <w:lang w:val="en-US"/>
        </w:rPr>
        <w:t>amounted to</w:t>
      </w:r>
      <w:r w:rsidRPr="006A0E22">
        <w:rPr>
          <w:shd w:val="clear" w:color="auto" w:fill="FFFFFF"/>
          <w:lang w:val="en-US"/>
        </w:rPr>
        <w:t xml:space="preserve"> </w:t>
      </w:r>
      <w:r w:rsidR="00837231">
        <w:rPr>
          <w:shd w:val="clear" w:color="auto" w:fill="FFFFFF"/>
          <w:lang w:val="en-US"/>
        </w:rPr>
        <w:br/>
      </w:r>
      <w:r w:rsidR="00011E33">
        <w:rPr>
          <w:shd w:val="clear" w:color="auto" w:fill="FFFFFF"/>
          <w:lang w:val="en-US"/>
        </w:rPr>
        <w:t>13</w:t>
      </w:r>
      <w:r w:rsidR="00837231">
        <w:rPr>
          <w:shd w:val="clear" w:color="auto" w:fill="FFFFFF"/>
          <w:lang w:val="en-US"/>
        </w:rPr>
        <w:t>.</w:t>
      </w:r>
      <w:r w:rsidR="00011E33">
        <w:rPr>
          <w:shd w:val="clear" w:color="auto" w:fill="FFFFFF"/>
          <w:lang w:val="en-US"/>
        </w:rPr>
        <w:t>1</w:t>
      </w:r>
      <w:r w:rsidR="00837231">
        <w:rPr>
          <w:shd w:val="clear" w:color="auto" w:fill="FFFFFF"/>
          <w:lang w:val="en-US"/>
        </w:rPr>
        <w:t xml:space="preserve"> m. sq m, i.e. by </w:t>
      </w:r>
      <w:r w:rsidR="00011E33">
        <w:rPr>
          <w:shd w:val="clear" w:color="auto" w:fill="FFFFFF"/>
          <w:lang w:val="en-US"/>
        </w:rPr>
        <w:t>9</w:t>
      </w:r>
      <w:r w:rsidR="00837231">
        <w:rPr>
          <w:shd w:val="clear" w:color="auto" w:fill="FFFFFF"/>
          <w:lang w:val="en-US"/>
        </w:rPr>
        <w:t>.</w:t>
      </w:r>
      <w:r w:rsidR="00EC5BC4">
        <w:rPr>
          <w:shd w:val="clear" w:color="auto" w:fill="FFFFFF"/>
          <w:lang w:val="en-US"/>
        </w:rPr>
        <w:t>8</w:t>
      </w:r>
      <w:r w:rsidR="00EF767E">
        <w:rPr>
          <w:shd w:val="clear" w:color="auto" w:fill="FFFFFF"/>
          <w:lang w:val="en-US"/>
        </w:rPr>
        <w:t>% more tha</w:t>
      </w:r>
      <w:r>
        <w:rPr>
          <w:shd w:val="clear" w:color="auto" w:fill="FFFFFF"/>
          <w:lang w:val="en-US"/>
        </w:rPr>
        <w:t xml:space="preserve">n in the corresponding </w:t>
      </w:r>
      <w:r w:rsidR="00CE0F21">
        <w:rPr>
          <w:shd w:val="clear" w:color="auto" w:fill="FFFFFF"/>
          <w:lang w:val="en-US"/>
        </w:rPr>
        <w:t>period</w:t>
      </w:r>
      <w:r>
        <w:rPr>
          <w:shd w:val="clear" w:color="auto" w:fill="FFFFFF"/>
          <w:lang w:val="en-US"/>
        </w:rPr>
        <w:t xml:space="preserve"> of </w:t>
      </w:r>
      <w:r w:rsidR="00CE0F21">
        <w:rPr>
          <w:shd w:val="clear" w:color="auto" w:fill="FFFFFF"/>
          <w:lang w:val="en-US"/>
        </w:rPr>
        <w:t xml:space="preserve">the </w:t>
      </w:r>
      <w:r>
        <w:rPr>
          <w:shd w:val="clear" w:color="auto" w:fill="FFFFFF"/>
          <w:lang w:val="en-US"/>
        </w:rPr>
        <w:t>previous year</w:t>
      </w:r>
      <w:r w:rsidRPr="00713DD1">
        <w:rPr>
          <w:shd w:val="clear" w:color="auto" w:fill="FFFFFF"/>
          <w:lang w:val="en-US"/>
        </w:rPr>
        <w:t>.</w:t>
      </w:r>
      <w:r w:rsidR="0042048D">
        <w:rPr>
          <w:shd w:val="clear" w:color="auto" w:fill="FFFFFF"/>
          <w:lang w:val="en-US"/>
        </w:rPr>
        <w:t xml:space="preserve"> Compared to the period of </w:t>
      </w:r>
      <w:r w:rsidR="00837231">
        <w:rPr>
          <w:shd w:val="clear" w:color="auto" w:fill="FFFFFF"/>
          <w:lang w:val="en-US"/>
        </w:rPr>
        <w:t>January-</w:t>
      </w:r>
      <w:r w:rsidR="00011E33">
        <w:rPr>
          <w:shd w:val="clear" w:color="auto" w:fill="FFFFFF"/>
          <w:lang w:val="en-US"/>
        </w:rPr>
        <w:t>September</w:t>
      </w:r>
      <w:r w:rsidR="0042048D">
        <w:rPr>
          <w:shd w:val="clear" w:color="auto" w:fill="FFFFFF"/>
          <w:lang w:val="en-US"/>
        </w:rPr>
        <w:t xml:space="preserve"> 2018</w:t>
      </w:r>
      <w:r w:rsidRPr="00713DD1">
        <w:rPr>
          <w:shd w:val="clear" w:color="auto" w:fill="FFFFFF"/>
          <w:lang w:val="en-US"/>
        </w:rPr>
        <w:t xml:space="preserve"> the average </w:t>
      </w:r>
      <w:r w:rsidR="005E3825" w:rsidRPr="00713DD1">
        <w:rPr>
          <w:shd w:val="clear" w:color="auto" w:fill="FFFFFF"/>
          <w:lang w:val="en-US"/>
        </w:rPr>
        <w:t xml:space="preserve">useful </w:t>
      </w:r>
      <w:r w:rsidRPr="00713DD1">
        <w:rPr>
          <w:shd w:val="clear" w:color="auto" w:fill="FFFFFF"/>
          <w:lang w:val="en-US"/>
        </w:rPr>
        <w:t>floor are</w:t>
      </w:r>
      <w:r w:rsidR="00BF61F6">
        <w:rPr>
          <w:shd w:val="clear" w:color="auto" w:fill="FFFFFF"/>
          <w:lang w:val="en-US"/>
        </w:rPr>
        <w:t>a of 1 </w:t>
      </w:r>
      <w:r w:rsidR="00837231">
        <w:rPr>
          <w:shd w:val="clear" w:color="auto" w:fill="FFFFFF"/>
          <w:lang w:val="en-US"/>
        </w:rPr>
        <w:t xml:space="preserve">dwelling decreased by </w:t>
      </w:r>
      <w:r w:rsidR="00011E33">
        <w:rPr>
          <w:shd w:val="clear" w:color="auto" w:fill="FFFFFF"/>
          <w:lang w:val="en-US"/>
        </w:rPr>
        <w:t>1</w:t>
      </w:r>
      <w:r w:rsidR="00837231">
        <w:rPr>
          <w:shd w:val="clear" w:color="auto" w:fill="FFFFFF"/>
          <w:lang w:val="en-US"/>
        </w:rPr>
        <w:t>.</w:t>
      </w:r>
      <w:r w:rsidR="00011E33">
        <w:rPr>
          <w:shd w:val="clear" w:color="auto" w:fill="FFFFFF"/>
          <w:lang w:val="en-US"/>
        </w:rPr>
        <w:t>9</w:t>
      </w:r>
      <w:r w:rsidRPr="00713DD1">
        <w:rPr>
          <w:shd w:val="clear" w:color="auto" w:fill="FFFFFF"/>
          <w:lang w:val="en-US"/>
        </w:rPr>
        <w:t xml:space="preserve"> sq </w:t>
      </w:r>
      <w:r w:rsidR="003460DF" w:rsidRPr="00713DD1">
        <w:rPr>
          <w:shd w:val="clear" w:color="auto" w:fill="FFFFFF"/>
          <w:lang w:val="en-US"/>
        </w:rPr>
        <w:t>m to the lev</w:t>
      </w:r>
      <w:r w:rsidR="003460DF">
        <w:rPr>
          <w:shd w:val="clear" w:color="auto" w:fill="FFFFFF"/>
          <w:lang w:val="en-US"/>
        </w:rPr>
        <w:t xml:space="preserve">el of </w:t>
      </w:r>
      <w:r w:rsidR="00EC5BC4">
        <w:rPr>
          <w:shd w:val="clear" w:color="auto" w:fill="FFFFFF"/>
          <w:lang w:val="en-US"/>
        </w:rPr>
        <w:t>89</w:t>
      </w:r>
      <w:r w:rsidR="005D25AB">
        <w:rPr>
          <w:shd w:val="clear" w:color="auto" w:fill="FFFFFF"/>
          <w:lang w:val="en-US"/>
        </w:rPr>
        <w:t>.</w:t>
      </w:r>
      <w:r w:rsidR="00011E33">
        <w:rPr>
          <w:shd w:val="clear" w:color="auto" w:fill="FFFFFF"/>
          <w:lang w:val="en-US"/>
        </w:rPr>
        <w:t>7</w:t>
      </w:r>
      <w:r>
        <w:rPr>
          <w:shd w:val="clear" w:color="auto" w:fill="FFFFFF"/>
          <w:lang w:val="en-US"/>
        </w:rPr>
        <w:t xml:space="preserve"> sq</w:t>
      </w:r>
      <w:r w:rsidR="00A33759">
        <w:rPr>
          <w:shd w:val="clear" w:color="auto" w:fill="FFFFFF"/>
          <w:lang w:val="en-US"/>
        </w:rPr>
        <w:t> </w:t>
      </w:r>
      <w:r>
        <w:rPr>
          <w:shd w:val="clear" w:color="auto" w:fill="FFFFFF"/>
          <w:lang w:val="en-US"/>
        </w:rPr>
        <w:t>m.</w:t>
      </w:r>
    </w:p>
    <w:p w:rsidR="00054314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Table</w:t>
      </w:r>
      <w:r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1. </w:t>
      </w: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Dwellings completed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B407E7" w:rsidRPr="00FA5128" w:rsidTr="00E873C8">
        <w:trPr>
          <w:trHeight w:val="57"/>
        </w:trPr>
        <w:tc>
          <w:tcPr>
            <w:tcW w:w="2049" w:type="dxa"/>
            <w:vMerge w:val="restart"/>
            <w:vAlign w:val="center"/>
          </w:tcPr>
          <w:p w:rsidR="00B407E7" w:rsidRPr="0030115B" w:rsidRDefault="00B407E7" w:rsidP="00E873C8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bookmarkStart w:id="0" w:name="_GoBack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Forms of construction</w:t>
            </w:r>
            <w:bookmarkEnd w:id="0"/>
          </w:p>
        </w:tc>
        <w:tc>
          <w:tcPr>
            <w:tcW w:w="6031" w:type="dxa"/>
            <w:gridSpan w:val="5"/>
            <w:vAlign w:val="center"/>
          </w:tcPr>
          <w:p w:rsidR="00B407E7" w:rsidRPr="00FA5128" w:rsidRDefault="00B407E7" w:rsidP="00E873C8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B407E7" w:rsidRPr="00FA5128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B407E7" w:rsidRPr="00FA5128" w:rsidRDefault="00B407E7" w:rsidP="00E873C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B407E7" w:rsidRPr="00FA5128" w:rsidRDefault="00011E33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B407E7" w:rsidRPr="00FA5128" w:rsidRDefault="00837231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011E33">
              <w:rPr>
                <w:color w:val="000000" w:themeColor="text1"/>
                <w:sz w:val="16"/>
                <w:szCs w:val="16"/>
              </w:rPr>
              <w:t>IX</w:t>
            </w:r>
          </w:p>
        </w:tc>
      </w:tr>
      <w:tr w:rsidR="00B407E7" w:rsidRPr="00FA5128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B407E7" w:rsidRPr="00FA5128" w:rsidRDefault="00B407E7" w:rsidP="00E873C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07E7" w:rsidRPr="00FA5128" w:rsidRDefault="008C0EBD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046F6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07E7" w:rsidRDefault="00011E33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</w:p>
          <w:p w:rsidR="00B407E7" w:rsidRPr="00FA5128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07E7" w:rsidRDefault="00837231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575C63">
              <w:rPr>
                <w:color w:val="000000" w:themeColor="text1"/>
                <w:sz w:val="16"/>
                <w:szCs w:val="16"/>
              </w:rPr>
              <w:t>I</w:t>
            </w:r>
            <w:r w:rsidR="00EC5BC4">
              <w:rPr>
                <w:color w:val="000000" w:themeColor="text1"/>
                <w:sz w:val="16"/>
                <w:szCs w:val="16"/>
              </w:rPr>
              <w:t>I</w:t>
            </w:r>
            <w:r w:rsidR="00011E33">
              <w:rPr>
                <w:color w:val="000000" w:themeColor="text1"/>
                <w:sz w:val="16"/>
                <w:szCs w:val="16"/>
              </w:rPr>
              <w:t>I</w:t>
            </w:r>
          </w:p>
          <w:p w:rsidR="00B407E7" w:rsidRPr="00FA5128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07E7" w:rsidRPr="00FA5128" w:rsidRDefault="008C0EBD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046F6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B407E7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011E33">
              <w:rPr>
                <w:color w:val="000000" w:themeColor="text1"/>
                <w:sz w:val="16"/>
                <w:szCs w:val="16"/>
              </w:rPr>
              <w:t>IX</w:t>
            </w:r>
          </w:p>
          <w:p w:rsidR="00B407E7" w:rsidRPr="00FA5128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011E33" w:rsidRPr="00611CFA" w:rsidTr="00E873C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011E33" w:rsidRPr="00FA5128" w:rsidRDefault="00011E33" w:rsidP="00011E33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011E33" w:rsidRPr="00FA5128" w:rsidRDefault="00011E33" w:rsidP="00011E33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8076E">
              <w:rPr>
                <w:rFonts w:cs="Arial"/>
                <w:b/>
                <w:color w:val="000000" w:themeColor="text1"/>
                <w:sz w:val="16"/>
                <w:szCs w:val="16"/>
              </w:rPr>
              <w:t>17 722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011E33" w:rsidRPr="00FA5128" w:rsidRDefault="00011E33" w:rsidP="00011E33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127.</w:t>
            </w:r>
            <w:r w:rsidRPr="00B8076E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011E33" w:rsidRPr="00FA5128" w:rsidRDefault="00011E33" w:rsidP="00011E33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99.</w:t>
            </w:r>
            <w:r w:rsidRPr="00B8076E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011E33" w:rsidRPr="00FA5128" w:rsidRDefault="00011E33" w:rsidP="00011E33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1A6A6A">
              <w:rPr>
                <w:rFonts w:cs="Arial"/>
                <w:b/>
                <w:color w:val="000000" w:themeColor="text1"/>
                <w:sz w:val="16"/>
                <w:szCs w:val="16"/>
              </w:rPr>
              <w:t>145 554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011E33" w:rsidRPr="00FA5128" w:rsidRDefault="00011E33" w:rsidP="00011E33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112.</w:t>
            </w:r>
            <w:r w:rsidRPr="001A6A6A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011E33" w:rsidRPr="005D25AB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11E33" w:rsidRPr="00611CFA" w:rsidRDefault="00011E33" w:rsidP="00011E3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611CF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:rsidR="00011E33" w:rsidRPr="00FA5128" w:rsidRDefault="00011E33" w:rsidP="00011E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8076E">
              <w:rPr>
                <w:rFonts w:cs="Arial"/>
                <w:color w:val="000000" w:themeColor="text1"/>
                <w:sz w:val="16"/>
                <w:szCs w:val="16"/>
              </w:rPr>
              <w:t>5 713</w:t>
            </w:r>
          </w:p>
        </w:tc>
        <w:tc>
          <w:tcPr>
            <w:tcW w:w="1206" w:type="dxa"/>
            <w:vAlign w:val="center"/>
          </w:tcPr>
          <w:p w:rsidR="00011E33" w:rsidRPr="00FA5128" w:rsidRDefault="00011E33" w:rsidP="00011E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120.</w:t>
            </w:r>
            <w:r w:rsidRPr="00B8076E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011E33" w:rsidRPr="00FA5128" w:rsidRDefault="00011E33" w:rsidP="00011E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103.</w:t>
            </w:r>
            <w:r w:rsidRPr="00B8076E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:rsidR="00011E33" w:rsidRPr="00907546" w:rsidRDefault="00011E33" w:rsidP="00011E33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6A6A">
              <w:rPr>
                <w:rFonts w:ascii="Fira Sans" w:hAnsi="Fira Sans"/>
                <w:color w:val="000000" w:themeColor="text1"/>
                <w:sz w:val="16"/>
                <w:szCs w:val="16"/>
              </w:rPr>
              <w:t>50 021</w:t>
            </w:r>
          </w:p>
        </w:tc>
        <w:tc>
          <w:tcPr>
            <w:tcW w:w="1207" w:type="dxa"/>
            <w:vAlign w:val="center"/>
          </w:tcPr>
          <w:p w:rsidR="00011E33" w:rsidRPr="00907546" w:rsidRDefault="00011E33" w:rsidP="00011E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103.</w:t>
            </w:r>
            <w:r w:rsidRPr="001A6A6A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011E33" w:rsidRPr="005D25AB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11E33" w:rsidRPr="00611CFA" w:rsidRDefault="00011E33" w:rsidP="00011E3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611CF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:rsidR="00011E33" w:rsidRPr="00FA5128" w:rsidRDefault="00011E33" w:rsidP="00011E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8076E">
              <w:rPr>
                <w:rFonts w:cs="Arial"/>
                <w:color w:val="000000" w:themeColor="text1"/>
                <w:sz w:val="16"/>
                <w:szCs w:val="16"/>
              </w:rPr>
              <w:t>11 327</w:t>
            </w:r>
          </w:p>
        </w:tc>
        <w:tc>
          <w:tcPr>
            <w:tcW w:w="1206" w:type="dxa"/>
            <w:vAlign w:val="center"/>
          </w:tcPr>
          <w:p w:rsidR="00011E33" w:rsidRPr="00FA5128" w:rsidRDefault="00011E33" w:rsidP="00011E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137.</w:t>
            </w:r>
            <w:r w:rsidRPr="00B8076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:rsidR="00011E33" w:rsidRPr="00FA5128" w:rsidRDefault="00011E33" w:rsidP="00011E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</w:t>
            </w:r>
            <w:r w:rsidRPr="00B8076E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06" w:type="dxa"/>
            <w:vAlign w:val="center"/>
          </w:tcPr>
          <w:p w:rsidR="00011E33" w:rsidRPr="008A1C80" w:rsidRDefault="00011E33" w:rsidP="00011E33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6A6A">
              <w:rPr>
                <w:rFonts w:ascii="Fira Sans" w:hAnsi="Fira Sans"/>
                <w:color w:val="000000" w:themeColor="text1"/>
                <w:sz w:val="16"/>
                <w:szCs w:val="16"/>
              </w:rPr>
              <w:t>90 798</w:t>
            </w:r>
          </w:p>
        </w:tc>
        <w:tc>
          <w:tcPr>
            <w:tcW w:w="1207" w:type="dxa"/>
            <w:vAlign w:val="center"/>
          </w:tcPr>
          <w:p w:rsidR="00011E33" w:rsidRPr="00FA5128" w:rsidRDefault="00011E33" w:rsidP="00011E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116.</w:t>
            </w:r>
            <w:r w:rsidRPr="001A6A6A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011E33" w:rsidRPr="008F578D" w:rsidTr="00611CFA">
        <w:trPr>
          <w:trHeight w:val="348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11E33" w:rsidRPr="00611CFA" w:rsidRDefault="00011E33" w:rsidP="00011E3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611CF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of which for rent</w:t>
            </w:r>
            <w:r>
              <w:rPr>
                <w:rStyle w:val="Odwoanieprzypisudolnego"/>
                <w:rFonts w:eastAsiaTheme="majorEastAsia" w:cstheme="majorBidi"/>
                <w:color w:val="000000" w:themeColor="text1"/>
                <w:sz w:val="16"/>
                <w:szCs w:val="16"/>
              </w:rPr>
              <w:footnoteReference w:id="3"/>
            </w:r>
          </w:p>
        </w:tc>
        <w:tc>
          <w:tcPr>
            <w:tcW w:w="1206" w:type="dxa"/>
            <w:vAlign w:val="center"/>
          </w:tcPr>
          <w:p w:rsidR="00011E33" w:rsidRPr="005241EA" w:rsidRDefault="00011E33" w:rsidP="00011E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8076E">
              <w:rPr>
                <w:rFonts w:cs="Arial"/>
                <w:color w:val="000000" w:themeColor="text1"/>
                <w:sz w:val="16"/>
                <w:szCs w:val="16"/>
              </w:rPr>
              <w:t>359</w:t>
            </w:r>
          </w:p>
        </w:tc>
        <w:tc>
          <w:tcPr>
            <w:tcW w:w="1206" w:type="dxa"/>
            <w:vAlign w:val="center"/>
          </w:tcPr>
          <w:p w:rsidR="00011E33" w:rsidRPr="004327B6" w:rsidRDefault="00011E33" w:rsidP="00011E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011E33" w:rsidRPr="004327B6" w:rsidRDefault="00011E33" w:rsidP="00011E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296.</w:t>
            </w:r>
            <w:r w:rsidRPr="00B8076E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:rsidR="00011E33" w:rsidRPr="00553B0B" w:rsidRDefault="00011E33" w:rsidP="00011E33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6A6A">
              <w:rPr>
                <w:rFonts w:ascii="Fira Sans" w:hAnsi="Fira Sans"/>
                <w:color w:val="000000" w:themeColor="text1"/>
                <w:sz w:val="16"/>
                <w:szCs w:val="16"/>
              </w:rPr>
              <w:t>1 526</w:t>
            </w:r>
          </w:p>
        </w:tc>
        <w:tc>
          <w:tcPr>
            <w:tcW w:w="1207" w:type="dxa"/>
            <w:vAlign w:val="center"/>
          </w:tcPr>
          <w:p w:rsidR="00011E33" w:rsidRPr="004266F7" w:rsidRDefault="00011E33" w:rsidP="00011E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  <w:tr w:rsidR="00011E33" w:rsidRPr="008F578D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11E33" w:rsidRPr="005D25AB" w:rsidRDefault="00011E33" w:rsidP="00011E33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:rsidR="00011E33" w:rsidRPr="00FA5128" w:rsidRDefault="00011E33" w:rsidP="00011E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8076E">
              <w:rPr>
                <w:rFonts w:cs="Arial"/>
                <w:color w:val="000000" w:themeColor="text1"/>
                <w:sz w:val="16"/>
                <w:szCs w:val="16"/>
              </w:rPr>
              <w:t>174</w:t>
            </w:r>
          </w:p>
        </w:tc>
        <w:tc>
          <w:tcPr>
            <w:tcW w:w="1206" w:type="dxa"/>
            <w:vAlign w:val="center"/>
          </w:tcPr>
          <w:p w:rsidR="00011E33" w:rsidRPr="00FA5128" w:rsidRDefault="00011E33" w:rsidP="00011E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49.</w:t>
            </w:r>
            <w:r w:rsidRPr="00B8076E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:rsidR="00011E33" w:rsidRPr="00E102B7" w:rsidRDefault="00011E33" w:rsidP="00011E3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</w:t>
            </w:r>
            <w:r w:rsidRPr="00B8076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:rsidR="00011E33" w:rsidRPr="00F54181" w:rsidRDefault="00011E33" w:rsidP="00011E33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6A6A">
              <w:rPr>
                <w:rFonts w:ascii="Fira Sans" w:hAnsi="Fira Sans"/>
                <w:color w:val="000000" w:themeColor="text1"/>
                <w:sz w:val="16"/>
                <w:szCs w:val="16"/>
              </w:rPr>
              <w:t>1 511</w:t>
            </w:r>
          </w:p>
        </w:tc>
        <w:tc>
          <w:tcPr>
            <w:tcW w:w="1207" w:type="dxa"/>
            <w:vAlign w:val="center"/>
          </w:tcPr>
          <w:p w:rsidR="00011E33" w:rsidRPr="00FA5128" w:rsidRDefault="00011E33" w:rsidP="00011E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85.</w:t>
            </w:r>
            <w:r w:rsidRPr="001A6A6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011E33" w:rsidRPr="008F578D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11E33" w:rsidRPr="005D25AB" w:rsidRDefault="00011E33" w:rsidP="00011E3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:rsidR="00011E33" w:rsidRPr="00FA5128" w:rsidRDefault="00011E33" w:rsidP="00011E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8076E">
              <w:rPr>
                <w:rFonts w:cs="Arial"/>
                <w:color w:val="000000" w:themeColor="text1"/>
                <w:sz w:val="16"/>
                <w:szCs w:val="16"/>
              </w:rPr>
              <w:t>92</w:t>
            </w:r>
          </w:p>
        </w:tc>
        <w:tc>
          <w:tcPr>
            <w:tcW w:w="1206" w:type="dxa"/>
            <w:vAlign w:val="center"/>
          </w:tcPr>
          <w:p w:rsidR="00011E33" w:rsidRPr="00FA5128" w:rsidRDefault="00011E33" w:rsidP="00011E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52.</w:t>
            </w:r>
            <w:r w:rsidRPr="00B8076E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:rsidR="00011E33" w:rsidRPr="00E102B7" w:rsidRDefault="00011E33" w:rsidP="00011E3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56.</w:t>
            </w:r>
            <w:r w:rsidRPr="00B8076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011E33" w:rsidRPr="00E87F78" w:rsidRDefault="00011E33" w:rsidP="00011E33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1A6A6A">
              <w:rPr>
                <w:color w:val="000000" w:themeColor="text1"/>
                <w:sz w:val="16"/>
                <w:szCs w:val="16"/>
              </w:rPr>
              <w:t>1 128</w:t>
            </w:r>
          </w:p>
        </w:tc>
        <w:tc>
          <w:tcPr>
            <w:tcW w:w="1207" w:type="dxa"/>
            <w:vAlign w:val="center"/>
          </w:tcPr>
          <w:p w:rsidR="00011E33" w:rsidRPr="00FA5128" w:rsidRDefault="00011E33" w:rsidP="00011E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124.</w:t>
            </w:r>
            <w:r w:rsidRPr="001A6A6A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011E33" w:rsidRPr="00837231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11E33" w:rsidRPr="005D25AB" w:rsidRDefault="00011E33" w:rsidP="00011E3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:rsidR="00011E33" w:rsidRPr="00A030E6" w:rsidRDefault="00011E33" w:rsidP="00011E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8076E">
              <w:rPr>
                <w:rFonts w:cs="Arial"/>
                <w:color w:val="000000" w:themeColor="text1"/>
                <w:sz w:val="16"/>
                <w:szCs w:val="16"/>
              </w:rPr>
              <w:t>415</w:t>
            </w:r>
          </w:p>
        </w:tc>
        <w:tc>
          <w:tcPr>
            <w:tcW w:w="1206" w:type="dxa"/>
            <w:vAlign w:val="center"/>
          </w:tcPr>
          <w:p w:rsidR="00011E33" w:rsidRPr="006E0C18" w:rsidRDefault="00011E33" w:rsidP="00011E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102.</w:t>
            </w:r>
            <w:r w:rsidRPr="00B8076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:rsidR="00011E33" w:rsidRPr="00296F96" w:rsidRDefault="00011E33" w:rsidP="00011E3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79.</w:t>
            </w:r>
            <w:r w:rsidRPr="00B8076E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011E33" w:rsidRPr="00E87F78" w:rsidRDefault="00011E33" w:rsidP="00011E33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1A6A6A">
              <w:rPr>
                <w:color w:val="000000" w:themeColor="text1"/>
                <w:sz w:val="16"/>
                <w:szCs w:val="16"/>
              </w:rPr>
              <w:t>1 868</w:t>
            </w:r>
          </w:p>
        </w:tc>
        <w:tc>
          <w:tcPr>
            <w:tcW w:w="1207" w:type="dxa"/>
            <w:vAlign w:val="center"/>
          </w:tcPr>
          <w:p w:rsidR="00011E33" w:rsidRPr="009F4F41" w:rsidRDefault="00011E33" w:rsidP="00011E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176.</w:t>
            </w:r>
            <w:r w:rsidRPr="001A6A6A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011E33" w:rsidRPr="005D25AB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:rsidR="00011E33" w:rsidRPr="008C0EBD" w:rsidRDefault="00011E33" w:rsidP="00011E3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8C0EB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:rsidR="00011E33" w:rsidRPr="00A030E6" w:rsidRDefault="00011E33" w:rsidP="00011E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8076E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:rsidR="00011E33" w:rsidRPr="006E0C18" w:rsidRDefault="00011E33" w:rsidP="00011E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33.</w:t>
            </w:r>
            <w:r w:rsidRPr="00B8076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:rsidR="00011E33" w:rsidRPr="00296F96" w:rsidRDefault="00011E33" w:rsidP="00011E3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</w:t>
            </w:r>
            <w:r w:rsidRPr="00B8076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:rsidR="00011E33" w:rsidRPr="00E87F78" w:rsidRDefault="00011E33" w:rsidP="00011E33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1A6A6A">
              <w:rPr>
                <w:color w:val="000000" w:themeColor="text1"/>
                <w:sz w:val="16"/>
                <w:szCs w:val="16"/>
              </w:rPr>
              <w:t>228</w:t>
            </w:r>
          </w:p>
        </w:tc>
        <w:tc>
          <w:tcPr>
            <w:tcW w:w="1207" w:type="dxa"/>
            <w:vAlign w:val="center"/>
          </w:tcPr>
          <w:p w:rsidR="00011E33" w:rsidRPr="009F4F41" w:rsidRDefault="00011E33" w:rsidP="00011E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250.</w:t>
            </w:r>
            <w:r w:rsidRPr="001A6A6A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</w:tbl>
    <w:p w:rsidR="00054314" w:rsidRPr="008C0EBD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154AC9" w:rsidRDefault="00154AC9" w:rsidP="00896EB9">
      <w:pPr>
        <w:rPr>
          <w:shd w:val="clear" w:color="auto" w:fill="FFFFFF"/>
          <w:lang w:val="en-GB"/>
        </w:rPr>
      </w:pPr>
    </w:p>
    <w:p w:rsidR="00FA54FD" w:rsidRPr="008C0EBD" w:rsidRDefault="00FA54FD" w:rsidP="00896EB9">
      <w:pPr>
        <w:rPr>
          <w:shd w:val="clear" w:color="auto" w:fill="FFFFFF"/>
          <w:lang w:val="en-GB"/>
        </w:rPr>
      </w:pPr>
    </w:p>
    <w:p w:rsidR="00896EB9" w:rsidRPr="00E55DC7" w:rsidRDefault="00896EB9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</w:pPr>
      <w:r w:rsidRPr="00E55DC7"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  <w:lastRenderedPageBreak/>
        <w:t xml:space="preserve">Dwellings for which permits have been granted or which have been registered with </w:t>
      </w:r>
      <w:r w:rsidRPr="00E55DC7"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  <w:br/>
        <w:t>a construction project</w:t>
      </w:r>
    </w:p>
    <w:p w:rsidR="00C47CE4" w:rsidRPr="00611CFA" w:rsidRDefault="00E04DF2" w:rsidP="00896EB9">
      <w:pPr>
        <w:rPr>
          <w:b/>
          <w:shd w:val="clear" w:color="auto" w:fill="FFFFFF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938AAD7" wp14:editId="5DFE9E4B">
                <wp:simplePos x="0" y="0"/>
                <wp:positionH relativeFrom="page">
                  <wp:posOffset>5649058</wp:posOffset>
                </wp:positionH>
                <wp:positionV relativeFrom="paragraph">
                  <wp:posOffset>5715</wp:posOffset>
                </wp:positionV>
                <wp:extent cx="1812290" cy="1235075"/>
                <wp:effectExtent l="0" t="0" r="0" b="317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519FF" w:rsidRPr="00AD1492" w:rsidRDefault="00B519FF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 w:rsidR="00FF795E">
                              <w:rPr>
                                <w:lang w:val="en-US"/>
                              </w:rPr>
                              <w:t xml:space="preserve"> in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by </w:t>
                            </w:r>
                            <w:r w:rsidR="00335136">
                              <w:rPr>
                                <w:lang w:val="en-US"/>
                              </w:rPr>
                              <w:t>4</w:t>
                            </w:r>
                            <w:r w:rsidRPr="00AD1492">
                              <w:rPr>
                                <w:lang w:val="en-US"/>
                              </w:rPr>
                              <w:t>.</w:t>
                            </w:r>
                            <w:r w:rsidR="00335136">
                              <w:rPr>
                                <w:lang w:val="en-US"/>
                              </w:rPr>
                              <w:t>2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% y/y in </w:t>
                            </w:r>
                            <w:r w:rsidR="00335136">
                              <w:rPr>
                                <w:lang w:val="en-US"/>
                              </w:rPr>
                              <w:t>the period of I-IX</w:t>
                            </w:r>
                            <w:r>
                              <w:rPr>
                                <w:lang w:val="en-US"/>
                              </w:rPr>
                              <w:t xml:space="preserve"> 2019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8AAD7" id="Pole tekstowe 15" o:spid="_x0000_s1031" type="#_x0000_t202" style="position:absolute;margin-left:444.8pt;margin-top:.45pt;width:142.7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" filled="f" stroked="f" strokeweight=".5pt">
                <v:textbox>
                  <w:txbxContent>
                    <w:p w:rsidR="00B519FF" w:rsidRPr="00AD1492" w:rsidRDefault="00B519FF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 w:rsidR="00FF795E">
                        <w:rPr>
                          <w:lang w:val="en-US"/>
                        </w:rPr>
                        <w:t xml:space="preserve"> in</w:t>
                      </w:r>
                      <w:r w:rsidRPr="00AD1492">
                        <w:rPr>
                          <w:lang w:val="en-US"/>
                        </w:rPr>
                        <w:t xml:space="preserve">creased by </w:t>
                      </w:r>
                      <w:r w:rsidR="00335136">
                        <w:rPr>
                          <w:lang w:val="en-US"/>
                        </w:rPr>
                        <w:t>4</w:t>
                      </w:r>
                      <w:r w:rsidRPr="00AD1492">
                        <w:rPr>
                          <w:lang w:val="en-US"/>
                        </w:rPr>
                        <w:t>.</w:t>
                      </w:r>
                      <w:r w:rsidR="00335136">
                        <w:rPr>
                          <w:lang w:val="en-US"/>
                        </w:rPr>
                        <w:t>2</w:t>
                      </w:r>
                      <w:r w:rsidRPr="00AD1492">
                        <w:rPr>
                          <w:lang w:val="en-US"/>
                        </w:rPr>
                        <w:t xml:space="preserve">% y/y in </w:t>
                      </w:r>
                      <w:r w:rsidR="00335136">
                        <w:rPr>
                          <w:lang w:val="en-US"/>
                        </w:rPr>
                        <w:t>the period of I-IX</w:t>
                      </w:r>
                      <w:r>
                        <w:rPr>
                          <w:lang w:val="en-US"/>
                        </w:rPr>
                        <w:t xml:space="preserve"> 2019</w:t>
                      </w:r>
                      <w:r w:rsidRPr="00AD1492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D1D77" w:rsidRPr="00BD1D77">
        <w:rPr>
          <w:szCs w:val="19"/>
          <w:shd w:val="clear" w:color="auto" w:fill="FFFFFF"/>
          <w:lang w:val="en-GB"/>
        </w:rPr>
        <w:t>I</w:t>
      </w:r>
      <w:r w:rsidR="00BD1D77" w:rsidRPr="00425FE5">
        <w:rPr>
          <w:szCs w:val="19"/>
          <w:shd w:val="clear" w:color="auto" w:fill="FFFFFF"/>
          <w:lang w:val="en-GB"/>
        </w:rPr>
        <w:t xml:space="preserve">n </w:t>
      </w:r>
      <w:r w:rsidR="00CE0F21">
        <w:rPr>
          <w:szCs w:val="19"/>
          <w:shd w:val="clear" w:color="auto" w:fill="FFFFFF"/>
          <w:lang w:val="en-GB"/>
        </w:rPr>
        <w:t xml:space="preserve">the </w:t>
      </w:r>
      <w:r w:rsidR="00F06543">
        <w:rPr>
          <w:szCs w:val="19"/>
          <w:shd w:val="clear" w:color="auto" w:fill="FFFFFF"/>
          <w:lang w:val="en-GB"/>
        </w:rPr>
        <w:t xml:space="preserve">period of </w:t>
      </w:r>
      <w:r w:rsidR="00335136">
        <w:rPr>
          <w:szCs w:val="19"/>
          <w:shd w:val="clear" w:color="auto" w:fill="FFFFFF"/>
          <w:lang w:val="en-GB"/>
        </w:rPr>
        <w:t>nine</w:t>
      </w:r>
      <w:r w:rsidR="00F06543">
        <w:rPr>
          <w:szCs w:val="19"/>
          <w:shd w:val="clear" w:color="auto" w:fill="FFFFFF"/>
          <w:lang w:val="en-GB"/>
        </w:rPr>
        <w:t xml:space="preserve"> months </w:t>
      </w:r>
      <w:r w:rsidR="00611CFA">
        <w:rPr>
          <w:szCs w:val="19"/>
          <w:shd w:val="clear" w:color="auto" w:fill="FFFFFF"/>
          <w:lang w:val="en-GB"/>
        </w:rPr>
        <w:t>of</w:t>
      </w:r>
      <w:r>
        <w:rPr>
          <w:szCs w:val="19"/>
          <w:shd w:val="clear" w:color="auto" w:fill="FFFFFF"/>
          <w:lang w:val="en-GB"/>
        </w:rPr>
        <w:t xml:space="preserve"> 2019</w:t>
      </w:r>
      <w:r w:rsidR="00BD1D77" w:rsidRPr="00425FE5">
        <w:rPr>
          <w:szCs w:val="19"/>
          <w:shd w:val="clear" w:color="auto" w:fill="FFFFFF"/>
          <w:lang w:val="en-GB"/>
        </w:rPr>
        <w:t xml:space="preserve"> </w:t>
      </w:r>
      <w:r w:rsidR="00C47CE4">
        <w:rPr>
          <w:shd w:val="clear" w:color="auto" w:fill="FFFFFF"/>
          <w:lang w:val="en-US"/>
        </w:rPr>
        <w:t>permits and registrations</w:t>
      </w:r>
      <w:r w:rsidR="00C47CE4" w:rsidRPr="00361E3E">
        <w:rPr>
          <w:shd w:val="clear" w:color="auto" w:fill="FFFFFF"/>
          <w:lang w:val="en-US"/>
        </w:rPr>
        <w:t xml:space="preserve"> </w:t>
      </w:r>
      <w:r w:rsidR="00C47CE4">
        <w:rPr>
          <w:shd w:val="clear" w:color="auto" w:fill="FFFFFF"/>
          <w:lang w:val="en-US"/>
        </w:rPr>
        <w:t xml:space="preserve">have been granted for construction of </w:t>
      </w:r>
      <w:r w:rsidR="00335136">
        <w:rPr>
          <w:shd w:val="clear" w:color="auto" w:fill="FFFFFF"/>
          <w:lang w:val="en-US"/>
        </w:rPr>
        <w:t>201</w:t>
      </w:r>
      <w:r w:rsidR="00F06543">
        <w:rPr>
          <w:shd w:val="clear" w:color="auto" w:fill="FFFFFF"/>
          <w:lang w:val="en-US"/>
        </w:rPr>
        <w:t>.</w:t>
      </w:r>
      <w:r w:rsidR="00335136">
        <w:rPr>
          <w:shd w:val="clear" w:color="auto" w:fill="FFFFFF"/>
          <w:lang w:val="en-US"/>
        </w:rPr>
        <w:t>3</w:t>
      </w:r>
      <w:r w:rsidR="00086F9F">
        <w:rPr>
          <w:shd w:val="clear" w:color="auto" w:fill="FFFFFF"/>
          <w:lang w:val="en-US"/>
        </w:rPr>
        <w:t xml:space="preserve"> thous.</w:t>
      </w:r>
      <w:r w:rsidR="00FD0C2F">
        <w:rPr>
          <w:shd w:val="clear" w:color="auto" w:fill="FFFFFF"/>
          <w:lang w:val="en-US"/>
        </w:rPr>
        <w:t xml:space="preserve"> dwellings, </w:t>
      </w:r>
      <w:r w:rsidR="00C47CE4">
        <w:rPr>
          <w:shd w:val="clear" w:color="auto" w:fill="FFFFFF"/>
          <w:lang w:val="en-US"/>
        </w:rPr>
        <w:t xml:space="preserve">i.e. by </w:t>
      </w:r>
      <w:r w:rsidR="00335136">
        <w:rPr>
          <w:shd w:val="clear" w:color="auto" w:fill="FFFFFF"/>
          <w:lang w:val="en-US"/>
        </w:rPr>
        <w:t>4</w:t>
      </w:r>
      <w:r w:rsidR="00E245E1">
        <w:rPr>
          <w:shd w:val="clear" w:color="auto" w:fill="FFFFFF"/>
          <w:lang w:val="en-US"/>
        </w:rPr>
        <w:t>.</w:t>
      </w:r>
      <w:r w:rsidR="00335136">
        <w:rPr>
          <w:shd w:val="clear" w:color="auto" w:fill="FFFFFF"/>
          <w:lang w:val="en-US"/>
        </w:rPr>
        <w:t>2</w:t>
      </w:r>
      <w:r w:rsidR="00C47CE4">
        <w:rPr>
          <w:shd w:val="clear" w:color="auto" w:fill="FFFFFF"/>
          <w:lang w:val="en-US"/>
        </w:rPr>
        <w:t xml:space="preserve">% </w:t>
      </w:r>
      <w:r w:rsidR="00575C63">
        <w:rPr>
          <w:shd w:val="clear" w:color="auto" w:fill="FFFFFF"/>
          <w:lang w:val="en-US"/>
        </w:rPr>
        <w:t>more</w:t>
      </w:r>
      <w:r w:rsidR="00C47CE4">
        <w:rPr>
          <w:shd w:val="clear" w:color="auto" w:fill="FFFFFF"/>
          <w:lang w:val="en-US"/>
        </w:rPr>
        <w:t xml:space="preserve"> than in </w:t>
      </w:r>
      <w:r w:rsidR="00C47CE4" w:rsidRPr="00A02ED8">
        <w:rPr>
          <w:shd w:val="clear" w:color="auto" w:fill="FFFFFF"/>
          <w:lang w:val="en-US"/>
        </w:rPr>
        <w:t>the corres</w:t>
      </w:r>
      <w:r w:rsidR="00856FE3">
        <w:rPr>
          <w:shd w:val="clear" w:color="auto" w:fill="FFFFFF"/>
          <w:lang w:val="en-US"/>
        </w:rPr>
        <w:t xml:space="preserve">ponding </w:t>
      </w:r>
      <w:r w:rsidR="007C3CC8">
        <w:rPr>
          <w:shd w:val="clear" w:color="auto" w:fill="FFFFFF"/>
          <w:lang w:val="en-US"/>
        </w:rPr>
        <w:t>period</w:t>
      </w:r>
      <w:r w:rsidR="00856FE3">
        <w:rPr>
          <w:shd w:val="clear" w:color="auto" w:fill="FFFFFF"/>
          <w:lang w:val="en-US"/>
        </w:rPr>
        <w:t xml:space="preserve"> of</w:t>
      </w:r>
      <w:r w:rsidR="003F19F4">
        <w:rPr>
          <w:shd w:val="clear" w:color="auto" w:fill="FFFFFF"/>
          <w:lang w:val="en-US"/>
        </w:rPr>
        <w:t xml:space="preserve"> </w:t>
      </w:r>
      <w:r w:rsidR="007C3CC8">
        <w:rPr>
          <w:shd w:val="clear" w:color="auto" w:fill="FFFFFF"/>
          <w:lang w:val="en-US"/>
        </w:rPr>
        <w:t xml:space="preserve">the </w:t>
      </w:r>
      <w:r w:rsidR="00856FE3">
        <w:rPr>
          <w:shd w:val="clear" w:color="auto" w:fill="FFFFFF"/>
          <w:lang w:val="en-US"/>
        </w:rPr>
        <w:t xml:space="preserve">previous year. </w:t>
      </w:r>
      <w:r w:rsidR="00C47CE4">
        <w:rPr>
          <w:shd w:val="clear" w:color="auto" w:fill="FFFFFF"/>
          <w:lang w:val="en-US"/>
        </w:rPr>
        <w:t xml:space="preserve">Permits for construction of the biggest number of dwellings were given to </w:t>
      </w:r>
      <w:r w:rsidR="00435283">
        <w:rPr>
          <w:b/>
          <w:shd w:val="clear" w:color="auto" w:fill="FFFFFF"/>
          <w:lang w:val="en-US"/>
        </w:rPr>
        <w:t xml:space="preserve">developers </w:t>
      </w:r>
      <w:r w:rsidR="00BD1D77">
        <w:rPr>
          <w:shd w:val="clear" w:color="auto" w:fill="FFFFFF"/>
          <w:lang w:val="en-US"/>
        </w:rPr>
        <w:t>(</w:t>
      </w:r>
      <w:r w:rsidR="00BF61F6">
        <w:rPr>
          <w:shd w:val="clear" w:color="auto" w:fill="FFFFFF"/>
          <w:lang w:val="en-US"/>
        </w:rPr>
        <w:t>123.2</w:t>
      </w:r>
      <w:r w:rsidR="00086F9F">
        <w:rPr>
          <w:shd w:val="clear" w:color="auto" w:fill="FFFFFF"/>
          <w:lang w:val="en-US"/>
        </w:rPr>
        <w:t xml:space="preserve"> thous.</w:t>
      </w:r>
      <w:r w:rsidR="00BD1D77">
        <w:rPr>
          <w:shd w:val="clear" w:color="auto" w:fill="FFFFFF"/>
          <w:lang w:val="en-US"/>
        </w:rPr>
        <w:t>)</w:t>
      </w:r>
      <w:r w:rsidR="00C47CE4">
        <w:rPr>
          <w:shd w:val="clear" w:color="auto" w:fill="FFFFFF"/>
          <w:lang w:val="en-US"/>
        </w:rPr>
        <w:t xml:space="preserve"> and to </w:t>
      </w:r>
      <w:r w:rsidR="00C47CE4" w:rsidRPr="004F2B55">
        <w:rPr>
          <w:b/>
          <w:shd w:val="clear" w:color="auto" w:fill="FFFFFF"/>
          <w:lang w:val="en-US"/>
        </w:rPr>
        <w:t>private investors</w:t>
      </w:r>
      <w:r w:rsidR="00BD1D77">
        <w:rPr>
          <w:shd w:val="clear" w:color="auto" w:fill="FFFFFF"/>
          <w:lang w:val="en-US"/>
        </w:rPr>
        <w:t xml:space="preserve"> (</w:t>
      </w:r>
      <w:r w:rsidR="00335136">
        <w:rPr>
          <w:shd w:val="clear" w:color="auto" w:fill="FFFFFF"/>
          <w:lang w:val="en-US"/>
        </w:rPr>
        <w:t>74</w:t>
      </w:r>
      <w:r w:rsidR="001A1F89">
        <w:rPr>
          <w:shd w:val="clear" w:color="auto" w:fill="FFFFFF"/>
          <w:lang w:val="en-US"/>
        </w:rPr>
        <w:t>.</w:t>
      </w:r>
      <w:r w:rsidR="00335136">
        <w:rPr>
          <w:shd w:val="clear" w:color="auto" w:fill="FFFFFF"/>
          <w:lang w:val="en-US"/>
        </w:rPr>
        <w:t>9</w:t>
      </w:r>
      <w:r w:rsidR="00086F9F">
        <w:rPr>
          <w:shd w:val="clear" w:color="auto" w:fill="FFFFFF"/>
          <w:lang w:val="en-US"/>
        </w:rPr>
        <w:t xml:space="preserve"> thous.</w:t>
      </w:r>
      <w:r w:rsidR="00BD1D77">
        <w:rPr>
          <w:shd w:val="clear" w:color="auto" w:fill="FFFFFF"/>
          <w:lang w:val="en-US"/>
        </w:rPr>
        <w:t>)</w:t>
      </w:r>
      <w:r w:rsidR="003A358E">
        <w:rPr>
          <w:shd w:val="clear" w:color="auto" w:fill="FFFFFF"/>
          <w:lang w:val="en-US"/>
        </w:rPr>
        <w:t xml:space="preserve">, i.e. </w:t>
      </w:r>
      <w:r w:rsidR="00495B6E">
        <w:rPr>
          <w:shd w:val="clear" w:color="auto" w:fill="FFFFFF"/>
          <w:lang w:val="en-US"/>
        </w:rPr>
        <w:t xml:space="preserve">respectively by </w:t>
      </w:r>
      <w:r w:rsidR="00335136">
        <w:rPr>
          <w:shd w:val="clear" w:color="auto" w:fill="FFFFFF"/>
          <w:lang w:val="en-US"/>
        </w:rPr>
        <w:t>4</w:t>
      </w:r>
      <w:r w:rsidR="001A1F89">
        <w:rPr>
          <w:shd w:val="clear" w:color="auto" w:fill="FFFFFF"/>
          <w:lang w:val="en-US"/>
        </w:rPr>
        <w:t>.</w:t>
      </w:r>
      <w:r w:rsidR="00335136">
        <w:rPr>
          <w:shd w:val="clear" w:color="auto" w:fill="FFFFFF"/>
          <w:lang w:val="en-US"/>
        </w:rPr>
        <w:t>8</w:t>
      </w:r>
      <w:r w:rsidR="003A358E">
        <w:rPr>
          <w:shd w:val="clear" w:color="auto" w:fill="FFFFFF"/>
          <w:lang w:val="en-US"/>
        </w:rPr>
        <w:t>%</w:t>
      </w:r>
      <w:r w:rsidR="000712A2">
        <w:rPr>
          <w:shd w:val="clear" w:color="auto" w:fill="FFFFFF"/>
          <w:lang w:val="en-US"/>
        </w:rPr>
        <w:t xml:space="preserve"> </w:t>
      </w:r>
      <w:r w:rsidR="00F06543">
        <w:rPr>
          <w:shd w:val="clear" w:color="auto" w:fill="FFFFFF"/>
          <w:lang w:val="en-US"/>
        </w:rPr>
        <w:t xml:space="preserve">and </w:t>
      </w:r>
      <w:r w:rsidR="00335136">
        <w:rPr>
          <w:shd w:val="clear" w:color="auto" w:fill="FFFFFF"/>
          <w:lang w:val="en-US"/>
        </w:rPr>
        <w:t>5</w:t>
      </w:r>
      <w:r w:rsidR="00C47CE4">
        <w:rPr>
          <w:shd w:val="clear" w:color="auto" w:fill="FFFFFF"/>
          <w:lang w:val="en-US"/>
        </w:rPr>
        <w:t>.</w:t>
      </w:r>
      <w:r w:rsidR="00335136">
        <w:rPr>
          <w:shd w:val="clear" w:color="auto" w:fill="FFFFFF"/>
          <w:lang w:val="en-US"/>
        </w:rPr>
        <w:t>1</w:t>
      </w:r>
      <w:r w:rsidR="003A358E">
        <w:rPr>
          <w:shd w:val="clear" w:color="auto" w:fill="FFFFFF"/>
          <w:lang w:val="en-US"/>
        </w:rPr>
        <w:t xml:space="preserve">% </w:t>
      </w:r>
      <w:r w:rsidR="000712A2">
        <w:rPr>
          <w:shd w:val="clear" w:color="auto" w:fill="FFFFFF"/>
          <w:lang w:val="en-US"/>
        </w:rPr>
        <w:t>more</w:t>
      </w:r>
      <w:r w:rsidR="003A358E">
        <w:rPr>
          <w:shd w:val="clear" w:color="auto" w:fill="FFFFFF"/>
          <w:lang w:val="en-US"/>
        </w:rPr>
        <w:t xml:space="preserve"> than in </w:t>
      </w:r>
      <w:r w:rsidR="00495B6E">
        <w:rPr>
          <w:shd w:val="clear" w:color="auto" w:fill="FFFFFF"/>
          <w:lang w:val="en-US"/>
        </w:rPr>
        <w:t>the corresponding period of</w:t>
      </w:r>
      <w:r w:rsidR="003A358E">
        <w:rPr>
          <w:shd w:val="clear" w:color="auto" w:fill="FFFFFF"/>
          <w:lang w:val="en-US"/>
        </w:rPr>
        <w:t xml:space="preserve"> 2018</w:t>
      </w:r>
      <w:r w:rsidR="00CF36C5">
        <w:rPr>
          <w:shd w:val="clear" w:color="auto" w:fill="FFFFFF"/>
          <w:lang w:val="en-US"/>
        </w:rPr>
        <w:t xml:space="preserve">. </w:t>
      </w:r>
      <w:r w:rsidR="000A7C88" w:rsidRPr="00485E73">
        <w:rPr>
          <w:shd w:val="clear" w:color="auto" w:fill="FFFFFF"/>
          <w:lang w:val="en-US"/>
        </w:rPr>
        <w:t xml:space="preserve">Altogether </w:t>
      </w:r>
      <w:r w:rsidR="00507D43" w:rsidRPr="00485E73">
        <w:rPr>
          <w:shd w:val="clear" w:color="auto" w:fill="FFFFFF"/>
          <w:lang w:val="en-US"/>
        </w:rPr>
        <w:t xml:space="preserve">the share </w:t>
      </w:r>
      <w:r w:rsidR="00CD44F1">
        <w:rPr>
          <w:shd w:val="clear" w:color="auto" w:fill="FFFFFF"/>
          <w:lang w:val="en-US"/>
        </w:rPr>
        <w:t>of</w:t>
      </w:r>
      <w:r w:rsidR="00507D43" w:rsidRPr="00485E73">
        <w:rPr>
          <w:shd w:val="clear" w:color="auto" w:fill="FFFFFF"/>
          <w:lang w:val="en-US"/>
        </w:rPr>
        <w:t xml:space="preserve"> </w:t>
      </w:r>
      <w:r w:rsidR="000A7C88" w:rsidRPr="000A7C88">
        <w:rPr>
          <w:shd w:val="clear" w:color="auto" w:fill="FFFFFF"/>
          <w:lang w:val="en-US"/>
        </w:rPr>
        <w:t xml:space="preserve">these forms </w:t>
      </w:r>
      <w:r w:rsidR="001A1F89">
        <w:rPr>
          <w:shd w:val="clear" w:color="auto" w:fill="FFFFFF"/>
          <w:lang w:val="en-US"/>
        </w:rPr>
        <w:t>of construction amounted to 98.</w:t>
      </w:r>
      <w:r w:rsidR="00335136">
        <w:rPr>
          <w:shd w:val="clear" w:color="auto" w:fill="FFFFFF"/>
          <w:lang w:val="en-US"/>
        </w:rPr>
        <w:t>4</w:t>
      </w:r>
      <w:r w:rsidR="000A7C88" w:rsidRPr="000A7C88">
        <w:rPr>
          <w:shd w:val="clear" w:color="auto" w:fill="FFFFFF"/>
          <w:lang w:val="en-US"/>
        </w:rPr>
        <w:t xml:space="preserve">% of </w:t>
      </w:r>
      <w:r w:rsidR="00B30E2E">
        <w:rPr>
          <w:shd w:val="clear" w:color="auto" w:fill="FFFFFF"/>
          <w:lang w:val="en-US"/>
        </w:rPr>
        <w:t xml:space="preserve">a </w:t>
      </w:r>
      <w:r w:rsidR="000A7C88" w:rsidRPr="000A7C88">
        <w:rPr>
          <w:shd w:val="clear" w:color="auto" w:fill="FFFFFF"/>
          <w:lang w:val="en-US"/>
        </w:rPr>
        <w:t>total number of dwellings</w:t>
      </w:r>
      <w:r w:rsidR="00507D43">
        <w:rPr>
          <w:shd w:val="clear" w:color="auto" w:fill="FFFFFF"/>
          <w:lang w:val="en-US"/>
        </w:rPr>
        <w:t xml:space="preserve">. </w:t>
      </w:r>
      <w:r w:rsidR="00AD30D2">
        <w:rPr>
          <w:shd w:val="clear" w:color="auto" w:fill="FFFFFF"/>
          <w:lang w:val="en-US"/>
        </w:rPr>
        <w:t>Less</w:t>
      </w:r>
      <w:r w:rsidR="00507D43">
        <w:rPr>
          <w:shd w:val="clear" w:color="auto" w:fill="FFFFFF"/>
          <w:lang w:val="en-US"/>
        </w:rPr>
        <w:t xml:space="preserve"> dwellings</w:t>
      </w:r>
      <w:r w:rsidR="00507D43" w:rsidRPr="00612A93">
        <w:rPr>
          <w:lang w:val="en-GB"/>
        </w:rPr>
        <w:t xml:space="preserve"> </w:t>
      </w:r>
      <w:r w:rsidR="00CE0F21">
        <w:rPr>
          <w:lang w:val="en-GB"/>
        </w:rPr>
        <w:t xml:space="preserve">than in the period of </w:t>
      </w:r>
      <w:r w:rsidR="00335136">
        <w:rPr>
          <w:lang w:val="en-GB"/>
        </w:rPr>
        <w:t>nine</w:t>
      </w:r>
      <w:r w:rsidR="00CE0F21">
        <w:rPr>
          <w:lang w:val="en-GB"/>
        </w:rPr>
        <w:t xml:space="preserve"> months of the previous year </w:t>
      </w:r>
      <w:r w:rsidR="00507D43" w:rsidRPr="00507D43">
        <w:rPr>
          <w:shd w:val="clear" w:color="auto" w:fill="FFFFFF"/>
          <w:lang w:val="en-US"/>
        </w:rPr>
        <w:t>for which permits have been grante</w:t>
      </w:r>
      <w:r w:rsidR="00507D43">
        <w:rPr>
          <w:shd w:val="clear" w:color="auto" w:fill="FFFFFF"/>
          <w:lang w:val="en-US"/>
        </w:rPr>
        <w:t xml:space="preserve">d or which have been registered </w:t>
      </w:r>
      <w:r w:rsidR="00507D43" w:rsidRPr="00507D43">
        <w:rPr>
          <w:shd w:val="clear" w:color="auto" w:fill="FFFFFF"/>
          <w:lang w:val="en-US"/>
        </w:rPr>
        <w:t xml:space="preserve">with a construction project </w:t>
      </w:r>
      <w:r w:rsidR="00C47CE4" w:rsidRPr="006A0E22">
        <w:rPr>
          <w:shd w:val="clear" w:color="auto" w:fill="FFFFFF"/>
          <w:lang w:val="en-US"/>
        </w:rPr>
        <w:t xml:space="preserve">were </w:t>
      </w:r>
      <w:r w:rsidR="00CD44F1">
        <w:rPr>
          <w:shd w:val="clear" w:color="auto" w:fill="FFFFFF"/>
          <w:lang w:val="en-US"/>
        </w:rPr>
        <w:t>not</w:t>
      </w:r>
      <w:r w:rsidR="00507D43" w:rsidRPr="006A0E22">
        <w:rPr>
          <w:shd w:val="clear" w:color="auto" w:fill="FFFFFF"/>
          <w:lang w:val="en-US"/>
        </w:rPr>
        <w:t xml:space="preserve">ed </w:t>
      </w:r>
      <w:r w:rsidR="006A0E22" w:rsidRPr="006A0E22">
        <w:rPr>
          <w:shd w:val="clear" w:color="auto" w:fill="FFFFFF"/>
          <w:lang w:val="en-US"/>
        </w:rPr>
        <w:t xml:space="preserve">in </w:t>
      </w:r>
      <w:r w:rsidR="00BD601A" w:rsidRPr="006A0E22">
        <w:rPr>
          <w:shd w:val="clear" w:color="auto" w:fill="FFFFFF"/>
          <w:lang w:val="en-US"/>
        </w:rPr>
        <w:t>the</w:t>
      </w:r>
      <w:r w:rsidR="00507D43" w:rsidRPr="006A0E22">
        <w:rPr>
          <w:shd w:val="clear" w:color="auto" w:fill="FFFFFF"/>
          <w:lang w:val="en-US"/>
        </w:rPr>
        <w:t xml:space="preserve"> </w:t>
      </w:r>
      <w:r w:rsidR="00BD601A" w:rsidRPr="006A0E22">
        <w:rPr>
          <w:b/>
          <w:shd w:val="clear" w:color="auto" w:fill="FFFFFF"/>
          <w:lang w:val="en-US"/>
        </w:rPr>
        <w:t xml:space="preserve">cooperative </w:t>
      </w:r>
      <w:r w:rsidR="00BD601A" w:rsidRPr="00D536C0">
        <w:rPr>
          <w:shd w:val="clear" w:color="auto" w:fill="FFFFFF"/>
          <w:lang w:val="en-US"/>
        </w:rPr>
        <w:t>construction</w:t>
      </w:r>
      <w:r w:rsidR="00507D43" w:rsidRPr="006A0E22">
        <w:rPr>
          <w:shd w:val="clear" w:color="auto" w:fill="FFFFFF"/>
          <w:lang w:val="en-US"/>
        </w:rPr>
        <w:t xml:space="preserve"> </w:t>
      </w:r>
      <w:r w:rsidR="00983BE8">
        <w:rPr>
          <w:shd w:val="clear" w:color="auto" w:fill="FFFFFF"/>
          <w:lang w:val="en-US"/>
        </w:rPr>
        <w:t>(</w:t>
      </w:r>
      <w:r w:rsidR="00335136">
        <w:rPr>
          <w:shd w:val="clear" w:color="auto" w:fill="FFFFFF"/>
          <w:lang w:val="en-US"/>
        </w:rPr>
        <w:t>1255</w:t>
      </w:r>
      <w:r w:rsidR="00F06543" w:rsidRPr="00F06543">
        <w:rPr>
          <w:shd w:val="clear" w:color="auto" w:fill="FFFFFF"/>
          <w:lang w:val="en-US"/>
        </w:rPr>
        <w:t xml:space="preserve"> </w:t>
      </w:r>
      <w:r w:rsidR="00507D43">
        <w:rPr>
          <w:shd w:val="clear" w:color="auto" w:fill="FFFFFF"/>
          <w:lang w:val="en-US"/>
        </w:rPr>
        <w:t xml:space="preserve">dwellings </w:t>
      </w:r>
      <w:r w:rsidR="00C47CE4">
        <w:rPr>
          <w:shd w:val="clear" w:color="auto" w:fill="FFFFFF"/>
          <w:lang w:val="en-US"/>
        </w:rPr>
        <w:t xml:space="preserve">against </w:t>
      </w:r>
      <w:r w:rsidR="00335136">
        <w:rPr>
          <w:shd w:val="clear" w:color="auto" w:fill="FFFFFF"/>
          <w:lang w:val="en-US"/>
        </w:rPr>
        <w:t>1348</w:t>
      </w:r>
      <w:r w:rsidR="00AD30D2">
        <w:rPr>
          <w:shd w:val="clear" w:color="auto" w:fill="FFFFFF"/>
          <w:lang w:val="en-US"/>
        </w:rPr>
        <w:t>) and</w:t>
      </w:r>
      <w:r w:rsidR="00C47CE4" w:rsidRPr="00485E73">
        <w:rPr>
          <w:shd w:val="clear" w:color="auto" w:fill="FFFFFF"/>
          <w:lang w:val="en-US"/>
        </w:rPr>
        <w:t xml:space="preserve"> </w:t>
      </w:r>
      <w:r w:rsidR="00704521">
        <w:rPr>
          <w:shd w:val="clear" w:color="auto" w:fill="FFFFFF"/>
          <w:lang w:val="en-US"/>
        </w:rPr>
        <w:t>in</w:t>
      </w:r>
      <w:r w:rsidR="00704521" w:rsidRPr="00485E73">
        <w:rPr>
          <w:shd w:val="clear" w:color="auto" w:fill="FFFFFF"/>
          <w:lang w:val="en-US"/>
        </w:rPr>
        <w:t xml:space="preserve"> </w:t>
      </w:r>
      <w:r w:rsidR="00704521" w:rsidRPr="00485E73">
        <w:rPr>
          <w:b/>
          <w:shd w:val="clear" w:color="auto" w:fill="FFFFFF"/>
          <w:lang w:val="en-US"/>
        </w:rPr>
        <w:t xml:space="preserve">other forms </w:t>
      </w:r>
      <w:r w:rsidR="00704521" w:rsidRPr="00485E73">
        <w:rPr>
          <w:shd w:val="clear" w:color="auto" w:fill="FFFFFF"/>
          <w:lang w:val="en-US"/>
        </w:rPr>
        <w:t>of</w:t>
      </w:r>
      <w:r w:rsidR="00704521" w:rsidRPr="00485E73">
        <w:rPr>
          <w:b/>
          <w:shd w:val="clear" w:color="auto" w:fill="FFFFFF"/>
          <w:lang w:val="en-US"/>
        </w:rPr>
        <w:t xml:space="preserve"> </w:t>
      </w:r>
      <w:r w:rsidR="00704521" w:rsidRPr="00485E73">
        <w:rPr>
          <w:shd w:val="clear" w:color="auto" w:fill="FFFFFF"/>
          <w:lang w:val="en-US"/>
        </w:rPr>
        <w:t xml:space="preserve">construction </w:t>
      </w:r>
      <w:r w:rsidR="00616583" w:rsidRPr="00485E73">
        <w:rPr>
          <w:shd w:val="clear" w:color="auto" w:fill="FFFFFF"/>
          <w:lang w:val="en-US"/>
        </w:rPr>
        <w:t>(</w:t>
      </w:r>
      <w:r w:rsidR="00335136">
        <w:rPr>
          <w:shd w:val="clear" w:color="auto" w:fill="FFFFFF"/>
          <w:lang w:val="en-US"/>
        </w:rPr>
        <w:t>1913</w:t>
      </w:r>
      <w:r w:rsidR="00F06543" w:rsidRPr="00F06543">
        <w:rPr>
          <w:shd w:val="clear" w:color="auto" w:fill="FFFFFF"/>
          <w:lang w:val="en-US"/>
        </w:rPr>
        <w:t xml:space="preserve"> </w:t>
      </w:r>
      <w:r w:rsidR="00616583" w:rsidRPr="00485E73">
        <w:rPr>
          <w:shd w:val="clear" w:color="auto" w:fill="FFFFFF"/>
          <w:lang w:val="en-US"/>
        </w:rPr>
        <w:t>dwellings</w:t>
      </w:r>
      <w:r w:rsidR="00611CFA">
        <w:rPr>
          <w:shd w:val="clear" w:color="auto" w:fill="FFFFFF"/>
          <w:lang w:val="en-US"/>
        </w:rPr>
        <w:t xml:space="preserve"> against </w:t>
      </w:r>
      <w:r w:rsidR="00335136">
        <w:rPr>
          <w:shd w:val="clear" w:color="auto" w:fill="FFFFFF"/>
          <w:lang w:val="en-US"/>
        </w:rPr>
        <w:t>3142</w:t>
      </w:r>
      <w:r w:rsidR="00616583" w:rsidRPr="00485E73">
        <w:rPr>
          <w:shd w:val="clear" w:color="auto" w:fill="FFFFFF"/>
          <w:lang w:val="en-US"/>
        </w:rPr>
        <w:t>)</w:t>
      </w:r>
      <w:r w:rsidR="00616583">
        <w:rPr>
          <w:shd w:val="clear" w:color="auto" w:fill="FFFFFF"/>
          <w:lang w:val="en-US"/>
        </w:rPr>
        <w:t>.</w:t>
      </w:r>
    </w:p>
    <w:p w:rsidR="00896EB9" w:rsidRPr="00896EB9" w:rsidRDefault="00896EB9" w:rsidP="00E55DC7">
      <w:pPr>
        <w:pStyle w:val="tytuwykresu"/>
        <w:ind w:left="851" w:hanging="851"/>
        <w:jc w:val="both"/>
        <w:rPr>
          <w:szCs w:val="19"/>
          <w:shd w:val="clear" w:color="auto" w:fill="FFFFFF"/>
          <w:lang w:val="en-GB"/>
        </w:rPr>
      </w:pPr>
      <w:r>
        <w:rPr>
          <w:sz w:val="19"/>
          <w:szCs w:val="19"/>
          <w:shd w:val="clear" w:color="auto" w:fill="FFFFFF"/>
          <w:lang w:val="en-GB"/>
        </w:rPr>
        <w:t>Table 2</w:t>
      </w:r>
      <w:r w:rsidRPr="00896EB9">
        <w:rPr>
          <w:sz w:val="19"/>
          <w:szCs w:val="19"/>
          <w:shd w:val="clear" w:color="auto" w:fill="FFFFFF"/>
          <w:lang w:val="en-GB"/>
        </w:rPr>
        <w:t xml:space="preserve">. </w:t>
      </w:r>
      <w:r w:rsidRPr="00896EB9">
        <w:rPr>
          <w:szCs w:val="19"/>
          <w:shd w:val="clear" w:color="auto" w:fill="FFFFFF"/>
          <w:lang w:val="en-GB"/>
        </w:rPr>
        <w:t xml:space="preserve">Dwellings for which permits have been granted or which have been registered with </w:t>
      </w:r>
      <w:r w:rsidRPr="00896EB9">
        <w:rPr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1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EC7E66" w:rsidRPr="00EC7E66" w:rsidTr="00E873C8">
        <w:trPr>
          <w:trHeight w:val="57"/>
        </w:trPr>
        <w:tc>
          <w:tcPr>
            <w:tcW w:w="2049" w:type="dxa"/>
            <w:vMerge w:val="restart"/>
            <w:vAlign w:val="center"/>
          </w:tcPr>
          <w:p w:rsidR="00EC7E66" w:rsidRPr="0030115B" w:rsidRDefault="00EC7E66" w:rsidP="00EC7E66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Forms of construction</w:t>
            </w:r>
          </w:p>
        </w:tc>
        <w:tc>
          <w:tcPr>
            <w:tcW w:w="6031" w:type="dxa"/>
            <w:gridSpan w:val="5"/>
            <w:vAlign w:val="center"/>
          </w:tcPr>
          <w:p w:rsidR="00EC7E66" w:rsidRPr="00EC7E66" w:rsidRDefault="00EC7E66" w:rsidP="00EC7E66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C7E6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2019</w:t>
            </w:r>
          </w:p>
        </w:tc>
      </w:tr>
      <w:tr w:rsidR="00EC7E66" w:rsidRPr="00EC7E66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EC7E66" w:rsidRPr="00EC7E66" w:rsidRDefault="00EC7E66" w:rsidP="00EC7E6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EC7E66" w:rsidRPr="00EC7E66" w:rsidRDefault="0033513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EC7E66" w:rsidRPr="00EC7E66" w:rsidRDefault="001A1F89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335136">
              <w:rPr>
                <w:color w:val="000000" w:themeColor="text1"/>
                <w:sz w:val="16"/>
                <w:szCs w:val="16"/>
              </w:rPr>
              <w:t>IX</w:t>
            </w:r>
          </w:p>
        </w:tc>
      </w:tr>
      <w:tr w:rsidR="00EC7E66" w:rsidRPr="00EC7E66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EC7E66" w:rsidRPr="00EC7E66" w:rsidRDefault="00EC7E66" w:rsidP="00EC7E6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5E6FF1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046F6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33513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</w:p>
          <w:p w:rsidR="00EC7E66" w:rsidRPr="00EC7E66" w:rsidRDefault="00EC7E6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C7E66"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1A1F89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575C63">
              <w:rPr>
                <w:color w:val="000000" w:themeColor="text1"/>
                <w:sz w:val="16"/>
                <w:szCs w:val="16"/>
              </w:rPr>
              <w:t>I</w:t>
            </w:r>
            <w:r w:rsidR="00885F42">
              <w:rPr>
                <w:color w:val="000000" w:themeColor="text1"/>
                <w:sz w:val="16"/>
                <w:szCs w:val="16"/>
              </w:rPr>
              <w:t>I</w:t>
            </w:r>
            <w:r w:rsidR="00335136">
              <w:rPr>
                <w:color w:val="000000" w:themeColor="text1"/>
                <w:sz w:val="16"/>
                <w:szCs w:val="16"/>
              </w:rPr>
              <w:t>I</w:t>
            </w:r>
          </w:p>
          <w:p w:rsidR="00EC7E66" w:rsidRPr="00EC7E66" w:rsidRDefault="00EC7E6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C7E66">
              <w:rPr>
                <w:color w:val="000000" w:themeColor="text1"/>
                <w:sz w:val="16"/>
                <w:szCs w:val="16"/>
              </w:rPr>
              <w:t>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5E6FF1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046F6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1A1F89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335136">
              <w:rPr>
                <w:color w:val="000000" w:themeColor="text1"/>
                <w:sz w:val="16"/>
                <w:szCs w:val="16"/>
              </w:rPr>
              <w:t>IX</w:t>
            </w:r>
          </w:p>
          <w:p w:rsidR="00EC7E66" w:rsidRPr="00EC7E66" w:rsidRDefault="00EC7E6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C7E66">
              <w:rPr>
                <w:color w:val="000000" w:themeColor="text1"/>
                <w:sz w:val="16"/>
                <w:szCs w:val="16"/>
              </w:rPr>
              <w:t>2018=100</w:t>
            </w:r>
          </w:p>
        </w:tc>
      </w:tr>
      <w:tr w:rsidR="00335136" w:rsidRPr="00A569FC" w:rsidTr="00E873C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335136" w:rsidRPr="00FA5128" w:rsidRDefault="00335136" w:rsidP="00335136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335136" w:rsidRPr="00FA5128" w:rsidRDefault="00335136" w:rsidP="0033513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7350E">
              <w:rPr>
                <w:rFonts w:cs="Arial"/>
                <w:b/>
                <w:color w:val="000000" w:themeColor="text1"/>
                <w:sz w:val="16"/>
                <w:szCs w:val="16"/>
              </w:rPr>
              <w:t>24 898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335136" w:rsidRPr="00FA5128" w:rsidRDefault="00335136" w:rsidP="0033513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126.</w:t>
            </w:r>
            <w:r w:rsidRPr="00147118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335136" w:rsidRPr="00FA5128" w:rsidRDefault="00335136" w:rsidP="0033513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111.</w:t>
            </w:r>
            <w:r w:rsidRPr="00147118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335136" w:rsidRPr="00FA5128" w:rsidRDefault="00335136" w:rsidP="0033513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A5D17">
              <w:rPr>
                <w:rFonts w:cs="Arial"/>
                <w:b/>
                <w:color w:val="000000" w:themeColor="text1"/>
                <w:sz w:val="16"/>
                <w:szCs w:val="16"/>
              </w:rPr>
              <w:t>201 254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335136" w:rsidRPr="00FA5128" w:rsidRDefault="00335136" w:rsidP="0033513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104.</w:t>
            </w:r>
            <w:r w:rsidRPr="009A5D17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335136" w:rsidRPr="00A569F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335136" w:rsidRPr="00A569FC" w:rsidRDefault="00335136" w:rsidP="0033513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:rsidR="00335136" w:rsidRPr="00FA5128" w:rsidRDefault="00335136" w:rsidP="0033513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7350E">
              <w:rPr>
                <w:rFonts w:cs="Arial"/>
                <w:color w:val="000000" w:themeColor="text1"/>
                <w:sz w:val="16"/>
                <w:szCs w:val="16"/>
              </w:rPr>
              <w:t>8 168</w:t>
            </w:r>
          </w:p>
        </w:tc>
        <w:tc>
          <w:tcPr>
            <w:tcW w:w="1206" w:type="dxa"/>
            <w:vAlign w:val="center"/>
          </w:tcPr>
          <w:p w:rsidR="00335136" w:rsidRPr="00FA5128" w:rsidRDefault="00335136" w:rsidP="0033513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107.</w:t>
            </w:r>
            <w:r w:rsidRPr="0014711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:rsidR="00335136" w:rsidRPr="00FA5128" w:rsidRDefault="00335136" w:rsidP="0033513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99.</w:t>
            </w:r>
            <w:r w:rsidRPr="00147118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:rsidR="00335136" w:rsidRPr="00907546" w:rsidRDefault="00335136" w:rsidP="00335136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A5D17">
              <w:rPr>
                <w:rFonts w:ascii="Fira Sans" w:hAnsi="Fira Sans"/>
                <w:color w:val="000000" w:themeColor="text1"/>
                <w:sz w:val="16"/>
                <w:szCs w:val="16"/>
              </w:rPr>
              <w:t>74 852</w:t>
            </w:r>
          </w:p>
        </w:tc>
        <w:tc>
          <w:tcPr>
            <w:tcW w:w="1207" w:type="dxa"/>
            <w:vAlign w:val="center"/>
          </w:tcPr>
          <w:p w:rsidR="00335136" w:rsidRPr="00907546" w:rsidRDefault="00335136" w:rsidP="0033513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</w:t>
            </w:r>
            <w:r w:rsidRPr="009A5D17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335136" w:rsidRPr="00A569F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335136" w:rsidRPr="00A569FC" w:rsidRDefault="00335136" w:rsidP="0033513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:rsidR="00335136" w:rsidRPr="00FA5128" w:rsidRDefault="00335136" w:rsidP="0033513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7350E">
              <w:rPr>
                <w:rFonts w:cs="Arial"/>
                <w:color w:val="000000" w:themeColor="text1"/>
                <w:sz w:val="16"/>
                <w:szCs w:val="16"/>
              </w:rPr>
              <w:t>16 532</w:t>
            </w:r>
          </w:p>
        </w:tc>
        <w:tc>
          <w:tcPr>
            <w:tcW w:w="1206" w:type="dxa"/>
            <w:vAlign w:val="center"/>
          </w:tcPr>
          <w:p w:rsidR="00335136" w:rsidRPr="00FA5128" w:rsidRDefault="00335136" w:rsidP="0033513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148.</w:t>
            </w:r>
            <w:r w:rsidRPr="00147118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06" w:type="dxa"/>
            <w:vAlign w:val="center"/>
          </w:tcPr>
          <w:p w:rsidR="00335136" w:rsidRPr="00FA5128" w:rsidRDefault="00335136" w:rsidP="0033513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118.</w:t>
            </w:r>
            <w:r w:rsidRPr="00147118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335136" w:rsidRPr="008A1C80" w:rsidRDefault="00335136" w:rsidP="00335136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A5D17">
              <w:rPr>
                <w:rFonts w:ascii="Fira Sans" w:hAnsi="Fira Sans"/>
                <w:color w:val="000000" w:themeColor="text1"/>
                <w:sz w:val="16"/>
                <w:szCs w:val="16"/>
              </w:rPr>
              <w:t>123 234</w:t>
            </w:r>
          </w:p>
        </w:tc>
        <w:tc>
          <w:tcPr>
            <w:tcW w:w="1207" w:type="dxa"/>
            <w:vAlign w:val="center"/>
          </w:tcPr>
          <w:p w:rsidR="00335136" w:rsidRPr="00FA5128" w:rsidRDefault="00335136" w:rsidP="0033513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</w:t>
            </w:r>
            <w:r w:rsidRPr="009A5D17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335136" w:rsidRPr="00964B1A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335136" w:rsidRPr="00A569FC" w:rsidRDefault="00335136" w:rsidP="00335136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:rsidR="00335136" w:rsidRPr="00FA5128" w:rsidRDefault="00335136" w:rsidP="0033513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7350E">
              <w:rPr>
                <w:rFonts w:cs="Arial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1206" w:type="dxa"/>
            <w:vAlign w:val="center"/>
          </w:tcPr>
          <w:p w:rsidR="00335136" w:rsidRPr="00FA5128" w:rsidRDefault="00335136" w:rsidP="0033513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96.</w:t>
            </w:r>
            <w:r w:rsidRPr="00147118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335136" w:rsidRPr="00E102B7" w:rsidRDefault="00335136" w:rsidP="0033513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41.</w:t>
            </w:r>
            <w:r w:rsidRPr="0014711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:rsidR="00335136" w:rsidRPr="00C230EE" w:rsidRDefault="00335136" w:rsidP="00335136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A5D17">
              <w:rPr>
                <w:rFonts w:ascii="Fira Sans" w:hAnsi="Fira Sans"/>
                <w:color w:val="000000" w:themeColor="text1"/>
                <w:sz w:val="16"/>
                <w:szCs w:val="16"/>
              </w:rPr>
              <w:t>1 255</w:t>
            </w:r>
          </w:p>
        </w:tc>
        <w:tc>
          <w:tcPr>
            <w:tcW w:w="1207" w:type="dxa"/>
            <w:vAlign w:val="center"/>
          </w:tcPr>
          <w:p w:rsidR="00335136" w:rsidRPr="00FA5128" w:rsidRDefault="00335136" w:rsidP="0033513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93.</w:t>
            </w:r>
            <w:r w:rsidRPr="009A5D17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335136" w:rsidRPr="00964B1A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335136" w:rsidRPr="00964B1A" w:rsidRDefault="00335136" w:rsidP="0033513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964B1A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:rsidR="00335136" w:rsidRPr="00FA5128" w:rsidRDefault="00335136" w:rsidP="0033513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7350E">
              <w:rPr>
                <w:rFonts w:cs="Arial"/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1206" w:type="dxa"/>
            <w:vAlign w:val="center"/>
          </w:tcPr>
          <w:p w:rsidR="00335136" w:rsidRPr="00FA5128" w:rsidRDefault="00335136" w:rsidP="0033513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73.</w:t>
            </w:r>
            <w:r w:rsidRPr="00147118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06" w:type="dxa"/>
            <w:vAlign w:val="center"/>
          </w:tcPr>
          <w:p w:rsidR="00335136" w:rsidRPr="00E102B7" w:rsidRDefault="00335136" w:rsidP="0033513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E2350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335136" w:rsidRPr="00E87F78" w:rsidRDefault="00335136" w:rsidP="00335136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9A5D17">
              <w:rPr>
                <w:color w:val="000000" w:themeColor="text1"/>
                <w:sz w:val="16"/>
                <w:szCs w:val="16"/>
              </w:rPr>
              <w:t>1 047</w:t>
            </w:r>
          </w:p>
        </w:tc>
        <w:tc>
          <w:tcPr>
            <w:tcW w:w="1207" w:type="dxa"/>
            <w:vAlign w:val="center"/>
          </w:tcPr>
          <w:p w:rsidR="00335136" w:rsidRPr="00FA5128" w:rsidRDefault="00335136" w:rsidP="0033513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117.</w:t>
            </w:r>
            <w:r w:rsidRPr="009A5D17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335136" w:rsidRPr="00964B1A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335136" w:rsidRPr="00C57EF3" w:rsidRDefault="00335136" w:rsidP="0033513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C57EF3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:rsidR="00335136" w:rsidRPr="00A030E6" w:rsidRDefault="00335136" w:rsidP="0033513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7350E">
              <w:rPr>
                <w:rFonts w:cs="Arial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206" w:type="dxa"/>
            <w:vAlign w:val="center"/>
          </w:tcPr>
          <w:p w:rsidR="00335136" w:rsidRPr="006E0C18" w:rsidRDefault="00335136" w:rsidP="0033513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4.</w:t>
            </w:r>
            <w:r w:rsidRPr="00147118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:rsidR="00335136" w:rsidRPr="00296F96" w:rsidRDefault="00335136" w:rsidP="0033513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58.</w:t>
            </w:r>
            <w:r w:rsidRPr="0014711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:rsidR="00335136" w:rsidRPr="00E87F78" w:rsidRDefault="00335136" w:rsidP="00335136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D7350E">
              <w:rPr>
                <w:color w:val="000000" w:themeColor="text1"/>
                <w:sz w:val="16"/>
                <w:szCs w:val="16"/>
              </w:rPr>
              <w:t>635</w:t>
            </w:r>
          </w:p>
        </w:tc>
        <w:tc>
          <w:tcPr>
            <w:tcW w:w="1207" w:type="dxa"/>
            <w:vAlign w:val="center"/>
          </w:tcPr>
          <w:p w:rsidR="00335136" w:rsidRPr="009F4F41" w:rsidRDefault="00335136" w:rsidP="0033513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28.</w:t>
            </w:r>
            <w:r w:rsidRPr="009A5D17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335136" w:rsidRPr="00C57EF3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:rsidR="00335136" w:rsidRPr="008C0EBD" w:rsidRDefault="00335136" w:rsidP="0033513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8C0EB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:rsidR="00335136" w:rsidRPr="00A030E6" w:rsidRDefault="00335136" w:rsidP="0033513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7350E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:rsidR="00335136" w:rsidRPr="006D4BD3" w:rsidRDefault="00335136" w:rsidP="0033513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47118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335136" w:rsidRPr="006D4BD3" w:rsidRDefault="00335136" w:rsidP="0033513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47118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335136" w:rsidRPr="00E87F78" w:rsidRDefault="00335136" w:rsidP="00335136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EA2B74">
              <w:rPr>
                <w:color w:val="000000" w:themeColor="text1"/>
                <w:sz w:val="16"/>
                <w:szCs w:val="16"/>
              </w:rPr>
              <w:t>231</w:t>
            </w:r>
          </w:p>
        </w:tc>
        <w:tc>
          <w:tcPr>
            <w:tcW w:w="1207" w:type="dxa"/>
            <w:vAlign w:val="center"/>
          </w:tcPr>
          <w:p w:rsidR="00335136" w:rsidRPr="009F4F41" w:rsidRDefault="00335136" w:rsidP="0033513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435.</w:t>
            </w:r>
            <w:r w:rsidRPr="009A5D17">
              <w:rPr>
                <w:rFonts w:cs="Arial"/>
                <w:sz w:val="16"/>
                <w:szCs w:val="16"/>
              </w:rPr>
              <w:t>8</w:t>
            </w:r>
          </w:p>
        </w:tc>
      </w:tr>
    </w:tbl>
    <w:p w:rsidR="00896EB9" w:rsidRPr="00896EB9" w:rsidRDefault="00896EB9" w:rsidP="00095A18">
      <w:pPr>
        <w:pStyle w:val="tytuwykresu"/>
        <w:jc w:val="both"/>
        <w:rPr>
          <w:sz w:val="19"/>
          <w:szCs w:val="19"/>
          <w:shd w:val="clear" w:color="auto" w:fill="FFFFFF"/>
          <w:lang w:val="en-GB"/>
        </w:rPr>
      </w:pPr>
    </w:p>
    <w:p w:rsidR="00896EB9" w:rsidRDefault="00896EB9" w:rsidP="00095A18">
      <w:pPr>
        <w:pStyle w:val="tytuwykresu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:rsidR="00896EB9" w:rsidRPr="00E55DC7" w:rsidRDefault="00896EB9" w:rsidP="00E55DC7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</w:pPr>
    </w:p>
    <w:p w:rsidR="00896EB9" w:rsidRPr="00E55DC7" w:rsidRDefault="00896EB9" w:rsidP="00E55DC7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</w:pPr>
      <w:r w:rsidRPr="00E55DC7"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  <w:t>Dwellings in which construction has begun</w:t>
      </w:r>
    </w:p>
    <w:p w:rsidR="00095A18" w:rsidRPr="003D5465" w:rsidRDefault="00896EB9" w:rsidP="00CF36C5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 xml:space="preserve">the period </w:t>
      </w:r>
      <w:r w:rsidR="003D5465">
        <w:rPr>
          <w:b w:val="0"/>
          <w:sz w:val="19"/>
          <w:szCs w:val="19"/>
          <w:shd w:val="clear" w:color="auto" w:fill="FFFFFF"/>
          <w:lang w:val="en-GB"/>
        </w:rPr>
        <w:t xml:space="preserve">January - </w:t>
      </w:r>
      <w:r w:rsidR="00335136">
        <w:rPr>
          <w:b w:val="0"/>
          <w:sz w:val="19"/>
          <w:szCs w:val="19"/>
          <w:shd w:val="clear" w:color="auto" w:fill="FFFFFF"/>
          <w:lang w:val="en-GB"/>
        </w:rPr>
        <w:t>September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 xml:space="preserve"> 2019</w:t>
      </w:r>
      <w:r w:rsidR="00BD1D77" w:rsidRPr="00BD1D7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D1D77">
        <w:rPr>
          <w:b w:val="0"/>
          <w:sz w:val="19"/>
          <w:szCs w:val="19"/>
          <w:shd w:val="clear" w:color="auto" w:fill="FFFFFF"/>
          <w:lang w:val="en-GB"/>
        </w:rPr>
        <w:t>t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335136">
        <w:rPr>
          <w:b w:val="0"/>
          <w:sz w:val="19"/>
          <w:szCs w:val="19"/>
          <w:shd w:val="clear" w:color="auto" w:fill="FFFFFF"/>
          <w:lang w:val="en-GB"/>
        </w:rPr>
        <w:t>178.4</w:t>
      </w:r>
      <w:r w:rsidR="00A33759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>thous.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335136">
        <w:rPr>
          <w:b w:val="0"/>
          <w:sz w:val="19"/>
          <w:szCs w:val="19"/>
          <w:shd w:val="clear" w:color="auto" w:fill="FFFFFF"/>
          <w:lang w:val="en-GB"/>
        </w:rPr>
        <w:t>2.6</w:t>
      </w:r>
      <w:r w:rsidR="00856FE3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B1FCD">
        <w:rPr>
          <w:b w:val="0"/>
          <w:sz w:val="19"/>
          <w:szCs w:val="19"/>
          <w:shd w:val="clear" w:color="auto" w:fill="FFFFFF"/>
          <w:lang w:val="en-GB"/>
        </w:rPr>
        <w:t>more</w:t>
      </w:r>
      <w:r w:rsidR="00D76E73" w:rsidRPr="00612A93">
        <w:rPr>
          <w:lang w:val="en-GB"/>
        </w:rPr>
        <w:t xml:space="preserve"> </w:t>
      </w:r>
      <w:r w:rsidR="00D76E73" w:rsidRPr="00D76E73">
        <w:rPr>
          <w:b w:val="0"/>
          <w:sz w:val="19"/>
          <w:szCs w:val="19"/>
          <w:shd w:val="clear" w:color="auto" w:fill="FFFFFF"/>
          <w:lang w:val="en-GB"/>
        </w:rPr>
        <w:t xml:space="preserve">than in the corresponding 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period</w:t>
      </w:r>
      <w:r w:rsidR="00D76E73" w:rsidRPr="00D76E73">
        <w:rPr>
          <w:b w:val="0"/>
          <w:sz w:val="19"/>
          <w:szCs w:val="19"/>
          <w:shd w:val="clear" w:color="auto" w:fill="FFFFFF"/>
          <w:lang w:val="en-GB"/>
        </w:rPr>
        <w:t xml:space="preserve"> of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D76E73" w:rsidRPr="00D76E73">
        <w:rPr>
          <w:b w:val="0"/>
          <w:sz w:val="19"/>
          <w:szCs w:val="19"/>
          <w:shd w:val="clear" w:color="auto" w:fill="FFFFFF"/>
          <w:lang w:val="en-GB"/>
        </w:rPr>
        <w:t>previous year</w:t>
      </w:r>
      <w:r w:rsidR="00B2646D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B2646D">
        <w:rPr>
          <w:sz w:val="19"/>
          <w:szCs w:val="19"/>
          <w:shd w:val="clear" w:color="auto" w:fill="FFFFFF"/>
          <w:lang w:val="en-GB"/>
        </w:rPr>
        <w:t>D</w:t>
      </w:r>
      <w:r w:rsidR="00095A18" w:rsidRPr="00B2646D">
        <w:rPr>
          <w:sz w:val="19"/>
          <w:szCs w:val="19"/>
          <w:shd w:val="clear" w:color="auto" w:fill="FFFFFF"/>
          <w:lang w:val="en-GB"/>
        </w:rPr>
        <w:t>evelopers</w:t>
      </w:r>
      <w:r w:rsidR="00095A18" w:rsidRPr="00425FE5">
        <w:rPr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ha</w:t>
      </w:r>
      <w:r w:rsidR="00095A18">
        <w:rPr>
          <w:b w:val="0"/>
          <w:sz w:val="19"/>
          <w:szCs w:val="19"/>
          <w:shd w:val="clear" w:color="auto" w:fill="FFFFFF"/>
          <w:lang w:val="en-GB"/>
        </w:rPr>
        <w:t>ve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started construction of </w:t>
      </w:r>
      <w:r w:rsidR="00335136">
        <w:rPr>
          <w:b w:val="0"/>
          <w:sz w:val="19"/>
          <w:szCs w:val="19"/>
          <w:shd w:val="clear" w:color="auto" w:fill="FFFFFF"/>
          <w:lang w:val="en-GB"/>
        </w:rPr>
        <w:t>102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.</w:t>
      </w:r>
      <w:r w:rsidR="00335136">
        <w:rPr>
          <w:b w:val="0"/>
          <w:sz w:val="19"/>
          <w:szCs w:val="19"/>
          <w:shd w:val="clear" w:color="auto" w:fill="FFFFFF"/>
          <w:lang w:val="en-GB"/>
        </w:rPr>
        <w:t>3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 xml:space="preserve"> thous.</w:t>
      </w:r>
      <w:r w:rsidR="00095A1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dwellings,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095A18" w:rsidRPr="00425FE5">
        <w:rPr>
          <w:sz w:val="19"/>
          <w:szCs w:val="19"/>
          <w:shd w:val="clear" w:color="auto" w:fill="FFFFFF"/>
          <w:lang w:val="en-GB"/>
        </w:rPr>
        <w:t>private investors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of </w:t>
      </w:r>
      <w:r w:rsidR="00335136">
        <w:rPr>
          <w:b w:val="0"/>
          <w:sz w:val="19"/>
          <w:szCs w:val="19"/>
          <w:shd w:val="clear" w:color="auto" w:fill="FFFFFF"/>
          <w:lang w:val="en-GB"/>
        </w:rPr>
        <w:t>72</w:t>
      </w:r>
      <w:r w:rsidR="00C57EF3">
        <w:rPr>
          <w:b w:val="0"/>
          <w:sz w:val="19"/>
          <w:szCs w:val="19"/>
          <w:shd w:val="clear" w:color="auto" w:fill="FFFFFF"/>
          <w:lang w:val="en-GB"/>
        </w:rPr>
        <w:t>.</w:t>
      </w:r>
      <w:r w:rsidR="00335136">
        <w:rPr>
          <w:b w:val="0"/>
          <w:sz w:val="19"/>
          <w:szCs w:val="19"/>
          <w:shd w:val="clear" w:color="auto" w:fill="FFFFFF"/>
          <w:lang w:val="en-GB"/>
        </w:rPr>
        <w:t>5</w:t>
      </w:r>
      <w:r w:rsidR="00885F42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>thous.</w:t>
      </w:r>
      <w:r w:rsidR="0071658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dwellings,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82C65">
        <w:rPr>
          <w:b w:val="0"/>
          <w:sz w:val="19"/>
          <w:szCs w:val="19"/>
          <w:shd w:val="clear" w:color="auto" w:fill="FFFFFF"/>
          <w:lang w:val="en-GB"/>
        </w:rPr>
        <w:t>i.e. altogether 98</w:t>
      </w:r>
      <w:r w:rsidR="00983BE8">
        <w:rPr>
          <w:b w:val="0"/>
          <w:sz w:val="19"/>
          <w:szCs w:val="19"/>
          <w:shd w:val="clear" w:color="auto" w:fill="FFFFFF"/>
          <w:lang w:val="en-GB"/>
        </w:rPr>
        <w:t>.</w:t>
      </w:r>
      <w:r w:rsidR="00482C65">
        <w:rPr>
          <w:b w:val="0"/>
          <w:sz w:val="19"/>
          <w:szCs w:val="19"/>
          <w:shd w:val="clear" w:color="auto" w:fill="FFFFFF"/>
          <w:lang w:val="en-GB"/>
        </w:rPr>
        <w:t>0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>%</w:t>
      </w:r>
      <w:r w:rsidR="001C1808">
        <w:rPr>
          <w:b w:val="0"/>
          <w:sz w:val="19"/>
          <w:szCs w:val="19"/>
          <w:shd w:val="clear" w:color="auto" w:fill="FFFFFF"/>
          <w:lang w:val="en-GB"/>
        </w:rPr>
        <w:t xml:space="preserve"> of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 a</w:t>
      </w:r>
      <w:r w:rsidR="001C1808">
        <w:rPr>
          <w:b w:val="0"/>
          <w:sz w:val="19"/>
          <w:szCs w:val="19"/>
          <w:shd w:val="clear" w:color="auto" w:fill="FFFFFF"/>
          <w:lang w:val="en-GB"/>
        </w:rPr>
        <w:t xml:space="preserve"> total number of dwellings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. B</w:t>
      </w:r>
      <w:r w:rsidR="00CF36C5">
        <w:rPr>
          <w:b w:val="0"/>
          <w:sz w:val="19"/>
          <w:szCs w:val="19"/>
          <w:shd w:val="clear" w:color="auto" w:fill="FFFFFF"/>
          <w:lang w:val="en-GB"/>
        </w:rPr>
        <w:t xml:space="preserve">oth for construction for sale or 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rent and private construction in</w:t>
      </w:r>
      <w:r w:rsidR="00CF36C5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>was not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 xml:space="preserve">ed by respectively </w:t>
      </w:r>
      <w:r w:rsidR="00335136">
        <w:rPr>
          <w:b w:val="0"/>
          <w:sz w:val="19"/>
          <w:szCs w:val="19"/>
          <w:shd w:val="clear" w:color="auto" w:fill="FFFFFF"/>
          <w:lang w:val="en-GB"/>
        </w:rPr>
        <w:t>1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.</w:t>
      </w:r>
      <w:r w:rsidR="00335136">
        <w:rPr>
          <w:b w:val="0"/>
          <w:sz w:val="19"/>
          <w:szCs w:val="19"/>
          <w:shd w:val="clear" w:color="auto" w:fill="FFFFFF"/>
          <w:lang w:val="en-GB"/>
        </w:rPr>
        <w:t>9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 xml:space="preserve">% and </w:t>
      </w:r>
      <w:r w:rsidR="00335136">
        <w:rPr>
          <w:b w:val="0"/>
          <w:sz w:val="19"/>
          <w:szCs w:val="19"/>
          <w:shd w:val="clear" w:color="auto" w:fill="FFFFFF"/>
          <w:lang w:val="en-GB"/>
        </w:rPr>
        <w:t>4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.</w:t>
      </w:r>
      <w:r w:rsidR="00335136">
        <w:rPr>
          <w:b w:val="0"/>
          <w:sz w:val="19"/>
          <w:szCs w:val="19"/>
          <w:shd w:val="clear" w:color="auto" w:fill="FFFFFF"/>
          <w:lang w:val="en-GB"/>
        </w:rPr>
        <w:t>4</w:t>
      </w:r>
      <w:r w:rsidR="00CF36C5">
        <w:rPr>
          <w:b w:val="0"/>
          <w:sz w:val="19"/>
          <w:szCs w:val="19"/>
          <w:shd w:val="clear" w:color="auto" w:fill="FFFFFF"/>
          <w:lang w:val="en-GB"/>
        </w:rPr>
        <w:t>% compared to 2018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676177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dwellings in which construction has begun were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>not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ed </w:t>
      </w:r>
      <w:r w:rsidR="006A0E22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95E14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6A0E22">
        <w:rPr>
          <w:sz w:val="19"/>
          <w:szCs w:val="19"/>
          <w:shd w:val="clear" w:color="auto" w:fill="FFFFFF"/>
          <w:lang w:val="en-GB"/>
        </w:rPr>
        <w:t xml:space="preserve">cooperative </w:t>
      </w:r>
      <w:r w:rsidR="006A0E22" w:rsidRPr="00D536C0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>(</w:t>
      </w:r>
      <w:r w:rsidR="00335136">
        <w:rPr>
          <w:b w:val="0"/>
          <w:sz w:val="19"/>
          <w:szCs w:val="19"/>
          <w:shd w:val="clear" w:color="auto" w:fill="FFFFFF"/>
          <w:lang w:val="en-GB"/>
        </w:rPr>
        <w:t>1550</w:t>
      </w:r>
      <w:r w:rsidR="00115574" w:rsidRPr="0011557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335136">
        <w:rPr>
          <w:b w:val="0"/>
          <w:sz w:val="19"/>
          <w:szCs w:val="19"/>
          <w:shd w:val="clear" w:color="auto" w:fill="FFFFFF"/>
          <w:lang w:val="en-GB"/>
        </w:rPr>
        <w:t>1940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 xml:space="preserve">) </w:t>
      </w:r>
      <w:r w:rsidR="008D133F">
        <w:rPr>
          <w:b w:val="0"/>
          <w:shd w:val="clear" w:color="auto" w:fill="FFFFFF"/>
          <w:lang w:val="en-US"/>
        </w:rPr>
        <w:t>and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 xml:space="preserve"> in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sz w:val="19"/>
          <w:szCs w:val="19"/>
          <w:shd w:val="clear" w:color="auto" w:fill="FFFFFF"/>
          <w:lang w:val="en-GB"/>
        </w:rPr>
        <w:t xml:space="preserve">other </w:t>
      </w:r>
      <w:r w:rsidR="00B77EC9">
        <w:rPr>
          <w:sz w:val="19"/>
          <w:szCs w:val="19"/>
          <w:shd w:val="clear" w:color="auto" w:fill="FFFFFF"/>
          <w:lang w:val="en-GB"/>
        </w:rPr>
        <w:t xml:space="preserve">forms </w:t>
      </w:r>
      <w:r w:rsidR="00B77EC9" w:rsidRPr="00F52D79">
        <w:rPr>
          <w:b w:val="0"/>
          <w:sz w:val="19"/>
          <w:szCs w:val="19"/>
          <w:shd w:val="clear" w:color="auto" w:fill="FFFFFF"/>
          <w:lang w:val="en-GB"/>
        </w:rPr>
        <w:t>of</w:t>
      </w:r>
      <w:r w:rsidR="00B77EC9">
        <w:rPr>
          <w:sz w:val="19"/>
          <w:szCs w:val="19"/>
          <w:shd w:val="clear" w:color="auto" w:fill="FFFFFF"/>
          <w:lang w:val="en-GB"/>
        </w:rPr>
        <w:t xml:space="preserve"> </w:t>
      </w:r>
      <w:r w:rsidR="00B77EC9" w:rsidRPr="00F52D79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67617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D5465">
        <w:rPr>
          <w:b w:val="0"/>
          <w:sz w:val="19"/>
          <w:szCs w:val="19"/>
          <w:shd w:val="clear" w:color="auto" w:fill="FFFFFF"/>
          <w:lang w:val="en-GB"/>
        </w:rPr>
        <w:t>(</w:t>
      </w:r>
      <w:r w:rsidR="00335136">
        <w:rPr>
          <w:b w:val="0"/>
          <w:sz w:val="19"/>
          <w:szCs w:val="19"/>
          <w:shd w:val="clear" w:color="auto" w:fill="FFFFFF"/>
          <w:lang w:val="en-GB"/>
        </w:rPr>
        <w:t>2083</w:t>
      </w:r>
      <w:r w:rsidR="00115574" w:rsidRPr="0011557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071E3B">
        <w:rPr>
          <w:b w:val="0"/>
          <w:sz w:val="19"/>
          <w:szCs w:val="19"/>
          <w:shd w:val="clear" w:color="auto" w:fill="FFFFFF"/>
          <w:lang w:val="en-GB"/>
        </w:rPr>
        <w:t>2209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).</w:t>
      </w:r>
    </w:p>
    <w:p w:rsidR="009609A1" w:rsidRPr="00612A93" w:rsidRDefault="009609A1" w:rsidP="00467EFF">
      <w:pPr>
        <w:rPr>
          <w:shd w:val="clear" w:color="auto" w:fill="FFFFFF"/>
          <w:lang w:val="en-GB"/>
        </w:rPr>
      </w:pPr>
    </w:p>
    <w:p w:rsidR="00C41764" w:rsidRPr="00612A93" w:rsidRDefault="00C41764">
      <w:pPr>
        <w:spacing w:before="0" w:after="160" w:line="259" w:lineRule="auto"/>
        <w:rPr>
          <w:shd w:val="clear" w:color="auto" w:fill="FFFFFF"/>
          <w:lang w:val="en-GB"/>
        </w:rPr>
      </w:pPr>
      <w:r w:rsidRPr="00612A93">
        <w:rPr>
          <w:shd w:val="clear" w:color="auto" w:fill="FFFFFF"/>
          <w:lang w:val="en-GB"/>
        </w:rPr>
        <w:br w:type="page"/>
      </w:r>
    </w:p>
    <w:p w:rsidR="00154AC9" w:rsidRDefault="00154AC9" w:rsidP="00154AC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154AC9" w:rsidRDefault="00154AC9" w:rsidP="00154AC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AB3F7C" w:rsidRPr="00916639" w:rsidRDefault="00154AC9" w:rsidP="00AB3F7C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  <w:r w:rsidRPr="00154AC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Table</w:t>
      </w:r>
      <w:r w:rsidR="00224A0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 xml:space="preserve"> 3</w:t>
      </w:r>
      <w:r w:rsidRPr="00154AC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Dwellings in</w:t>
      </w:r>
      <w:r w:rsidRPr="00154AC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 xml:space="preserve"> which construction has begun</w:t>
      </w:r>
    </w:p>
    <w:tbl>
      <w:tblPr>
        <w:tblStyle w:val="Siatkatabelijasna2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AB3F7C" w:rsidRPr="003D5465" w:rsidTr="00E873C8">
        <w:trPr>
          <w:trHeight w:val="57"/>
        </w:trPr>
        <w:tc>
          <w:tcPr>
            <w:tcW w:w="2049" w:type="dxa"/>
            <w:vMerge w:val="restart"/>
            <w:vAlign w:val="center"/>
          </w:tcPr>
          <w:p w:rsidR="00AB3F7C" w:rsidRPr="003D5465" w:rsidRDefault="00AB3F7C" w:rsidP="00AB3F7C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val="en-GB" w:eastAsia="pl-PL"/>
              </w:rPr>
            </w:pPr>
            <w:r w:rsidRPr="003D5465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Forms of construction</w:t>
            </w:r>
          </w:p>
        </w:tc>
        <w:tc>
          <w:tcPr>
            <w:tcW w:w="6031" w:type="dxa"/>
            <w:gridSpan w:val="5"/>
            <w:vAlign w:val="center"/>
          </w:tcPr>
          <w:p w:rsidR="00AB3F7C" w:rsidRPr="003D5465" w:rsidRDefault="00AB3F7C" w:rsidP="00AB3F7C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3D546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2019</w:t>
            </w:r>
          </w:p>
        </w:tc>
      </w:tr>
      <w:tr w:rsidR="00AB3F7C" w:rsidRPr="003D5465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AB3F7C" w:rsidRPr="003D5465" w:rsidRDefault="00AB3F7C" w:rsidP="00AB3F7C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val="en-GB" w:eastAsia="pl-PL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AB3F7C" w:rsidRPr="003D5465" w:rsidRDefault="00071E3B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IX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AB3F7C" w:rsidRPr="003D5465" w:rsidRDefault="005F2C39" w:rsidP="00071E3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071E3B">
              <w:rPr>
                <w:color w:val="000000" w:themeColor="text1"/>
                <w:sz w:val="16"/>
                <w:szCs w:val="16"/>
                <w:lang w:val="en-GB"/>
              </w:rPr>
              <w:t>IX</w:t>
            </w:r>
          </w:p>
        </w:tc>
      </w:tr>
      <w:tr w:rsidR="00AB3F7C" w:rsidRPr="00AB3F7C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AB3F7C" w:rsidRPr="003D5465" w:rsidRDefault="00AB3F7C" w:rsidP="00AB3F7C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val="en-GB"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AB3F7C" w:rsidRPr="003D5465" w:rsidRDefault="005E6FF1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3D5465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AB3F7C" w:rsidRPr="003D5465" w:rsidRDefault="00071E3B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IX</w:t>
            </w:r>
          </w:p>
          <w:p w:rsidR="00AB3F7C" w:rsidRPr="003D5465" w:rsidRDefault="00AB3F7C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3D5465">
              <w:rPr>
                <w:color w:val="000000" w:themeColor="text1"/>
                <w:sz w:val="16"/>
                <w:szCs w:val="16"/>
                <w:lang w:val="en-GB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AB3F7C" w:rsidRPr="00AB3F7C" w:rsidRDefault="005F2C39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D06341">
              <w:rPr>
                <w:color w:val="000000" w:themeColor="text1"/>
                <w:sz w:val="16"/>
                <w:szCs w:val="16"/>
              </w:rPr>
              <w:t>I</w:t>
            </w:r>
            <w:r w:rsidR="00482C65">
              <w:rPr>
                <w:color w:val="000000" w:themeColor="text1"/>
                <w:sz w:val="16"/>
                <w:szCs w:val="16"/>
              </w:rPr>
              <w:t>I</w:t>
            </w:r>
            <w:r w:rsidR="00071E3B">
              <w:rPr>
                <w:color w:val="000000" w:themeColor="text1"/>
                <w:sz w:val="16"/>
                <w:szCs w:val="16"/>
              </w:rPr>
              <w:t>I</w:t>
            </w:r>
          </w:p>
          <w:p w:rsidR="00AB3F7C" w:rsidRPr="00AB3F7C" w:rsidRDefault="00AB3F7C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3F7C">
              <w:rPr>
                <w:color w:val="000000" w:themeColor="text1"/>
                <w:sz w:val="16"/>
                <w:szCs w:val="16"/>
              </w:rPr>
              <w:t>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AB3F7C" w:rsidRPr="00AB3F7C" w:rsidRDefault="005E6FF1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046F6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AB3F7C" w:rsidRPr="00AB3F7C" w:rsidRDefault="001855B0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071E3B">
              <w:rPr>
                <w:color w:val="000000" w:themeColor="text1"/>
                <w:sz w:val="16"/>
                <w:szCs w:val="16"/>
              </w:rPr>
              <w:t>IX</w:t>
            </w:r>
          </w:p>
          <w:p w:rsidR="00AB3F7C" w:rsidRPr="00AB3F7C" w:rsidRDefault="00AB3F7C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3F7C">
              <w:rPr>
                <w:color w:val="000000" w:themeColor="text1"/>
                <w:sz w:val="16"/>
                <w:szCs w:val="16"/>
              </w:rPr>
              <w:t>2018=100</w:t>
            </w:r>
          </w:p>
        </w:tc>
      </w:tr>
      <w:tr w:rsidR="00071E3B" w:rsidRPr="00115574" w:rsidTr="00E873C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071E3B" w:rsidRPr="00FA5128" w:rsidRDefault="00071E3B" w:rsidP="00071E3B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071E3B" w:rsidRPr="00FA5128" w:rsidRDefault="00071E3B" w:rsidP="00071E3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5C747C">
              <w:rPr>
                <w:rFonts w:cs="Arial"/>
                <w:b/>
                <w:color w:val="000000" w:themeColor="text1"/>
                <w:sz w:val="16"/>
                <w:szCs w:val="16"/>
              </w:rPr>
              <w:t>21 566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071E3B" w:rsidRPr="00FA5128" w:rsidRDefault="00071E3B" w:rsidP="00071E3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110.</w:t>
            </w:r>
            <w:r w:rsidRPr="008D0037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071E3B" w:rsidRPr="00FA5128" w:rsidRDefault="00071E3B" w:rsidP="00071E3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110.</w:t>
            </w:r>
            <w:r w:rsidRPr="008D0037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071E3B" w:rsidRPr="00FA5128" w:rsidRDefault="00071E3B" w:rsidP="00071E3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5C747C">
              <w:rPr>
                <w:rFonts w:cs="Arial"/>
                <w:b/>
                <w:color w:val="000000" w:themeColor="text1"/>
                <w:sz w:val="16"/>
                <w:szCs w:val="16"/>
              </w:rPr>
              <w:t>178 444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071E3B" w:rsidRPr="00FA5128" w:rsidRDefault="00071E3B" w:rsidP="00071E3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102.</w:t>
            </w:r>
            <w:r w:rsidRPr="005C747C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</w:tr>
      <w:tr w:rsidR="00071E3B" w:rsidRPr="00115574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71E3B" w:rsidRPr="00115574" w:rsidRDefault="00071E3B" w:rsidP="00071E3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11557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:rsidR="00071E3B" w:rsidRPr="00FA5128" w:rsidRDefault="00071E3B" w:rsidP="00071E3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C747C">
              <w:rPr>
                <w:rFonts w:cs="Arial"/>
                <w:color w:val="000000" w:themeColor="text1"/>
                <w:sz w:val="16"/>
                <w:szCs w:val="16"/>
              </w:rPr>
              <w:t>8 548</w:t>
            </w:r>
          </w:p>
        </w:tc>
        <w:tc>
          <w:tcPr>
            <w:tcW w:w="1206" w:type="dxa"/>
            <w:vAlign w:val="center"/>
          </w:tcPr>
          <w:p w:rsidR="00071E3B" w:rsidRPr="00FA5128" w:rsidRDefault="00071E3B" w:rsidP="00071E3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108.</w:t>
            </w:r>
            <w:r w:rsidRPr="008D0037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071E3B" w:rsidRPr="00FA5128" w:rsidRDefault="00071E3B" w:rsidP="00071E3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103.</w:t>
            </w:r>
            <w:r w:rsidRPr="008D0037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:rsidR="00071E3B" w:rsidRPr="00907546" w:rsidRDefault="00071E3B" w:rsidP="00071E3B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5C747C">
              <w:rPr>
                <w:rFonts w:ascii="Fira Sans" w:hAnsi="Fira Sans"/>
                <w:color w:val="000000" w:themeColor="text1"/>
                <w:sz w:val="16"/>
                <w:szCs w:val="16"/>
              </w:rPr>
              <w:t>72 532</w:t>
            </w:r>
          </w:p>
        </w:tc>
        <w:tc>
          <w:tcPr>
            <w:tcW w:w="1207" w:type="dxa"/>
            <w:vAlign w:val="center"/>
          </w:tcPr>
          <w:p w:rsidR="00071E3B" w:rsidRPr="00907546" w:rsidRDefault="00071E3B" w:rsidP="00071E3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</w:t>
            </w:r>
            <w:r w:rsidRPr="005C747C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071E3B" w:rsidRPr="00115574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71E3B" w:rsidRPr="00115574" w:rsidRDefault="00071E3B" w:rsidP="00071E3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11557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:rsidR="00071E3B" w:rsidRPr="00FA5128" w:rsidRDefault="00071E3B" w:rsidP="00071E3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C747C">
              <w:rPr>
                <w:rFonts w:cs="Arial"/>
                <w:color w:val="000000" w:themeColor="text1"/>
                <w:sz w:val="16"/>
                <w:szCs w:val="16"/>
              </w:rPr>
              <w:t>12 551</w:t>
            </w:r>
          </w:p>
        </w:tc>
        <w:tc>
          <w:tcPr>
            <w:tcW w:w="1206" w:type="dxa"/>
            <w:vAlign w:val="center"/>
          </w:tcPr>
          <w:p w:rsidR="00071E3B" w:rsidRPr="00FA5128" w:rsidRDefault="00071E3B" w:rsidP="00071E3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111.</w:t>
            </w:r>
            <w:r w:rsidRPr="008D0037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071E3B" w:rsidRPr="00FA5128" w:rsidRDefault="00071E3B" w:rsidP="00071E3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114.</w:t>
            </w:r>
            <w:r w:rsidRPr="008D0037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071E3B" w:rsidRPr="008A1C80" w:rsidRDefault="00071E3B" w:rsidP="00071E3B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5C747C">
              <w:rPr>
                <w:rFonts w:ascii="Fira Sans" w:hAnsi="Fira Sans"/>
                <w:color w:val="000000" w:themeColor="text1"/>
                <w:sz w:val="16"/>
                <w:szCs w:val="16"/>
              </w:rPr>
              <w:t>102 279</w:t>
            </w:r>
          </w:p>
        </w:tc>
        <w:tc>
          <w:tcPr>
            <w:tcW w:w="1207" w:type="dxa"/>
            <w:vAlign w:val="center"/>
          </w:tcPr>
          <w:p w:rsidR="00071E3B" w:rsidRPr="00FA5128" w:rsidRDefault="00071E3B" w:rsidP="00071E3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</w:t>
            </w:r>
            <w:r w:rsidRPr="005C747C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071E3B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71E3B" w:rsidRPr="00115574" w:rsidRDefault="00071E3B" w:rsidP="00071E3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11557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of which for rent</w:t>
            </w:r>
            <w:r w:rsidRPr="00115574">
              <w:rPr>
                <w:rStyle w:val="Odwoanieprzypisudolnego"/>
                <w:lang w:val="en-GB"/>
              </w:rPr>
              <w:t>c</w:t>
            </w:r>
          </w:p>
        </w:tc>
        <w:tc>
          <w:tcPr>
            <w:tcW w:w="1206" w:type="dxa"/>
            <w:vAlign w:val="center"/>
          </w:tcPr>
          <w:p w:rsidR="00071E3B" w:rsidRPr="005241EA" w:rsidRDefault="00071E3B" w:rsidP="00071E3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C747C">
              <w:rPr>
                <w:rFonts w:cs="Arial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1206" w:type="dxa"/>
            <w:vAlign w:val="center"/>
          </w:tcPr>
          <w:p w:rsidR="00071E3B" w:rsidRPr="004327B6" w:rsidRDefault="00071E3B" w:rsidP="00071E3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071E3B" w:rsidRPr="004327B6" w:rsidRDefault="00071E3B" w:rsidP="00071E3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more than 6-fold</w:t>
            </w:r>
          </w:p>
        </w:tc>
        <w:tc>
          <w:tcPr>
            <w:tcW w:w="1206" w:type="dxa"/>
            <w:vAlign w:val="center"/>
          </w:tcPr>
          <w:p w:rsidR="00071E3B" w:rsidRPr="00553B0B" w:rsidRDefault="00071E3B" w:rsidP="00071E3B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5C747C">
              <w:rPr>
                <w:rFonts w:ascii="Fira Sans" w:hAnsi="Fira Sans"/>
                <w:color w:val="000000" w:themeColor="text1"/>
                <w:sz w:val="16"/>
                <w:szCs w:val="16"/>
              </w:rPr>
              <w:t>498</w:t>
            </w:r>
          </w:p>
        </w:tc>
        <w:tc>
          <w:tcPr>
            <w:tcW w:w="1207" w:type="dxa"/>
            <w:vAlign w:val="center"/>
          </w:tcPr>
          <w:p w:rsidR="00071E3B" w:rsidRPr="004266F7" w:rsidRDefault="00071E3B" w:rsidP="00071E3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  <w:tr w:rsidR="00071E3B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71E3B" w:rsidRPr="00154AC9" w:rsidRDefault="00071E3B" w:rsidP="00071E3B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154AC9">
              <w:rPr>
                <w:rFonts w:cstheme="majorBidi"/>
                <w:color w:val="000000" w:themeColor="text1"/>
                <w:sz w:val="16"/>
                <w:szCs w:val="16"/>
              </w:rPr>
              <w:t>Cooperative</w:t>
            </w:r>
          </w:p>
        </w:tc>
        <w:tc>
          <w:tcPr>
            <w:tcW w:w="1206" w:type="dxa"/>
            <w:vAlign w:val="center"/>
          </w:tcPr>
          <w:p w:rsidR="00071E3B" w:rsidRPr="00FA5128" w:rsidRDefault="00071E3B" w:rsidP="00071E3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C747C">
              <w:rPr>
                <w:rFonts w:cs="Arial"/>
                <w:color w:val="000000" w:themeColor="text1"/>
                <w:sz w:val="16"/>
                <w:szCs w:val="16"/>
              </w:rPr>
              <w:t>258</w:t>
            </w:r>
          </w:p>
        </w:tc>
        <w:tc>
          <w:tcPr>
            <w:tcW w:w="1206" w:type="dxa"/>
            <w:vAlign w:val="center"/>
          </w:tcPr>
          <w:p w:rsidR="00071E3B" w:rsidRPr="00FA5128" w:rsidRDefault="00071E3B" w:rsidP="00071E3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111.</w:t>
            </w:r>
            <w:r w:rsidRPr="008D0037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:rsidR="00071E3B" w:rsidRPr="00E102B7" w:rsidRDefault="00071E3B" w:rsidP="00071E3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403.</w:t>
            </w:r>
            <w:r w:rsidRPr="008D0037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:rsidR="00071E3B" w:rsidRPr="00C230EE" w:rsidRDefault="00071E3B" w:rsidP="00071E3B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5C747C">
              <w:rPr>
                <w:rFonts w:ascii="Fira Sans" w:hAnsi="Fira Sans"/>
                <w:color w:val="000000" w:themeColor="text1"/>
                <w:sz w:val="16"/>
                <w:szCs w:val="16"/>
              </w:rPr>
              <w:t>1 550</w:t>
            </w:r>
          </w:p>
        </w:tc>
        <w:tc>
          <w:tcPr>
            <w:tcW w:w="1207" w:type="dxa"/>
            <w:vAlign w:val="center"/>
          </w:tcPr>
          <w:p w:rsidR="00071E3B" w:rsidRPr="00FA5128" w:rsidRDefault="00071E3B" w:rsidP="00071E3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79.</w:t>
            </w:r>
            <w:r w:rsidRPr="005C747C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071E3B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71E3B" w:rsidRPr="00154AC9" w:rsidRDefault="00071E3B" w:rsidP="00071E3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Municipal</w:t>
            </w:r>
          </w:p>
        </w:tc>
        <w:tc>
          <w:tcPr>
            <w:tcW w:w="1206" w:type="dxa"/>
            <w:vAlign w:val="center"/>
          </w:tcPr>
          <w:p w:rsidR="00071E3B" w:rsidRPr="00FA5128" w:rsidRDefault="00071E3B" w:rsidP="00071E3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C747C">
              <w:rPr>
                <w:rFonts w:cs="Arial"/>
                <w:color w:val="000000" w:themeColor="text1"/>
                <w:sz w:val="16"/>
                <w:szCs w:val="16"/>
              </w:rPr>
              <w:t>73</w:t>
            </w:r>
          </w:p>
        </w:tc>
        <w:tc>
          <w:tcPr>
            <w:tcW w:w="1206" w:type="dxa"/>
            <w:vAlign w:val="center"/>
          </w:tcPr>
          <w:p w:rsidR="00071E3B" w:rsidRPr="00FA5128" w:rsidRDefault="00071E3B" w:rsidP="00071E3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53.</w:t>
            </w:r>
            <w:r w:rsidRPr="008D0037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:rsidR="00071E3B" w:rsidRPr="00E102B7" w:rsidRDefault="00071E3B" w:rsidP="00071E3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149.</w:t>
            </w:r>
            <w:r w:rsidRPr="008D0037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071E3B" w:rsidRPr="00E87F78" w:rsidRDefault="00071E3B" w:rsidP="00071E3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5C747C">
              <w:rPr>
                <w:color w:val="000000" w:themeColor="text1"/>
                <w:sz w:val="16"/>
                <w:szCs w:val="16"/>
              </w:rPr>
              <w:t>1 115</w:t>
            </w:r>
          </w:p>
        </w:tc>
        <w:tc>
          <w:tcPr>
            <w:tcW w:w="1207" w:type="dxa"/>
            <w:vAlign w:val="center"/>
          </w:tcPr>
          <w:p w:rsidR="00071E3B" w:rsidRPr="00FA5128" w:rsidRDefault="00071E3B" w:rsidP="00071E3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109.</w:t>
            </w:r>
            <w:r w:rsidRPr="005C747C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071E3B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71E3B" w:rsidRPr="00154AC9" w:rsidRDefault="00071E3B" w:rsidP="00071E3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:rsidR="00071E3B" w:rsidRPr="00A030E6" w:rsidRDefault="00071E3B" w:rsidP="00071E3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C747C">
              <w:rPr>
                <w:rFonts w:cs="Arial"/>
                <w:color w:val="000000" w:themeColor="text1"/>
                <w:sz w:val="16"/>
                <w:szCs w:val="16"/>
              </w:rPr>
              <w:t>136</w:t>
            </w:r>
          </w:p>
        </w:tc>
        <w:tc>
          <w:tcPr>
            <w:tcW w:w="1206" w:type="dxa"/>
            <w:vAlign w:val="center"/>
          </w:tcPr>
          <w:p w:rsidR="00071E3B" w:rsidRPr="006E0C18" w:rsidRDefault="00071E3B" w:rsidP="00071E3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D0037"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071E3B" w:rsidRPr="00296F96" w:rsidRDefault="00071E3B" w:rsidP="00071E3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116.</w:t>
            </w:r>
            <w:r w:rsidRPr="008D003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:rsidR="00071E3B" w:rsidRPr="00E87F78" w:rsidRDefault="00071E3B" w:rsidP="00071E3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5C747C">
              <w:rPr>
                <w:color w:val="000000" w:themeColor="text1"/>
                <w:sz w:val="16"/>
                <w:szCs w:val="16"/>
              </w:rPr>
              <w:t>967</w:t>
            </w:r>
          </w:p>
        </w:tc>
        <w:tc>
          <w:tcPr>
            <w:tcW w:w="1207" w:type="dxa"/>
            <w:vAlign w:val="center"/>
          </w:tcPr>
          <w:p w:rsidR="00071E3B" w:rsidRPr="009F4F41" w:rsidRDefault="00071E3B" w:rsidP="00071E3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96.</w:t>
            </w:r>
            <w:r w:rsidRPr="005C747C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071E3B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:rsidR="00071E3B" w:rsidRPr="008C0EBD" w:rsidRDefault="00071E3B" w:rsidP="00071E3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8C0EB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:rsidR="00071E3B" w:rsidRPr="00A030E6" w:rsidRDefault="00071E3B" w:rsidP="00071E3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0B2E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:rsidR="00071E3B" w:rsidRPr="006E0C18" w:rsidRDefault="00071E3B" w:rsidP="00071E3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0B2E"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071E3B" w:rsidRPr="00296F96" w:rsidRDefault="00071E3B" w:rsidP="00071E3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865B30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071E3B" w:rsidRPr="00E87F78" w:rsidRDefault="00071E3B" w:rsidP="00071E3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4F64F0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7" w:type="dxa"/>
            <w:vAlign w:val="center"/>
          </w:tcPr>
          <w:p w:rsidR="00071E3B" w:rsidRPr="009F4F41" w:rsidRDefault="00071E3B" w:rsidP="00071E3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0.</w:t>
            </w:r>
            <w:r w:rsidRPr="005C747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</w:tbl>
    <w:p w:rsidR="00154AC9" w:rsidRDefault="00154AC9" w:rsidP="003D5465">
      <w:pPr>
        <w:keepNext/>
        <w:spacing w:before="240" w:line="240" w:lineRule="auto"/>
        <w:jc w:val="center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154AC9" w:rsidRDefault="00154AC9" w:rsidP="007207E6">
      <w:pPr>
        <w:pStyle w:val="tytuwykresu"/>
        <w:rPr>
          <w:lang w:val="en-GB"/>
        </w:rPr>
      </w:pPr>
    </w:p>
    <w:p w:rsidR="00154AC9" w:rsidRDefault="005D23AA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 xml:space="preserve">It is estimated that in the end of </w:t>
      </w:r>
      <w:r w:rsidR="00071E3B">
        <w:rPr>
          <w:b w:val="0"/>
          <w:sz w:val="19"/>
          <w:szCs w:val="19"/>
          <w:shd w:val="clear" w:color="auto" w:fill="FFFFFF"/>
          <w:lang w:val="en-GB"/>
        </w:rPr>
        <w:t>September</w:t>
      </w:r>
      <w:r w:rsidR="00BF61F6">
        <w:rPr>
          <w:b w:val="0"/>
          <w:sz w:val="19"/>
          <w:szCs w:val="19"/>
          <w:shd w:val="clear" w:color="auto" w:fill="FFFFFF"/>
          <w:lang w:val="en-GB"/>
        </w:rPr>
        <w:t xml:space="preserve"> 2019 there were 828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.</w:t>
      </w:r>
      <w:r w:rsidR="00BF61F6">
        <w:rPr>
          <w:b w:val="0"/>
          <w:sz w:val="19"/>
          <w:szCs w:val="19"/>
          <w:shd w:val="clear" w:color="auto" w:fill="FFFFFF"/>
          <w:lang w:val="en-GB"/>
        </w:rPr>
        <w:t>6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thous. dwellings under construction</w:t>
      </w:r>
      <w:r w:rsidRPr="00425FE5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BF61F6">
        <w:rPr>
          <w:b w:val="0"/>
          <w:sz w:val="19"/>
          <w:szCs w:val="19"/>
          <w:shd w:val="clear" w:color="auto" w:fill="FFFFFF"/>
          <w:lang w:val="en-GB"/>
        </w:rPr>
        <w:t>3.2</w:t>
      </w:r>
      <w:r>
        <w:rPr>
          <w:b w:val="0"/>
          <w:sz w:val="19"/>
          <w:szCs w:val="19"/>
          <w:shd w:val="clear" w:color="auto" w:fill="FFFFFF"/>
          <w:lang w:val="en-GB"/>
        </w:rPr>
        <w:t>% more</w:t>
      </w:r>
      <w:r w:rsidRPr="00612A93">
        <w:rPr>
          <w:lang w:val="en-GB"/>
        </w:rPr>
        <w:t xml:space="preserve"> </w:t>
      </w:r>
      <w:r w:rsidRPr="00D76E73">
        <w:rPr>
          <w:b w:val="0"/>
          <w:sz w:val="19"/>
          <w:szCs w:val="19"/>
          <w:shd w:val="clear" w:color="auto" w:fill="FFFFFF"/>
          <w:lang w:val="en-GB"/>
        </w:rPr>
        <w:t xml:space="preserve">than in the corresponding </w:t>
      </w:r>
      <w:r w:rsidR="005E6FF1">
        <w:rPr>
          <w:b w:val="0"/>
          <w:sz w:val="19"/>
          <w:szCs w:val="19"/>
          <w:shd w:val="clear" w:color="auto" w:fill="FFFFFF"/>
          <w:lang w:val="en-GB"/>
        </w:rPr>
        <w:t>period</w:t>
      </w:r>
      <w:r w:rsidRPr="00D76E73">
        <w:rPr>
          <w:b w:val="0"/>
          <w:sz w:val="19"/>
          <w:szCs w:val="19"/>
          <w:shd w:val="clear" w:color="auto" w:fill="FFFFFF"/>
          <w:lang w:val="en-GB"/>
        </w:rPr>
        <w:t xml:space="preserve"> of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Pr="00D76E73">
        <w:rPr>
          <w:b w:val="0"/>
          <w:sz w:val="19"/>
          <w:szCs w:val="19"/>
          <w:shd w:val="clear" w:color="auto" w:fill="FFFFFF"/>
          <w:lang w:val="en-GB"/>
        </w:rPr>
        <w:t>previous year</w:t>
      </w:r>
      <w:r>
        <w:rPr>
          <w:b w:val="0"/>
          <w:sz w:val="19"/>
          <w:szCs w:val="19"/>
          <w:shd w:val="clear" w:color="auto" w:fill="FFFFFF"/>
          <w:lang w:val="en-GB"/>
        </w:rPr>
        <w:t>.</w:t>
      </w:r>
    </w:p>
    <w:p w:rsidR="005D23AA" w:rsidRDefault="005D23AA" w:rsidP="007207E6">
      <w:pPr>
        <w:pStyle w:val="tytuwykresu"/>
        <w:rPr>
          <w:lang w:val="en-GB"/>
        </w:rPr>
      </w:pPr>
    </w:p>
    <w:p w:rsidR="007207E6" w:rsidRDefault="00AD1492" w:rsidP="007207E6">
      <w:pPr>
        <w:pStyle w:val="tytuwykresu"/>
        <w:rPr>
          <w:lang w:val="en-US"/>
        </w:rPr>
      </w:pPr>
      <w:r>
        <w:rPr>
          <w:lang w:val="en-US"/>
        </w:rPr>
        <w:t>C</w:t>
      </w:r>
      <w:r w:rsidRPr="005F5714">
        <w:rPr>
          <w:lang w:val="en-US"/>
        </w:rPr>
        <w:t xml:space="preserve">hart 1. Construction activity in the scope of </w:t>
      </w:r>
      <w:r w:rsidR="00256AD9">
        <w:rPr>
          <w:lang w:val="en-US"/>
        </w:rPr>
        <w:t>residential construction</w:t>
      </w:r>
      <w:r w:rsidR="005D23AA">
        <w:rPr>
          <w:lang w:val="en-US"/>
        </w:rPr>
        <w:t xml:space="preserve"> in Poland</w:t>
      </w:r>
    </w:p>
    <w:p w:rsidR="00632DF8" w:rsidRPr="00612A93" w:rsidRDefault="00BF61F6" w:rsidP="007207E6">
      <w:pPr>
        <w:pStyle w:val="tytuwykresu"/>
        <w:rPr>
          <w:sz w:val="19"/>
          <w:szCs w:val="19"/>
          <w:shd w:val="clear" w:color="auto" w:fill="FFFFFF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795456" behindDoc="0" locked="0" layoutInCell="1" allowOverlap="1" wp14:anchorId="7B06313B" wp14:editId="434B6987">
            <wp:simplePos x="0" y="0"/>
            <wp:positionH relativeFrom="margin">
              <wp:align>right</wp:align>
            </wp:positionH>
            <wp:positionV relativeFrom="paragraph">
              <wp:posOffset>224390</wp:posOffset>
            </wp:positionV>
            <wp:extent cx="5122545" cy="295920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87F" w:rsidRPr="001D7244">
        <w:rPr>
          <w:noProof/>
          <w:lang w:val="en-GB" w:eastAsia="pl-PL"/>
        </w:rPr>
        <w:t xml:space="preserve"> </w:t>
      </w:r>
    </w:p>
    <w:p w:rsidR="007207E6" w:rsidRPr="00612A93" w:rsidRDefault="00AC3185" w:rsidP="00673BE0">
      <w:pPr>
        <w:pStyle w:val="Nagwek1"/>
        <w:rPr>
          <w:color w:val="auto"/>
          <w:sz w:val="18"/>
          <w:szCs w:val="18"/>
          <w:lang w:val="en-GB"/>
        </w:rPr>
      </w:pPr>
      <w:r w:rsidRPr="00C733A3">
        <w:rPr>
          <w:b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663AF7C" wp14:editId="49500C00">
                <wp:simplePos x="0" y="0"/>
                <wp:positionH relativeFrom="page">
                  <wp:posOffset>5743575</wp:posOffset>
                </wp:positionH>
                <wp:positionV relativeFrom="paragraph">
                  <wp:posOffset>259715</wp:posOffset>
                </wp:positionV>
                <wp:extent cx="1760855" cy="2019300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AC3185" w:rsidRDefault="00B519FF" w:rsidP="00AC3185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BF61F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September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compared to </w:t>
                            </w:r>
                            <w:r w:rsidR="00BF61F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August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2019 </w:t>
                            </w:r>
                            <w:r w:rsidR="008F1CC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umber of dwellings</w:t>
                            </w:r>
                            <w:r w:rsidR="008F1CC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</w:t>
                            </w:r>
                            <w:r w:rsidR="00482C65" w:rsidRPr="00482C65">
                              <w:rPr>
                                <w:lang w:val="en-GB"/>
                              </w:rPr>
                              <w:t xml:space="preserve"> </w:t>
                            </w:r>
                            <w:r w:rsidR="00BF61F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</w:t>
                            </w:r>
                            <w:r w:rsidR="00482C65" w:rsidRPr="00482C6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creased</w:t>
                            </w:r>
                            <w:r w:rsidR="00BF61F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by 0</w:t>
                            </w:r>
                            <w:r w:rsidR="00482C6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.1%</w:t>
                            </w:r>
                            <w:r w:rsidR="003D0A9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</w:t>
                            </w:r>
                            <w:r w:rsidR="00482C6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whereas </w:t>
                            </w:r>
                            <w:r w:rsidR="007B0D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for which permits have been granted or which have been registered with a construction project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and dwellings 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 w:rsidR="00BF61F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which construction has begun in</w:t>
                            </w:r>
                            <w:r w:rsidR="003D0A9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creased 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respectively by </w:t>
                            </w:r>
                            <w:r w:rsidR="00BF61F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11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BF61F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</w:t>
                            </w:r>
                            <w:r w:rsidR="007B0D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BF61F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and 10.4</w:t>
                            </w:r>
                            <w:r w:rsidR="003D0A9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482C6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3AF7C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452.25pt;margin-top:20.45pt;width:138.65pt;height:159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" filled="f" stroked="f">
                <v:textbox>
                  <w:txbxContent>
                    <w:p w:rsidR="00B519FF" w:rsidRPr="00AC3185" w:rsidRDefault="00B519FF" w:rsidP="00AC3185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BF61F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September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compared to </w:t>
                      </w:r>
                      <w:r w:rsidR="00BF61F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August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2019 </w:t>
                      </w:r>
                      <w:r w:rsidR="008F1CC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umber of dwellings</w:t>
                      </w:r>
                      <w:r w:rsidR="008F1CC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</w:t>
                      </w:r>
                      <w:r w:rsidR="00482C65" w:rsidRPr="00482C65">
                        <w:rPr>
                          <w:lang w:val="en-GB"/>
                        </w:rPr>
                        <w:t xml:space="preserve"> </w:t>
                      </w:r>
                      <w:r w:rsidR="00BF61F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</w:t>
                      </w:r>
                      <w:r w:rsidR="00482C65" w:rsidRPr="00482C6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creased</w:t>
                      </w:r>
                      <w:r w:rsidR="00BF61F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by 0</w:t>
                      </w:r>
                      <w:r w:rsidR="00482C6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.1%</w:t>
                      </w:r>
                      <w:r w:rsidR="003D0A9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</w:t>
                      </w:r>
                      <w:r w:rsidR="00482C6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whereas </w:t>
                      </w:r>
                      <w:r w:rsidR="007B0D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for which permits have been granted or which have been registered with a construction project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and dwellings 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 w:rsidR="00BF61F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which construction has begun in</w:t>
                      </w:r>
                      <w:r w:rsidR="003D0A9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creased 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respectively by </w:t>
                      </w:r>
                      <w:r w:rsidR="00BF61F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11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BF61F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</w:t>
                      </w:r>
                      <w:r w:rsidR="007B0D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BF61F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and 10.4</w:t>
                      </w:r>
                      <w:r w:rsidR="003D0A9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482C6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3A358E" w:rsidRDefault="003A358E" w:rsidP="00CB6084">
      <w:pPr>
        <w:rPr>
          <w:szCs w:val="19"/>
          <w:shd w:val="clear" w:color="auto" w:fill="FFFFFF"/>
          <w:lang w:val="en-GB"/>
        </w:rPr>
      </w:pPr>
    </w:p>
    <w:p w:rsidR="003A358E" w:rsidRDefault="003A358E" w:rsidP="00CB6084">
      <w:pPr>
        <w:rPr>
          <w:szCs w:val="19"/>
          <w:shd w:val="clear" w:color="auto" w:fill="FFFFFF"/>
          <w:lang w:val="en-GB"/>
        </w:rPr>
      </w:pPr>
    </w:p>
    <w:p w:rsidR="00CF36C5" w:rsidRDefault="00CF36C5" w:rsidP="00CB6084">
      <w:pPr>
        <w:rPr>
          <w:szCs w:val="19"/>
          <w:shd w:val="clear" w:color="auto" w:fill="FFFFFF"/>
          <w:lang w:val="en-GB"/>
        </w:rPr>
      </w:pPr>
    </w:p>
    <w:p w:rsidR="007C6C81" w:rsidRDefault="007C6C81" w:rsidP="00CB6084">
      <w:pPr>
        <w:rPr>
          <w:szCs w:val="19"/>
          <w:shd w:val="clear" w:color="auto" w:fill="FFFFFF"/>
          <w:lang w:val="en-GB"/>
        </w:rPr>
      </w:pPr>
    </w:p>
    <w:p w:rsidR="00FA54FD" w:rsidRDefault="00FA54FD" w:rsidP="00CB6084">
      <w:pPr>
        <w:rPr>
          <w:szCs w:val="19"/>
          <w:shd w:val="clear" w:color="auto" w:fill="FFFFFF"/>
          <w:lang w:val="en-GB"/>
        </w:rPr>
      </w:pPr>
    </w:p>
    <w:p w:rsidR="00FA54FD" w:rsidRDefault="00FA54FD" w:rsidP="00CB6084">
      <w:pPr>
        <w:rPr>
          <w:szCs w:val="19"/>
          <w:shd w:val="clear" w:color="auto" w:fill="FFFFFF"/>
          <w:lang w:val="en-GB"/>
        </w:rPr>
      </w:pPr>
    </w:p>
    <w:p w:rsidR="00CB6084" w:rsidRPr="00CB6084" w:rsidRDefault="00980EA5" w:rsidP="00CB6084">
      <w:pPr>
        <w:rPr>
          <w:szCs w:val="19"/>
          <w:shd w:val="clear" w:color="auto" w:fill="FFFFFF"/>
          <w:lang w:val="en-GB"/>
        </w:rPr>
      </w:pPr>
      <w:r w:rsidRPr="00CB6084">
        <w:rPr>
          <w:szCs w:val="19"/>
          <w:shd w:val="clear" w:color="auto" w:fill="FFFFFF"/>
          <w:lang w:val="en-GB"/>
        </w:rPr>
        <w:t xml:space="preserve">The biggest number </w:t>
      </w:r>
      <w:r w:rsidR="00CB6084" w:rsidRPr="00CB6084">
        <w:rPr>
          <w:szCs w:val="19"/>
          <w:shd w:val="clear" w:color="auto" w:fill="FFFFFF"/>
          <w:lang w:val="en-GB"/>
        </w:rPr>
        <w:t xml:space="preserve">of </w:t>
      </w:r>
      <w:r w:rsidR="00CB6084">
        <w:rPr>
          <w:szCs w:val="19"/>
          <w:shd w:val="clear" w:color="auto" w:fill="FFFFFF"/>
          <w:lang w:val="en-GB"/>
        </w:rPr>
        <w:t>d</w:t>
      </w:r>
      <w:r w:rsidR="00CB6084" w:rsidRPr="00CB6084">
        <w:rPr>
          <w:szCs w:val="19"/>
          <w:shd w:val="clear" w:color="auto" w:fill="FFFFFF"/>
          <w:lang w:val="en-GB"/>
        </w:rPr>
        <w:t xml:space="preserve">wellings for which permits have been granted or which have been registered with </w:t>
      </w:r>
      <w:r w:rsidR="00CB6084">
        <w:rPr>
          <w:szCs w:val="19"/>
          <w:shd w:val="clear" w:color="auto" w:fill="FFFFFF"/>
          <w:lang w:val="en-GB"/>
        </w:rPr>
        <w:t xml:space="preserve">a construction project and </w:t>
      </w:r>
      <w:r w:rsidR="00CB6084" w:rsidRPr="00CB6084">
        <w:rPr>
          <w:szCs w:val="19"/>
          <w:shd w:val="clear" w:color="auto" w:fill="FFFFFF"/>
          <w:lang w:val="en-GB"/>
        </w:rPr>
        <w:t>in which construction has begun</w:t>
      </w:r>
      <w:r w:rsidR="00CB6084">
        <w:rPr>
          <w:szCs w:val="19"/>
          <w:shd w:val="clear" w:color="auto" w:fill="FFFFFF"/>
          <w:lang w:val="en-GB"/>
        </w:rPr>
        <w:t xml:space="preserve"> in </w:t>
      </w:r>
      <w:r w:rsidR="00E873C8">
        <w:rPr>
          <w:szCs w:val="19"/>
          <w:shd w:val="clear" w:color="auto" w:fill="FFFFFF"/>
          <w:lang w:val="en-GB"/>
        </w:rPr>
        <w:t xml:space="preserve">the </w:t>
      </w:r>
      <w:r w:rsidR="00710C03">
        <w:rPr>
          <w:szCs w:val="19"/>
          <w:shd w:val="clear" w:color="auto" w:fill="FFFFFF"/>
          <w:lang w:val="en-GB"/>
        </w:rPr>
        <w:t>period</w:t>
      </w:r>
      <w:r w:rsidR="00A84818">
        <w:rPr>
          <w:szCs w:val="19"/>
          <w:shd w:val="clear" w:color="auto" w:fill="FFFFFF"/>
          <w:lang w:val="en-GB"/>
        </w:rPr>
        <w:t xml:space="preserve"> </w:t>
      </w:r>
      <w:r w:rsidR="00710C03">
        <w:rPr>
          <w:szCs w:val="19"/>
          <w:shd w:val="clear" w:color="auto" w:fill="FFFFFF"/>
          <w:lang w:val="en-GB"/>
        </w:rPr>
        <w:t>of January-</w:t>
      </w:r>
      <w:r w:rsidR="00BF61F6">
        <w:rPr>
          <w:szCs w:val="19"/>
          <w:shd w:val="clear" w:color="auto" w:fill="FFFFFF"/>
          <w:lang w:val="en-GB"/>
        </w:rPr>
        <w:t>September</w:t>
      </w:r>
      <w:r w:rsidR="00A84818">
        <w:rPr>
          <w:szCs w:val="19"/>
          <w:shd w:val="clear" w:color="auto" w:fill="FFFFFF"/>
          <w:lang w:val="en-GB"/>
        </w:rPr>
        <w:t xml:space="preserve"> </w:t>
      </w:r>
      <w:r w:rsidR="00E873C8">
        <w:rPr>
          <w:szCs w:val="19"/>
          <w:shd w:val="clear" w:color="auto" w:fill="FFFFFF"/>
          <w:lang w:val="en-GB"/>
        </w:rPr>
        <w:t>of</w:t>
      </w:r>
      <w:r w:rsidR="00CB6084">
        <w:rPr>
          <w:szCs w:val="19"/>
          <w:shd w:val="clear" w:color="auto" w:fill="FFFFFF"/>
          <w:lang w:val="en-GB"/>
        </w:rPr>
        <w:t xml:space="preserve"> 2019 was recorded </w:t>
      </w:r>
      <w:r w:rsidR="003A358E">
        <w:rPr>
          <w:szCs w:val="19"/>
          <w:shd w:val="clear" w:color="auto" w:fill="FFFFFF"/>
          <w:lang w:val="en-GB"/>
        </w:rPr>
        <w:t>in M</w:t>
      </w:r>
      <w:r w:rsidR="00CB6084">
        <w:rPr>
          <w:szCs w:val="19"/>
          <w:shd w:val="clear" w:color="auto" w:fill="FFFFFF"/>
          <w:lang w:val="en-GB"/>
        </w:rPr>
        <w:t>azowieckie</w:t>
      </w:r>
      <w:r w:rsidR="006D5A05">
        <w:rPr>
          <w:szCs w:val="19"/>
          <w:shd w:val="clear" w:color="auto" w:fill="FFFFFF"/>
          <w:lang w:val="en-GB"/>
        </w:rPr>
        <w:t xml:space="preserve"> voivodship (</w:t>
      </w:r>
      <w:r w:rsidR="00F81CDA">
        <w:rPr>
          <w:szCs w:val="19"/>
          <w:shd w:val="clear" w:color="auto" w:fill="FFFFFF"/>
          <w:lang w:val="en-GB"/>
        </w:rPr>
        <w:t>respec</w:t>
      </w:r>
      <w:r w:rsidR="007F4BEF">
        <w:rPr>
          <w:szCs w:val="19"/>
          <w:shd w:val="clear" w:color="auto" w:fill="FFFFFF"/>
          <w:lang w:val="en-GB"/>
        </w:rPr>
        <w:t>t</w:t>
      </w:r>
      <w:r w:rsidR="00F81CDA">
        <w:rPr>
          <w:szCs w:val="19"/>
          <w:shd w:val="clear" w:color="auto" w:fill="FFFFFF"/>
          <w:lang w:val="en-GB"/>
        </w:rPr>
        <w:t>iv</w:t>
      </w:r>
      <w:r w:rsidR="007F4BEF">
        <w:rPr>
          <w:szCs w:val="19"/>
          <w:shd w:val="clear" w:color="auto" w:fill="FFFFFF"/>
          <w:lang w:val="en-GB"/>
        </w:rPr>
        <w:t xml:space="preserve">ely </w:t>
      </w:r>
      <w:r w:rsidR="00BF61F6">
        <w:rPr>
          <w:szCs w:val="19"/>
          <w:shd w:val="clear" w:color="auto" w:fill="FFFFFF"/>
          <w:lang w:val="en-GB"/>
        </w:rPr>
        <w:t>36</w:t>
      </w:r>
      <w:r w:rsidR="007F4BEF">
        <w:rPr>
          <w:szCs w:val="19"/>
          <w:shd w:val="clear" w:color="auto" w:fill="FFFFFF"/>
          <w:lang w:val="en-GB"/>
        </w:rPr>
        <w:t>.</w:t>
      </w:r>
      <w:r w:rsidR="00BF61F6">
        <w:rPr>
          <w:szCs w:val="19"/>
          <w:shd w:val="clear" w:color="auto" w:fill="FFFFFF"/>
          <w:lang w:val="en-GB"/>
        </w:rPr>
        <w:t>1</w:t>
      </w:r>
      <w:r w:rsidR="00E873C8">
        <w:rPr>
          <w:szCs w:val="19"/>
          <w:shd w:val="clear" w:color="auto" w:fill="FFFFFF"/>
          <w:lang w:val="en-GB"/>
        </w:rPr>
        <w:t xml:space="preserve"> thous.</w:t>
      </w:r>
      <w:r w:rsidR="00A84818">
        <w:rPr>
          <w:szCs w:val="19"/>
          <w:shd w:val="clear" w:color="auto" w:fill="FFFFFF"/>
          <w:lang w:val="en-GB"/>
        </w:rPr>
        <w:t xml:space="preserve"> and </w:t>
      </w:r>
      <w:r w:rsidR="00BF61F6">
        <w:rPr>
          <w:szCs w:val="19"/>
          <w:shd w:val="clear" w:color="auto" w:fill="FFFFFF"/>
          <w:lang w:val="en-GB"/>
        </w:rPr>
        <w:t>30</w:t>
      </w:r>
      <w:r w:rsidR="007F4BEF">
        <w:rPr>
          <w:szCs w:val="19"/>
          <w:shd w:val="clear" w:color="auto" w:fill="FFFFFF"/>
          <w:lang w:val="en-GB"/>
        </w:rPr>
        <w:t>.</w:t>
      </w:r>
      <w:r w:rsidR="00BF61F6">
        <w:rPr>
          <w:szCs w:val="19"/>
          <w:shd w:val="clear" w:color="auto" w:fill="FFFFFF"/>
          <w:lang w:val="en-GB"/>
        </w:rPr>
        <w:t>0</w:t>
      </w:r>
      <w:r w:rsidR="00A84818" w:rsidRPr="00A84818">
        <w:rPr>
          <w:szCs w:val="19"/>
          <w:shd w:val="clear" w:color="auto" w:fill="FFFFFF"/>
          <w:lang w:val="en-GB"/>
        </w:rPr>
        <w:t xml:space="preserve"> thous.</w:t>
      </w:r>
      <w:r w:rsidR="00E873C8">
        <w:rPr>
          <w:szCs w:val="19"/>
          <w:shd w:val="clear" w:color="auto" w:fill="FFFFFF"/>
          <w:lang w:val="en-GB"/>
        </w:rPr>
        <w:t>) and</w:t>
      </w:r>
      <w:r w:rsidR="00CB6084">
        <w:rPr>
          <w:szCs w:val="19"/>
          <w:shd w:val="clear" w:color="auto" w:fill="FFFFFF"/>
          <w:lang w:val="en-GB"/>
        </w:rPr>
        <w:t xml:space="preserve"> </w:t>
      </w:r>
      <w:r w:rsidR="003A358E">
        <w:rPr>
          <w:szCs w:val="19"/>
          <w:shd w:val="clear" w:color="auto" w:fill="FFFFFF"/>
          <w:lang w:val="en-GB"/>
        </w:rPr>
        <w:t>in D</w:t>
      </w:r>
      <w:r w:rsidR="00CB6084">
        <w:rPr>
          <w:szCs w:val="19"/>
          <w:shd w:val="clear" w:color="auto" w:fill="FFFFFF"/>
          <w:lang w:val="en-GB"/>
        </w:rPr>
        <w:t>olnośl</w:t>
      </w:r>
      <w:r w:rsidR="00710C03">
        <w:rPr>
          <w:szCs w:val="19"/>
          <w:shd w:val="clear" w:color="auto" w:fill="FFFFFF"/>
          <w:lang w:val="en-GB"/>
        </w:rPr>
        <w:t>ą</w:t>
      </w:r>
      <w:r w:rsidR="00BF61F6">
        <w:rPr>
          <w:szCs w:val="19"/>
          <w:shd w:val="clear" w:color="auto" w:fill="FFFFFF"/>
          <w:lang w:val="en-GB"/>
        </w:rPr>
        <w:t>skie voivodship (respectively 22</w:t>
      </w:r>
      <w:r w:rsidR="007F4BEF">
        <w:rPr>
          <w:szCs w:val="19"/>
          <w:shd w:val="clear" w:color="auto" w:fill="FFFFFF"/>
          <w:lang w:val="en-GB"/>
        </w:rPr>
        <w:t>.</w:t>
      </w:r>
      <w:r w:rsidR="00BF61F6">
        <w:rPr>
          <w:szCs w:val="19"/>
          <w:shd w:val="clear" w:color="auto" w:fill="FFFFFF"/>
          <w:lang w:val="en-GB"/>
        </w:rPr>
        <w:t>0</w:t>
      </w:r>
      <w:r w:rsidR="007F4BEF">
        <w:rPr>
          <w:szCs w:val="19"/>
          <w:shd w:val="clear" w:color="auto" w:fill="FFFFFF"/>
          <w:lang w:val="en-GB"/>
        </w:rPr>
        <w:t xml:space="preserve"> thous. and 1</w:t>
      </w:r>
      <w:r w:rsidR="00BF61F6">
        <w:rPr>
          <w:szCs w:val="19"/>
          <w:shd w:val="clear" w:color="auto" w:fill="FFFFFF"/>
          <w:lang w:val="en-GB"/>
        </w:rPr>
        <w:t>8</w:t>
      </w:r>
      <w:r w:rsidR="007F4BEF">
        <w:rPr>
          <w:szCs w:val="19"/>
          <w:shd w:val="clear" w:color="auto" w:fill="FFFFFF"/>
          <w:lang w:val="en-GB"/>
        </w:rPr>
        <w:t>.</w:t>
      </w:r>
      <w:r w:rsidR="00BF61F6">
        <w:rPr>
          <w:szCs w:val="19"/>
          <w:shd w:val="clear" w:color="auto" w:fill="FFFFFF"/>
          <w:lang w:val="en-GB"/>
        </w:rPr>
        <w:t>9</w:t>
      </w:r>
      <w:r w:rsidR="00CB6084" w:rsidRPr="00CB6084">
        <w:rPr>
          <w:szCs w:val="19"/>
          <w:shd w:val="clear" w:color="auto" w:fill="FFFFFF"/>
          <w:lang w:val="en-GB"/>
        </w:rPr>
        <w:t xml:space="preserve"> thous</w:t>
      </w:r>
      <w:r w:rsidR="00CB6084">
        <w:rPr>
          <w:szCs w:val="19"/>
          <w:shd w:val="clear" w:color="auto" w:fill="FFFFFF"/>
          <w:lang w:val="en-GB"/>
        </w:rPr>
        <w:t xml:space="preserve">.). </w:t>
      </w:r>
      <w:r w:rsidR="00CB6084" w:rsidRPr="00CB6084">
        <w:rPr>
          <w:szCs w:val="19"/>
          <w:shd w:val="clear" w:color="auto" w:fill="FFFFFF"/>
          <w:lang w:val="en-GB"/>
        </w:rPr>
        <w:t xml:space="preserve">Voivodships with the largest number of dwellings completed </w:t>
      </w:r>
      <w:r w:rsidR="002F2E8D">
        <w:rPr>
          <w:szCs w:val="19"/>
          <w:shd w:val="clear" w:color="auto" w:fill="FFFFFF"/>
          <w:lang w:val="en-GB"/>
        </w:rPr>
        <w:t>were</w:t>
      </w:r>
      <w:r w:rsidR="00BF61F6">
        <w:rPr>
          <w:szCs w:val="19"/>
          <w:shd w:val="clear" w:color="auto" w:fill="FFFFFF"/>
          <w:lang w:val="en-GB"/>
        </w:rPr>
        <w:t xml:space="preserve"> Mazowieckie (30</w:t>
      </w:r>
      <w:r w:rsidR="007F4BEF">
        <w:rPr>
          <w:szCs w:val="19"/>
          <w:shd w:val="clear" w:color="auto" w:fill="FFFFFF"/>
          <w:lang w:val="en-GB"/>
        </w:rPr>
        <w:t>.</w:t>
      </w:r>
      <w:r w:rsidR="00BF61F6">
        <w:rPr>
          <w:szCs w:val="19"/>
          <w:shd w:val="clear" w:color="auto" w:fill="FFFFFF"/>
          <w:lang w:val="en-GB"/>
        </w:rPr>
        <w:t>2</w:t>
      </w:r>
      <w:r w:rsidR="009664CD">
        <w:rPr>
          <w:szCs w:val="19"/>
          <w:shd w:val="clear" w:color="auto" w:fill="FFFFFF"/>
          <w:lang w:val="en-GB"/>
        </w:rPr>
        <w:t xml:space="preserve"> thous. dwellings</w:t>
      </w:r>
      <w:r w:rsidR="00CB6084" w:rsidRPr="00CB6084">
        <w:rPr>
          <w:szCs w:val="19"/>
          <w:shd w:val="clear" w:color="auto" w:fill="FFFFFF"/>
          <w:lang w:val="en-GB"/>
        </w:rPr>
        <w:t>)</w:t>
      </w:r>
      <w:r w:rsidR="009664CD">
        <w:rPr>
          <w:szCs w:val="19"/>
          <w:shd w:val="clear" w:color="auto" w:fill="FFFFFF"/>
          <w:lang w:val="en-GB"/>
        </w:rPr>
        <w:t xml:space="preserve"> and </w:t>
      </w:r>
      <w:r w:rsidR="00BF61F6">
        <w:rPr>
          <w:szCs w:val="19"/>
          <w:shd w:val="clear" w:color="auto" w:fill="FFFFFF"/>
          <w:lang w:val="en-GB"/>
        </w:rPr>
        <w:t>Wielkopolskie</w:t>
      </w:r>
      <w:r w:rsidR="009664CD">
        <w:rPr>
          <w:szCs w:val="19"/>
          <w:shd w:val="clear" w:color="auto" w:fill="FFFFFF"/>
          <w:lang w:val="en-GB"/>
        </w:rPr>
        <w:t xml:space="preserve"> </w:t>
      </w:r>
      <w:r w:rsidR="007F4BEF">
        <w:rPr>
          <w:szCs w:val="19"/>
          <w:shd w:val="clear" w:color="auto" w:fill="FFFFFF"/>
          <w:lang w:val="en-GB"/>
        </w:rPr>
        <w:t>(</w:t>
      </w:r>
      <w:r w:rsidR="00BF61F6">
        <w:rPr>
          <w:szCs w:val="19"/>
          <w:shd w:val="clear" w:color="auto" w:fill="FFFFFF"/>
          <w:lang w:val="en-GB"/>
        </w:rPr>
        <w:t>16</w:t>
      </w:r>
      <w:r w:rsidR="007F4BEF">
        <w:rPr>
          <w:szCs w:val="19"/>
          <w:shd w:val="clear" w:color="auto" w:fill="FFFFFF"/>
          <w:lang w:val="en-GB"/>
        </w:rPr>
        <w:t>.</w:t>
      </w:r>
      <w:r w:rsidR="00BF61F6">
        <w:rPr>
          <w:szCs w:val="19"/>
          <w:shd w:val="clear" w:color="auto" w:fill="FFFFFF"/>
          <w:lang w:val="en-GB"/>
        </w:rPr>
        <w:t>2</w:t>
      </w:r>
      <w:r w:rsidR="009664CD">
        <w:rPr>
          <w:szCs w:val="19"/>
          <w:shd w:val="clear" w:color="auto" w:fill="FFFFFF"/>
          <w:lang w:val="en-GB"/>
        </w:rPr>
        <w:t xml:space="preserve"> thous.</w:t>
      </w:r>
      <w:r w:rsidR="00CB6084" w:rsidRPr="00CB6084">
        <w:rPr>
          <w:szCs w:val="19"/>
          <w:shd w:val="clear" w:color="auto" w:fill="FFFFFF"/>
          <w:lang w:val="en-GB"/>
        </w:rPr>
        <w:t>).</w:t>
      </w:r>
    </w:p>
    <w:p w:rsidR="00C60835" w:rsidRPr="00CB6084" w:rsidRDefault="001C1808" w:rsidP="009A61DB">
      <w:pPr>
        <w:pStyle w:val="Nagwek1"/>
        <w:rPr>
          <w:color w:val="auto"/>
          <w:sz w:val="18"/>
          <w:szCs w:val="18"/>
          <w:lang w:val="en-GB"/>
        </w:rPr>
      </w:pPr>
      <w:r>
        <w:rPr>
          <w:color w:val="auto"/>
          <w:sz w:val="18"/>
          <w:szCs w:val="18"/>
          <w:lang w:val="en-GB"/>
        </w:rPr>
        <w:t>Chart 2</w:t>
      </w:r>
      <w:r w:rsidRPr="001C1808">
        <w:rPr>
          <w:color w:val="auto"/>
          <w:sz w:val="18"/>
          <w:szCs w:val="18"/>
          <w:lang w:val="en-GB"/>
        </w:rPr>
        <w:t xml:space="preserve">. Construction activity in the scope of </w:t>
      </w:r>
      <w:r w:rsidR="00256AD9">
        <w:rPr>
          <w:color w:val="auto"/>
          <w:sz w:val="18"/>
          <w:szCs w:val="18"/>
          <w:lang w:val="en-GB"/>
        </w:rPr>
        <w:t>residential construction</w:t>
      </w:r>
      <w:r w:rsidRPr="001C1808">
        <w:rPr>
          <w:color w:val="auto"/>
          <w:sz w:val="18"/>
          <w:szCs w:val="18"/>
          <w:lang w:val="en-GB"/>
        </w:rPr>
        <w:t xml:space="preserve"> </w:t>
      </w:r>
      <w:r>
        <w:rPr>
          <w:color w:val="auto"/>
          <w:sz w:val="18"/>
          <w:szCs w:val="18"/>
          <w:lang w:val="en-GB"/>
        </w:rPr>
        <w:t xml:space="preserve">by voivodships </w:t>
      </w:r>
      <w:r>
        <w:rPr>
          <w:color w:val="auto"/>
          <w:sz w:val="18"/>
          <w:szCs w:val="18"/>
          <w:lang w:val="en-GB"/>
        </w:rPr>
        <w:br/>
      </w:r>
      <w:r w:rsidR="00384D8B">
        <w:rPr>
          <w:color w:val="auto"/>
          <w:sz w:val="18"/>
          <w:szCs w:val="18"/>
          <w:lang w:val="en-GB"/>
        </w:rPr>
        <w:t xml:space="preserve">               </w:t>
      </w:r>
      <w:r w:rsidR="00E873C8">
        <w:rPr>
          <w:color w:val="auto"/>
          <w:sz w:val="18"/>
          <w:szCs w:val="18"/>
          <w:lang w:val="en-GB"/>
        </w:rPr>
        <w:t>(January-</w:t>
      </w:r>
      <w:r w:rsidR="00BF61F6">
        <w:rPr>
          <w:color w:val="auto"/>
          <w:sz w:val="18"/>
          <w:szCs w:val="18"/>
          <w:lang w:val="en-GB"/>
        </w:rPr>
        <w:t>September</w:t>
      </w:r>
      <w:r w:rsidR="00E873C8">
        <w:rPr>
          <w:color w:val="auto"/>
          <w:sz w:val="18"/>
          <w:szCs w:val="18"/>
          <w:lang w:val="en-GB"/>
        </w:rPr>
        <w:t xml:space="preserve"> </w:t>
      </w:r>
      <w:r>
        <w:rPr>
          <w:color w:val="auto"/>
          <w:sz w:val="18"/>
          <w:szCs w:val="18"/>
          <w:lang w:val="en-GB"/>
        </w:rPr>
        <w:t>2019)</w:t>
      </w:r>
    </w:p>
    <w:p w:rsidR="00C60835" w:rsidRPr="00CB6084" w:rsidRDefault="00295E14" w:rsidP="00673BE0">
      <w:pPr>
        <w:pStyle w:val="Nagwek1"/>
        <w:rPr>
          <w:color w:val="auto"/>
          <w:sz w:val="18"/>
          <w:szCs w:val="18"/>
          <w:lang w:val="en-GB"/>
        </w:rPr>
      </w:pPr>
      <w:r>
        <w:rPr>
          <w:noProof/>
        </w:rPr>
        <w:drawing>
          <wp:anchor distT="0" distB="0" distL="114300" distR="114300" simplePos="0" relativeHeight="251797504" behindDoc="0" locked="0" layoutInCell="1" allowOverlap="1" wp14:anchorId="4414B45E" wp14:editId="0A655C7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122545" cy="3575685"/>
            <wp:effectExtent l="0" t="0" r="0" b="0"/>
            <wp:wrapNone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31A6" w:rsidRDefault="004231A6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Pr="00CB6084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694AF0" w:rsidRPr="00CB6084" w:rsidRDefault="00694AF0" w:rsidP="0046503D">
      <w:pPr>
        <w:rPr>
          <w:sz w:val="12"/>
          <w:szCs w:val="12"/>
          <w:lang w:val="en-GB"/>
        </w:rPr>
        <w:sectPr w:rsidR="00694AF0" w:rsidRPr="00CB6084" w:rsidSect="00A05A3A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lowerLetter"/>
          </w:footnotePr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</w:p>
    <w:p w:rsidR="000470AA" w:rsidRDefault="000470AA" w:rsidP="0046503D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7"/>
        <w:gridCol w:w="3830"/>
      </w:tblGrid>
      <w:tr w:rsidR="00B34C4C" w:rsidRPr="00BF61F6" w:rsidTr="00E873C8">
        <w:trPr>
          <w:trHeight w:val="1912"/>
        </w:trPr>
        <w:tc>
          <w:tcPr>
            <w:tcW w:w="4379" w:type="dxa"/>
          </w:tcPr>
          <w:p w:rsidR="00B34C4C" w:rsidRPr="00612A93" w:rsidRDefault="00B34C4C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612A9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B34C4C" w:rsidRPr="00612A93" w:rsidRDefault="00B34C4C" w:rsidP="00E873C8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612A93">
              <w:rPr>
                <w:rFonts w:cs="Arial"/>
                <w:b/>
                <w:sz w:val="20"/>
                <w:lang w:val="en-GB"/>
              </w:rPr>
              <w:t>Statistical Office in Lublin</w:t>
            </w:r>
          </w:p>
          <w:p w:rsidR="00B34C4C" w:rsidRPr="00A02ED8" w:rsidRDefault="00B34C4C" w:rsidP="00E873C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A02ED8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Zofia Kurlej</w:t>
            </w:r>
          </w:p>
          <w:p w:rsidR="00B34C4C" w:rsidRPr="00A02ED8" w:rsidRDefault="00B34C4C" w:rsidP="00E873C8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A02ED8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2F2E8D">
              <w:rPr>
                <w:rFonts w:ascii="Fira Sans" w:hAnsi="Fira Sans" w:cs="Arial"/>
                <w:color w:val="auto"/>
                <w:sz w:val="20"/>
                <w:lang w:val="fi-FI"/>
              </w:rPr>
              <w:t>+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48 </w:t>
            </w:r>
            <w:r w:rsidRPr="00A02ED8">
              <w:rPr>
                <w:rFonts w:ascii="Fira Sans" w:hAnsi="Fira Sans" w:cs="Arial"/>
                <w:color w:val="auto"/>
                <w:sz w:val="20"/>
                <w:lang w:val="fi-FI"/>
              </w:rPr>
              <w:t>81 533 23</w:t>
            </w:r>
            <w:r w:rsidR="008C48C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Pr="00A02ED8">
              <w:rPr>
                <w:rFonts w:ascii="Fira Sans" w:hAnsi="Fira Sans" w:cs="Arial"/>
                <w:color w:val="auto"/>
                <w:sz w:val="20"/>
                <w:lang w:val="fi-FI"/>
              </w:rPr>
              <w:t>01</w:t>
            </w:r>
          </w:p>
          <w:p w:rsidR="00B34C4C" w:rsidRPr="00B34C4C" w:rsidRDefault="00B34C4C" w:rsidP="00E873C8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  <w:r w:rsidRPr="00E717AF">
              <w:rPr>
                <w:rFonts w:ascii="Fira Sans" w:hAnsi="Fira Sans" w:cs="Arial"/>
                <w:b/>
                <w:color w:val="auto"/>
                <w:sz w:val="20"/>
                <w:szCs w:val="20"/>
              </w:rPr>
              <w:t xml:space="preserve">e-mail: </w:t>
            </w:r>
            <w:hyperlink r:id="rId19" w:history="1">
              <w:r w:rsidRPr="00E717AF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Z.Kurlej@stat.gov.pl</w:t>
              </w:r>
            </w:hyperlink>
          </w:p>
        </w:tc>
        <w:tc>
          <w:tcPr>
            <w:tcW w:w="3942" w:type="dxa"/>
          </w:tcPr>
          <w:p w:rsidR="00B34C4C" w:rsidRPr="00612A93" w:rsidRDefault="00B34C4C" w:rsidP="00E873C8">
            <w:pPr>
              <w:pStyle w:val="Default"/>
              <w:rPr>
                <w:sz w:val="20"/>
                <w:szCs w:val="20"/>
                <w:lang w:val="en-GB"/>
              </w:rPr>
            </w:pPr>
            <w:r w:rsidRPr="00612A93">
              <w:rPr>
                <w:sz w:val="20"/>
                <w:szCs w:val="20"/>
                <w:lang w:val="en-GB"/>
              </w:rPr>
              <w:t xml:space="preserve">Dissemination: </w:t>
            </w:r>
            <w:r w:rsidRPr="001C110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Spokeperson for the President </w:t>
            </w:r>
          </w:p>
          <w:p w:rsidR="00B34C4C" w:rsidRDefault="00B34C4C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 Poland</w:t>
            </w:r>
          </w:p>
          <w:p w:rsidR="00B34C4C" w:rsidRPr="001C110A" w:rsidRDefault="007F1E2E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Karolina Banaszek</w:t>
            </w:r>
          </w:p>
          <w:p w:rsidR="00B34C4C" w:rsidRPr="008F3638" w:rsidRDefault="00B34C4C" w:rsidP="00E873C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22 608 34</w:t>
            </w:r>
            <w:r w:rsidR="008C48C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75,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22 608 30</w:t>
            </w:r>
            <w:r w:rsidR="008C48C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B34C4C" w:rsidRPr="008F3638" w:rsidRDefault="00B34C4C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8F3638">
                <w:rPr>
                  <w:rStyle w:val="Hipercze"/>
                  <w:rFonts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B34C4C" w:rsidRPr="00BF61F6" w:rsidTr="00E873C8">
        <w:trPr>
          <w:trHeight w:val="610"/>
        </w:trPr>
        <w:tc>
          <w:tcPr>
            <w:tcW w:w="2721" w:type="pct"/>
            <w:vMerge w:val="restart"/>
            <w:vAlign w:val="center"/>
          </w:tcPr>
          <w:p w:rsidR="00B34C4C" w:rsidRPr="00FC6E4C" w:rsidRDefault="00B34C4C" w:rsidP="00E873C8">
            <w:pPr>
              <w:rPr>
                <w:b/>
                <w:sz w:val="20"/>
                <w:lang w:val="en-GB"/>
              </w:rPr>
            </w:pPr>
            <w:r w:rsidRPr="00FC6E4C">
              <w:rPr>
                <w:b/>
                <w:sz w:val="20"/>
                <w:lang w:val="en-GB"/>
              </w:rPr>
              <w:t>Press Office</w:t>
            </w:r>
          </w:p>
          <w:p w:rsidR="00B34C4C" w:rsidRPr="00FC6E4C" w:rsidRDefault="008235EC" w:rsidP="00E873C8">
            <w:pPr>
              <w:rPr>
                <w:sz w:val="20"/>
                <w:lang w:val="en-GB"/>
              </w:rPr>
            </w:pPr>
            <w:r w:rsidRPr="008235EC">
              <w:rPr>
                <w:sz w:val="20"/>
                <w:lang w:val="en-GB"/>
              </w:rPr>
              <w:t>Tel:</w:t>
            </w:r>
            <w:r w:rsidR="00B34C4C" w:rsidRPr="00FC6E4C">
              <w:rPr>
                <w:b/>
                <w:sz w:val="20"/>
                <w:lang w:val="en-GB"/>
              </w:rPr>
              <w:t xml:space="preserve"> </w:t>
            </w:r>
            <w:r w:rsidR="00B34C4C" w:rsidRPr="00B34C4C">
              <w:rPr>
                <w:sz w:val="20"/>
                <w:lang w:val="en-GB"/>
              </w:rPr>
              <w:t>+ 48</w:t>
            </w:r>
            <w:r w:rsidR="00B34C4C">
              <w:rPr>
                <w:b/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22 608 34</w:t>
            </w:r>
            <w:r w:rsidR="008C48C6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91, +48 22 608 38</w:t>
            </w:r>
            <w:r w:rsidR="008C48C6">
              <w:rPr>
                <w:sz w:val="20"/>
                <w:lang w:val="en-GB"/>
              </w:rPr>
              <w:t xml:space="preserve"> </w:t>
            </w:r>
            <w:r w:rsidR="00B34C4C" w:rsidRPr="00FC6E4C">
              <w:rPr>
                <w:sz w:val="20"/>
                <w:lang w:val="en-GB"/>
              </w:rPr>
              <w:t xml:space="preserve">04 </w:t>
            </w:r>
          </w:p>
          <w:p w:rsidR="00B34C4C" w:rsidRPr="00B34C4C" w:rsidRDefault="00B34C4C" w:rsidP="00E873C8">
            <w:pPr>
              <w:rPr>
                <w:b/>
                <w:sz w:val="18"/>
                <w:lang w:val="en-US"/>
              </w:rPr>
            </w:pPr>
            <w:r w:rsidRPr="00B34C4C">
              <w:rPr>
                <w:b/>
                <w:sz w:val="20"/>
                <w:lang w:val="en-US"/>
              </w:rPr>
              <w:t xml:space="preserve">e-mail: </w:t>
            </w:r>
            <w:hyperlink r:id="rId21" w:history="1">
              <w:r w:rsidRPr="00B34C4C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B34C4C" w:rsidRPr="00F64AC1" w:rsidRDefault="00B34C4C" w:rsidP="00E873C8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685B0E8F" wp14:editId="084A61B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B34C4C" w:rsidRPr="008235EC" w:rsidRDefault="00B34C4C" w:rsidP="00E873C8">
            <w:pPr>
              <w:rPr>
                <w:sz w:val="18"/>
                <w:lang w:val="en-US"/>
              </w:rPr>
            </w:pPr>
            <w:r w:rsidRPr="008235EC">
              <w:rPr>
                <w:sz w:val="20"/>
                <w:lang w:val="en-US"/>
              </w:rPr>
              <w:t>www.stat.gov.pl</w:t>
            </w:r>
            <w:r w:rsidR="008235EC" w:rsidRPr="008235EC">
              <w:rPr>
                <w:sz w:val="20"/>
                <w:lang w:val="en-US"/>
              </w:rPr>
              <w:t>/en/</w:t>
            </w:r>
          </w:p>
        </w:tc>
      </w:tr>
      <w:tr w:rsidR="00B34C4C" w:rsidTr="00E873C8">
        <w:trPr>
          <w:trHeight w:val="436"/>
        </w:trPr>
        <w:tc>
          <w:tcPr>
            <w:tcW w:w="2721" w:type="pct"/>
            <w:vMerge/>
            <w:vAlign w:val="center"/>
          </w:tcPr>
          <w:p w:rsidR="00B34C4C" w:rsidRPr="008235EC" w:rsidRDefault="00B34C4C" w:rsidP="00E873C8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B34C4C" w:rsidRPr="008235EC" w:rsidRDefault="00B34C4C" w:rsidP="00E873C8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28925955" wp14:editId="1179D4C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B34C4C" w:rsidRDefault="008235EC" w:rsidP="00E873C8">
            <w:pPr>
              <w:rPr>
                <w:sz w:val="18"/>
              </w:rPr>
            </w:pPr>
            <w:r>
              <w:rPr>
                <w:sz w:val="20"/>
              </w:rPr>
              <w:t>@StatPoland</w:t>
            </w:r>
          </w:p>
        </w:tc>
      </w:tr>
      <w:tr w:rsidR="00B34C4C" w:rsidTr="00E873C8">
        <w:trPr>
          <w:trHeight w:val="436"/>
        </w:trPr>
        <w:tc>
          <w:tcPr>
            <w:tcW w:w="2721" w:type="pct"/>
            <w:vMerge/>
            <w:vAlign w:val="center"/>
          </w:tcPr>
          <w:p w:rsidR="00B34C4C" w:rsidRDefault="00B34C4C" w:rsidP="00E873C8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B34C4C" w:rsidRDefault="00B34C4C" w:rsidP="00E873C8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09E52B18" wp14:editId="37B2E5C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B34C4C" w:rsidRDefault="00B34C4C" w:rsidP="00E873C8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B34C4C" w:rsidRPr="00B34C4C" w:rsidRDefault="00B34C4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42545</wp:posOffset>
                </wp:positionH>
                <wp:positionV relativeFrom="paragraph">
                  <wp:posOffset>361315</wp:posOffset>
                </wp:positionV>
                <wp:extent cx="5243830" cy="4535170"/>
                <wp:effectExtent l="0" t="0" r="1397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83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Default="00B519FF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B519FF" w:rsidRDefault="00B519FF" w:rsidP="00000009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B519FF" w:rsidRPr="004E377B" w:rsidRDefault="00B519FF" w:rsidP="00000009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 w:rsidR="005C7839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instrText>HYPERLINK "https://stat.gov.pl/en/topics/other-studies/informations-on-socio-economic-situation/publikacja,4.html" \o "Statistical Bulletin"</w:instrText>
                            </w: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Pr="00F1184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Statistical Bulletin</w:t>
                            </w:r>
                            <w:r w:rsidRPr="004E377B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:rsidR="00B519FF" w:rsidRPr="008235EC" w:rsidRDefault="00B519FF" w:rsidP="00F1184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r w:rsidRPr="004E377B">
                              <w:rPr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hyperlink r:id="rId25" w:history="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Socio-economic situation of the country</w:t>
                              </w:r>
                            </w:hyperlink>
                          </w:p>
                          <w:p w:rsidR="00B519FF" w:rsidRPr="005C7839" w:rsidRDefault="001B7948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6" w:history="1">
                              <w:r w:rsidR="005C7839" w:rsidRPr="005C783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Construction re</w:t>
                              </w:r>
                              <w:r w:rsidR="005C7839" w:rsidRPr="005C783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s</w:t>
                              </w:r>
                              <w:r w:rsidR="005C7839" w:rsidRPr="005C783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ults</w:t>
                              </w:r>
                            </w:hyperlink>
                            <w:r w:rsidR="005C783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:rsidR="00B519FF" w:rsidRPr="00F11843" w:rsidRDefault="00B519FF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B519FF" w:rsidRDefault="00B519FF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B519FF" w:rsidRPr="008235EC" w:rsidRDefault="001B7948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7" w:history="1">
                              <w:r w:rsidR="00B519FF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Knowledge Databases Construction</w:t>
                              </w:r>
                            </w:hyperlink>
                          </w:p>
                          <w:p w:rsidR="00B519FF" w:rsidRDefault="001B7948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8" w:history="1">
                              <w:r w:rsidR="00B519FF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B519FF" w:rsidRPr="00F11843" w:rsidRDefault="00B519FF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B519FF" w:rsidRDefault="00B519FF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B519FF" w:rsidRPr="008235EC" w:rsidRDefault="001B7948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9" w:history="1">
                              <w:r w:rsidR="00295E14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for which permits have bee</w:t>
                              </w:r>
                              <w:r w:rsidR="00295E14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n</w:t>
                              </w:r>
                              <w:r w:rsidR="00295E14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 xml:space="preserve"> granted or which have been registered with a construction project</w:t>
                              </w:r>
                            </w:hyperlink>
                          </w:p>
                          <w:p w:rsidR="00B519FF" w:rsidRPr="00F11843" w:rsidRDefault="001B7948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30" w:history="1">
                              <w:r w:rsidR="00B519FF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in which construction has begun</w:t>
                              </w:r>
                            </w:hyperlink>
                            <w:hyperlink r:id="rId31" w:history="1"/>
                          </w:p>
                          <w:p w:rsidR="00B519FF" w:rsidRPr="00F11843" w:rsidRDefault="001B7948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32" w:history="1">
                              <w:r w:rsidR="00B519FF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completed</w:t>
                              </w:r>
                            </w:hyperlink>
                          </w:p>
                          <w:p w:rsidR="00B519FF" w:rsidRDefault="00B519FF" w:rsidP="00000009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B519FF" w:rsidRPr="003B6350" w:rsidRDefault="00B519F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.35pt;margin-top:28.45pt;width:412.9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" fillcolor="#f2f2f2 [3052]" strokecolor="white [3212]">
                <v:textbox>
                  <w:txbxContent>
                    <w:p w:rsidR="00B519FF" w:rsidRDefault="00B519FF" w:rsidP="00AB6D25">
                      <w:pPr>
                        <w:rPr>
                          <w:b/>
                        </w:rPr>
                      </w:pPr>
                    </w:p>
                    <w:p w:rsidR="00B519FF" w:rsidRDefault="00B519FF" w:rsidP="00000009">
                      <w:pPr>
                        <w:rPr>
                          <w:b/>
                          <w:lang w:val="en-GB"/>
                        </w:rPr>
                      </w:pPr>
                      <w:r w:rsidRPr="004063B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B519FF" w:rsidRPr="004E377B" w:rsidRDefault="00B519FF" w:rsidP="00000009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</w:pP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 w:rsidR="005C7839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instrText>HYPERLINK "https://stat.gov.pl/en/topics/other-studies/informations-on-socio-economic-situation/publikacja,4.html" \o "Statistical Bulletin"</w:instrText>
                      </w: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Statistical Bulletin</w:t>
                      </w:r>
                      <w:r w:rsidRPr="004E377B"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:rsidR="00B519FF" w:rsidRPr="008235EC" w:rsidRDefault="00B519FF" w:rsidP="00F11843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r w:rsidRPr="004E377B">
                        <w:rPr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  <w:hyperlink r:id="rId33" w:history="1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Socio-economic situation of the country</w:t>
                        </w:r>
                      </w:hyperlink>
                    </w:p>
                    <w:p w:rsidR="00B519FF" w:rsidRPr="005C7839" w:rsidRDefault="001B7948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4" w:history="1">
                        <w:r w:rsidR="005C7839" w:rsidRPr="005C783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Construction re</w:t>
                        </w:r>
                        <w:r w:rsidR="005C7839" w:rsidRPr="005C783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s</w:t>
                        </w:r>
                        <w:r w:rsidR="005C7839" w:rsidRPr="005C783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ults</w:t>
                        </w:r>
                      </w:hyperlink>
                      <w:r w:rsidR="005C7839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:rsidR="00B519FF" w:rsidRPr="00F11843" w:rsidRDefault="00B519FF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:rsidR="00B519FF" w:rsidRDefault="00B519FF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B519FF" w:rsidRPr="008235EC" w:rsidRDefault="001B7948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5" w:history="1">
                        <w:r w:rsidR="00B519FF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Knowledge Databases Construction</w:t>
                        </w:r>
                      </w:hyperlink>
                    </w:p>
                    <w:p w:rsidR="00B519FF" w:rsidRDefault="001B7948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6" w:history="1">
                        <w:r w:rsidR="00B519FF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Local Data Bank</w:t>
                        </w:r>
                      </w:hyperlink>
                    </w:p>
                    <w:p w:rsidR="00B519FF" w:rsidRPr="00F11843" w:rsidRDefault="00B519FF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:rsidR="00B519FF" w:rsidRDefault="00B519FF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B519FF" w:rsidRPr="008235EC" w:rsidRDefault="001B7948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7" w:history="1">
                        <w:r w:rsidR="00295E14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for which permits have bee</w:t>
                        </w:r>
                        <w:r w:rsidR="00295E14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n</w:t>
                        </w:r>
                        <w:r w:rsidR="00295E14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 xml:space="preserve"> granted or which have been registered with a construction project</w:t>
                        </w:r>
                      </w:hyperlink>
                    </w:p>
                    <w:p w:rsidR="00B519FF" w:rsidRPr="00F11843" w:rsidRDefault="001B7948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8" w:history="1">
                        <w:r w:rsidR="00B519FF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in which construction has begun</w:t>
                        </w:r>
                      </w:hyperlink>
                      <w:hyperlink r:id="rId39" w:history="1"/>
                    </w:p>
                    <w:p w:rsidR="00B519FF" w:rsidRPr="00F11843" w:rsidRDefault="001B7948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40" w:history="1">
                        <w:r w:rsidR="00B519FF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completed</w:t>
                        </w:r>
                      </w:hyperlink>
                    </w:p>
                    <w:p w:rsidR="00B519FF" w:rsidRDefault="00B519FF" w:rsidP="00000009">
                      <w:pPr>
                        <w:rPr>
                          <w:lang w:val="en-GB"/>
                        </w:rPr>
                      </w:pPr>
                    </w:p>
                    <w:p w:rsidR="00B519FF" w:rsidRPr="003B6350" w:rsidRDefault="00B519FF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70AA" w:rsidRPr="00F64AC1" w:rsidRDefault="000470AA" w:rsidP="0046503D">
      <w:pPr>
        <w:rPr>
          <w:sz w:val="20"/>
          <w:lang w:val="en-US"/>
        </w:rPr>
      </w:pPr>
    </w:p>
    <w:p w:rsidR="000470AA" w:rsidRPr="00F64AC1" w:rsidRDefault="000470AA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B34C4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F64AC1" w:rsidRDefault="000470AA" w:rsidP="0000000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F64AC1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1910" w:type="pct"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</w:tr>
      <w:tr w:rsidR="000470AA" w:rsidRPr="00B34C4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1910" w:type="pct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</w:tr>
      <w:tr w:rsidR="000470AA" w:rsidRPr="00B34C4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1910" w:type="pct"/>
          </w:tcPr>
          <w:p w:rsidR="000470AA" w:rsidRPr="00B34C4C" w:rsidRDefault="000470AA" w:rsidP="0046503D">
            <w:pPr>
              <w:rPr>
                <w:sz w:val="20"/>
                <w:lang w:val="en-US"/>
              </w:rPr>
            </w:pPr>
          </w:p>
        </w:tc>
      </w:tr>
    </w:tbl>
    <w:p w:rsidR="00D261A2" w:rsidRPr="00B34C4C" w:rsidRDefault="00D261A2" w:rsidP="0046503D">
      <w:pPr>
        <w:rPr>
          <w:sz w:val="18"/>
          <w:lang w:val="en-US"/>
        </w:rPr>
      </w:pPr>
    </w:p>
    <w:sectPr w:rsidR="00D261A2" w:rsidRPr="00B34C4C" w:rsidSect="00AE4F99">
      <w:headerReference w:type="default" r:id="rId4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948" w:rsidRDefault="001B7948" w:rsidP="000662E2">
      <w:pPr>
        <w:spacing w:after="0" w:line="240" w:lineRule="auto"/>
      </w:pPr>
      <w:r>
        <w:separator/>
      </w:r>
    </w:p>
  </w:endnote>
  <w:endnote w:type="continuationSeparator" w:id="0">
    <w:p w:rsidR="001B7948" w:rsidRDefault="001B794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53786"/>
      <w:docPartObj>
        <w:docPartGallery w:val="Page Numbers (Bottom of Page)"/>
        <w:docPartUnique/>
      </w:docPartObj>
    </w:sdtPr>
    <w:sdtEndPr/>
    <w:sdtContent>
      <w:p w:rsidR="00B519FF" w:rsidRDefault="00B519F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211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519FF" w:rsidRPr="007B4F73" w:rsidRDefault="00B519FF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804876"/>
      <w:docPartObj>
        <w:docPartGallery w:val="Page Numbers (Bottom of Page)"/>
        <w:docPartUnique/>
      </w:docPartObj>
    </w:sdtPr>
    <w:sdtEndPr/>
    <w:sdtContent>
      <w:p w:rsidR="00B519FF" w:rsidRDefault="00B519F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21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519FF" w:rsidRPr="00CC1C7C" w:rsidRDefault="00B519FF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948" w:rsidRDefault="001B7948" w:rsidP="000662E2">
      <w:pPr>
        <w:spacing w:after="0" w:line="240" w:lineRule="auto"/>
      </w:pPr>
      <w:r>
        <w:separator/>
      </w:r>
    </w:p>
  </w:footnote>
  <w:footnote w:type="continuationSeparator" w:id="0">
    <w:p w:rsidR="001B7948" w:rsidRDefault="001B7948" w:rsidP="000662E2">
      <w:pPr>
        <w:spacing w:after="0" w:line="240" w:lineRule="auto"/>
      </w:pPr>
      <w:r>
        <w:continuationSeparator/>
      </w:r>
    </w:p>
  </w:footnote>
  <w:footnote w:id="1">
    <w:p w:rsidR="00B519FF" w:rsidRPr="008C48C6" w:rsidRDefault="00B519FF">
      <w:pPr>
        <w:pStyle w:val="Tekstprzypisudolnego"/>
        <w:rPr>
          <w:sz w:val="16"/>
          <w:szCs w:val="16"/>
          <w:lang w:val="en-US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8C48C6">
        <w:rPr>
          <w:sz w:val="16"/>
          <w:szCs w:val="16"/>
          <w:shd w:val="clear" w:color="auto" w:fill="FFFFFF"/>
          <w:lang w:val="en-GB"/>
        </w:rPr>
        <w:t>Reported data – subject to change upon developing quarterly reports</w:t>
      </w:r>
    </w:p>
  </w:footnote>
  <w:footnote w:id="2">
    <w:p w:rsidR="00B519FF" w:rsidRPr="008C48C6" w:rsidRDefault="00B519FF" w:rsidP="009046F6">
      <w:pPr>
        <w:rPr>
          <w:rFonts w:ascii="Fira Sans Light" w:hAnsi="Fira Sans Light"/>
          <w:b/>
          <w:bCs/>
          <w:sz w:val="16"/>
          <w:szCs w:val="16"/>
          <w:lang w:val="en-GB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GB"/>
        </w:rPr>
        <w:t xml:space="preserve"> </w:t>
      </w:r>
      <w:r w:rsidRPr="008C48C6">
        <w:rPr>
          <w:bCs/>
          <w:sz w:val="16"/>
          <w:szCs w:val="16"/>
          <w:lang w:val="en-GB"/>
        </w:rPr>
        <w:t>Every time developers are mentioned in the news release, it means construction intended for sale or rent, that is realised by various investors with the purpose of making a profit, whereas if private investors are mentioned, it means private construction, that is realised for the use of the investor</w:t>
      </w:r>
    </w:p>
  </w:footnote>
  <w:footnote w:id="3">
    <w:p w:rsidR="00011E33" w:rsidRPr="00207BF8" w:rsidRDefault="00011E33">
      <w:pPr>
        <w:pStyle w:val="Tekstprzypisudolnego"/>
        <w:rPr>
          <w:lang w:val="en-GB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GB"/>
        </w:rPr>
        <w:t xml:space="preserve"> Realised by various investors with the purpose of short or long term rent of dwellings, also based on the institutional lease agreements leading to ownership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9FF" w:rsidRDefault="00B519F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B519FF" w:rsidRDefault="00B519F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9FF" w:rsidRDefault="00B519FF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72BF5B1" wp14:editId="7C7D578C">
              <wp:simplePos x="0" y="0"/>
              <wp:positionH relativeFrom="column">
                <wp:posOffset>5233238</wp:posOffset>
              </wp:positionH>
              <wp:positionV relativeFrom="paragraph">
                <wp:posOffset>836728</wp:posOffset>
              </wp:positionV>
              <wp:extent cx="1432560" cy="336550"/>
              <wp:effectExtent l="0" t="0" r="0" b="6350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19FF" w:rsidRPr="00C97596" w:rsidRDefault="009651E5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22.10</w:t>
                          </w:r>
                          <w:r w:rsidR="00B519FF">
                            <w:rPr>
                              <w:rFonts w:ascii="Fira Sans SemiBold" w:hAnsi="Fira Sans SemiBold"/>
                              <w:color w:val="001D77"/>
                            </w:rPr>
                            <w:t>.2019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2BF5B1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2.05pt;margin-top:65.9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5XF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L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" filled="f" stroked="f">
              <v:textbox>
                <w:txbxContent>
                  <w:p w:rsidR="00B519FF" w:rsidRPr="00C97596" w:rsidRDefault="009651E5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22.10</w:t>
                    </w:r>
                    <w:r w:rsidR="00B519FF">
                      <w:rPr>
                        <w:rFonts w:ascii="Fira Sans SemiBold" w:hAnsi="Fira Sans SemiBold"/>
                        <w:color w:val="001D77"/>
                      </w:rPr>
                      <w:t>.2019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911A21C" wp14:editId="5484C6C4">
          <wp:extent cx="1866900" cy="704850"/>
          <wp:effectExtent l="0" t="0" r="0" b="0"/>
          <wp:docPr id="7" name="Obraz 7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519FF" w:rsidRPr="003C6C8D" w:rsidRDefault="00B519FF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B519FF" w:rsidRPr="003C6C8D" w:rsidRDefault="00B519FF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19FF" w:rsidRPr="00C97596" w:rsidRDefault="00B519F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23.05.2019 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B519FF" w:rsidRPr="00C97596" w:rsidRDefault="00B519F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23.05.2019 r.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9FF" w:rsidRDefault="00B519FF">
    <w:pPr>
      <w:pStyle w:val="Nagwek"/>
    </w:pPr>
  </w:p>
  <w:p w:rsidR="00B519FF" w:rsidRDefault="00B519F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23pt;height:123pt;visibility:visible;mso-wrap-style:square" o:bullet="t">
        <v:imagedata r:id="rId1" o:title=""/>
      </v:shape>
    </w:pict>
  </w:numPicBullet>
  <w:numPicBullet w:numPicBulletId="1">
    <w:pict>
      <v:shape id="_x0000_i1071" type="#_x0000_t75" style="width:123pt;height:12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C5B"/>
    <w:rsid w:val="0000301D"/>
    <w:rsid w:val="00003437"/>
    <w:rsid w:val="0000709F"/>
    <w:rsid w:val="00007996"/>
    <w:rsid w:val="00007BF9"/>
    <w:rsid w:val="00010800"/>
    <w:rsid w:val="000108B8"/>
    <w:rsid w:val="000111EC"/>
    <w:rsid w:val="00011E33"/>
    <w:rsid w:val="00013599"/>
    <w:rsid w:val="000152F5"/>
    <w:rsid w:val="000169EB"/>
    <w:rsid w:val="00024626"/>
    <w:rsid w:val="000271FB"/>
    <w:rsid w:val="0003236F"/>
    <w:rsid w:val="00035EA7"/>
    <w:rsid w:val="000411F6"/>
    <w:rsid w:val="000441C0"/>
    <w:rsid w:val="000457C6"/>
    <w:rsid w:val="0004582E"/>
    <w:rsid w:val="000470AA"/>
    <w:rsid w:val="0005122F"/>
    <w:rsid w:val="00051868"/>
    <w:rsid w:val="00052F03"/>
    <w:rsid w:val="00053190"/>
    <w:rsid w:val="0005394E"/>
    <w:rsid w:val="00054314"/>
    <w:rsid w:val="00057CA1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4531"/>
    <w:rsid w:val="00086B7D"/>
    <w:rsid w:val="00086F9F"/>
    <w:rsid w:val="00087CEB"/>
    <w:rsid w:val="00091E35"/>
    <w:rsid w:val="00093BAC"/>
    <w:rsid w:val="00095A18"/>
    <w:rsid w:val="000A39FD"/>
    <w:rsid w:val="000A3AC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2EA"/>
    <w:rsid w:val="000C570E"/>
    <w:rsid w:val="000D1427"/>
    <w:rsid w:val="000D1D43"/>
    <w:rsid w:val="000D225C"/>
    <w:rsid w:val="000D2A5C"/>
    <w:rsid w:val="000D2E0B"/>
    <w:rsid w:val="000E0918"/>
    <w:rsid w:val="000E1F4F"/>
    <w:rsid w:val="000F1626"/>
    <w:rsid w:val="000F435D"/>
    <w:rsid w:val="000F445C"/>
    <w:rsid w:val="001011C3"/>
    <w:rsid w:val="001052CB"/>
    <w:rsid w:val="001070E5"/>
    <w:rsid w:val="00110D87"/>
    <w:rsid w:val="001113A6"/>
    <w:rsid w:val="00111FD5"/>
    <w:rsid w:val="00112607"/>
    <w:rsid w:val="00113070"/>
    <w:rsid w:val="00114DB9"/>
    <w:rsid w:val="00115574"/>
    <w:rsid w:val="00116087"/>
    <w:rsid w:val="00127C74"/>
    <w:rsid w:val="00130296"/>
    <w:rsid w:val="00135FC7"/>
    <w:rsid w:val="00136D24"/>
    <w:rsid w:val="001409E1"/>
    <w:rsid w:val="00140E7D"/>
    <w:rsid w:val="001423B6"/>
    <w:rsid w:val="001448A7"/>
    <w:rsid w:val="00146621"/>
    <w:rsid w:val="00146D85"/>
    <w:rsid w:val="00152273"/>
    <w:rsid w:val="00154AC9"/>
    <w:rsid w:val="00162325"/>
    <w:rsid w:val="00175380"/>
    <w:rsid w:val="0017779B"/>
    <w:rsid w:val="00177DD6"/>
    <w:rsid w:val="00182464"/>
    <w:rsid w:val="001850EA"/>
    <w:rsid w:val="001855B0"/>
    <w:rsid w:val="00193519"/>
    <w:rsid w:val="00194103"/>
    <w:rsid w:val="001945FA"/>
    <w:rsid w:val="001951DA"/>
    <w:rsid w:val="001952F2"/>
    <w:rsid w:val="00195767"/>
    <w:rsid w:val="001A1513"/>
    <w:rsid w:val="001A1F89"/>
    <w:rsid w:val="001A4380"/>
    <w:rsid w:val="001A53F4"/>
    <w:rsid w:val="001A6EC1"/>
    <w:rsid w:val="001B1CE5"/>
    <w:rsid w:val="001B4A86"/>
    <w:rsid w:val="001B7948"/>
    <w:rsid w:val="001C1808"/>
    <w:rsid w:val="001C3269"/>
    <w:rsid w:val="001C3694"/>
    <w:rsid w:val="001C50CA"/>
    <w:rsid w:val="001D03B4"/>
    <w:rsid w:val="001D087B"/>
    <w:rsid w:val="001D1DB4"/>
    <w:rsid w:val="001D270F"/>
    <w:rsid w:val="001D2AD6"/>
    <w:rsid w:val="001D508C"/>
    <w:rsid w:val="001D7244"/>
    <w:rsid w:val="001E307A"/>
    <w:rsid w:val="001E475A"/>
    <w:rsid w:val="001F1170"/>
    <w:rsid w:val="001F31BD"/>
    <w:rsid w:val="001F3686"/>
    <w:rsid w:val="001F649C"/>
    <w:rsid w:val="00202E71"/>
    <w:rsid w:val="00207BF8"/>
    <w:rsid w:val="00211FA7"/>
    <w:rsid w:val="002123EA"/>
    <w:rsid w:val="00212787"/>
    <w:rsid w:val="00216F21"/>
    <w:rsid w:val="00217D5E"/>
    <w:rsid w:val="00224A09"/>
    <w:rsid w:val="00224D54"/>
    <w:rsid w:val="00237220"/>
    <w:rsid w:val="00237A99"/>
    <w:rsid w:val="002452B8"/>
    <w:rsid w:val="00246441"/>
    <w:rsid w:val="00254D71"/>
    <w:rsid w:val="0025542F"/>
    <w:rsid w:val="00256AD9"/>
    <w:rsid w:val="002574F9"/>
    <w:rsid w:val="00257AA4"/>
    <w:rsid w:val="002615C6"/>
    <w:rsid w:val="00261B24"/>
    <w:rsid w:val="0026524A"/>
    <w:rsid w:val="00270874"/>
    <w:rsid w:val="0027193F"/>
    <w:rsid w:val="002722B3"/>
    <w:rsid w:val="0027483D"/>
    <w:rsid w:val="0027606C"/>
    <w:rsid w:val="00276811"/>
    <w:rsid w:val="00282699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42E3"/>
    <w:rsid w:val="002A4348"/>
    <w:rsid w:val="002B0009"/>
    <w:rsid w:val="002B0472"/>
    <w:rsid w:val="002B04B3"/>
    <w:rsid w:val="002B0D68"/>
    <w:rsid w:val="002B18C6"/>
    <w:rsid w:val="002B1FCD"/>
    <w:rsid w:val="002B6B12"/>
    <w:rsid w:val="002B6B7B"/>
    <w:rsid w:val="002C2695"/>
    <w:rsid w:val="002C39C1"/>
    <w:rsid w:val="002C424B"/>
    <w:rsid w:val="002D2ECD"/>
    <w:rsid w:val="002D6990"/>
    <w:rsid w:val="002D6C7A"/>
    <w:rsid w:val="002E13A8"/>
    <w:rsid w:val="002E3590"/>
    <w:rsid w:val="002E6140"/>
    <w:rsid w:val="002E6985"/>
    <w:rsid w:val="002E71B6"/>
    <w:rsid w:val="002F1F42"/>
    <w:rsid w:val="002F2E8D"/>
    <w:rsid w:val="002F77C8"/>
    <w:rsid w:val="0030115B"/>
    <w:rsid w:val="00304F22"/>
    <w:rsid w:val="00306C7C"/>
    <w:rsid w:val="00313E16"/>
    <w:rsid w:val="00315805"/>
    <w:rsid w:val="00317C29"/>
    <w:rsid w:val="00320924"/>
    <w:rsid w:val="003228C1"/>
    <w:rsid w:val="00322EDD"/>
    <w:rsid w:val="003231A1"/>
    <w:rsid w:val="00332263"/>
    <w:rsid w:val="00332320"/>
    <w:rsid w:val="00335136"/>
    <w:rsid w:val="003426AA"/>
    <w:rsid w:val="00342DCF"/>
    <w:rsid w:val="003460DF"/>
    <w:rsid w:val="00346C98"/>
    <w:rsid w:val="003473DF"/>
    <w:rsid w:val="00347C1F"/>
    <w:rsid w:val="00347D72"/>
    <w:rsid w:val="00352354"/>
    <w:rsid w:val="003523EB"/>
    <w:rsid w:val="00357611"/>
    <w:rsid w:val="003613E6"/>
    <w:rsid w:val="003621DC"/>
    <w:rsid w:val="00362216"/>
    <w:rsid w:val="003627FC"/>
    <w:rsid w:val="00365F22"/>
    <w:rsid w:val="00367237"/>
    <w:rsid w:val="003674D8"/>
    <w:rsid w:val="0037077F"/>
    <w:rsid w:val="00371C7E"/>
    <w:rsid w:val="0037385E"/>
    <w:rsid w:val="00373882"/>
    <w:rsid w:val="00375215"/>
    <w:rsid w:val="003843DB"/>
    <w:rsid w:val="00384D8B"/>
    <w:rsid w:val="003854ED"/>
    <w:rsid w:val="00386D02"/>
    <w:rsid w:val="003931C0"/>
    <w:rsid w:val="0039373A"/>
    <w:rsid w:val="00393761"/>
    <w:rsid w:val="00394C33"/>
    <w:rsid w:val="00397D18"/>
    <w:rsid w:val="003A09C1"/>
    <w:rsid w:val="003A18A4"/>
    <w:rsid w:val="003A1B36"/>
    <w:rsid w:val="003A2F3A"/>
    <w:rsid w:val="003A358E"/>
    <w:rsid w:val="003A3FCF"/>
    <w:rsid w:val="003A42AA"/>
    <w:rsid w:val="003A716C"/>
    <w:rsid w:val="003B1454"/>
    <w:rsid w:val="003B24CF"/>
    <w:rsid w:val="003B5AC1"/>
    <w:rsid w:val="003B6350"/>
    <w:rsid w:val="003B7573"/>
    <w:rsid w:val="003C0487"/>
    <w:rsid w:val="003C1155"/>
    <w:rsid w:val="003C1BFD"/>
    <w:rsid w:val="003C34BC"/>
    <w:rsid w:val="003C59E0"/>
    <w:rsid w:val="003C6C8D"/>
    <w:rsid w:val="003D0A95"/>
    <w:rsid w:val="003D4F95"/>
    <w:rsid w:val="003D5465"/>
    <w:rsid w:val="003D5F42"/>
    <w:rsid w:val="003D60A9"/>
    <w:rsid w:val="003D795B"/>
    <w:rsid w:val="003E0F23"/>
    <w:rsid w:val="003F13A9"/>
    <w:rsid w:val="003F19F4"/>
    <w:rsid w:val="003F4C97"/>
    <w:rsid w:val="003F53CA"/>
    <w:rsid w:val="003F68D3"/>
    <w:rsid w:val="003F7ED6"/>
    <w:rsid w:val="003F7FE6"/>
    <w:rsid w:val="00400193"/>
    <w:rsid w:val="00401DB3"/>
    <w:rsid w:val="004045B4"/>
    <w:rsid w:val="004130BC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B4"/>
    <w:rsid w:val="00435283"/>
    <w:rsid w:val="0043577A"/>
    <w:rsid w:val="00435BD0"/>
    <w:rsid w:val="00436B47"/>
    <w:rsid w:val="00437395"/>
    <w:rsid w:val="00440E30"/>
    <w:rsid w:val="00443D4F"/>
    <w:rsid w:val="00444B75"/>
    <w:rsid w:val="00445047"/>
    <w:rsid w:val="004466B1"/>
    <w:rsid w:val="00450A42"/>
    <w:rsid w:val="00450E62"/>
    <w:rsid w:val="0045309B"/>
    <w:rsid w:val="00454004"/>
    <w:rsid w:val="00463E39"/>
    <w:rsid w:val="00464D4F"/>
    <w:rsid w:val="0046503D"/>
    <w:rsid w:val="004652C2"/>
    <w:rsid w:val="004657FC"/>
    <w:rsid w:val="00467EFF"/>
    <w:rsid w:val="00471D34"/>
    <w:rsid w:val="004733F6"/>
    <w:rsid w:val="00474753"/>
    <w:rsid w:val="00474E69"/>
    <w:rsid w:val="00477DD8"/>
    <w:rsid w:val="00482C65"/>
    <w:rsid w:val="00485619"/>
    <w:rsid w:val="00485E73"/>
    <w:rsid w:val="004862B6"/>
    <w:rsid w:val="0049056D"/>
    <w:rsid w:val="0049115E"/>
    <w:rsid w:val="004949CA"/>
    <w:rsid w:val="00495B6E"/>
    <w:rsid w:val="0049621B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377B"/>
    <w:rsid w:val="004F0C3C"/>
    <w:rsid w:val="004F4FCA"/>
    <w:rsid w:val="004F63FC"/>
    <w:rsid w:val="004F6903"/>
    <w:rsid w:val="00505A92"/>
    <w:rsid w:val="00507D43"/>
    <w:rsid w:val="00510FCF"/>
    <w:rsid w:val="0051287F"/>
    <w:rsid w:val="0051647C"/>
    <w:rsid w:val="005203F1"/>
    <w:rsid w:val="00521BC3"/>
    <w:rsid w:val="00522606"/>
    <w:rsid w:val="0052510F"/>
    <w:rsid w:val="00525CAC"/>
    <w:rsid w:val="00527BA1"/>
    <w:rsid w:val="00533632"/>
    <w:rsid w:val="00536E29"/>
    <w:rsid w:val="005378A0"/>
    <w:rsid w:val="0054251F"/>
    <w:rsid w:val="00542771"/>
    <w:rsid w:val="00546790"/>
    <w:rsid w:val="005501C7"/>
    <w:rsid w:val="00550618"/>
    <w:rsid w:val="005520D8"/>
    <w:rsid w:val="00552C60"/>
    <w:rsid w:val="0055460F"/>
    <w:rsid w:val="00556A1B"/>
    <w:rsid w:val="00556CF1"/>
    <w:rsid w:val="0055770D"/>
    <w:rsid w:val="00561AEB"/>
    <w:rsid w:val="005676B0"/>
    <w:rsid w:val="00575C63"/>
    <w:rsid w:val="005762A7"/>
    <w:rsid w:val="00577BDE"/>
    <w:rsid w:val="00582224"/>
    <w:rsid w:val="00582ED4"/>
    <w:rsid w:val="005916D7"/>
    <w:rsid w:val="005A30AB"/>
    <w:rsid w:val="005A698C"/>
    <w:rsid w:val="005B2080"/>
    <w:rsid w:val="005C16BE"/>
    <w:rsid w:val="005C2FE4"/>
    <w:rsid w:val="005C4A86"/>
    <w:rsid w:val="005C4E91"/>
    <w:rsid w:val="005C7839"/>
    <w:rsid w:val="005D01B4"/>
    <w:rsid w:val="005D23AA"/>
    <w:rsid w:val="005D25AB"/>
    <w:rsid w:val="005D2FB0"/>
    <w:rsid w:val="005D7D25"/>
    <w:rsid w:val="005E0799"/>
    <w:rsid w:val="005E3825"/>
    <w:rsid w:val="005E48B2"/>
    <w:rsid w:val="005E4E00"/>
    <w:rsid w:val="005E6FF1"/>
    <w:rsid w:val="005F2C39"/>
    <w:rsid w:val="005F302D"/>
    <w:rsid w:val="005F5A80"/>
    <w:rsid w:val="005F6FE0"/>
    <w:rsid w:val="006030DD"/>
    <w:rsid w:val="00603FBB"/>
    <w:rsid w:val="006044FF"/>
    <w:rsid w:val="006072EE"/>
    <w:rsid w:val="00607CC5"/>
    <w:rsid w:val="006102AA"/>
    <w:rsid w:val="00610B5E"/>
    <w:rsid w:val="00611CFA"/>
    <w:rsid w:val="00612A93"/>
    <w:rsid w:val="0061398F"/>
    <w:rsid w:val="00613A0F"/>
    <w:rsid w:val="00616583"/>
    <w:rsid w:val="0062187C"/>
    <w:rsid w:val="00621F5F"/>
    <w:rsid w:val="006262B3"/>
    <w:rsid w:val="006263DA"/>
    <w:rsid w:val="00626952"/>
    <w:rsid w:val="00626D87"/>
    <w:rsid w:val="00627CBE"/>
    <w:rsid w:val="006318DA"/>
    <w:rsid w:val="00632DF8"/>
    <w:rsid w:val="00633014"/>
    <w:rsid w:val="0063437B"/>
    <w:rsid w:val="00646D6F"/>
    <w:rsid w:val="0065707D"/>
    <w:rsid w:val="00664589"/>
    <w:rsid w:val="00665C38"/>
    <w:rsid w:val="006673CA"/>
    <w:rsid w:val="00667D6F"/>
    <w:rsid w:val="00673BE0"/>
    <w:rsid w:val="00673C26"/>
    <w:rsid w:val="00674ABE"/>
    <w:rsid w:val="00676177"/>
    <w:rsid w:val="00677574"/>
    <w:rsid w:val="0067794E"/>
    <w:rsid w:val="006812AF"/>
    <w:rsid w:val="0068327D"/>
    <w:rsid w:val="0068790E"/>
    <w:rsid w:val="00690C38"/>
    <w:rsid w:val="00694AF0"/>
    <w:rsid w:val="006A0E22"/>
    <w:rsid w:val="006A1938"/>
    <w:rsid w:val="006A37E8"/>
    <w:rsid w:val="006B0E9E"/>
    <w:rsid w:val="006B5AE4"/>
    <w:rsid w:val="006B6187"/>
    <w:rsid w:val="006B6263"/>
    <w:rsid w:val="006C645A"/>
    <w:rsid w:val="006D4054"/>
    <w:rsid w:val="006D5A05"/>
    <w:rsid w:val="006D5ABB"/>
    <w:rsid w:val="006D7F1E"/>
    <w:rsid w:val="006E02EC"/>
    <w:rsid w:val="006E4D66"/>
    <w:rsid w:val="006E5888"/>
    <w:rsid w:val="006E6053"/>
    <w:rsid w:val="006E6C7B"/>
    <w:rsid w:val="006F5EF5"/>
    <w:rsid w:val="00704521"/>
    <w:rsid w:val="00707935"/>
    <w:rsid w:val="00710A0B"/>
    <w:rsid w:val="00710C03"/>
    <w:rsid w:val="00713DD1"/>
    <w:rsid w:val="0071467D"/>
    <w:rsid w:val="0071658F"/>
    <w:rsid w:val="0071752E"/>
    <w:rsid w:val="00717B53"/>
    <w:rsid w:val="007204E8"/>
    <w:rsid w:val="007207E6"/>
    <w:rsid w:val="007211B1"/>
    <w:rsid w:val="00721509"/>
    <w:rsid w:val="0072216F"/>
    <w:rsid w:val="0072272D"/>
    <w:rsid w:val="007317DF"/>
    <w:rsid w:val="00734924"/>
    <w:rsid w:val="00741554"/>
    <w:rsid w:val="00746187"/>
    <w:rsid w:val="0075636C"/>
    <w:rsid w:val="007573AD"/>
    <w:rsid w:val="00760FC2"/>
    <w:rsid w:val="0076254F"/>
    <w:rsid w:val="00763711"/>
    <w:rsid w:val="007702BD"/>
    <w:rsid w:val="00770725"/>
    <w:rsid w:val="0077078E"/>
    <w:rsid w:val="007715B1"/>
    <w:rsid w:val="00773996"/>
    <w:rsid w:val="00773B09"/>
    <w:rsid w:val="007801F5"/>
    <w:rsid w:val="00780316"/>
    <w:rsid w:val="00783CA4"/>
    <w:rsid w:val="007842FB"/>
    <w:rsid w:val="00786124"/>
    <w:rsid w:val="0079437B"/>
    <w:rsid w:val="0079498A"/>
    <w:rsid w:val="0079514B"/>
    <w:rsid w:val="00797294"/>
    <w:rsid w:val="007A0D24"/>
    <w:rsid w:val="007A1014"/>
    <w:rsid w:val="007A2DC1"/>
    <w:rsid w:val="007A7D7B"/>
    <w:rsid w:val="007B0D5E"/>
    <w:rsid w:val="007B0E35"/>
    <w:rsid w:val="007B3DB7"/>
    <w:rsid w:val="007B4E2B"/>
    <w:rsid w:val="007B4F73"/>
    <w:rsid w:val="007C2C9F"/>
    <w:rsid w:val="007C3CC8"/>
    <w:rsid w:val="007C6C81"/>
    <w:rsid w:val="007C792E"/>
    <w:rsid w:val="007D3319"/>
    <w:rsid w:val="007D335D"/>
    <w:rsid w:val="007E3314"/>
    <w:rsid w:val="007E4B03"/>
    <w:rsid w:val="007E58A2"/>
    <w:rsid w:val="007E7CE3"/>
    <w:rsid w:val="007F0C1A"/>
    <w:rsid w:val="007F1D43"/>
    <w:rsid w:val="007F1E2E"/>
    <w:rsid w:val="007F324B"/>
    <w:rsid w:val="007F4BEF"/>
    <w:rsid w:val="007F6B07"/>
    <w:rsid w:val="007F7483"/>
    <w:rsid w:val="0080133E"/>
    <w:rsid w:val="00802022"/>
    <w:rsid w:val="00804C08"/>
    <w:rsid w:val="0080553C"/>
    <w:rsid w:val="00805B46"/>
    <w:rsid w:val="00813014"/>
    <w:rsid w:val="00820D18"/>
    <w:rsid w:val="00820FB9"/>
    <w:rsid w:val="008235EC"/>
    <w:rsid w:val="00825DC2"/>
    <w:rsid w:val="00834AD3"/>
    <w:rsid w:val="00836CD7"/>
    <w:rsid w:val="00837231"/>
    <w:rsid w:val="008433EE"/>
    <w:rsid w:val="00843795"/>
    <w:rsid w:val="00846DBD"/>
    <w:rsid w:val="00846E9E"/>
    <w:rsid w:val="00847F0F"/>
    <w:rsid w:val="008500B1"/>
    <w:rsid w:val="00852448"/>
    <w:rsid w:val="00853635"/>
    <w:rsid w:val="0085445D"/>
    <w:rsid w:val="00856FE3"/>
    <w:rsid w:val="00860F7B"/>
    <w:rsid w:val="00863E09"/>
    <w:rsid w:val="008646DA"/>
    <w:rsid w:val="00866416"/>
    <w:rsid w:val="0087438B"/>
    <w:rsid w:val="0088258A"/>
    <w:rsid w:val="00882FBF"/>
    <w:rsid w:val="0088355D"/>
    <w:rsid w:val="008843BB"/>
    <w:rsid w:val="00885B26"/>
    <w:rsid w:val="00885F42"/>
    <w:rsid w:val="00886332"/>
    <w:rsid w:val="00887F70"/>
    <w:rsid w:val="00891CF0"/>
    <w:rsid w:val="008948E4"/>
    <w:rsid w:val="00896EB9"/>
    <w:rsid w:val="008A1C80"/>
    <w:rsid w:val="008A26D9"/>
    <w:rsid w:val="008A58C2"/>
    <w:rsid w:val="008A7B99"/>
    <w:rsid w:val="008B3CA0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E0933"/>
    <w:rsid w:val="008F1CC2"/>
    <w:rsid w:val="008F2D53"/>
    <w:rsid w:val="008F3638"/>
    <w:rsid w:val="008F5556"/>
    <w:rsid w:val="008F578D"/>
    <w:rsid w:val="008F6310"/>
    <w:rsid w:val="008F6F31"/>
    <w:rsid w:val="008F74DF"/>
    <w:rsid w:val="00901350"/>
    <w:rsid w:val="009046F6"/>
    <w:rsid w:val="00905A67"/>
    <w:rsid w:val="00906857"/>
    <w:rsid w:val="00907546"/>
    <w:rsid w:val="009127BA"/>
    <w:rsid w:val="00916639"/>
    <w:rsid w:val="009168D8"/>
    <w:rsid w:val="009227A6"/>
    <w:rsid w:val="00926B44"/>
    <w:rsid w:val="0092750D"/>
    <w:rsid w:val="0092758B"/>
    <w:rsid w:val="00927755"/>
    <w:rsid w:val="009301B3"/>
    <w:rsid w:val="00931AE5"/>
    <w:rsid w:val="0093378A"/>
    <w:rsid w:val="00933EC1"/>
    <w:rsid w:val="00944262"/>
    <w:rsid w:val="009510F1"/>
    <w:rsid w:val="009530DB"/>
    <w:rsid w:val="00953676"/>
    <w:rsid w:val="00956313"/>
    <w:rsid w:val="009609A1"/>
    <w:rsid w:val="00960A1C"/>
    <w:rsid w:val="00960A9C"/>
    <w:rsid w:val="00960BE4"/>
    <w:rsid w:val="00964B1A"/>
    <w:rsid w:val="009651E5"/>
    <w:rsid w:val="009664CD"/>
    <w:rsid w:val="0096740A"/>
    <w:rsid w:val="009705EE"/>
    <w:rsid w:val="009729CD"/>
    <w:rsid w:val="00972B83"/>
    <w:rsid w:val="00975A71"/>
    <w:rsid w:val="00977927"/>
    <w:rsid w:val="009807E9"/>
    <w:rsid w:val="00980EA5"/>
    <w:rsid w:val="0098135C"/>
    <w:rsid w:val="00981455"/>
    <w:rsid w:val="0098156A"/>
    <w:rsid w:val="00983BE8"/>
    <w:rsid w:val="0098487F"/>
    <w:rsid w:val="009918AB"/>
    <w:rsid w:val="00991BAC"/>
    <w:rsid w:val="0099211A"/>
    <w:rsid w:val="00996309"/>
    <w:rsid w:val="009A61DB"/>
    <w:rsid w:val="009A6EA0"/>
    <w:rsid w:val="009A7910"/>
    <w:rsid w:val="009B0217"/>
    <w:rsid w:val="009B0770"/>
    <w:rsid w:val="009B382F"/>
    <w:rsid w:val="009B7341"/>
    <w:rsid w:val="009B7D46"/>
    <w:rsid w:val="009C0CCF"/>
    <w:rsid w:val="009C1335"/>
    <w:rsid w:val="009C1AB2"/>
    <w:rsid w:val="009C7251"/>
    <w:rsid w:val="009D2F59"/>
    <w:rsid w:val="009E13F6"/>
    <w:rsid w:val="009E1F94"/>
    <w:rsid w:val="009E2E91"/>
    <w:rsid w:val="009E3371"/>
    <w:rsid w:val="009E6202"/>
    <w:rsid w:val="009F0127"/>
    <w:rsid w:val="009F16E7"/>
    <w:rsid w:val="009F1C77"/>
    <w:rsid w:val="009F1CDB"/>
    <w:rsid w:val="009F686F"/>
    <w:rsid w:val="00A02ED8"/>
    <w:rsid w:val="00A05A3A"/>
    <w:rsid w:val="00A05EE7"/>
    <w:rsid w:val="00A139F5"/>
    <w:rsid w:val="00A14655"/>
    <w:rsid w:val="00A15B67"/>
    <w:rsid w:val="00A175D4"/>
    <w:rsid w:val="00A20421"/>
    <w:rsid w:val="00A21861"/>
    <w:rsid w:val="00A21E4A"/>
    <w:rsid w:val="00A25990"/>
    <w:rsid w:val="00A27763"/>
    <w:rsid w:val="00A309AB"/>
    <w:rsid w:val="00A31F52"/>
    <w:rsid w:val="00A33759"/>
    <w:rsid w:val="00A365F4"/>
    <w:rsid w:val="00A40D16"/>
    <w:rsid w:val="00A4219B"/>
    <w:rsid w:val="00A4223C"/>
    <w:rsid w:val="00A4333F"/>
    <w:rsid w:val="00A45EB1"/>
    <w:rsid w:val="00A47D80"/>
    <w:rsid w:val="00A51E03"/>
    <w:rsid w:val="00A53132"/>
    <w:rsid w:val="00A536D2"/>
    <w:rsid w:val="00A563F2"/>
    <w:rsid w:val="00A566E8"/>
    <w:rsid w:val="00A569FC"/>
    <w:rsid w:val="00A63CAF"/>
    <w:rsid w:val="00A66E7E"/>
    <w:rsid w:val="00A72CF4"/>
    <w:rsid w:val="00A810F9"/>
    <w:rsid w:val="00A846D6"/>
    <w:rsid w:val="00A84818"/>
    <w:rsid w:val="00A86ECC"/>
    <w:rsid w:val="00A86FCC"/>
    <w:rsid w:val="00A87DC7"/>
    <w:rsid w:val="00A91D74"/>
    <w:rsid w:val="00AA05AC"/>
    <w:rsid w:val="00AA087A"/>
    <w:rsid w:val="00AA298E"/>
    <w:rsid w:val="00AA3EB6"/>
    <w:rsid w:val="00AA4B7C"/>
    <w:rsid w:val="00AA5069"/>
    <w:rsid w:val="00AA710D"/>
    <w:rsid w:val="00AB0FC8"/>
    <w:rsid w:val="00AB3F7C"/>
    <w:rsid w:val="00AB6D25"/>
    <w:rsid w:val="00AB788D"/>
    <w:rsid w:val="00AB7943"/>
    <w:rsid w:val="00AB7945"/>
    <w:rsid w:val="00AC3185"/>
    <w:rsid w:val="00AC37B3"/>
    <w:rsid w:val="00AC658C"/>
    <w:rsid w:val="00AC7ADB"/>
    <w:rsid w:val="00AD0A03"/>
    <w:rsid w:val="00AD1492"/>
    <w:rsid w:val="00AD2EA0"/>
    <w:rsid w:val="00AD30D2"/>
    <w:rsid w:val="00AD4A4E"/>
    <w:rsid w:val="00AD5C65"/>
    <w:rsid w:val="00AE19DE"/>
    <w:rsid w:val="00AE2D4B"/>
    <w:rsid w:val="00AE3772"/>
    <w:rsid w:val="00AE3FB3"/>
    <w:rsid w:val="00AE4F99"/>
    <w:rsid w:val="00AF0752"/>
    <w:rsid w:val="00AF19C9"/>
    <w:rsid w:val="00B01B1A"/>
    <w:rsid w:val="00B0456F"/>
    <w:rsid w:val="00B11740"/>
    <w:rsid w:val="00B130CA"/>
    <w:rsid w:val="00B14952"/>
    <w:rsid w:val="00B166F1"/>
    <w:rsid w:val="00B1769B"/>
    <w:rsid w:val="00B21BA7"/>
    <w:rsid w:val="00B21C01"/>
    <w:rsid w:val="00B2646D"/>
    <w:rsid w:val="00B30CCF"/>
    <w:rsid w:val="00B30E2E"/>
    <w:rsid w:val="00B31E5A"/>
    <w:rsid w:val="00B34C4C"/>
    <w:rsid w:val="00B407D3"/>
    <w:rsid w:val="00B407E7"/>
    <w:rsid w:val="00B42455"/>
    <w:rsid w:val="00B44C5A"/>
    <w:rsid w:val="00B465A7"/>
    <w:rsid w:val="00B519FF"/>
    <w:rsid w:val="00B55F47"/>
    <w:rsid w:val="00B56724"/>
    <w:rsid w:val="00B6240E"/>
    <w:rsid w:val="00B6523B"/>
    <w:rsid w:val="00B653AB"/>
    <w:rsid w:val="00B65F9E"/>
    <w:rsid w:val="00B6647E"/>
    <w:rsid w:val="00B668FA"/>
    <w:rsid w:val="00B66B19"/>
    <w:rsid w:val="00B66C90"/>
    <w:rsid w:val="00B70D87"/>
    <w:rsid w:val="00B76621"/>
    <w:rsid w:val="00B77EC9"/>
    <w:rsid w:val="00B82E2D"/>
    <w:rsid w:val="00B847C4"/>
    <w:rsid w:val="00B86655"/>
    <w:rsid w:val="00B914E9"/>
    <w:rsid w:val="00B956EE"/>
    <w:rsid w:val="00B95FA8"/>
    <w:rsid w:val="00B96AD0"/>
    <w:rsid w:val="00BA14B6"/>
    <w:rsid w:val="00BA2BA1"/>
    <w:rsid w:val="00BA3D02"/>
    <w:rsid w:val="00BA44CD"/>
    <w:rsid w:val="00BA6BF5"/>
    <w:rsid w:val="00BB4208"/>
    <w:rsid w:val="00BB4F09"/>
    <w:rsid w:val="00BC4AAD"/>
    <w:rsid w:val="00BC514E"/>
    <w:rsid w:val="00BC70F1"/>
    <w:rsid w:val="00BD1D77"/>
    <w:rsid w:val="00BD2577"/>
    <w:rsid w:val="00BD4E33"/>
    <w:rsid w:val="00BD5F7F"/>
    <w:rsid w:val="00BD601A"/>
    <w:rsid w:val="00BD6924"/>
    <w:rsid w:val="00BE7969"/>
    <w:rsid w:val="00BF01CB"/>
    <w:rsid w:val="00BF0335"/>
    <w:rsid w:val="00BF36AA"/>
    <w:rsid w:val="00BF475A"/>
    <w:rsid w:val="00BF61F6"/>
    <w:rsid w:val="00C021FE"/>
    <w:rsid w:val="00C030DE"/>
    <w:rsid w:val="00C05C8B"/>
    <w:rsid w:val="00C16ABB"/>
    <w:rsid w:val="00C202E0"/>
    <w:rsid w:val="00C20CA7"/>
    <w:rsid w:val="00C21FA8"/>
    <w:rsid w:val="00C22105"/>
    <w:rsid w:val="00C22EA2"/>
    <w:rsid w:val="00C230EE"/>
    <w:rsid w:val="00C244B6"/>
    <w:rsid w:val="00C35DEE"/>
    <w:rsid w:val="00C3702F"/>
    <w:rsid w:val="00C40F4B"/>
    <w:rsid w:val="00C41764"/>
    <w:rsid w:val="00C45997"/>
    <w:rsid w:val="00C47820"/>
    <w:rsid w:val="00C47CE4"/>
    <w:rsid w:val="00C52C74"/>
    <w:rsid w:val="00C5434F"/>
    <w:rsid w:val="00C57EF3"/>
    <w:rsid w:val="00C60835"/>
    <w:rsid w:val="00C64A37"/>
    <w:rsid w:val="00C7158E"/>
    <w:rsid w:val="00C7250B"/>
    <w:rsid w:val="00C733A3"/>
    <w:rsid w:val="00C7346B"/>
    <w:rsid w:val="00C769E6"/>
    <w:rsid w:val="00C77C0E"/>
    <w:rsid w:val="00C8094E"/>
    <w:rsid w:val="00C82362"/>
    <w:rsid w:val="00C84740"/>
    <w:rsid w:val="00C84D08"/>
    <w:rsid w:val="00C91687"/>
    <w:rsid w:val="00C924A8"/>
    <w:rsid w:val="00C945FE"/>
    <w:rsid w:val="00C96F23"/>
    <w:rsid w:val="00C96FAA"/>
    <w:rsid w:val="00C97A04"/>
    <w:rsid w:val="00CA107B"/>
    <w:rsid w:val="00CA3423"/>
    <w:rsid w:val="00CA38D1"/>
    <w:rsid w:val="00CA484D"/>
    <w:rsid w:val="00CA7A9B"/>
    <w:rsid w:val="00CB09AF"/>
    <w:rsid w:val="00CB0BB2"/>
    <w:rsid w:val="00CB1634"/>
    <w:rsid w:val="00CB3F80"/>
    <w:rsid w:val="00CB5FF0"/>
    <w:rsid w:val="00CB6084"/>
    <w:rsid w:val="00CB6E0A"/>
    <w:rsid w:val="00CC008F"/>
    <w:rsid w:val="00CC0A96"/>
    <w:rsid w:val="00CC1C7C"/>
    <w:rsid w:val="00CC739E"/>
    <w:rsid w:val="00CD07B6"/>
    <w:rsid w:val="00CD1C2A"/>
    <w:rsid w:val="00CD26C7"/>
    <w:rsid w:val="00CD44F1"/>
    <w:rsid w:val="00CD5580"/>
    <w:rsid w:val="00CD58B7"/>
    <w:rsid w:val="00CE0F21"/>
    <w:rsid w:val="00CE66F6"/>
    <w:rsid w:val="00CF0172"/>
    <w:rsid w:val="00CF36C5"/>
    <w:rsid w:val="00CF4099"/>
    <w:rsid w:val="00D00796"/>
    <w:rsid w:val="00D06341"/>
    <w:rsid w:val="00D10E44"/>
    <w:rsid w:val="00D110E3"/>
    <w:rsid w:val="00D21D71"/>
    <w:rsid w:val="00D242EC"/>
    <w:rsid w:val="00D261A2"/>
    <w:rsid w:val="00D30D5C"/>
    <w:rsid w:val="00D30EF4"/>
    <w:rsid w:val="00D45A80"/>
    <w:rsid w:val="00D45F1D"/>
    <w:rsid w:val="00D47F69"/>
    <w:rsid w:val="00D504E4"/>
    <w:rsid w:val="00D536C0"/>
    <w:rsid w:val="00D54994"/>
    <w:rsid w:val="00D569E3"/>
    <w:rsid w:val="00D616D2"/>
    <w:rsid w:val="00D631C8"/>
    <w:rsid w:val="00D63B5F"/>
    <w:rsid w:val="00D66289"/>
    <w:rsid w:val="00D667BC"/>
    <w:rsid w:val="00D67B34"/>
    <w:rsid w:val="00D70EF7"/>
    <w:rsid w:val="00D76E73"/>
    <w:rsid w:val="00D8018C"/>
    <w:rsid w:val="00D8211E"/>
    <w:rsid w:val="00D8397C"/>
    <w:rsid w:val="00D83D00"/>
    <w:rsid w:val="00D923F1"/>
    <w:rsid w:val="00D934F6"/>
    <w:rsid w:val="00D94EED"/>
    <w:rsid w:val="00D96026"/>
    <w:rsid w:val="00DA26F5"/>
    <w:rsid w:val="00DA5A02"/>
    <w:rsid w:val="00DA7C1C"/>
    <w:rsid w:val="00DB147A"/>
    <w:rsid w:val="00DB1B7A"/>
    <w:rsid w:val="00DB562E"/>
    <w:rsid w:val="00DC2850"/>
    <w:rsid w:val="00DC3774"/>
    <w:rsid w:val="00DC6708"/>
    <w:rsid w:val="00DD1D64"/>
    <w:rsid w:val="00DD20E2"/>
    <w:rsid w:val="00DD21A2"/>
    <w:rsid w:val="00DE4176"/>
    <w:rsid w:val="00DE6865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15A67"/>
    <w:rsid w:val="00E16266"/>
    <w:rsid w:val="00E176B4"/>
    <w:rsid w:val="00E17B77"/>
    <w:rsid w:val="00E23337"/>
    <w:rsid w:val="00E245E1"/>
    <w:rsid w:val="00E24F07"/>
    <w:rsid w:val="00E24FC4"/>
    <w:rsid w:val="00E259EA"/>
    <w:rsid w:val="00E31232"/>
    <w:rsid w:val="00E32061"/>
    <w:rsid w:val="00E322C8"/>
    <w:rsid w:val="00E34610"/>
    <w:rsid w:val="00E3705B"/>
    <w:rsid w:val="00E42FF9"/>
    <w:rsid w:val="00E43169"/>
    <w:rsid w:val="00E457ED"/>
    <w:rsid w:val="00E4714C"/>
    <w:rsid w:val="00E51AEB"/>
    <w:rsid w:val="00E522A7"/>
    <w:rsid w:val="00E54452"/>
    <w:rsid w:val="00E55DC7"/>
    <w:rsid w:val="00E57D4D"/>
    <w:rsid w:val="00E641D0"/>
    <w:rsid w:val="00E661E4"/>
    <w:rsid w:val="00E664C5"/>
    <w:rsid w:val="00E671A2"/>
    <w:rsid w:val="00E67A9D"/>
    <w:rsid w:val="00E717AF"/>
    <w:rsid w:val="00E724BA"/>
    <w:rsid w:val="00E7580A"/>
    <w:rsid w:val="00E75F97"/>
    <w:rsid w:val="00E76D26"/>
    <w:rsid w:val="00E82DBC"/>
    <w:rsid w:val="00E873C8"/>
    <w:rsid w:val="00E90AC0"/>
    <w:rsid w:val="00E928D6"/>
    <w:rsid w:val="00E94640"/>
    <w:rsid w:val="00EA5D60"/>
    <w:rsid w:val="00EB1390"/>
    <w:rsid w:val="00EB1C36"/>
    <w:rsid w:val="00EB20CA"/>
    <w:rsid w:val="00EB2C71"/>
    <w:rsid w:val="00EB4340"/>
    <w:rsid w:val="00EB556D"/>
    <w:rsid w:val="00EB5A7D"/>
    <w:rsid w:val="00EB6230"/>
    <w:rsid w:val="00EC5BC4"/>
    <w:rsid w:val="00EC7E66"/>
    <w:rsid w:val="00ED04D0"/>
    <w:rsid w:val="00ED55C0"/>
    <w:rsid w:val="00ED682B"/>
    <w:rsid w:val="00ED7983"/>
    <w:rsid w:val="00EE373E"/>
    <w:rsid w:val="00EE41D5"/>
    <w:rsid w:val="00EF767E"/>
    <w:rsid w:val="00F037A4"/>
    <w:rsid w:val="00F06543"/>
    <w:rsid w:val="00F11509"/>
    <w:rsid w:val="00F11843"/>
    <w:rsid w:val="00F137F7"/>
    <w:rsid w:val="00F17D27"/>
    <w:rsid w:val="00F245D9"/>
    <w:rsid w:val="00F26991"/>
    <w:rsid w:val="00F272FB"/>
    <w:rsid w:val="00F27C8F"/>
    <w:rsid w:val="00F32749"/>
    <w:rsid w:val="00F35AD5"/>
    <w:rsid w:val="00F37172"/>
    <w:rsid w:val="00F374DC"/>
    <w:rsid w:val="00F43757"/>
    <w:rsid w:val="00F4477E"/>
    <w:rsid w:val="00F46B76"/>
    <w:rsid w:val="00F52D79"/>
    <w:rsid w:val="00F54505"/>
    <w:rsid w:val="00F55F41"/>
    <w:rsid w:val="00F56F73"/>
    <w:rsid w:val="00F57745"/>
    <w:rsid w:val="00F6158E"/>
    <w:rsid w:val="00F64AC1"/>
    <w:rsid w:val="00F67D8F"/>
    <w:rsid w:val="00F802BE"/>
    <w:rsid w:val="00F81CDA"/>
    <w:rsid w:val="00F84FEA"/>
    <w:rsid w:val="00F86024"/>
    <w:rsid w:val="00F8611A"/>
    <w:rsid w:val="00F9379A"/>
    <w:rsid w:val="00FA3953"/>
    <w:rsid w:val="00FA5128"/>
    <w:rsid w:val="00FA544B"/>
    <w:rsid w:val="00FA54FD"/>
    <w:rsid w:val="00FA6239"/>
    <w:rsid w:val="00FA68FD"/>
    <w:rsid w:val="00FB0592"/>
    <w:rsid w:val="00FB42D4"/>
    <w:rsid w:val="00FB58A3"/>
    <w:rsid w:val="00FB5906"/>
    <w:rsid w:val="00FB762F"/>
    <w:rsid w:val="00FC2AED"/>
    <w:rsid w:val="00FD0C2F"/>
    <w:rsid w:val="00FD1099"/>
    <w:rsid w:val="00FD5EA7"/>
    <w:rsid w:val="00FE6CB4"/>
    <w:rsid w:val="00FE705C"/>
    <w:rsid w:val="00FF37E0"/>
    <w:rsid w:val="00FF4E3F"/>
    <w:rsid w:val="00FF5E10"/>
    <w:rsid w:val="00FF61AB"/>
    <w:rsid w:val="00FF795E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s://stat.gov.pl/en/topics/industry-construction-fixed-assets/construction/publikacja,1.html" TargetMode="External"/><Relationship Id="rId39" Type="http://schemas.openxmlformats.org/officeDocument/2006/relationships/hyperlink" Target="http://stat.gov.pl/en/metainformations/glossary/terms-used-in-official-statistics/945,term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s://stat.gov.pl/en/topics/industry-construction-fixed-assets/construction/publikacja,1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1.emf"/><Relationship Id="rId17" Type="http://schemas.openxmlformats.org/officeDocument/2006/relationships/header" Target="header2.xml"/><Relationship Id="rId25" Type="http://schemas.openxmlformats.org/officeDocument/2006/relationships/hyperlink" Target="https://stat.gov.pl/en/topics/other-studies/informations-on-socio-economic-situation/publikacja,1.html" TargetMode="External"/><Relationship Id="rId33" Type="http://schemas.openxmlformats.org/officeDocument/2006/relationships/hyperlink" Target="https://stat.gov.pl/en/topics/other-studies/informations-on-socio-economic-situation/publikacja,1.html" TargetMode="External"/><Relationship Id="rId38" Type="http://schemas.openxmlformats.org/officeDocument/2006/relationships/hyperlink" Target="http://stat.gov.pl/en/metainformations/glossary/terms-used-in-official-statistics/945,term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rzecznik@stat.gov.pl" TargetMode="External"/><Relationship Id="rId29" Type="http://schemas.openxmlformats.org/officeDocument/2006/relationships/hyperlink" Target="https://stat.gov.pl/en/metainformations/glossary/terms-used-in-official-statistics/3763,term.html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image" Target="media/image7.png"/><Relationship Id="rId32" Type="http://schemas.openxmlformats.org/officeDocument/2006/relationships/hyperlink" Target="http://stat.gov.pl/en/metainformations/glossary/terms-used-in-official-statistics/201,term.html" TargetMode="External"/><Relationship Id="rId37" Type="http://schemas.openxmlformats.org/officeDocument/2006/relationships/hyperlink" Target="https://stat.gov.pl/en/metainformations/glossary/terms-used-in-official-statistics/3763,term.html" TargetMode="External"/><Relationship Id="rId40" Type="http://schemas.openxmlformats.org/officeDocument/2006/relationships/hyperlink" Target="http://stat.gov.pl/en/metainformations/glossary/terms-used-in-official-statistics/201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6.png"/><Relationship Id="rId28" Type="http://schemas.openxmlformats.org/officeDocument/2006/relationships/hyperlink" Target="https://bdl.stat.gov.pl/BDL/start" TargetMode="External"/><Relationship Id="rId36" Type="http://schemas.openxmlformats.org/officeDocument/2006/relationships/hyperlink" Target="https://bdl.stat.gov.pl/BDL/start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Z.Kurlej@stat.gov.pl" TargetMode="External"/><Relationship Id="rId31" Type="http://schemas.openxmlformats.org/officeDocument/2006/relationships/hyperlink" Target="http://stat.gov.pl/en/metainformations/glossary/terms-used-in-official-statistics/945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image" Target="media/image5.png"/><Relationship Id="rId27" Type="http://schemas.openxmlformats.org/officeDocument/2006/relationships/hyperlink" Target="http://swaid.stat.gov.pl/EN/SitePagesDBW/Budownictwo.aspx" TargetMode="External"/><Relationship Id="rId30" Type="http://schemas.openxmlformats.org/officeDocument/2006/relationships/hyperlink" Target="http://stat.gov.pl/en/metainformations/glossary/terms-used-in-official-statistics/945,term.html" TargetMode="External"/><Relationship Id="rId35" Type="http://schemas.openxmlformats.org/officeDocument/2006/relationships/hyperlink" Target="http://swaid.stat.gov.pl/EN/SitePagesDBW/Budownictwo.aspx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32827518589E-2"/>
          <c:y val="0.14401601226021243"/>
          <c:w val="0.8683723551868533"/>
          <c:h val="0.58932938751783548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dwellings completed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Arkusz1!$B$2:$AT$3</c:f>
              <c:multiLvlStrCache>
                <c:ptCount val="4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Arkusz1!$B$4:$AT$4</c:f>
              <c:numCache>
                <c:formatCode>General</c:formatCode>
                <c:ptCount val="45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 formatCode="#,##0">
                  <c:v>16637</c:v>
                </c:pt>
                <c:pt idx="31" formatCode="#,##0">
                  <c:v>16415</c:v>
                </c:pt>
                <c:pt idx="32" formatCode="#,##0">
                  <c:v>13914</c:v>
                </c:pt>
                <c:pt idx="33" formatCode="#,##0">
                  <c:v>18871</c:v>
                </c:pt>
                <c:pt idx="34" formatCode="#,##0">
                  <c:v>16470</c:v>
                </c:pt>
                <c:pt idx="35" formatCode="#,##0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17660</c:v>
                </c:pt>
                <c:pt idx="40">
                  <c:v>14968</c:v>
                </c:pt>
                <c:pt idx="41">
                  <c:v>14480</c:v>
                </c:pt>
                <c:pt idx="42">
                  <c:v>15551</c:v>
                </c:pt>
                <c:pt idx="43">
                  <c:v>17748</c:v>
                </c:pt>
                <c:pt idx="44">
                  <c:v>17722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Arkusz1!$B$2:$AT$3</c:f>
              <c:multiLvlStrCache>
                <c:ptCount val="4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Arkusz1!$B$16:$AT$16</c:f>
              <c:numCache>
                <c:formatCode>General</c:formatCode>
                <c:ptCount val="45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24898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dwellings in which construction has begun</c:v>
                </c:pt>
              </c:strCache>
            </c:strRef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Arkusz1!$B$2:$AT$3</c:f>
              <c:multiLvlStrCache>
                <c:ptCount val="4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Arkusz1!$B$10:$AT$10</c:f>
              <c:numCache>
                <c:formatCode>General</c:formatCode>
                <c:ptCount val="45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>
                  <c:v>19528</c:v>
                </c:pt>
                <c:pt idx="44">
                  <c:v>21566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0993904"/>
        <c:axId val="230997040"/>
      </c:lineChart>
      <c:catAx>
        <c:axId val="230993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30997040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230997040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30993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396181975951407E-2"/>
          <c:y val="0.82350579568111926"/>
          <c:w val="0.94120383520300965"/>
          <c:h val="0.1739282191908325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Arkusz2!$N$37</c:f>
              <c:strCache>
                <c:ptCount val="1"/>
                <c:pt idx="0">
                  <c:v>dwellings in which construction has begun 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Dolnośląskie</c:v>
                </c:pt>
                <c:pt idx="13">
                  <c:v>Małopolskie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Arkusz2!$I$33:$I$48</c:f>
              <c:numCache>
                <c:formatCode>#,##0</c:formatCode>
                <c:ptCount val="16"/>
                <c:pt idx="0">
                  <c:v>2681</c:v>
                </c:pt>
                <c:pt idx="1">
                  <c:v>3103</c:v>
                </c:pt>
                <c:pt idx="2">
                  <c:v>4213</c:v>
                </c:pt>
                <c:pt idx="3">
                  <c:v>6241</c:v>
                </c:pt>
                <c:pt idx="4">
                  <c:v>4336</c:v>
                </c:pt>
                <c:pt idx="5">
                  <c:v>6997</c:v>
                </c:pt>
                <c:pt idx="6">
                  <c:v>7805</c:v>
                </c:pt>
                <c:pt idx="7">
                  <c:v>7090</c:v>
                </c:pt>
                <c:pt idx="8">
                  <c:v>8209</c:v>
                </c:pt>
                <c:pt idx="9">
                  <c:v>10136</c:v>
                </c:pt>
                <c:pt idx="10">
                  <c:v>13188</c:v>
                </c:pt>
                <c:pt idx="11">
                  <c:v>17489</c:v>
                </c:pt>
                <c:pt idx="12">
                  <c:v>18914</c:v>
                </c:pt>
                <c:pt idx="13">
                  <c:v>16419</c:v>
                </c:pt>
                <c:pt idx="14">
                  <c:v>18595</c:v>
                </c:pt>
                <c:pt idx="15">
                  <c:v>33028</c:v>
                </c:pt>
              </c:numCache>
            </c:numRef>
          </c:val>
        </c:ser>
        <c:ser>
          <c:idx val="2"/>
          <c:order val="1"/>
          <c:tx>
            <c:strRef>
              <c:f>Arkusz2!$N$32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Dolnośląskie</c:v>
                </c:pt>
                <c:pt idx="13">
                  <c:v>Małopolskie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Arkusz2!$H$33:$H$48</c:f>
              <c:numCache>
                <c:formatCode>#,##0</c:formatCode>
                <c:ptCount val="16"/>
                <c:pt idx="0">
                  <c:v>3069</c:v>
                </c:pt>
                <c:pt idx="1">
                  <c:v>3120</c:v>
                </c:pt>
                <c:pt idx="2">
                  <c:v>4837</c:v>
                </c:pt>
                <c:pt idx="3">
                  <c:v>6484</c:v>
                </c:pt>
                <c:pt idx="4">
                  <c:v>5486</c:v>
                </c:pt>
                <c:pt idx="5">
                  <c:v>7334</c:v>
                </c:pt>
                <c:pt idx="6">
                  <c:v>7916</c:v>
                </c:pt>
                <c:pt idx="7">
                  <c:v>9524</c:v>
                </c:pt>
                <c:pt idx="8">
                  <c:v>10108</c:v>
                </c:pt>
                <c:pt idx="9">
                  <c:v>11144</c:v>
                </c:pt>
                <c:pt idx="10">
                  <c:v>16088</c:v>
                </c:pt>
                <c:pt idx="11">
                  <c:v>19177</c:v>
                </c:pt>
                <c:pt idx="12">
                  <c:v>21972</c:v>
                </c:pt>
                <c:pt idx="13">
                  <c:v>17386</c:v>
                </c:pt>
                <c:pt idx="14">
                  <c:v>21489</c:v>
                </c:pt>
                <c:pt idx="15">
                  <c:v>36120</c:v>
                </c:pt>
              </c:numCache>
            </c:numRef>
          </c:val>
        </c:ser>
        <c:ser>
          <c:idx val="0"/>
          <c:order val="2"/>
          <c:tx>
            <c:strRef>
              <c:f>Arkusz2!$N$35</c:f>
              <c:strCache>
                <c:ptCount val="1"/>
                <c:pt idx="0">
                  <c:v>dwellings completed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Dolnośląskie</c:v>
                </c:pt>
                <c:pt idx="13">
                  <c:v>Małopolskie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Arkusz2!$J$33:$J$48</c:f>
              <c:numCache>
                <c:formatCode>#,##0</c:formatCode>
                <c:ptCount val="16"/>
                <c:pt idx="0">
                  <c:v>1735</c:v>
                </c:pt>
                <c:pt idx="1">
                  <c:v>2672</c:v>
                </c:pt>
                <c:pt idx="2">
                  <c:v>2854</c:v>
                </c:pt>
                <c:pt idx="3">
                  <c:v>4153</c:v>
                </c:pt>
                <c:pt idx="4">
                  <c:v>4548</c:v>
                </c:pt>
                <c:pt idx="5">
                  <c:v>5067</c:v>
                </c:pt>
                <c:pt idx="6">
                  <c:v>5838</c:v>
                </c:pt>
                <c:pt idx="7">
                  <c:v>6302</c:v>
                </c:pt>
                <c:pt idx="8">
                  <c:v>6656</c:v>
                </c:pt>
                <c:pt idx="9">
                  <c:v>7104</c:v>
                </c:pt>
                <c:pt idx="10">
                  <c:v>9771</c:v>
                </c:pt>
                <c:pt idx="11">
                  <c:v>12036</c:v>
                </c:pt>
                <c:pt idx="12">
                  <c:v>15068</c:v>
                </c:pt>
                <c:pt idx="13">
                  <c:v>15326</c:v>
                </c:pt>
                <c:pt idx="14">
                  <c:v>16180</c:v>
                </c:pt>
                <c:pt idx="15">
                  <c:v>30244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30995864"/>
        <c:axId val="230994296"/>
      </c:barChart>
      <c:catAx>
        <c:axId val="2309958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30994296"/>
        <c:crosses val="autoZero"/>
        <c:auto val="1"/>
        <c:lblAlgn val="ctr"/>
        <c:lblOffset val="100"/>
        <c:noMultiLvlLbl val="0"/>
      </c:catAx>
      <c:valAx>
        <c:axId val="230994296"/>
        <c:scaling>
          <c:orientation val="minMax"/>
          <c:max val="40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30995864"/>
        <c:crosses val="autoZero"/>
        <c:crossBetween val="between"/>
        <c:majorUnit val="4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563841801292131"/>
          <c:y val="0.82543288908279122"/>
          <c:w val="0.83688211129506873"/>
          <c:h val="0.161375376023202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A8F44855-C448-485A-930D-2CAC0385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865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the period of January-August 2019</vt:lpstr>
    </vt:vector>
  </TitlesOfParts>
  <Company>Statistics Poland</Company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the period of January-September 2019</dc:title>
  <dc:creator>GUS</dc:creator>
  <cp:keywords>dwellings completed; dwellings under construction; dwellings started; building permit; useful floor area</cp:keywords>
  <cp:lastPrinted>2019-07-22T10:56:00Z</cp:lastPrinted>
  <dcterms:created xsi:type="dcterms:W3CDTF">2019-10-18T12:11:00Z</dcterms:created>
  <dcterms:modified xsi:type="dcterms:W3CDTF">2019-10-18T12:11:00Z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