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436B47">
        <w:rPr>
          <w:szCs w:val="32"/>
          <w:lang w:val="en-US"/>
        </w:rPr>
        <w:t>I-</w:t>
      </w:r>
      <w:r w:rsidR="007715B1">
        <w:rPr>
          <w:szCs w:val="32"/>
          <w:lang w:val="en-US"/>
        </w:rPr>
        <w:t>V</w:t>
      </w:r>
      <w:r w:rsidR="006072EE">
        <w:rPr>
          <w:szCs w:val="32"/>
          <w:lang w:val="en-US"/>
        </w:rPr>
        <w:t>I</w:t>
      </w:r>
      <w:r w:rsidR="003C0487">
        <w:rPr>
          <w:szCs w:val="32"/>
          <w:lang w:val="en-US"/>
        </w:rPr>
        <w:t>I</w:t>
      </w:r>
      <w:r w:rsidR="00E717AF">
        <w:rPr>
          <w:szCs w:val="32"/>
          <w:lang w:val="en-US"/>
        </w:rPr>
        <w:t>I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4466B1" w:rsidRDefault="00B519F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B519FF" w:rsidRPr="004466B1" w:rsidRDefault="00B519FF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B519FF" w:rsidRPr="00F64AC1" w:rsidRDefault="00B519F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B519FF" w:rsidRPr="00612A93" w:rsidRDefault="00B519F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B519FF" w:rsidRPr="00F64AC1" w:rsidRDefault="00B519F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B788D" w:rsidRDefault="00B519F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C04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110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E717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:rsidR="00B519FF" w:rsidRPr="00A519B5" w:rsidRDefault="00B519F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B519FF" w:rsidRPr="00AB788D" w:rsidRDefault="00B519F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C04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110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E717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</w:p>
                    <w:p w:rsidR="00B519FF" w:rsidRPr="00A519B5" w:rsidRDefault="00B519F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</w:t>
      </w:r>
      <w:r w:rsidR="001052CB">
        <w:rPr>
          <w:lang w:val="en-US"/>
        </w:rPr>
        <w:t xml:space="preserve">period of </w:t>
      </w:r>
      <w:r w:rsidR="00E717AF">
        <w:rPr>
          <w:lang w:val="en-US"/>
        </w:rPr>
        <w:t>eight</w:t>
      </w:r>
      <w:r w:rsidR="007715B1">
        <w:rPr>
          <w:lang w:val="en-US"/>
        </w:rPr>
        <w:t xml:space="preserve"> months</w:t>
      </w:r>
      <w:r w:rsidR="002D6C7A">
        <w:rPr>
          <w:lang w:val="en-US"/>
        </w:rPr>
        <w:t xml:space="preserve"> </w:t>
      </w:r>
      <w:r w:rsidR="00F54505">
        <w:rPr>
          <w:lang w:val="en-US"/>
        </w:rPr>
        <w:t xml:space="preserve">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3C0487">
        <w:rPr>
          <w:lang w:val="en-US"/>
        </w:rPr>
        <w:t xml:space="preserve">and the number of </w:t>
      </w:r>
      <w:r w:rsidR="003C0487" w:rsidRPr="003C0487">
        <w:rPr>
          <w:lang w:val="en-US"/>
        </w:rPr>
        <w:t xml:space="preserve">dwellings for which permits have been granted or which have been registered with a construction project </w:t>
      </w:r>
      <w:r w:rsidR="003C0487">
        <w:rPr>
          <w:lang w:val="en-US"/>
        </w:rPr>
        <w:t>also increased</w:t>
      </w:r>
      <w:r w:rsidR="003C0487">
        <w:rPr>
          <w:spacing w:val="-4"/>
          <w:shd w:val="clear" w:color="auto" w:fill="FFFFFF"/>
          <w:lang w:val="en-US"/>
        </w:rPr>
        <w:t>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Pr="00E55DC7" w:rsidRDefault="00B407E7" w:rsidP="009B0770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noProof/>
          <w:color w:val="001D77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105410</wp:posOffset>
                </wp:positionV>
                <wp:extent cx="1809115" cy="866775"/>
                <wp:effectExtent l="0" t="0" r="0" b="0"/>
                <wp:wrapTight wrapText="bothSides">
                  <wp:wrapPolygon edited="0">
                    <wp:start x="682" y="0"/>
                    <wp:lineTo x="682" y="20888"/>
                    <wp:lineTo x="20698" y="20888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D1492" w:rsidRDefault="00EC5BC4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62.2</w:t>
                            </w:r>
                            <w:r w:rsidR="00B519FF">
                              <w:rPr>
                                <w:lang w:val="en-US"/>
                              </w:rPr>
                              <w:t>% of t</w:t>
                            </w:r>
                            <w:r w:rsidR="00575C63">
                              <w:rPr>
                                <w:lang w:val="en-US"/>
                              </w:rPr>
                              <w:t>ot</w:t>
                            </w:r>
                            <w:r>
                              <w:rPr>
                                <w:lang w:val="en-US"/>
                              </w:rPr>
                              <w:t>al number of dwellings, i.e. 2.2</w:t>
                            </w:r>
                            <w:r w:rsidR="00B519FF">
                              <w:rPr>
                                <w:lang w:val="en-US"/>
                              </w:rPr>
                              <w:t xml:space="preserve"> percentage points </w:t>
                            </w:r>
                            <w:r w:rsidR="00575C63">
                              <w:rPr>
                                <w:lang w:val="en-US"/>
                              </w:rPr>
                              <w:t>more than in the previous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75pt;margin-top:8.3pt;width:142.45pt;height:6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4EQIAAP8DAAAOAAAAZHJzL2Uyb0RvYy54bWysU9tu2zAMfR+wfxD0vtjOcjXiFF27DgO6&#10;rUC3D5BlORYqiZqkxM6+vpScZMH2NswPgmiShzyH1OZm0IochPMSTEWLSU6JMBwaaXYV/fH94d2K&#10;Eh+YaZgCIyp6FJ7ebN++2fS2FFPoQDXCEQQxvuxtRbsQbJllnndCMz8BKww6W3CaBTTdLmsc6xFd&#10;q2ya54usB9dYB1x4j3/vRyfdJvy2FTx8a1svAlEVxd5COl0663hm2w0rd47ZTvJTG+wfutBMGix6&#10;gbpngZG9k39BackdeGjDhIPOoG0lF4kDsinyP9g8d8yKxAXF8fYik/9/sPzr4ckR2eDsCkoM0zij&#10;J1CCBPHiA/SCTKNGvfUlhj5bDA7DBxgwPvH19hH4iycG7jpmduLWOeg7wRrssYiZ2VXqiOMjSN1/&#10;gQZrsX2ABDS0TkcBURKC6Dir42U+YgiEx5KrfF0Uc0o4+laLxXI5TyVYec62zodPAjSJl4o6nH9C&#10;Z4dHH2I3rDyHxGIGHqRSaQeUIX1F1/PpPCVcebQMuKJKaqyZx29cmkjyo2lScmBSjXcsoMyJdSQ6&#10;Ug5DPSSR35/FrKE5ogwOxo3EF4SXDtwvSnrcxor6n3vmBCXqs0Ep18VsFtc3GbP5coqGu/bU1x5m&#10;OEJVNFAyXu9CWvmR8i1K3sqkRpzN2MmpZdyyJNLpRcQ1vrZT1O93u30FAAD//wMAUEsDBBQABgAI&#10;AAAAIQCnRc1Q3wAAAAsBAAAPAAAAZHJzL2Rvd25yZXYueG1sTI9NT8MwDIbvSPyHyEjcWFJYq65r&#10;OiEQVxDjQ9ota7y2onGqJlvLv8c7sZut99Hrx+Vmdr044Rg6TxqShQKBVHvbUaPh8+PlLgcRoiFr&#10;ek+o4RcDbKrrq9IU1k/0jqdtbASXUCiMhjbGoZAy1C06ExZ+QOLs4EdnIq9jI+1oJi53vbxXKpPO&#10;dMQXWjPgU4v1z/boNHy9HnbfS/XWPLt0mPysJLmV1Pr2Zn5cg4g4x38YzvqsDhU77f2RbBC9hnyV&#10;poxykGUgzkCSqyWIPU/pQwKyKuXlD9UfAAAA//8DAFBLAQItABQABgAIAAAAIQC2gziS/gAAAOEB&#10;AAATAAAAAAAAAAAAAAAAAAAAAABbQ29udGVudF9UeXBlc10ueG1sUEsBAi0AFAAGAAgAAAAhADj9&#10;If/WAAAAlAEAAAsAAAAAAAAAAAAAAAAALwEAAF9yZWxzLy5yZWxzUEsBAi0AFAAGAAgAAAAhAKoo&#10;y/gRAgAA/wMAAA4AAAAAAAAAAAAAAAAALgIAAGRycy9lMm9Eb2MueG1sUEsBAi0AFAAGAAgAAAAh&#10;AKdFzVDfAAAACwEAAA8AAAAAAAAAAAAAAAAAawQAAGRycy9kb3ducmV2LnhtbFBLBQYAAAAABAAE&#10;APMAAAB3BQAAAAA=&#10;" filled="f" stroked="f">
                <v:textbox>
                  <w:txbxContent>
                    <w:p w:rsidR="00B519FF" w:rsidRPr="00AD1492" w:rsidRDefault="00EC5BC4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62.2</w:t>
                      </w:r>
                      <w:r w:rsidR="00B519FF">
                        <w:rPr>
                          <w:lang w:val="en-US"/>
                        </w:rPr>
                        <w:t>% of t</w:t>
                      </w:r>
                      <w:r w:rsidR="00575C63">
                        <w:rPr>
                          <w:lang w:val="en-US"/>
                        </w:rPr>
                        <w:t>ot</w:t>
                      </w:r>
                      <w:r>
                        <w:rPr>
                          <w:lang w:val="en-US"/>
                        </w:rPr>
                        <w:t>al number of dwellings, i.e. 2.2</w:t>
                      </w:r>
                      <w:r w:rsidR="00B519FF">
                        <w:rPr>
                          <w:lang w:val="en-US"/>
                        </w:rPr>
                        <w:t xml:space="preserve"> percentage points </w:t>
                      </w:r>
                      <w:r w:rsidR="00575C63">
                        <w:rPr>
                          <w:lang w:val="en-US"/>
                        </w:rPr>
                        <w:t>more than in the previous year.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5767705</wp:posOffset>
                </wp:positionH>
                <wp:positionV relativeFrom="paragraph">
                  <wp:posOffset>1245235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E3772" w:rsidRDefault="00B519FF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>a dwelling in the period of I-VI</w:t>
                            </w:r>
                            <w:r w:rsidR="00575C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EC5B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5C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="00EC5B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89.9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8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dpVOdd8AAAAMAQAADwAAAGRycy9kb3ducmV2LnhtbEyPy07DMBBF90j8gzVI7KidBKokxKkQiC2I&#10;8pDYufE0iYjHUew24e+ZruhydI/unFttFjeII06h96QhWSkQSI23PbUaPt6fb3IQIRqyZvCEGn4x&#10;wKa+vKhMaf1Mb3jcxlZwCYXSaOhiHEspQ9OhM2HlRyTO9n5yJvI5tdJOZuZyN8hUqbV0pif+0JkR&#10;HztsfrYHp+HzZf/9date2yd3N85+UZJcIbW+vloe7kFEXOI/DCd9VoeanXb+QDaIQUOh8oxRDop1&#10;AuJEJHnGa3YasjRNQNaVPB9R/wE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2lU51&#10;3wAAAAwBAAAPAAAAAAAAAAAAAAAAAGYEAABkcnMvZG93bnJldi54bWxQSwUGAAAAAAQABADzAAAA&#10;cgUAAAAA&#10;" filled="f" stroked="f">
                <v:textbox>
                  <w:txbxContent>
                    <w:p w:rsidR="00B519FF" w:rsidRPr="00AE3772" w:rsidRDefault="00B519FF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  <w:t>a dwelling in the period of I-VI</w:t>
                      </w:r>
                      <w:r w:rsidR="00575C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EC5B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5C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="00EC5B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89.9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E717AF">
        <w:rPr>
          <w:spacing w:val="-4"/>
          <w:shd w:val="clear" w:color="auto" w:fill="FFFFFF"/>
          <w:lang w:val="en-US"/>
        </w:rPr>
        <w:t>127</w:t>
      </w:r>
      <w:r w:rsidR="00D45F1D">
        <w:rPr>
          <w:spacing w:val="-4"/>
          <w:shd w:val="clear" w:color="auto" w:fill="FFFFFF"/>
          <w:lang w:val="en-US"/>
        </w:rPr>
        <w:t>.</w:t>
      </w:r>
      <w:r w:rsidR="00E717AF">
        <w:rPr>
          <w:spacing w:val="-4"/>
          <w:shd w:val="clear" w:color="auto" w:fill="FFFFFF"/>
          <w:lang w:val="en-US"/>
        </w:rPr>
        <w:t>8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E717AF">
        <w:rPr>
          <w:spacing w:val="-4"/>
          <w:shd w:val="clear" w:color="auto" w:fill="FFFFFF"/>
          <w:lang w:val="en-US"/>
        </w:rPr>
        <w:t>August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D45F1D">
        <w:rPr>
          <w:spacing w:val="-4"/>
          <w:shd w:val="clear" w:color="auto" w:fill="FFFFFF"/>
          <w:lang w:val="en-US"/>
        </w:rPr>
        <w:t>1</w:t>
      </w:r>
      <w:r w:rsidR="003C0487">
        <w:rPr>
          <w:spacing w:val="-4"/>
          <w:shd w:val="clear" w:color="auto" w:fill="FFFFFF"/>
          <w:lang w:val="en-US"/>
        </w:rPr>
        <w:t>0</w:t>
      </w:r>
      <w:r w:rsidR="0042048D">
        <w:rPr>
          <w:spacing w:val="-4"/>
          <w:shd w:val="clear" w:color="auto" w:fill="FFFFFF"/>
          <w:lang w:val="en-US"/>
        </w:rPr>
        <w:t>.</w:t>
      </w:r>
      <w:r w:rsidR="00E717AF">
        <w:rPr>
          <w:spacing w:val="-4"/>
          <w:shd w:val="clear" w:color="auto" w:fill="FFFFFF"/>
          <w:lang w:val="en-US"/>
        </w:rPr>
        <w:t>4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E717AF">
        <w:rPr>
          <w:spacing w:val="-4"/>
          <w:shd w:val="clear" w:color="auto" w:fill="FFFFFF"/>
          <w:lang w:val="en-US"/>
        </w:rPr>
        <w:t>79</w:t>
      </w:r>
      <w:r w:rsidR="00D45F1D">
        <w:rPr>
          <w:spacing w:val="-4"/>
          <w:shd w:val="clear" w:color="auto" w:fill="FFFFFF"/>
          <w:lang w:val="en-US"/>
        </w:rPr>
        <w:t>.</w:t>
      </w:r>
      <w:r w:rsidR="00E717AF">
        <w:rPr>
          <w:spacing w:val="-4"/>
          <w:shd w:val="clear" w:color="auto" w:fill="FFFFFF"/>
          <w:lang w:val="en-US"/>
        </w:rPr>
        <w:t>5</w:t>
      </w:r>
      <w:r w:rsidR="00A72CF4">
        <w:rPr>
          <w:spacing w:val="-4"/>
          <w:shd w:val="clear" w:color="auto" w:fill="FFFFFF"/>
          <w:lang w:val="en-US"/>
        </w:rPr>
        <w:t xml:space="preserve"> thous. dwellings </w:t>
      </w:r>
      <w:r w:rsidR="00E717AF">
        <w:rPr>
          <w:spacing w:val="-4"/>
          <w:shd w:val="clear" w:color="auto" w:fill="FFFFFF"/>
          <w:lang w:val="en-US"/>
        </w:rPr>
        <w:t>(14.3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E717AF">
        <w:rPr>
          <w:spacing w:val="-4"/>
          <w:shd w:val="clear" w:color="auto" w:fill="FFFFFF"/>
          <w:lang w:val="en-US"/>
        </w:rPr>
        <w:t>44.3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837231">
        <w:rPr>
          <w:spacing w:val="-4"/>
          <w:shd w:val="clear" w:color="auto" w:fill="FFFFFF"/>
          <w:lang w:val="en-US"/>
        </w:rPr>
        <w:t>2.</w:t>
      </w:r>
      <w:r w:rsidR="00E717AF">
        <w:rPr>
          <w:spacing w:val="-4"/>
          <w:shd w:val="clear" w:color="auto" w:fill="FFFFFF"/>
          <w:lang w:val="en-US"/>
        </w:rPr>
        <w:t>0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17AF">
        <w:rPr>
          <w:spacing w:val="-4"/>
          <w:shd w:val="clear" w:color="auto" w:fill="FFFFFF"/>
          <w:lang w:val="en-US"/>
        </w:rPr>
        <w:t>96</w:t>
      </w:r>
      <w:r w:rsidR="00E724BA">
        <w:rPr>
          <w:spacing w:val="-4"/>
          <w:shd w:val="clear" w:color="auto" w:fill="FFFFFF"/>
          <w:lang w:val="en-US"/>
        </w:rPr>
        <w:t>.</w:t>
      </w:r>
      <w:r w:rsidR="00E717AF">
        <w:rPr>
          <w:spacing w:val="-4"/>
          <w:shd w:val="clear" w:color="auto" w:fill="FFFFFF"/>
          <w:lang w:val="en-US"/>
        </w:rPr>
        <w:t>8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E717AF">
        <w:rPr>
          <w:spacing w:val="-4"/>
          <w:shd w:val="clear" w:color="auto" w:fill="FFFFFF"/>
          <w:lang w:val="en-US"/>
        </w:rPr>
        <w:t>1337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E717AF">
        <w:rPr>
          <w:spacing w:val="-4"/>
          <w:shd w:val="clear" w:color="auto" w:fill="FFFFFF"/>
          <w:lang w:val="en-US"/>
        </w:rPr>
        <w:t>1425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FF795E">
        <w:rPr>
          <w:spacing w:val="-4"/>
          <w:shd w:val="clear" w:color="auto" w:fill="FFFFFF"/>
          <w:lang w:val="en-US"/>
        </w:rPr>
        <w:t xml:space="preserve">ellings); </w:t>
      </w:r>
      <w:r w:rsidR="00FF795E" w:rsidRPr="00FF795E">
        <w:rPr>
          <w:lang w:val="en-GB"/>
        </w:rPr>
        <w:t>i</w:t>
      </w:r>
      <w:r w:rsidR="003A358E" w:rsidRPr="00FF795E">
        <w:rPr>
          <w:lang w:val="en-GB"/>
        </w:rPr>
        <w:t>n</w:t>
      </w:r>
      <w:r w:rsidR="00FF795E">
        <w:rPr>
          <w:lang w:val="en-GB"/>
        </w:rPr>
        <w:t> </w:t>
      </w:r>
      <w:r w:rsidR="003A358E" w:rsidRPr="00FF795E">
        <w:rPr>
          <w:b/>
          <w:lang w:val="en-GB"/>
        </w:rPr>
        <w:t>other</w:t>
      </w:r>
      <w:r w:rsidR="003A358E" w:rsidRPr="00435283">
        <w:rPr>
          <w:b/>
          <w:spacing w:val="-4"/>
          <w:shd w:val="clear" w:color="auto" w:fill="FFFFFF"/>
          <w:lang w:val="en-US"/>
        </w:rPr>
        <w:t xml:space="preserve">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E717AF">
        <w:rPr>
          <w:spacing w:val="-4"/>
          <w:shd w:val="clear" w:color="auto" w:fill="FFFFFF"/>
          <w:lang w:val="en-US"/>
        </w:rPr>
        <w:t>2716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E717AF">
        <w:rPr>
          <w:spacing w:val="-4"/>
          <w:shd w:val="clear" w:color="auto" w:fill="FFFFFF"/>
          <w:lang w:val="en-US"/>
        </w:rPr>
        <w:t>84.3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837231">
        <w:rPr>
          <w:shd w:val="clear" w:color="auto" w:fill="FFFFFF"/>
          <w:lang w:val="en-US"/>
        </w:rPr>
        <w:t>the period of I-</w:t>
      </w:r>
      <w:r w:rsidR="002C39C1">
        <w:rPr>
          <w:shd w:val="clear" w:color="auto" w:fill="FFFFFF"/>
          <w:lang w:val="en-US"/>
        </w:rPr>
        <w:t>V</w:t>
      </w:r>
      <w:r w:rsidR="003C0487">
        <w:rPr>
          <w:shd w:val="clear" w:color="auto" w:fill="FFFFFF"/>
          <w:lang w:val="en-US"/>
        </w:rPr>
        <w:t>I</w:t>
      </w:r>
      <w:r w:rsidR="00E717AF">
        <w:rPr>
          <w:shd w:val="clear" w:color="auto" w:fill="FFFFFF"/>
          <w:lang w:val="en-US"/>
        </w:rPr>
        <w:t>I</w:t>
      </w:r>
      <w:r w:rsidR="0029251D">
        <w:rPr>
          <w:shd w:val="clear" w:color="auto" w:fill="FFFFFF"/>
          <w:lang w:val="en-US"/>
        </w:rPr>
        <w:t>I</w:t>
      </w:r>
      <w:r w:rsidR="002C39C1">
        <w:rPr>
          <w:shd w:val="clear" w:color="auto" w:fill="FFFFFF"/>
          <w:lang w:val="en-US"/>
        </w:rPr>
        <w:t xml:space="preserve">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837231">
        <w:rPr>
          <w:shd w:val="clear" w:color="auto" w:fill="FFFFFF"/>
          <w:lang w:val="en-US"/>
        </w:rPr>
        <w:br/>
      </w:r>
      <w:r w:rsidR="00EC5BC4">
        <w:rPr>
          <w:shd w:val="clear" w:color="auto" w:fill="FFFFFF"/>
          <w:lang w:val="en-US"/>
        </w:rPr>
        <w:t>11</w:t>
      </w:r>
      <w:r w:rsidR="00837231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5</w:t>
      </w:r>
      <w:r w:rsidR="00837231">
        <w:rPr>
          <w:shd w:val="clear" w:color="auto" w:fill="FFFFFF"/>
          <w:lang w:val="en-US"/>
        </w:rPr>
        <w:t xml:space="preserve"> m. sq m, i.e. by </w:t>
      </w:r>
      <w:r w:rsidR="00EC5BC4">
        <w:rPr>
          <w:shd w:val="clear" w:color="auto" w:fill="FFFFFF"/>
          <w:lang w:val="en-US"/>
        </w:rPr>
        <w:t>7</w:t>
      </w:r>
      <w:r w:rsidR="00837231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8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</w:t>
      </w:r>
      <w:r w:rsidR="00837231">
        <w:rPr>
          <w:shd w:val="clear" w:color="auto" w:fill="FFFFFF"/>
          <w:lang w:val="en-US"/>
        </w:rPr>
        <w:t>January-</w:t>
      </w:r>
      <w:r w:rsidR="00EC5BC4">
        <w:rPr>
          <w:shd w:val="clear" w:color="auto" w:fill="FFFFFF"/>
          <w:lang w:val="en-US"/>
        </w:rPr>
        <w:t>August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837231">
        <w:rPr>
          <w:shd w:val="clear" w:color="auto" w:fill="FFFFFF"/>
          <w:lang w:val="en-US"/>
        </w:rPr>
        <w:t xml:space="preserve">a of 1 dwelling decreased by </w:t>
      </w:r>
      <w:r w:rsidR="003C0487">
        <w:rPr>
          <w:shd w:val="clear" w:color="auto" w:fill="FFFFFF"/>
          <w:lang w:val="en-US"/>
        </w:rPr>
        <w:t>2</w:t>
      </w:r>
      <w:r w:rsidR="00837231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1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EC5BC4">
        <w:rPr>
          <w:shd w:val="clear" w:color="auto" w:fill="FFFFFF"/>
          <w:lang w:val="en-US"/>
        </w:rPr>
        <w:t>89</w:t>
      </w:r>
      <w:r w:rsidR="005D25AB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9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EC5BC4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5D25AB"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EC5BC4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EC5BC4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EC5BC4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D25AB"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EC5BC4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C5BC4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C5BC4" w:rsidRPr="00FA5128" w:rsidRDefault="00EC5BC4" w:rsidP="00EC5BC4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5BC4" w:rsidRPr="00FA5128" w:rsidRDefault="00EC5BC4" w:rsidP="00EC5B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b/>
                <w:color w:val="000000" w:themeColor="text1"/>
                <w:sz w:val="16"/>
                <w:szCs w:val="16"/>
              </w:rPr>
              <w:t>17 748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5BC4" w:rsidRPr="00FA5128" w:rsidRDefault="008F578D" w:rsidP="00EC5B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</w:t>
            </w:r>
            <w:r w:rsidR="00EC5BC4" w:rsidRPr="002056B1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5BC4" w:rsidRPr="00FA5128" w:rsidRDefault="008F578D" w:rsidP="00EC5B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114.</w:t>
            </w:r>
            <w:r w:rsidR="00EC5BC4" w:rsidRPr="002056B1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5BC4" w:rsidRPr="00FA5128" w:rsidRDefault="00EC5BC4" w:rsidP="00EC5B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b/>
                <w:color w:val="000000" w:themeColor="text1"/>
                <w:sz w:val="16"/>
                <w:szCs w:val="16"/>
              </w:rPr>
              <w:t>127 832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EC5BC4" w:rsidRPr="00FA5128" w:rsidRDefault="008F578D" w:rsidP="00EC5B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110.</w:t>
            </w:r>
            <w:r w:rsidR="00EC5BC4" w:rsidRPr="0045200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EC5BC4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5BC4" w:rsidRPr="00611CFA" w:rsidRDefault="00EC5BC4" w:rsidP="00EC5BC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EC5BC4" w:rsidRPr="00FA5128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5 509</w:t>
            </w:r>
          </w:p>
        </w:tc>
        <w:tc>
          <w:tcPr>
            <w:tcW w:w="1206" w:type="dxa"/>
            <w:vAlign w:val="center"/>
          </w:tcPr>
          <w:p w:rsidR="00EC5BC4" w:rsidRPr="00FA5128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EC5BC4" w:rsidRPr="002056B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EC5BC4" w:rsidRPr="00FA5128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="00EC5BC4" w:rsidRPr="002056B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EC5BC4" w:rsidRPr="00907546" w:rsidRDefault="00EC5BC4" w:rsidP="00EC5BC4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52007">
              <w:rPr>
                <w:rFonts w:ascii="Fira Sans" w:hAnsi="Fira Sans"/>
                <w:color w:val="000000" w:themeColor="text1"/>
                <w:sz w:val="16"/>
                <w:szCs w:val="16"/>
              </w:rPr>
              <w:t>44 308</w:t>
            </w:r>
          </w:p>
        </w:tc>
        <w:tc>
          <w:tcPr>
            <w:tcW w:w="1207" w:type="dxa"/>
            <w:vAlign w:val="center"/>
          </w:tcPr>
          <w:p w:rsidR="00EC5BC4" w:rsidRPr="00907546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="00EC5BC4" w:rsidRPr="0045200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EC5BC4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5BC4" w:rsidRPr="00611CFA" w:rsidRDefault="00EC5BC4" w:rsidP="00EC5BC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EC5BC4" w:rsidRPr="00FA5128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11 276</w:t>
            </w:r>
          </w:p>
        </w:tc>
        <w:tc>
          <w:tcPr>
            <w:tcW w:w="1206" w:type="dxa"/>
            <w:vAlign w:val="center"/>
          </w:tcPr>
          <w:p w:rsidR="00EC5BC4" w:rsidRPr="00FA5128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="00EC5BC4" w:rsidRPr="002056B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EC5BC4" w:rsidRPr="00FA5128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119.</w:t>
            </w:r>
            <w:r w:rsidR="00EC5BC4" w:rsidRPr="006E235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EC5BC4" w:rsidRPr="008A1C80" w:rsidRDefault="00EC5BC4" w:rsidP="00EC5BC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52007">
              <w:rPr>
                <w:rFonts w:ascii="Fira Sans" w:hAnsi="Fira Sans"/>
                <w:color w:val="000000" w:themeColor="text1"/>
                <w:sz w:val="16"/>
                <w:szCs w:val="16"/>
              </w:rPr>
              <w:t>79 471</w:t>
            </w:r>
          </w:p>
        </w:tc>
        <w:tc>
          <w:tcPr>
            <w:tcW w:w="1207" w:type="dxa"/>
            <w:vAlign w:val="center"/>
          </w:tcPr>
          <w:p w:rsidR="00EC5BC4" w:rsidRPr="00FA5128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EC5BC4" w:rsidRPr="0045200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EC5BC4" w:rsidRPr="008F578D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5BC4" w:rsidRPr="00611CFA" w:rsidRDefault="00EC5BC4" w:rsidP="00EC5BC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EC5BC4" w:rsidRPr="005241EA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206" w:type="dxa"/>
            <w:vAlign w:val="center"/>
          </w:tcPr>
          <w:p w:rsidR="00EC5BC4" w:rsidRPr="004327B6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C5BC4" w:rsidRPr="008F578D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E2350">
              <w:rPr>
                <w:rFonts w:cs="Arial"/>
                <w:color w:val="000000" w:themeColor="text1"/>
                <w:sz w:val="16"/>
                <w:szCs w:val="16"/>
              </w:rPr>
              <w:t>232</w:t>
            </w:r>
            <w:r w:rsid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06" w:type="dxa"/>
            <w:vAlign w:val="center"/>
          </w:tcPr>
          <w:p w:rsidR="00EC5BC4" w:rsidRPr="008F578D" w:rsidRDefault="00EC5BC4" w:rsidP="00EC5BC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F578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1 167</w:t>
            </w:r>
          </w:p>
        </w:tc>
        <w:tc>
          <w:tcPr>
            <w:tcW w:w="1207" w:type="dxa"/>
            <w:vAlign w:val="center"/>
          </w:tcPr>
          <w:p w:rsidR="00EC5BC4" w:rsidRPr="008F578D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EC5BC4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5BC4" w:rsidRPr="005D25AB" w:rsidRDefault="00EC5BC4" w:rsidP="00EC5BC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EC5BC4" w:rsidRPr="008F578D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183</w:t>
            </w:r>
          </w:p>
        </w:tc>
        <w:tc>
          <w:tcPr>
            <w:tcW w:w="1206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80.</w:t>
            </w:r>
            <w:r w:rsidR="00EC5BC4"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06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91.</w:t>
            </w:r>
            <w:r w:rsidR="00EC5BC4" w:rsidRPr="008F578D"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06" w:type="dxa"/>
            <w:vAlign w:val="center"/>
          </w:tcPr>
          <w:p w:rsidR="00EC5BC4" w:rsidRPr="008F578D" w:rsidRDefault="00EC5BC4" w:rsidP="00EC5BC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F578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1 337</w:t>
            </w:r>
          </w:p>
        </w:tc>
        <w:tc>
          <w:tcPr>
            <w:tcW w:w="1207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93.</w:t>
            </w:r>
            <w:r w:rsidR="00EC5BC4"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="00EC5BC4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5BC4" w:rsidRPr="005D25AB" w:rsidRDefault="00EC5BC4" w:rsidP="00EC5BC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EC5BC4" w:rsidRPr="008F578D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162</w:t>
            </w:r>
          </w:p>
        </w:tc>
        <w:tc>
          <w:tcPr>
            <w:tcW w:w="1206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115.</w:t>
            </w:r>
            <w:r w:rsidR="00EC5BC4"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06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168.</w:t>
            </w:r>
            <w:r w:rsidR="00EC5BC4" w:rsidRPr="008F578D">
              <w:rPr>
                <w:rFonts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206" w:type="dxa"/>
            <w:vAlign w:val="center"/>
          </w:tcPr>
          <w:p w:rsidR="00EC5BC4" w:rsidRPr="008F578D" w:rsidRDefault="00EC5BC4" w:rsidP="00EC5BC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8F578D">
              <w:rPr>
                <w:color w:val="000000" w:themeColor="text1"/>
                <w:sz w:val="16"/>
                <w:szCs w:val="16"/>
                <w:lang w:val="en-GB"/>
              </w:rPr>
              <w:t>1 036</w:t>
            </w:r>
          </w:p>
        </w:tc>
        <w:tc>
          <w:tcPr>
            <w:tcW w:w="1207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141.</w:t>
            </w:r>
            <w:r w:rsidR="00EC5BC4" w:rsidRPr="008F578D">
              <w:rPr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EC5BC4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5BC4" w:rsidRPr="005D25AB" w:rsidRDefault="00EC5BC4" w:rsidP="00EC5BC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EC5BC4" w:rsidRPr="008F578D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525</w:t>
            </w:r>
          </w:p>
        </w:tc>
        <w:tc>
          <w:tcPr>
            <w:tcW w:w="1206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444.</w:t>
            </w:r>
            <w:r w:rsidR="00EC5BC4" w:rsidRPr="008F578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06" w:type="dxa"/>
            <w:vAlign w:val="center"/>
          </w:tcPr>
          <w:p w:rsidR="00EC5BC4" w:rsidRPr="008F578D" w:rsidRDefault="008F578D" w:rsidP="00EC5BC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294.</w:t>
            </w:r>
            <w:r w:rsidR="00EC5BC4" w:rsidRPr="008F578D">
              <w:rPr>
                <w:rFonts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206" w:type="dxa"/>
            <w:vAlign w:val="center"/>
          </w:tcPr>
          <w:p w:rsidR="00EC5BC4" w:rsidRPr="00E87F78" w:rsidRDefault="00EC5BC4" w:rsidP="00EC5BC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52007">
              <w:rPr>
                <w:color w:val="000000" w:themeColor="text1"/>
                <w:sz w:val="16"/>
                <w:szCs w:val="16"/>
              </w:rPr>
              <w:t>1 453</w:t>
            </w:r>
          </w:p>
        </w:tc>
        <w:tc>
          <w:tcPr>
            <w:tcW w:w="1207" w:type="dxa"/>
            <w:vAlign w:val="center"/>
          </w:tcPr>
          <w:p w:rsidR="00EC5BC4" w:rsidRPr="009F4F41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223.</w:t>
            </w:r>
            <w:r w:rsidR="00EC5BC4" w:rsidRPr="0045200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5BC4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EC5BC4" w:rsidRPr="008C0EBD" w:rsidRDefault="00EC5BC4" w:rsidP="00EC5BC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EC5BC4" w:rsidRPr="00A030E6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06" w:type="dxa"/>
            <w:vAlign w:val="center"/>
          </w:tcPr>
          <w:p w:rsidR="00EC5BC4" w:rsidRPr="006E0C18" w:rsidRDefault="00EC5BC4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more than 15-fold</w:t>
            </w:r>
          </w:p>
        </w:tc>
        <w:tc>
          <w:tcPr>
            <w:tcW w:w="1206" w:type="dxa"/>
            <w:vAlign w:val="center"/>
          </w:tcPr>
          <w:p w:rsidR="00EC5BC4" w:rsidRPr="00296F96" w:rsidRDefault="00EC5BC4" w:rsidP="00EC5BC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more than 13</w:t>
            </w:r>
            <w:r w:rsidRPr="006E235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fold</w:t>
            </w:r>
          </w:p>
        </w:tc>
        <w:tc>
          <w:tcPr>
            <w:tcW w:w="1206" w:type="dxa"/>
            <w:vAlign w:val="center"/>
          </w:tcPr>
          <w:p w:rsidR="00EC5BC4" w:rsidRPr="00E87F78" w:rsidRDefault="00EC5BC4" w:rsidP="00EC5BC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52007">
              <w:rPr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1207" w:type="dxa"/>
            <w:vAlign w:val="center"/>
          </w:tcPr>
          <w:p w:rsidR="00EC5BC4" w:rsidRPr="009F4F41" w:rsidRDefault="008F578D" w:rsidP="00EC5B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258.</w:t>
            </w:r>
            <w:r w:rsidR="00EC5BC4" w:rsidRPr="00452007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FA54FD" w:rsidRPr="008C0EBD" w:rsidRDefault="00FA54FD" w:rsidP="00896EB9">
      <w:pPr>
        <w:rPr>
          <w:shd w:val="clear" w:color="auto" w:fill="FFFFFF"/>
          <w:lang w:val="en-GB"/>
        </w:rPr>
      </w:pPr>
    </w:p>
    <w:p w:rsidR="00896EB9" w:rsidRPr="00E55DC7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 xml:space="preserve">Dwellings for which permits have been granted or which have been registered with </w:t>
      </w: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9FF" w:rsidRPr="00AD1492" w:rsidRDefault="00B519FF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FF795E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8D133F">
                              <w:rPr>
                                <w:lang w:val="en-US"/>
                              </w:rPr>
                              <w:t>1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885F42">
                              <w:rPr>
                                <w:lang w:val="en-US"/>
                              </w:rPr>
                              <w:t>6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>
                              <w:rPr>
                                <w:lang w:val="en-US"/>
                              </w:rPr>
                              <w:t>the period of I-VI</w:t>
                            </w:r>
                            <w:r w:rsidR="008D133F">
                              <w:rPr>
                                <w:lang w:val="en-US"/>
                              </w:rPr>
                              <w:t>I</w:t>
                            </w:r>
                            <w:r w:rsidR="00885F42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B519FF" w:rsidRPr="00AD1492" w:rsidRDefault="00B519FF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FF795E"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8D133F">
                        <w:rPr>
                          <w:lang w:val="en-US"/>
                        </w:rPr>
                        <w:t>1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885F42">
                        <w:rPr>
                          <w:lang w:val="en-US"/>
                        </w:rPr>
                        <w:t>6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>
                        <w:rPr>
                          <w:lang w:val="en-US"/>
                        </w:rPr>
                        <w:t>the period of I-VI</w:t>
                      </w:r>
                      <w:r w:rsidR="008D133F">
                        <w:rPr>
                          <w:lang w:val="en-US"/>
                        </w:rPr>
                        <w:t>I</w:t>
                      </w:r>
                      <w:r w:rsidR="00885F42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</w:t>
      </w:r>
      <w:r w:rsidR="00EC5BC4">
        <w:rPr>
          <w:szCs w:val="19"/>
          <w:shd w:val="clear" w:color="auto" w:fill="FFFFFF"/>
          <w:lang w:val="en-GB"/>
        </w:rPr>
        <w:t>eight</w:t>
      </w:r>
      <w:r w:rsidR="00F06543">
        <w:rPr>
          <w:szCs w:val="19"/>
          <w:shd w:val="clear" w:color="auto" w:fill="FFFFFF"/>
          <w:lang w:val="en-GB"/>
        </w:rPr>
        <w:t xml:space="preserve">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1A1F89">
        <w:rPr>
          <w:shd w:val="clear" w:color="auto" w:fill="FFFFFF"/>
          <w:lang w:val="en-US"/>
        </w:rPr>
        <w:t>1</w:t>
      </w:r>
      <w:r w:rsidR="00EC5BC4">
        <w:rPr>
          <w:shd w:val="clear" w:color="auto" w:fill="FFFFFF"/>
          <w:lang w:val="en-US"/>
        </w:rPr>
        <w:t>76</w:t>
      </w:r>
      <w:r w:rsidR="00F06543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4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575C63">
        <w:rPr>
          <w:shd w:val="clear" w:color="auto" w:fill="FFFFFF"/>
          <w:lang w:val="en-US"/>
        </w:rPr>
        <w:t>1</w:t>
      </w:r>
      <w:r w:rsidR="00E245E1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6</w:t>
      </w:r>
      <w:r w:rsidR="00C47CE4">
        <w:rPr>
          <w:shd w:val="clear" w:color="auto" w:fill="FFFFFF"/>
          <w:lang w:val="en-US"/>
        </w:rPr>
        <w:t xml:space="preserve">% </w:t>
      </w:r>
      <w:r w:rsidR="00575C63">
        <w:rPr>
          <w:shd w:val="clear" w:color="auto" w:fill="FFFFFF"/>
          <w:lang w:val="en-US"/>
        </w:rPr>
        <w:t>more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EC5BC4">
        <w:rPr>
          <w:shd w:val="clear" w:color="auto" w:fill="FFFFFF"/>
          <w:lang w:val="en-US"/>
        </w:rPr>
        <w:t>106.7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EC5BC4">
        <w:rPr>
          <w:shd w:val="clear" w:color="auto" w:fill="FFFFFF"/>
          <w:lang w:val="en-US"/>
        </w:rPr>
        <w:t>66</w:t>
      </w:r>
      <w:r w:rsidR="001A1F89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7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 xml:space="preserve">respectively by </w:t>
      </w:r>
      <w:r w:rsidR="00575C63">
        <w:rPr>
          <w:shd w:val="clear" w:color="auto" w:fill="FFFFFF"/>
          <w:lang w:val="en-US"/>
        </w:rPr>
        <w:t>0</w:t>
      </w:r>
      <w:r w:rsidR="001A1F89">
        <w:rPr>
          <w:shd w:val="clear" w:color="auto" w:fill="FFFFFF"/>
          <w:lang w:val="en-US"/>
        </w:rPr>
        <w:t>.</w:t>
      </w:r>
      <w:r w:rsidR="00575C63">
        <w:rPr>
          <w:shd w:val="clear" w:color="auto" w:fill="FFFFFF"/>
          <w:lang w:val="en-US"/>
        </w:rPr>
        <w:t>3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</w:t>
      </w:r>
      <w:r w:rsidR="00F06543">
        <w:rPr>
          <w:shd w:val="clear" w:color="auto" w:fill="FFFFFF"/>
          <w:lang w:val="en-US"/>
        </w:rPr>
        <w:t xml:space="preserve">and </w:t>
      </w:r>
      <w:r w:rsidR="00EC5BC4">
        <w:rPr>
          <w:shd w:val="clear" w:color="auto" w:fill="FFFFFF"/>
          <w:lang w:val="en-US"/>
        </w:rPr>
        <w:t>4</w:t>
      </w:r>
      <w:r w:rsidR="00C47CE4">
        <w:rPr>
          <w:shd w:val="clear" w:color="auto" w:fill="FFFFFF"/>
          <w:lang w:val="en-US"/>
        </w:rPr>
        <w:t>.</w:t>
      </w:r>
      <w:r w:rsidR="00575C63">
        <w:rPr>
          <w:shd w:val="clear" w:color="auto" w:fill="FFFFFF"/>
          <w:lang w:val="en-US"/>
        </w:rPr>
        <w:t>9</w:t>
      </w:r>
      <w:r w:rsidR="003A358E">
        <w:rPr>
          <w:shd w:val="clear" w:color="auto" w:fill="FFFFFF"/>
          <w:lang w:val="en-US"/>
        </w:rPr>
        <w:t xml:space="preserve">%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1A1F89">
        <w:rPr>
          <w:shd w:val="clear" w:color="auto" w:fill="FFFFFF"/>
          <w:lang w:val="en-US"/>
        </w:rPr>
        <w:t>of construction amounted to 98.</w:t>
      </w:r>
      <w:r w:rsidR="00575C63">
        <w:rPr>
          <w:shd w:val="clear" w:color="auto" w:fill="FFFFFF"/>
          <w:lang w:val="en-US"/>
        </w:rPr>
        <w:t>3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EC5BC4">
        <w:rPr>
          <w:lang w:val="en-GB"/>
        </w:rPr>
        <w:t>eight</w:t>
      </w:r>
      <w:r w:rsidR="00CE0F21">
        <w:rPr>
          <w:lang w:val="en-GB"/>
        </w:rPr>
        <w:t xml:space="preserve">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EC5BC4">
        <w:rPr>
          <w:shd w:val="clear" w:color="auto" w:fill="FFFFFF"/>
          <w:lang w:val="en-US"/>
        </w:rPr>
        <w:t>1159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EC5BC4">
        <w:rPr>
          <w:shd w:val="clear" w:color="auto" w:fill="FFFFFF"/>
          <w:lang w:val="en-US"/>
        </w:rPr>
        <w:t>1248</w:t>
      </w:r>
      <w:r w:rsidR="00AD30D2">
        <w:rPr>
          <w:shd w:val="clear" w:color="auto" w:fill="FFFFFF"/>
          <w:lang w:val="en-US"/>
        </w:rPr>
        <w:t>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EC5BC4">
        <w:rPr>
          <w:shd w:val="clear" w:color="auto" w:fill="FFFFFF"/>
          <w:lang w:val="en-US"/>
        </w:rPr>
        <w:t>18</w:t>
      </w:r>
      <w:r w:rsidR="00575C63">
        <w:rPr>
          <w:shd w:val="clear" w:color="auto" w:fill="FFFFFF"/>
          <w:lang w:val="en-US"/>
        </w:rPr>
        <w:t>11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EC5BC4">
        <w:rPr>
          <w:shd w:val="clear" w:color="auto" w:fill="FFFFFF"/>
          <w:lang w:val="en-US"/>
        </w:rPr>
        <w:t>2376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E55DC7">
      <w:pPr>
        <w:pStyle w:val="tytuwykresu"/>
        <w:ind w:left="851" w:hanging="851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885F42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F06543"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885F42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885F42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885F42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F06543"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  <w:r w:rsidR="00575C63">
              <w:rPr>
                <w:color w:val="000000" w:themeColor="text1"/>
                <w:sz w:val="16"/>
                <w:szCs w:val="16"/>
              </w:rPr>
              <w:t>I</w:t>
            </w:r>
            <w:r w:rsidR="00885F42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885F42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885F42" w:rsidRPr="00FA5128" w:rsidRDefault="00885F42" w:rsidP="00885F42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85F42" w:rsidRPr="00FA5128" w:rsidRDefault="00885F42" w:rsidP="00885F4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0139E">
              <w:rPr>
                <w:rFonts w:cs="Arial"/>
                <w:b/>
                <w:color w:val="000000" w:themeColor="text1"/>
                <w:sz w:val="16"/>
                <w:szCs w:val="16"/>
              </w:rPr>
              <w:t>22 431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85F42" w:rsidRPr="00FA5128" w:rsidRDefault="008F578D" w:rsidP="00885F4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</w:t>
            </w:r>
            <w:r w:rsidR="00885F42" w:rsidRPr="00E654B6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85F42" w:rsidRPr="00FA5128" w:rsidRDefault="008F578D" w:rsidP="00885F4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91.</w:t>
            </w:r>
            <w:r w:rsidR="00885F42" w:rsidRPr="006E2350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85F42" w:rsidRPr="00FA5128" w:rsidRDefault="00885F42" w:rsidP="00885F4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05A2D">
              <w:rPr>
                <w:rFonts w:cs="Arial"/>
                <w:b/>
                <w:color w:val="000000" w:themeColor="text1"/>
                <w:sz w:val="16"/>
                <w:szCs w:val="16"/>
              </w:rPr>
              <w:t>176 356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885F42" w:rsidRPr="00FA5128" w:rsidRDefault="008F578D" w:rsidP="00885F4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</w:t>
            </w:r>
            <w:r w:rsidR="00885F42" w:rsidRPr="00EA2B7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885F42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85F42" w:rsidRPr="00A569FC" w:rsidRDefault="00885F42" w:rsidP="00885F4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885F42" w:rsidRPr="00FA5128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8 189</w:t>
            </w:r>
          </w:p>
        </w:tc>
        <w:tc>
          <w:tcPr>
            <w:tcW w:w="1206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="00885F42" w:rsidRPr="00E654B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</w:t>
            </w:r>
            <w:r w:rsidR="00885F42" w:rsidRPr="006E235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885F42" w:rsidRPr="00907546" w:rsidRDefault="00885F42" w:rsidP="00885F42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5A2D">
              <w:rPr>
                <w:rFonts w:ascii="Fira Sans" w:hAnsi="Fira Sans"/>
                <w:color w:val="000000" w:themeColor="text1"/>
                <w:sz w:val="16"/>
                <w:szCs w:val="16"/>
              </w:rPr>
              <w:t>66 684</w:t>
            </w:r>
          </w:p>
        </w:tc>
        <w:tc>
          <w:tcPr>
            <w:tcW w:w="1207" w:type="dxa"/>
            <w:vAlign w:val="center"/>
          </w:tcPr>
          <w:p w:rsidR="00885F42" w:rsidRPr="00907546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885F42" w:rsidRPr="00EA2B7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885F42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85F42" w:rsidRPr="00A569FC" w:rsidRDefault="00885F42" w:rsidP="00885F4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885F42" w:rsidRPr="00FA5128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13 912</w:t>
            </w:r>
          </w:p>
        </w:tc>
        <w:tc>
          <w:tcPr>
            <w:tcW w:w="1206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885F42" w:rsidRPr="00E654B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="00885F42" w:rsidRPr="006E235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885F42" w:rsidRPr="008A1C80" w:rsidRDefault="00885F42" w:rsidP="00885F42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5A2D">
              <w:rPr>
                <w:rFonts w:ascii="Fira Sans" w:hAnsi="Fira Sans"/>
                <w:color w:val="000000" w:themeColor="text1"/>
                <w:sz w:val="16"/>
                <w:szCs w:val="16"/>
              </w:rPr>
              <w:t>106 702</w:t>
            </w:r>
          </w:p>
        </w:tc>
        <w:tc>
          <w:tcPr>
            <w:tcW w:w="1207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885F42" w:rsidRPr="00EA2B7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885F42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85F42" w:rsidRPr="00A569FC" w:rsidRDefault="00885F42" w:rsidP="00885F4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885F42" w:rsidRPr="00FA5128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206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135.</w:t>
            </w:r>
            <w:r w:rsidR="00885F42" w:rsidRPr="00E654B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885F42" w:rsidRPr="00E102B7" w:rsidRDefault="008F578D" w:rsidP="00885F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371.</w:t>
            </w:r>
            <w:r w:rsidR="00885F42" w:rsidRPr="006E23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885F42" w:rsidRPr="00C230EE" w:rsidRDefault="00885F42" w:rsidP="00885F42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5A2D">
              <w:rPr>
                <w:rFonts w:ascii="Fira Sans" w:hAnsi="Fira Sans"/>
                <w:color w:val="000000" w:themeColor="text1"/>
                <w:sz w:val="16"/>
                <w:szCs w:val="16"/>
              </w:rPr>
              <w:t>1 159</w:t>
            </w:r>
          </w:p>
        </w:tc>
        <w:tc>
          <w:tcPr>
            <w:tcW w:w="1207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92.</w:t>
            </w:r>
            <w:r w:rsidR="00885F42" w:rsidRPr="00EA2B7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885F42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85F42" w:rsidRPr="00964B1A" w:rsidRDefault="00885F42" w:rsidP="00885F4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885F42" w:rsidRPr="00FA5128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885F42" w:rsidRPr="00FA5128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885F42" w:rsidRPr="00E102B7" w:rsidRDefault="00885F42" w:rsidP="00885F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885F42" w:rsidRPr="00E87F78" w:rsidRDefault="00885F42" w:rsidP="00885F4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8338F">
              <w:rPr>
                <w:color w:val="000000" w:themeColor="text1"/>
                <w:sz w:val="16"/>
                <w:szCs w:val="16"/>
              </w:rPr>
              <w:t>978</w:t>
            </w:r>
          </w:p>
        </w:tc>
        <w:tc>
          <w:tcPr>
            <w:tcW w:w="1207" w:type="dxa"/>
            <w:vAlign w:val="center"/>
          </w:tcPr>
          <w:p w:rsidR="00885F42" w:rsidRPr="00FA512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</w:t>
            </w:r>
            <w:r w:rsidR="00885F42" w:rsidRPr="00EA2B7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885F42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85F42" w:rsidRPr="00C57EF3" w:rsidRDefault="00885F42" w:rsidP="00885F4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885F42" w:rsidRPr="00A030E6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06" w:type="dxa"/>
            <w:vAlign w:val="center"/>
          </w:tcPr>
          <w:p w:rsidR="00885F42" w:rsidRPr="006E0C18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</w:t>
            </w:r>
            <w:r w:rsidR="00885F42" w:rsidRPr="00E654B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885F42" w:rsidRPr="00296F96" w:rsidRDefault="008F578D" w:rsidP="00885F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</w:t>
            </w:r>
            <w:r w:rsidR="00885F42" w:rsidRPr="006E235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885F42" w:rsidRPr="00E87F78" w:rsidRDefault="00885F42" w:rsidP="00885F4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A2B74">
              <w:rPr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207" w:type="dxa"/>
            <w:vAlign w:val="center"/>
          </w:tcPr>
          <w:p w:rsidR="00885F42" w:rsidRPr="009F4F41" w:rsidRDefault="008F578D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39.</w:t>
            </w:r>
            <w:r w:rsidR="00885F42" w:rsidRPr="00EA2B7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85F42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885F42" w:rsidRPr="008C0EBD" w:rsidRDefault="00885F42" w:rsidP="00885F4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885F42" w:rsidRPr="00A030E6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06" w:type="dxa"/>
            <w:vAlign w:val="center"/>
          </w:tcPr>
          <w:p w:rsidR="00885F42" w:rsidRPr="006D4BD3" w:rsidRDefault="008F578D" w:rsidP="00885F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244.</w:t>
            </w:r>
            <w:r w:rsidR="00885F42" w:rsidRPr="00E654B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885F42" w:rsidRPr="006D4BD3" w:rsidRDefault="00482C65" w:rsidP="00885F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="00885F42">
              <w:rPr>
                <w:rFonts w:cs="Arial"/>
                <w:sz w:val="16"/>
                <w:szCs w:val="16"/>
              </w:rPr>
              <w:t>ore than 44</w:t>
            </w:r>
            <w:r w:rsidR="00885F42" w:rsidRPr="006E2350">
              <w:rPr>
                <w:rFonts w:cs="Arial"/>
                <w:sz w:val="16"/>
                <w:szCs w:val="16"/>
              </w:rPr>
              <w:t>-</w:t>
            </w:r>
            <w:r w:rsidR="00885F42">
              <w:rPr>
                <w:rFonts w:cs="Arial"/>
                <w:sz w:val="16"/>
                <w:szCs w:val="16"/>
              </w:rPr>
              <w:t>fold</w:t>
            </w:r>
          </w:p>
        </w:tc>
        <w:tc>
          <w:tcPr>
            <w:tcW w:w="1206" w:type="dxa"/>
            <w:vAlign w:val="center"/>
          </w:tcPr>
          <w:p w:rsidR="00885F42" w:rsidRPr="00E87F78" w:rsidRDefault="00885F42" w:rsidP="00885F4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A2B74">
              <w:rPr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7" w:type="dxa"/>
            <w:vAlign w:val="center"/>
          </w:tcPr>
          <w:p w:rsidR="00885F42" w:rsidRPr="009F4F41" w:rsidRDefault="00885F42" w:rsidP="00885F4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t xml:space="preserve"> </w:t>
            </w:r>
            <w:r w:rsidR="008F578D">
              <w:rPr>
                <w:rFonts w:cs="Arial"/>
                <w:sz w:val="16"/>
                <w:szCs w:val="16"/>
              </w:rPr>
              <w:t>435.</w:t>
            </w:r>
            <w:r w:rsidRPr="00EA2B74">
              <w:rPr>
                <w:rFonts w:cs="Arial"/>
                <w:sz w:val="16"/>
                <w:szCs w:val="16"/>
              </w:rPr>
              <w:t>8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August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156.9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1.5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89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8D133F">
        <w:rPr>
          <w:b w:val="0"/>
          <w:sz w:val="19"/>
          <w:szCs w:val="19"/>
          <w:shd w:val="clear" w:color="auto" w:fill="FFFFFF"/>
          <w:lang w:val="en-GB"/>
        </w:rPr>
        <w:t>7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64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0 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i.e. altogether 98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.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0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0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8D133F">
        <w:rPr>
          <w:b w:val="0"/>
          <w:sz w:val="19"/>
          <w:szCs w:val="19"/>
          <w:shd w:val="clear" w:color="auto" w:fill="FFFFFF"/>
          <w:lang w:val="en-GB"/>
        </w:rPr>
        <w:t>7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3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8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1292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1709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8D133F">
        <w:rPr>
          <w:b w:val="0"/>
          <w:shd w:val="clear" w:color="auto" w:fill="FFFFFF"/>
          <w:lang w:val="en-US"/>
        </w:rPr>
        <w:t>and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1874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2060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0634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82C6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5F2C39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115574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0634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2123E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0634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82C6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F2C39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06341">
              <w:rPr>
                <w:color w:val="000000" w:themeColor="text1"/>
                <w:sz w:val="16"/>
                <w:szCs w:val="16"/>
              </w:rPr>
              <w:t>I</w:t>
            </w:r>
            <w:r w:rsidR="00482C65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855B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15574">
              <w:rPr>
                <w:color w:val="000000" w:themeColor="text1"/>
                <w:sz w:val="16"/>
                <w:szCs w:val="16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</w:rPr>
              <w:t>I</w:t>
            </w:r>
            <w:r w:rsidR="00D06341">
              <w:rPr>
                <w:color w:val="000000" w:themeColor="text1"/>
                <w:sz w:val="16"/>
                <w:szCs w:val="16"/>
              </w:rPr>
              <w:t>I</w:t>
            </w:r>
            <w:r w:rsidR="00482C65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482C65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482C65" w:rsidRPr="00FA5128" w:rsidRDefault="00482C65" w:rsidP="00482C65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82C65" w:rsidRPr="00FA5128" w:rsidRDefault="00482C65" w:rsidP="00482C6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b/>
                <w:color w:val="000000" w:themeColor="text1"/>
                <w:sz w:val="16"/>
                <w:szCs w:val="16"/>
              </w:rPr>
              <w:t>19 528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82C65" w:rsidRPr="00FA5128" w:rsidRDefault="00981455" w:rsidP="00482C6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89.</w:t>
            </w:r>
            <w:r w:rsidR="00482C65" w:rsidRPr="000C0B2E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82C65" w:rsidRPr="00FA5128" w:rsidRDefault="00981455" w:rsidP="00482C6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88.</w:t>
            </w:r>
            <w:r w:rsidR="00482C65" w:rsidRPr="000C0B2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82C65" w:rsidRPr="00FA5128" w:rsidRDefault="00482C65" w:rsidP="00482C6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b/>
                <w:color w:val="000000" w:themeColor="text1"/>
                <w:sz w:val="16"/>
                <w:szCs w:val="16"/>
              </w:rPr>
              <w:t>156 878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482C65" w:rsidRPr="00FA5128" w:rsidRDefault="00981455" w:rsidP="00482C6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</w:t>
            </w:r>
            <w:r w:rsidR="00482C65" w:rsidRPr="00A647B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482C65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82C65" w:rsidRPr="00115574" w:rsidRDefault="00482C65" w:rsidP="00482C6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482C65" w:rsidRPr="00FA5128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8 287</w:t>
            </w:r>
          </w:p>
        </w:tc>
        <w:tc>
          <w:tcPr>
            <w:tcW w:w="1206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482C65" w:rsidRPr="000C0B2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</w:t>
            </w:r>
            <w:r w:rsidR="00482C65" w:rsidRPr="000C0B2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482C65" w:rsidRPr="00907546" w:rsidRDefault="00482C65" w:rsidP="00482C65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63 984</w:t>
            </w:r>
          </w:p>
        </w:tc>
        <w:tc>
          <w:tcPr>
            <w:tcW w:w="1207" w:type="dxa"/>
            <w:vAlign w:val="center"/>
          </w:tcPr>
          <w:p w:rsidR="00482C65" w:rsidRPr="00907546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="00482C65" w:rsidRPr="00A647B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82C65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82C65" w:rsidRPr="00115574" w:rsidRDefault="00482C65" w:rsidP="00482C6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482C65" w:rsidRPr="00FA5128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11 011</w:t>
            </w:r>
          </w:p>
        </w:tc>
        <w:tc>
          <w:tcPr>
            <w:tcW w:w="1206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83.</w:t>
            </w:r>
            <w:r w:rsidR="00482C65" w:rsidRPr="000C0B2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</w:t>
            </w:r>
            <w:r w:rsidR="00482C65" w:rsidRPr="000C0B2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482C65" w:rsidRPr="008A1C80" w:rsidRDefault="00482C65" w:rsidP="00482C65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89 728</w:t>
            </w:r>
          </w:p>
        </w:tc>
        <w:tc>
          <w:tcPr>
            <w:tcW w:w="1207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482C65" w:rsidRPr="00A647B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82C6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82C65" w:rsidRPr="00115574" w:rsidRDefault="00482C65" w:rsidP="00482C6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 w:rsidRPr="00115574">
              <w:rPr>
                <w:rStyle w:val="Odwoanieprzypisudolnego"/>
                <w:lang w:val="en-GB"/>
              </w:rPr>
              <w:t>c</w:t>
            </w:r>
          </w:p>
        </w:tc>
        <w:tc>
          <w:tcPr>
            <w:tcW w:w="1206" w:type="dxa"/>
            <w:vAlign w:val="center"/>
          </w:tcPr>
          <w:p w:rsidR="00482C65" w:rsidRPr="005241EA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482C65" w:rsidRPr="004327B6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482C65" w:rsidRPr="004327B6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34.</w:t>
            </w:r>
            <w:r w:rsidR="00482C65" w:rsidRPr="0073330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482C65" w:rsidRPr="00553B0B" w:rsidRDefault="00482C65" w:rsidP="00482C65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449</w:t>
            </w:r>
          </w:p>
        </w:tc>
        <w:tc>
          <w:tcPr>
            <w:tcW w:w="1207" w:type="dxa"/>
            <w:vAlign w:val="center"/>
          </w:tcPr>
          <w:p w:rsidR="00482C65" w:rsidRPr="004266F7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482C6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82C65" w:rsidRPr="00154AC9" w:rsidRDefault="00482C65" w:rsidP="00482C6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482C65" w:rsidRPr="00FA5128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6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50.</w:t>
            </w:r>
            <w:r w:rsidR="00482C65" w:rsidRPr="000C0B2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482C65" w:rsidRPr="00E102B7" w:rsidRDefault="00981455" w:rsidP="00482C6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53.</w:t>
            </w:r>
            <w:r w:rsidR="00482C65" w:rsidRPr="000C0B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482C65" w:rsidRPr="00C230EE" w:rsidRDefault="00482C65" w:rsidP="00482C65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1 292</w:t>
            </w:r>
          </w:p>
        </w:tc>
        <w:tc>
          <w:tcPr>
            <w:tcW w:w="1207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75.</w:t>
            </w:r>
            <w:r w:rsidR="00482C65" w:rsidRPr="00A647B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82C6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82C65" w:rsidRPr="00154AC9" w:rsidRDefault="00482C65" w:rsidP="00482C6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</w:p>
        </w:tc>
        <w:tc>
          <w:tcPr>
            <w:tcW w:w="1206" w:type="dxa"/>
            <w:vAlign w:val="center"/>
          </w:tcPr>
          <w:p w:rsidR="00482C65" w:rsidRPr="00FA5128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37.</w:t>
            </w:r>
            <w:r w:rsidR="00482C65" w:rsidRPr="000C0B2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482C65" w:rsidRPr="00E102B7" w:rsidRDefault="00981455" w:rsidP="00482C6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65.</w:t>
            </w:r>
            <w:r w:rsidR="00482C65" w:rsidRPr="000C0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482C65" w:rsidRPr="00E87F78" w:rsidRDefault="00482C65" w:rsidP="00482C6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647B9">
              <w:rPr>
                <w:color w:val="000000" w:themeColor="text1"/>
                <w:sz w:val="16"/>
                <w:szCs w:val="16"/>
              </w:rPr>
              <w:t>1 042</w:t>
            </w:r>
          </w:p>
        </w:tc>
        <w:tc>
          <w:tcPr>
            <w:tcW w:w="1207" w:type="dxa"/>
            <w:vAlign w:val="center"/>
          </w:tcPr>
          <w:p w:rsidR="00482C65" w:rsidRPr="00FA512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</w:t>
            </w:r>
            <w:r w:rsidR="00482C65" w:rsidRPr="00A647B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482C6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82C65" w:rsidRPr="00154AC9" w:rsidRDefault="00482C65" w:rsidP="00482C6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482C65" w:rsidRPr="00A030E6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06" w:type="dxa"/>
            <w:vAlign w:val="center"/>
          </w:tcPr>
          <w:p w:rsidR="00482C65" w:rsidRPr="006E0C18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84.</w:t>
            </w:r>
            <w:r w:rsidR="00482C65" w:rsidRPr="000C0B2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482C65" w:rsidRPr="00296F96" w:rsidRDefault="00482C65" w:rsidP="00482C6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more than 5-fold</w:t>
            </w:r>
          </w:p>
        </w:tc>
        <w:tc>
          <w:tcPr>
            <w:tcW w:w="1206" w:type="dxa"/>
            <w:vAlign w:val="center"/>
          </w:tcPr>
          <w:p w:rsidR="00482C65" w:rsidRPr="00E87F78" w:rsidRDefault="00482C65" w:rsidP="00482C6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647B9">
              <w:rPr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1207" w:type="dxa"/>
            <w:vAlign w:val="center"/>
          </w:tcPr>
          <w:p w:rsidR="00482C65" w:rsidRPr="009F4F41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83.</w:t>
            </w:r>
            <w:r w:rsidR="00482C65" w:rsidRPr="00A647B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482C6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482C65" w:rsidRPr="008C0EBD" w:rsidRDefault="00482C65" w:rsidP="00482C6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482C65" w:rsidRPr="00A030E6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482C65" w:rsidRPr="006E0C18" w:rsidRDefault="00482C6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482C65" w:rsidRPr="00296F96" w:rsidRDefault="00482C65" w:rsidP="00482C6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482C65" w:rsidRPr="00E87F78" w:rsidRDefault="00482C65" w:rsidP="00482C6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F64F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7" w:type="dxa"/>
            <w:vAlign w:val="center"/>
          </w:tcPr>
          <w:p w:rsidR="00482C65" w:rsidRPr="009F4F41" w:rsidRDefault="00981455" w:rsidP="00482C6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="00482C65" w:rsidRPr="004F64F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August 2019 there were 824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7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482C65">
        <w:rPr>
          <w:b w:val="0"/>
          <w:sz w:val="19"/>
          <w:szCs w:val="19"/>
          <w:shd w:val="clear" w:color="auto" w:fill="FFFFFF"/>
          <w:lang w:val="en-GB"/>
        </w:rPr>
        <w:t>3.4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AD1492" w:rsidP="007207E6">
      <w:pPr>
        <w:pStyle w:val="tytuwykresu"/>
        <w:rPr>
          <w:lang w:val="en-US"/>
        </w:rPr>
      </w:pPr>
      <w:r>
        <w:rPr>
          <w:lang w:val="en-US"/>
        </w:rPr>
        <w:t>C</w:t>
      </w:r>
      <w:r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1D7244">
        <w:rPr>
          <w:noProof/>
          <w:lang w:val="en-GB" w:eastAsia="pl-PL"/>
        </w:rPr>
        <w:t xml:space="preserve"> </w:t>
      </w:r>
    </w:p>
    <w:p w:rsidR="007207E6" w:rsidRPr="00612A93" w:rsidRDefault="00603FBB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1F6BD3C9" wp14:editId="7C4DA7B5">
            <wp:simplePos x="0" y="0"/>
            <wp:positionH relativeFrom="margin">
              <wp:align>right</wp:align>
            </wp:positionH>
            <wp:positionV relativeFrom="paragraph">
              <wp:posOffset>86904</wp:posOffset>
            </wp:positionV>
            <wp:extent cx="5122545" cy="3211286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85"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5743575</wp:posOffset>
                </wp:positionH>
                <wp:positionV relativeFrom="paragraph">
                  <wp:posOffset>259715</wp:posOffset>
                </wp:positionV>
                <wp:extent cx="1760855" cy="20193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C3185" w:rsidRDefault="00B519F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="00482C65" w:rsidRPr="00482C6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482C65" w:rsidRP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14.1%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dwellings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which construction has begun de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by 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and 11.1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AF7C" id="_x0000_s1032" type="#_x0000_t202" style="position:absolute;margin-left:452.25pt;margin-top:20.45pt;width:138.65pt;height:15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utEgIAAP8DAAAOAAAAZHJzL2Uyb0RvYy54bWysU1Fv0zAQfkfiP1h+Z0lL27VR02lsDCEN&#10;mDT4AVfHaazZPmN7Tcav39lpSwVviDxYds733X3ffV5fDUazvfRBoa355KLkTFqBjbK7mv/4fvdu&#10;yVmIYBvQaGXNX2TgV5u3b9a9q+QUO9SN9IxAbKh6V/MuRlcVRRCdNBAu0ElLwRa9gUhHvysaDz2h&#10;G11My3JR9Ogb51HIEOjv7Rjkm4zftlLEb20bZGS65tRbzKvP6zatxWYN1c6D65Q4tAH/0IUBZano&#10;CeoWIrBnr/6CMkp4DNjGC4GmwLZVQmYOxGZS/sHmsQMnMxcSJ7iTTOH/wYqv+wfPVFPzFWcWDI3o&#10;AbVkUT6FiL1k0yRR70JFNx8d3Y3DBxxo1JlucPcongKzeNOB3clr77HvJDTU4iRlFmepI05IINv+&#10;CzZUC54jZqCh9SbpR4owQqdRvZzGI4fIRCp5uSiX8zlngmIk1+p9mQdYQHVMdz7ETxINS5uae5p/&#10;hof9fYipHaiOV1I1i3dK6+wBbVlPIsyn85xwFjEqkkW1MjVflukbTZNYfrRNTo6g9LinAtoeaCem&#10;I+c4bIcs8uKo5habF9LB4+hIekG06dD/4qwnN9Y8/HwGLznTny1puZrMZsm++TCbX07p4M8j2/MI&#10;WEFQNY+cjdubmC0/Ur4mzVuV1UjDGTs5tEwuyyIdXkSy8fk53/r9bjevAAAA//8DAFBLAwQUAAYA&#10;CAAAACEA/I7kYt8AAAALAQAADwAAAGRycy9kb3ducmV2LnhtbEyPy07DMBBF90j8gzVI7KgdSFCS&#10;ZlIhEFsQ5SF158bTJCIeR7HbhL/HXcFyNEf3nlttFjuIE02+d4yQrBQI4saZnluEj/fnmxyED5qN&#10;HhwTwg952NSXF5UujZv5jU7b0IoYwr7UCF0IYymlbzqy2q/cSBx/BzdZHeI5tdJMeo7hdpC3St1L&#10;q3uODZ0e6bGj5nt7tAifL4fdV6pe2yebjbNblGRbSMTrq+VhDSLQEv5gOOtHdaij094d2XgxIBQq&#10;zSKKkKoCxBlI8iSO2SPcZXkBsq7k/w31LwAAAP//AwBQSwECLQAUAAYACAAAACEAtoM4kv4AAADh&#10;AQAAEwAAAAAAAAAAAAAAAAAAAAAAW0NvbnRlbnRfVHlwZXNdLnhtbFBLAQItABQABgAIAAAAIQA4&#10;/SH/1gAAAJQBAAALAAAAAAAAAAAAAAAAAC8BAABfcmVscy8ucmVsc1BLAQItABQABgAIAAAAIQAH&#10;mFutEgIAAP8DAAAOAAAAAAAAAAAAAAAAAC4CAABkcnMvZTJvRG9jLnhtbFBLAQItABQABgAIAAAA&#10;IQD8juRi3wAAAAsBAAAPAAAAAAAAAAAAAAAAAGwEAABkcnMvZG93bnJldi54bWxQSwUGAAAAAAQA&#10;BADzAAAAeAUAAAAA&#10;" filled="f" stroked="f">
                <v:textbox>
                  <w:txbxContent>
                    <w:p w:rsidR="00B519FF" w:rsidRPr="00AC3185" w:rsidRDefault="00B519F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="00482C65" w:rsidRPr="00482C65">
                        <w:rPr>
                          <w:lang w:val="en-GB"/>
                        </w:rPr>
                        <w:t xml:space="preserve"> </w:t>
                      </w:r>
                      <w:r w:rsidR="00482C65" w:rsidRP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14.1%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dwellings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which construction has begun de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by 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and 11.1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  <w:bookmarkStart w:id="0" w:name="_GoBack"/>
      <w:bookmarkEnd w:id="0"/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of January-</w:t>
      </w:r>
      <w:r w:rsidR="00FF37E0">
        <w:rPr>
          <w:szCs w:val="19"/>
          <w:shd w:val="clear" w:color="auto" w:fill="FFFFFF"/>
          <w:lang w:val="en-GB"/>
        </w:rPr>
        <w:t>August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>in M</w:t>
      </w:r>
      <w:r w:rsidR="00CB6084">
        <w:rPr>
          <w:szCs w:val="19"/>
          <w:shd w:val="clear" w:color="auto" w:fill="FFFFFF"/>
          <w:lang w:val="en-GB"/>
        </w:rPr>
        <w:t>azowieckie</w:t>
      </w:r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FF37E0">
        <w:rPr>
          <w:szCs w:val="19"/>
          <w:shd w:val="clear" w:color="auto" w:fill="FFFFFF"/>
          <w:lang w:val="en-GB"/>
        </w:rPr>
        <w:t>31</w:t>
      </w:r>
      <w:r w:rsidR="007F4BEF">
        <w:rPr>
          <w:szCs w:val="19"/>
          <w:shd w:val="clear" w:color="auto" w:fill="FFFFFF"/>
          <w:lang w:val="en-GB"/>
        </w:rPr>
        <w:t>.</w:t>
      </w:r>
      <w:r w:rsidR="00FF37E0">
        <w:rPr>
          <w:szCs w:val="19"/>
          <w:shd w:val="clear" w:color="auto" w:fill="FFFFFF"/>
          <w:lang w:val="en-GB"/>
        </w:rPr>
        <w:t>2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A569FC">
        <w:rPr>
          <w:szCs w:val="19"/>
          <w:shd w:val="clear" w:color="auto" w:fill="FFFFFF"/>
          <w:lang w:val="en-GB"/>
        </w:rPr>
        <w:br/>
      </w:r>
      <w:r w:rsidR="00FF37E0">
        <w:rPr>
          <w:szCs w:val="19"/>
          <w:shd w:val="clear" w:color="auto" w:fill="FFFFFF"/>
          <w:lang w:val="en-GB"/>
        </w:rPr>
        <w:t>28</w:t>
      </w:r>
      <w:r w:rsidR="007F4BEF">
        <w:rPr>
          <w:szCs w:val="19"/>
          <w:shd w:val="clear" w:color="auto" w:fill="FFFFFF"/>
          <w:lang w:val="en-GB"/>
        </w:rPr>
        <w:t>.</w:t>
      </w:r>
      <w:r w:rsidR="006B6263">
        <w:rPr>
          <w:szCs w:val="19"/>
          <w:shd w:val="clear" w:color="auto" w:fill="FFFFFF"/>
          <w:lang w:val="en-GB"/>
        </w:rPr>
        <w:t>2</w:t>
      </w:r>
      <w:r w:rsidR="00A84818" w:rsidRPr="00A84818">
        <w:rPr>
          <w:szCs w:val="19"/>
          <w:shd w:val="clear" w:color="auto" w:fill="FFFFFF"/>
          <w:lang w:val="en-GB"/>
        </w:rPr>
        <w:t xml:space="preserve"> thous.</w:t>
      </w:r>
      <w:r w:rsidR="00E873C8">
        <w:rPr>
          <w:szCs w:val="19"/>
          <w:shd w:val="clear" w:color="auto" w:fill="FFFFFF"/>
          <w:lang w:val="en-GB"/>
        </w:rPr>
        <w:t>)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>in 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</w:t>
      </w:r>
      <w:r w:rsidR="007F4BEF">
        <w:rPr>
          <w:szCs w:val="19"/>
          <w:shd w:val="clear" w:color="auto" w:fill="FFFFFF"/>
          <w:lang w:val="en-GB"/>
        </w:rPr>
        <w:t>skie voivodship (respectively 1</w:t>
      </w:r>
      <w:r w:rsidR="00FF37E0">
        <w:rPr>
          <w:szCs w:val="19"/>
          <w:shd w:val="clear" w:color="auto" w:fill="FFFFFF"/>
          <w:lang w:val="en-GB"/>
        </w:rPr>
        <w:t>9</w:t>
      </w:r>
      <w:r w:rsidR="007F4BEF">
        <w:rPr>
          <w:szCs w:val="19"/>
          <w:shd w:val="clear" w:color="auto" w:fill="FFFFFF"/>
          <w:lang w:val="en-GB"/>
        </w:rPr>
        <w:t>.</w:t>
      </w:r>
      <w:r w:rsidR="00FF37E0">
        <w:rPr>
          <w:szCs w:val="19"/>
          <w:shd w:val="clear" w:color="auto" w:fill="FFFFFF"/>
          <w:lang w:val="en-GB"/>
        </w:rPr>
        <w:t>5</w:t>
      </w:r>
      <w:r w:rsidR="007F4BEF">
        <w:rPr>
          <w:szCs w:val="19"/>
          <w:shd w:val="clear" w:color="auto" w:fill="FFFFFF"/>
          <w:lang w:val="en-GB"/>
        </w:rPr>
        <w:t xml:space="preserve"> thous. and 1</w:t>
      </w:r>
      <w:r w:rsidR="00FF37E0">
        <w:rPr>
          <w:szCs w:val="19"/>
          <w:shd w:val="clear" w:color="auto" w:fill="FFFFFF"/>
          <w:lang w:val="en-GB"/>
        </w:rPr>
        <w:t>7</w:t>
      </w:r>
      <w:r w:rsidR="007F4BEF">
        <w:rPr>
          <w:szCs w:val="19"/>
          <w:shd w:val="clear" w:color="auto" w:fill="FFFFFF"/>
          <w:lang w:val="en-GB"/>
        </w:rPr>
        <w:t>.</w:t>
      </w:r>
      <w:r w:rsidR="00FF37E0">
        <w:rPr>
          <w:szCs w:val="19"/>
          <w:shd w:val="clear" w:color="auto" w:fill="FFFFFF"/>
          <w:lang w:val="en-GB"/>
        </w:rPr>
        <w:t>2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FF37E0">
        <w:rPr>
          <w:szCs w:val="19"/>
          <w:shd w:val="clear" w:color="auto" w:fill="FFFFFF"/>
          <w:lang w:val="en-GB"/>
        </w:rPr>
        <w:t xml:space="preserve"> Mazowieckie (26</w:t>
      </w:r>
      <w:r w:rsidR="007F4BEF">
        <w:rPr>
          <w:szCs w:val="19"/>
          <w:shd w:val="clear" w:color="auto" w:fill="FFFFFF"/>
          <w:lang w:val="en-GB"/>
        </w:rPr>
        <w:t>.</w:t>
      </w:r>
      <w:r w:rsidR="00B56724">
        <w:rPr>
          <w:szCs w:val="19"/>
          <w:shd w:val="clear" w:color="auto" w:fill="FFFFFF"/>
          <w:lang w:val="en-GB"/>
        </w:rPr>
        <w:t>8</w:t>
      </w:r>
      <w:r w:rsidR="009664CD">
        <w:rPr>
          <w:szCs w:val="19"/>
          <w:shd w:val="clear" w:color="auto" w:fill="FFFFFF"/>
          <w:lang w:val="en-GB"/>
        </w:rPr>
        <w:t xml:space="preserve"> thous.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r w:rsidR="00E873C8">
        <w:rPr>
          <w:szCs w:val="19"/>
          <w:shd w:val="clear" w:color="auto" w:fill="FFFFFF"/>
          <w:lang w:val="en-GB"/>
        </w:rPr>
        <w:t>Małopolskie</w:t>
      </w:r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FF37E0">
        <w:rPr>
          <w:szCs w:val="19"/>
          <w:shd w:val="clear" w:color="auto" w:fill="FFFFFF"/>
          <w:lang w:val="en-GB"/>
        </w:rPr>
        <w:t>14</w:t>
      </w:r>
      <w:r w:rsidR="007F4BEF">
        <w:rPr>
          <w:szCs w:val="19"/>
          <w:shd w:val="clear" w:color="auto" w:fill="FFFFFF"/>
          <w:lang w:val="en-GB"/>
        </w:rPr>
        <w:t>.</w:t>
      </w:r>
      <w:r w:rsidR="00FF37E0">
        <w:rPr>
          <w:szCs w:val="19"/>
          <w:shd w:val="clear" w:color="auto" w:fill="FFFFFF"/>
          <w:lang w:val="en-GB"/>
        </w:rPr>
        <w:t>1</w:t>
      </w:r>
      <w:r w:rsidR="009664CD">
        <w:rPr>
          <w:szCs w:val="19"/>
          <w:shd w:val="clear" w:color="auto" w:fill="FFFFFF"/>
          <w:lang w:val="en-GB"/>
        </w:rPr>
        <w:t xml:space="preserve">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FF37E0">
        <w:rPr>
          <w:color w:val="auto"/>
          <w:sz w:val="18"/>
          <w:szCs w:val="18"/>
          <w:lang w:val="en-GB"/>
        </w:rPr>
        <w:t>August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C60835" w:rsidRPr="00CB6084" w:rsidRDefault="0080133E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1E541B0F" wp14:editId="6BDD2E0E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5122545" cy="3824654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27606C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</w:t>
            </w:r>
            <w:r w:rsidR="008C48C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E717AF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E717AF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Spokeperson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27606C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22 608 34</w:t>
            </w:r>
            <w:r w:rsidR="008C48C6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91, +48 22 608 38</w:t>
            </w:r>
            <w:r w:rsidR="008C48C6">
              <w:rPr>
                <w:sz w:val="20"/>
                <w:lang w:val="en-GB"/>
              </w:rPr>
              <w:t xml:space="preserve"> 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Default="00B519F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519FF" w:rsidRPr="004E377B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5C7839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8235EC" w:rsidRDefault="00B519FF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5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B519FF" w:rsidRPr="005C7839" w:rsidRDefault="005C2FE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C78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519FF" w:rsidRPr="008235EC" w:rsidRDefault="005C2FE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B519FF" w:rsidRDefault="005C2FE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19FF" w:rsidRPr="008235EC" w:rsidRDefault="005C2FE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9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B519FF" w:rsidRPr="00F11843" w:rsidRDefault="005C2FE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1" w:history="1"/>
                          </w:p>
                          <w:p w:rsidR="00B519FF" w:rsidRPr="00F11843" w:rsidRDefault="005C2FE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2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B519FF" w:rsidRDefault="00B519FF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519FF" w:rsidRPr="003B6350" w:rsidRDefault="00B519F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26PgIAAHMEAAAOAAAAZHJzL2Uyb0RvYy54bWysVFFv0zAQfkfiP1h+p2m7hnbR0ml0DCEN&#10;mDT4ARfHaazZvmC7Tcqv5+y0o4MHJMRL5POdv7v7vrtcXQ9Gs710XqEt+Wwy5UxagbWy25J/+3r3&#10;ZsWZD2Br0GhlyQ/S8+v161dXfVfIObaoa+kYgVhf9F3J2xC6Isu8aKUBP8FOWnI26AwEMt02qx30&#10;hG50Np9O32Y9urpzKKT3dHs7Ovk64TeNFOFL03gZmC451RbS16VvFb/Z+gqKrYOuVeJYBvxDFQaU&#10;paTPULcQgO2c+gPKKOHQYxMmAk2GTaOETD1QN7Ppb908ttDJ1AuR47tnmvz/gxWf9w+OqbrkOWcW&#10;DEn0gFqyIJ98wF6yeaSo73xBkY8dxYbhHQ4kdWrXd/conjyzuGnBbuWNc9i3EmoqcRZfZmdPRxwf&#10;Qar+E9aUC3YBE9DQOBP5I0YYoZNUh2d55BCYoMt8vrhYXZBLkG+RX+SzZRIwg+L0vHM+fJBoWDyU&#10;3JH+CR729z7EcqA4hcRsHrWq75TWyYgzJzfasT3QtFTbsUW9M1TreHeZT6enlGlEY3hCfYGkLetL&#10;fpnP85Gkv2QZ63qBYFSgtdDKlHxFKcekUERm39uaHkARQOnxTE1pe6Q6sjvyHIZqSMIuTwpWWB+I&#10;e4fjFtDW0qFF94Oznjag5P77DpzkTH+0pN/lbLGIK5OMRb6ck+HOPdW5B6wgqJIHzsbjJqQ1i6Va&#10;vCGdG5UUiAMxVnIsmSY7UXjcwrg653aK+vWvWP8E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Clho26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B519FF" w:rsidRDefault="00B519FF" w:rsidP="00AB6D25">
                      <w:pPr>
                        <w:rPr>
                          <w:b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519FF" w:rsidRPr="004E377B" w:rsidRDefault="00B519FF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5C7839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="005C7839"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</w:t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u</w:t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l</w:t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l</w:t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et</w:t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i</w:t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8235EC" w:rsidRDefault="00B519FF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3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</w:t>
                        </w:r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h</w:t>
                        </w:r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e cou</w:t>
                        </w:r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n</w:t>
                        </w:r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t</w:t>
                        </w:r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ry</w:t>
                        </w:r>
                      </w:hyperlink>
                    </w:p>
                    <w:p w:rsidR="00B519FF" w:rsidRPr="005C7839" w:rsidRDefault="005C783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instrText xml:space="preserve"> HYPERLINK "https://stat.gov.pl/en/topics/industry-construction-fixed-assets/construction/publikacja,1.html" 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Constructi</w:t>
                      </w:r>
                      <w:r w:rsidRP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o</w:t>
                      </w:r>
                      <w:r w:rsidRP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n results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519FF" w:rsidRPr="008235EC" w:rsidRDefault="006262B3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B519FF" w:rsidRDefault="006262B3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19FF" w:rsidRPr="008235EC" w:rsidRDefault="006262B3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6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B519FF" w:rsidRPr="00F11843" w:rsidRDefault="006262B3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8" w:history="1"/>
                    </w:p>
                    <w:p w:rsidR="00B519FF" w:rsidRPr="00F11843" w:rsidRDefault="006262B3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9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B519FF" w:rsidRDefault="00B519FF" w:rsidP="00000009">
                      <w:pPr>
                        <w:rPr>
                          <w:lang w:val="en-GB"/>
                        </w:rPr>
                      </w:pPr>
                    </w:p>
                    <w:p w:rsidR="00B519FF" w:rsidRPr="003B6350" w:rsidRDefault="00B519F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FE4" w:rsidRDefault="005C2FE4" w:rsidP="000662E2">
      <w:pPr>
        <w:spacing w:after="0" w:line="240" w:lineRule="auto"/>
      </w:pPr>
      <w:r>
        <w:separator/>
      </w:r>
    </w:p>
  </w:endnote>
  <w:endnote w:type="continuationSeparator" w:id="0">
    <w:p w:rsidR="005C2FE4" w:rsidRDefault="005C2FE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19FF" w:rsidRPr="007B4F73" w:rsidRDefault="00B519F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0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9FF" w:rsidRPr="00CC1C7C" w:rsidRDefault="00B519F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FE4" w:rsidRDefault="005C2FE4" w:rsidP="000662E2">
      <w:pPr>
        <w:spacing w:after="0" w:line="240" w:lineRule="auto"/>
      </w:pPr>
      <w:r>
        <w:separator/>
      </w:r>
    </w:p>
  </w:footnote>
  <w:footnote w:type="continuationSeparator" w:id="0">
    <w:p w:rsidR="005C2FE4" w:rsidRDefault="005C2FE4" w:rsidP="000662E2">
      <w:pPr>
        <w:spacing w:after="0" w:line="240" w:lineRule="auto"/>
      </w:pPr>
      <w:r>
        <w:continuationSeparator/>
      </w:r>
    </w:p>
  </w:footnote>
  <w:footnote w:id="1">
    <w:p w:rsidR="00B519FF" w:rsidRPr="008C48C6" w:rsidRDefault="00B519FF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B519FF" w:rsidRPr="008C48C6" w:rsidRDefault="00B519FF" w:rsidP="009046F6">
      <w:pPr>
        <w:rPr>
          <w:rFonts w:ascii="Fira Sans Light" w:hAnsi="Fira Sans Light"/>
          <w:b/>
          <w:bCs/>
          <w:sz w:val="16"/>
          <w:szCs w:val="16"/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</w:t>
      </w:r>
      <w:r w:rsidRPr="008C48C6">
        <w:rPr>
          <w:bCs/>
          <w:sz w:val="16"/>
          <w:szCs w:val="16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EC5BC4" w:rsidRPr="00207BF8" w:rsidRDefault="00EC5BC4">
      <w:pPr>
        <w:pStyle w:val="Tekstprzypisudolnego"/>
        <w:rPr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Realised by various investors with the purpose of short or long term rent of dwellings, also based on the institutional lease 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B519FF" w:rsidRDefault="00B51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E717AF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23.09</w:t>
                          </w:r>
                          <w:r w:rsidR="00B519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B519FF" w:rsidRPr="00C97596" w:rsidRDefault="00E717AF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23.09</w:t>
                    </w:r>
                    <w:r w:rsidR="00B519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19FF" w:rsidRPr="003C6C8D" w:rsidRDefault="00B519F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519FF" w:rsidRPr="003C6C8D" w:rsidRDefault="00B519F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519FF" w:rsidRPr="00C97596" w:rsidRDefault="00B519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</w:p>
  <w:p w:rsidR="00B519FF" w:rsidRDefault="00B51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131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271FB"/>
    <w:rsid w:val="0003236F"/>
    <w:rsid w:val="00035EA7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52CB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4380"/>
    <w:rsid w:val="001A53F4"/>
    <w:rsid w:val="001A6EC1"/>
    <w:rsid w:val="001B1CE5"/>
    <w:rsid w:val="001B4A86"/>
    <w:rsid w:val="001C1808"/>
    <w:rsid w:val="001C3269"/>
    <w:rsid w:val="001C3694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42AA"/>
    <w:rsid w:val="003A716C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3D4F"/>
    <w:rsid w:val="00444B75"/>
    <w:rsid w:val="00445047"/>
    <w:rsid w:val="004466B1"/>
    <w:rsid w:val="00450A42"/>
    <w:rsid w:val="00450E62"/>
    <w:rsid w:val="0045309B"/>
    <w:rsid w:val="00454004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76B0"/>
    <w:rsid w:val="00575C63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B6263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4521"/>
    <w:rsid w:val="00707935"/>
    <w:rsid w:val="00710A0B"/>
    <w:rsid w:val="00710C03"/>
    <w:rsid w:val="00713DD1"/>
    <w:rsid w:val="0071467D"/>
    <w:rsid w:val="0071658F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48E4"/>
    <w:rsid w:val="00896EB9"/>
    <w:rsid w:val="008A1C80"/>
    <w:rsid w:val="008A26D9"/>
    <w:rsid w:val="008A58C2"/>
    <w:rsid w:val="008A7B99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3BE8"/>
    <w:rsid w:val="0098487F"/>
    <w:rsid w:val="009918AB"/>
    <w:rsid w:val="00991BAC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1740"/>
    <w:rsid w:val="00B130CA"/>
    <w:rsid w:val="00B14952"/>
    <w:rsid w:val="00B166F1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19FF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F0172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5BC4"/>
    <w:rsid w:val="00EC7E66"/>
    <w:rsid w:val="00ED04D0"/>
    <w:rsid w:val="00ED55C0"/>
    <w:rsid w:val="00ED682B"/>
    <w:rsid w:val="00ED7983"/>
    <w:rsid w:val="00EE373E"/>
    <w:rsid w:val="00EE41D5"/>
    <w:rsid w:val="00EF767E"/>
    <w:rsid w:val="00F037A4"/>
    <w:rsid w:val="00F06543"/>
    <w:rsid w:val="00F11509"/>
    <w:rsid w:val="00F11843"/>
    <w:rsid w:val="00F137F7"/>
    <w:rsid w:val="00F17D27"/>
    <w:rsid w:val="00F245D9"/>
    <w:rsid w:val="00F26991"/>
    <w:rsid w:val="00F272FB"/>
    <w:rsid w:val="00F27C8F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en/topics/industry-construction-fixed-assets/construction/publikacja,1.html" TargetMode="External"/><Relationship Id="rId39" Type="http://schemas.openxmlformats.org/officeDocument/2006/relationships/hyperlink" Target="http://stat.gov.pl/en/metainformations/glossary/terms-used-in-official-statistics/201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waid.stat.gov.pl/EN/SitePagesDBW/Budownictwo.aspx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other-studies/informations-on-socio-economic-situation/publikacja,1.html" TargetMode="External"/><Relationship Id="rId33" Type="http://schemas.openxmlformats.org/officeDocument/2006/relationships/hyperlink" Target="https://stat.gov.pl/en/topics/other-studies/informations-on-socio-economic-situation/publikacja,1.html" TargetMode="External"/><Relationship Id="rId38" Type="http://schemas.openxmlformats.org/officeDocument/2006/relationships/hyperlink" Target="http://stat.gov.pl/en/metainformations/glossary/terms-used-in-official-statistics/945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en/metainformations/glossary/terms-used-in-official-statistics/3763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201,term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en/metainformations/glossary/terms-used-in-official-statistics/3763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Budownictwo.aspx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Arkusz1!$B$2:$AS$3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Arkusz1!$B$4:$AS$4</c:f>
              <c:numCache>
                <c:formatCode>General</c:formatCode>
                <c:ptCount val="44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15551</c:v>
                </c:pt>
                <c:pt idx="43">
                  <c:v>17748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8542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Arkusz1!$B$2:$AS$3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Arkusz1!$B$16:$AS$16</c:f>
              <c:numCache>
                <c:formatCode>General</c:formatCode>
                <c:ptCount val="44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CCD2E4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multiLvlStrRef>
              <c:f>Arkusz1!$B$2:$AS$3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Arkusz1!$B$10:$AS$10</c:f>
              <c:numCache>
                <c:formatCode>General</c:formatCode>
                <c:ptCount val="44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7573560"/>
        <c:axId val="477577872"/>
      </c:lineChart>
      <c:catAx>
        <c:axId val="477573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757787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47757787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7573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629040838099031E-2"/>
          <c:y val="0.82151130653853166"/>
          <c:w val="0.86186827055692039"/>
          <c:h val="0.153781380451825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2489</c:v>
                </c:pt>
                <c:pt idx="1">
                  <c:v>2762</c:v>
                </c:pt>
                <c:pt idx="2">
                  <c:v>3991</c:v>
                </c:pt>
                <c:pt idx="3">
                  <c:v>5742</c:v>
                </c:pt>
                <c:pt idx="4">
                  <c:v>3775</c:v>
                </c:pt>
                <c:pt idx="5">
                  <c:v>6304</c:v>
                </c:pt>
                <c:pt idx="6">
                  <c:v>6923</c:v>
                </c:pt>
                <c:pt idx="7">
                  <c:v>6112</c:v>
                </c:pt>
                <c:pt idx="8">
                  <c:v>6953</c:v>
                </c:pt>
                <c:pt idx="9">
                  <c:v>8904</c:v>
                </c:pt>
                <c:pt idx="10">
                  <c:v>11853</c:v>
                </c:pt>
                <c:pt idx="11">
                  <c:v>15066</c:v>
                </c:pt>
                <c:pt idx="12">
                  <c:v>17179</c:v>
                </c:pt>
                <c:pt idx="13">
                  <c:v>16510</c:v>
                </c:pt>
                <c:pt idx="14">
                  <c:v>14088</c:v>
                </c:pt>
                <c:pt idx="15">
                  <c:v>28227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2615</c:v>
                </c:pt>
                <c:pt idx="1">
                  <c:v>2801</c:v>
                </c:pt>
                <c:pt idx="2">
                  <c:v>4306</c:v>
                </c:pt>
                <c:pt idx="3">
                  <c:v>5525</c:v>
                </c:pt>
                <c:pt idx="4">
                  <c:v>4932</c:v>
                </c:pt>
                <c:pt idx="5">
                  <c:v>6668</c:v>
                </c:pt>
                <c:pt idx="6">
                  <c:v>7181</c:v>
                </c:pt>
                <c:pt idx="7">
                  <c:v>8012</c:v>
                </c:pt>
                <c:pt idx="8">
                  <c:v>8550</c:v>
                </c:pt>
                <c:pt idx="9">
                  <c:v>10209</c:v>
                </c:pt>
                <c:pt idx="10">
                  <c:v>13819</c:v>
                </c:pt>
                <c:pt idx="11">
                  <c:v>17077</c:v>
                </c:pt>
                <c:pt idx="12">
                  <c:v>19543</c:v>
                </c:pt>
                <c:pt idx="13">
                  <c:v>18815</c:v>
                </c:pt>
                <c:pt idx="14">
                  <c:v>15122</c:v>
                </c:pt>
                <c:pt idx="15">
                  <c:v>31181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1551</c:v>
                </c:pt>
                <c:pt idx="1">
                  <c:v>2380</c:v>
                </c:pt>
                <c:pt idx="2">
                  <c:v>2536</c:v>
                </c:pt>
                <c:pt idx="3">
                  <c:v>3612</c:v>
                </c:pt>
                <c:pt idx="4">
                  <c:v>3813</c:v>
                </c:pt>
                <c:pt idx="5">
                  <c:v>4669</c:v>
                </c:pt>
                <c:pt idx="6">
                  <c:v>5386</c:v>
                </c:pt>
                <c:pt idx="7">
                  <c:v>5529</c:v>
                </c:pt>
                <c:pt idx="8">
                  <c:v>5772</c:v>
                </c:pt>
                <c:pt idx="9">
                  <c:v>5986</c:v>
                </c:pt>
                <c:pt idx="10">
                  <c:v>8764</c:v>
                </c:pt>
                <c:pt idx="11">
                  <c:v>10559</c:v>
                </c:pt>
                <c:pt idx="12">
                  <c:v>12771</c:v>
                </c:pt>
                <c:pt idx="13">
                  <c:v>13612</c:v>
                </c:pt>
                <c:pt idx="14">
                  <c:v>14092</c:v>
                </c:pt>
                <c:pt idx="15">
                  <c:v>26800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7575912"/>
        <c:axId val="477572776"/>
      </c:barChart>
      <c:catAx>
        <c:axId val="477575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77572776"/>
        <c:crosses val="autoZero"/>
        <c:auto val="1"/>
        <c:lblAlgn val="ctr"/>
        <c:lblOffset val="100"/>
        <c:noMultiLvlLbl val="0"/>
      </c:catAx>
      <c:valAx>
        <c:axId val="477572776"/>
        <c:scaling>
          <c:orientation val="minMax"/>
          <c:max val="32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7575912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59689080330187"/>
          <c:y val="0.81261280576687012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43206-2D1D-483B-8559-00178F95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2019</vt:lpstr>
    </vt:vector>
  </TitlesOfParts>
  <Company>Statistics Poland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January-August 2019</dc:title>
  <dc:creator>GUS</dc:creator>
  <cp:keywords>dwellings completed; dwellings under construction; dwellings started; building permit; useful floor area</cp:keywords>
  <cp:lastPrinted>2019-07-22T10:56:00Z</cp:lastPrinted>
  <dcterms:created xsi:type="dcterms:W3CDTF">2019-09-20T11:45:00Z</dcterms:created>
  <dcterms:modified xsi:type="dcterms:W3CDTF">2019-09-20T11:45:00Z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