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7715B1">
        <w:rPr>
          <w:szCs w:val="32"/>
          <w:lang w:val="en-US"/>
        </w:rPr>
        <w:t>V</w:t>
      </w:r>
      <w:r w:rsidR="006072EE">
        <w:rPr>
          <w:szCs w:val="32"/>
          <w:lang w:val="en-US"/>
        </w:rPr>
        <w:t>I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114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114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</w:t>
      </w:r>
      <w:r w:rsidR="001052CB">
        <w:rPr>
          <w:lang w:val="en-US"/>
        </w:rPr>
        <w:t xml:space="preserve">period of </w:t>
      </w:r>
      <w:r w:rsidR="00F54505">
        <w:rPr>
          <w:lang w:val="en-US"/>
        </w:rPr>
        <w:t xml:space="preserve">first </w:t>
      </w:r>
      <w:r w:rsidR="001052CB">
        <w:rPr>
          <w:lang w:val="en-US"/>
        </w:rPr>
        <w:t>six</w:t>
      </w:r>
      <w:r w:rsidR="007715B1">
        <w:rPr>
          <w:lang w:val="en-US"/>
        </w:rPr>
        <w:t xml:space="preserve">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F54505">
        <w:rPr>
          <w:lang w:val="en-US"/>
        </w:rPr>
        <w:t xml:space="preserve">also increased, </w:t>
      </w:r>
      <w:r w:rsidR="00F54505">
        <w:rPr>
          <w:spacing w:val="-4"/>
          <w:shd w:val="clear" w:color="auto" w:fill="FFFFFF"/>
          <w:lang w:val="en-US"/>
        </w:rPr>
        <w:t xml:space="preserve">whereas </w:t>
      </w:r>
      <w:r w:rsidR="00095A18" w:rsidRPr="007323FA">
        <w:rPr>
          <w:lang w:val="en-US"/>
        </w:rPr>
        <w:t xml:space="preserve">the number of </w:t>
      </w:r>
      <w:r w:rsidR="00F54505">
        <w:rPr>
          <w:lang w:val="en-US"/>
        </w:rPr>
        <w:t xml:space="preserve">dwellings </w:t>
      </w:r>
      <w:r w:rsidR="00F54505" w:rsidRPr="007323FA">
        <w:rPr>
          <w:lang w:val="en-US"/>
        </w:rPr>
        <w:t>for which permits have been granted or which have been registered with a construction proje</w:t>
      </w:r>
      <w:r w:rsidR="00F54505">
        <w:rPr>
          <w:lang w:val="en-US"/>
        </w:rPr>
        <w:t>c</w:t>
      </w:r>
      <w:r w:rsidR="00F54505" w:rsidRPr="007323FA">
        <w:rPr>
          <w:lang w:val="en-US"/>
        </w:rPr>
        <w:t>t</w:t>
      </w:r>
      <w:r w:rsidR="00095A18">
        <w:rPr>
          <w:lang w:val="en-US"/>
        </w:rPr>
        <w:t xml:space="preserve"> </w:t>
      </w:r>
      <w:r w:rsidR="00C733A3">
        <w:rPr>
          <w:lang w:val="en-US"/>
        </w:rPr>
        <w:t>de</w:t>
      </w:r>
      <w:r w:rsidR="00095A18">
        <w:rPr>
          <w:lang w:val="en-US"/>
        </w:rPr>
        <w:t>creased.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E55DC7" w:rsidRDefault="00B407E7" w:rsidP="009B0770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noProof/>
          <w:color w:val="001D77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5690235</wp:posOffset>
                </wp:positionH>
                <wp:positionV relativeFrom="paragraph">
                  <wp:posOffset>107315</wp:posOffset>
                </wp:positionV>
                <wp:extent cx="1809115" cy="1543050"/>
                <wp:effectExtent l="0" t="0" r="0" b="0"/>
                <wp:wrapTight wrapText="bothSides">
                  <wp:wrapPolygon edited="0">
                    <wp:start x="682" y="0"/>
                    <wp:lineTo x="682" y="21333"/>
                    <wp:lineTo x="20698" y="21333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B519FF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completed 62.1% of total number of dwellings, i.e. 4.1 percentage points more than in the previous year, </w:t>
                            </w:r>
                            <w:r w:rsidRPr="00212787">
                              <w:rPr>
                                <w:lang w:val="en-US"/>
                              </w:rPr>
                              <w:t xml:space="preserve">whereas the share of </w:t>
                            </w:r>
                            <w:r>
                              <w:rPr>
                                <w:lang w:val="en-US"/>
                              </w:rPr>
                              <w:t>private investors decreased by 4</w:t>
                            </w:r>
                            <w:r w:rsidRPr="00212787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212787">
                              <w:rPr>
                                <w:lang w:val="en-US"/>
                              </w:rPr>
                              <w:t xml:space="preserve"> percentage points to the </w:t>
                            </w:r>
                            <w:r>
                              <w:rPr>
                                <w:lang w:val="en-US"/>
                              </w:rPr>
                              <w:t>level of 35</w:t>
                            </w:r>
                            <w:r w:rsidRPr="00212787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212787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8.05pt;margin-top:8.45pt;width:142.45pt;height:12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" filled="f" stroked="f">
                <v:textbox>
                  <w:txbxContent>
                    <w:p w:rsidR="00B519FF" w:rsidRPr="00AD1492" w:rsidRDefault="00B519FF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completed 62.1% of total number of dwellings, i.e. 4.1 percentage points more than in the previous year, </w:t>
                      </w:r>
                      <w:r w:rsidRPr="00212787">
                        <w:rPr>
                          <w:lang w:val="en-US"/>
                        </w:rPr>
                        <w:t xml:space="preserve">whereas the share of </w:t>
                      </w:r>
                      <w:r>
                        <w:rPr>
                          <w:lang w:val="en-US"/>
                        </w:rPr>
                        <w:t>private investors decreased by 4</w:t>
                      </w:r>
                      <w:r w:rsidRPr="00212787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212787">
                        <w:rPr>
                          <w:lang w:val="en-US"/>
                        </w:rPr>
                        <w:t xml:space="preserve"> percentage points to the </w:t>
                      </w:r>
                      <w:r>
                        <w:rPr>
                          <w:lang w:val="en-US"/>
                        </w:rPr>
                        <w:t>level of 35</w:t>
                      </w:r>
                      <w:r w:rsidRPr="00212787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212787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5767678</wp:posOffset>
                </wp:positionH>
                <wp:positionV relativeFrom="paragraph">
                  <wp:posOffset>1243330</wp:posOffset>
                </wp:positionV>
                <wp:extent cx="1743710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>a dwelling in the period of I-VI 2019 was 90.1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proofErr w:type="spellStart"/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sq</w:t>
                            </w:r>
                            <w:proofErr w:type="spellEnd"/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7.9pt;width:137.3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" filled="f" stroked="f">
                <v:textbox>
                  <w:txbxContent>
                    <w:p w:rsidR="00B519FF" w:rsidRPr="00AE3772" w:rsidRDefault="00B519FF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>a dwelling in the period of I-VI 2019 was 90.1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1052CB">
        <w:rPr>
          <w:spacing w:val="-4"/>
          <w:shd w:val="clear" w:color="auto" w:fill="FFFFFF"/>
          <w:lang w:val="en-US"/>
        </w:rPr>
        <w:t>94</w:t>
      </w:r>
      <w:r w:rsidR="00D45F1D">
        <w:rPr>
          <w:spacing w:val="-4"/>
          <w:shd w:val="clear" w:color="auto" w:fill="FFFFFF"/>
          <w:lang w:val="en-US"/>
        </w:rPr>
        <w:t>.</w:t>
      </w:r>
      <w:r w:rsidR="001052CB">
        <w:rPr>
          <w:spacing w:val="-4"/>
          <w:shd w:val="clear" w:color="auto" w:fill="FFFFFF"/>
          <w:lang w:val="en-US"/>
        </w:rPr>
        <w:t>7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C733A3" w:rsidRPr="00C733A3">
        <w:rPr>
          <w:spacing w:val="-4"/>
          <w:shd w:val="clear" w:color="auto" w:fill="FFFFFF"/>
          <w:lang w:val="en-US"/>
        </w:rPr>
        <w:t>thous</w:t>
      </w:r>
      <w:proofErr w:type="spellEnd"/>
      <w:r w:rsidR="00C733A3" w:rsidRPr="00C733A3">
        <w:rPr>
          <w:spacing w:val="-4"/>
          <w:shd w:val="clear" w:color="auto" w:fill="FFFFFF"/>
          <w:lang w:val="en-US"/>
        </w:rPr>
        <w:t>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1052CB">
        <w:rPr>
          <w:spacing w:val="-4"/>
          <w:shd w:val="clear" w:color="auto" w:fill="FFFFFF"/>
          <w:lang w:val="en-US"/>
        </w:rPr>
        <w:t>June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</w:t>
      </w:r>
      <w:r w:rsidR="001052CB">
        <w:rPr>
          <w:spacing w:val="-4"/>
          <w:shd w:val="clear" w:color="auto" w:fill="FFFFFF"/>
          <w:lang w:val="en-US"/>
        </w:rPr>
        <w:t>4</w:t>
      </w:r>
      <w:r w:rsidR="0042048D">
        <w:rPr>
          <w:spacing w:val="-4"/>
          <w:shd w:val="clear" w:color="auto" w:fill="FFFFFF"/>
          <w:lang w:val="en-US"/>
        </w:rPr>
        <w:t>.</w:t>
      </w:r>
      <w:r w:rsidR="001052CB">
        <w:rPr>
          <w:spacing w:val="-4"/>
          <w:shd w:val="clear" w:color="auto" w:fill="FFFFFF"/>
          <w:lang w:val="en-US"/>
        </w:rPr>
        <w:t>4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1052CB">
        <w:rPr>
          <w:spacing w:val="-4"/>
          <w:shd w:val="clear" w:color="auto" w:fill="FFFFFF"/>
          <w:lang w:val="en-US"/>
        </w:rPr>
        <w:t>58</w:t>
      </w:r>
      <w:r w:rsidR="00D45F1D">
        <w:rPr>
          <w:spacing w:val="-4"/>
          <w:shd w:val="clear" w:color="auto" w:fill="FFFFFF"/>
          <w:lang w:val="en-US"/>
        </w:rPr>
        <w:t>.</w:t>
      </w:r>
      <w:r w:rsidR="001052CB">
        <w:rPr>
          <w:spacing w:val="-4"/>
          <w:shd w:val="clear" w:color="auto" w:fill="FFFFFF"/>
          <w:lang w:val="en-US"/>
        </w:rPr>
        <w:t>8</w:t>
      </w:r>
      <w:r w:rsidR="00A72CF4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A72CF4">
        <w:rPr>
          <w:spacing w:val="-4"/>
          <w:shd w:val="clear" w:color="auto" w:fill="FFFFFF"/>
          <w:lang w:val="en-US"/>
        </w:rPr>
        <w:t>thous</w:t>
      </w:r>
      <w:proofErr w:type="spellEnd"/>
      <w:r w:rsidR="00A72CF4">
        <w:rPr>
          <w:spacing w:val="-4"/>
          <w:shd w:val="clear" w:color="auto" w:fill="FFFFFF"/>
          <w:lang w:val="en-US"/>
        </w:rPr>
        <w:t xml:space="preserve">. dwellings </w:t>
      </w:r>
      <w:r>
        <w:rPr>
          <w:spacing w:val="-4"/>
          <w:shd w:val="clear" w:color="auto" w:fill="FFFFFF"/>
          <w:lang w:val="en-US"/>
        </w:rPr>
        <w:br/>
      </w:r>
      <w:r w:rsidR="00D45F1D">
        <w:rPr>
          <w:spacing w:val="-4"/>
          <w:shd w:val="clear" w:color="auto" w:fill="FFFFFF"/>
          <w:lang w:val="en-US"/>
        </w:rPr>
        <w:t>(2</w:t>
      </w:r>
      <w:r w:rsidR="001052CB">
        <w:rPr>
          <w:spacing w:val="-4"/>
          <w:shd w:val="clear" w:color="auto" w:fill="FFFFFF"/>
          <w:lang w:val="en-US"/>
        </w:rPr>
        <w:t>2</w:t>
      </w:r>
      <w:r w:rsidR="00D45F1D">
        <w:rPr>
          <w:spacing w:val="-4"/>
          <w:shd w:val="clear" w:color="auto" w:fill="FFFFFF"/>
          <w:lang w:val="en-US"/>
        </w:rPr>
        <w:t>.4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proofErr w:type="spellEnd"/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1052CB">
        <w:rPr>
          <w:spacing w:val="-4"/>
          <w:shd w:val="clear" w:color="auto" w:fill="FFFFFF"/>
          <w:lang w:val="en-US"/>
        </w:rPr>
        <w:t>33</w:t>
      </w:r>
      <w:r w:rsidR="00837231">
        <w:rPr>
          <w:spacing w:val="-4"/>
          <w:shd w:val="clear" w:color="auto" w:fill="FFFFFF"/>
          <w:lang w:val="en-US"/>
        </w:rPr>
        <w:t>.4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C733A3" w:rsidRPr="00C733A3">
        <w:rPr>
          <w:spacing w:val="-4"/>
          <w:shd w:val="clear" w:color="auto" w:fill="FFFFFF"/>
          <w:lang w:val="en-US"/>
        </w:rPr>
        <w:t>thous</w:t>
      </w:r>
      <w:proofErr w:type="spellEnd"/>
      <w:r w:rsidR="00C733A3" w:rsidRPr="00C733A3">
        <w:rPr>
          <w:spacing w:val="-4"/>
          <w:shd w:val="clear" w:color="auto" w:fill="FFFFFF"/>
          <w:lang w:val="en-US"/>
        </w:rPr>
        <w:t xml:space="preserve">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837231">
        <w:rPr>
          <w:spacing w:val="-4"/>
          <w:shd w:val="clear" w:color="auto" w:fill="FFFFFF"/>
          <w:lang w:val="en-US"/>
        </w:rPr>
        <w:t>2.</w:t>
      </w:r>
      <w:r w:rsidR="001052CB">
        <w:rPr>
          <w:spacing w:val="-4"/>
          <w:shd w:val="clear" w:color="auto" w:fill="FFFFFF"/>
          <w:lang w:val="en-US"/>
        </w:rPr>
        <w:t>2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24BA">
        <w:rPr>
          <w:spacing w:val="-4"/>
          <w:shd w:val="clear" w:color="auto" w:fill="FFFFFF"/>
          <w:lang w:val="en-US"/>
        </w:rPr>
        <w:t>97.</w:t>
      </w:r>
      <w:r w:rsidR="00425417">
        <w:rPr>
          <w:spacing w:val="-4"/>
          <w:shd w:val="clear" w:color="auto" w:fill="FFFFFF"/>
          <w:lang w:val="en-US"/>
        </w:rPr>
        <w:t>3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425417">
        <w:rPr>
          <w:spacing w:val="-4"/>
          <w:shd w:val="clear" w:color="auto" w:fill="FFFFFF"/>
          <w:lang w:val="en-US"/>
        </w:rPr>
        <w:t>914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425417">
        <w:rPr>
          <w:spacing w:val="-4"/>
          <w:shd w:val="clear" w:color="auto" w:fill="FFFFFF"/>
          <w:lang w:val="en-US"/>
        </w:rPr>
        <w:t>1004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3A358E">
        <w:rPr>
          <w:spacing w:val="-4"/>
          <w:shd w:val="clear" w:color="auto" w:fill="FFFFFF"/>
          <w:lang w:val="en-US"/>
        </w:rPr>
        <w:t xml:space="preserve">ellings). In </w:t>
      </w:r>
      <w:r w:rsidR="003A358E" w:rsidRPr="00435283">
        <w:rPr>
          <w:b/>
          <w:spacing w:val="-4"/>
          <w:shd w:val="clear" w:color="auto" w:fill="FFFFFF"/>
          <w:lang w:val="en-US"/>
        </w:rPr>
        <w:t>other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25542F">
        <w:rPr>
          <w:spacing w:val="-4"/>
          <w:shd w:val="clear" w:color="auto" w:fill="FFFFFF"/>
          <w:lang w:val="en-US"/>
        </w:rPr>
        <w:t>1655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837231">
        <w:rPr>
          <w:spacing w:val="-4"/>
          <w:shd w:val="clear" w:color="auto" w:fill="FFFFFF"/>
          <w:lang w:val="en-US"/>
        </w:rPr>
        <w:t>5</w:t>
      </w:r>
      <w:r w:rsidR="0029251D">
        <w:rPr>
          <w:spacing w:val="-4"/>
          <w:shd w:val="clear" w:color="auto" w:fill="FFFFFF"/>
          <w:lang w:val="en-US"/>
        </w:rPr>
        <w:t>0</w:t>
      </w:r>
      <w:r w:rsidR="00837231">
        <w:rPr>
          <w:spacing w:val="-4"/>
          <w:shd w:val="clear" w:color="auto" w:fill="FFFFFF"/>
          <w:lang w:val="en-US"/>
        </w:rPr>
        <w:t>,</w:t>
      </w:r>
      <w:r w:rsidR="0029251D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2C39C1">
        <w:rPr>
          <w:shd w:val="clear" w:color="auto" w:fill="FFFFFF"/>
          <w:lang w:val="en-US"/>
        </w:rPr>
        <w:t>V</w:t>
      </w:r>
      <w:r w:rsidR="0029251D">
        <w:rPr>
          <w:shd w:val="clear" w:color="auto" w:fill="FFFFFF"/>
          <w:lang w:val="en-US"/>
        </w:rPr>
        <w:t>I</w:t>
      </w:r>
      <w:r w:rsidR="002C39C1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</w:r>
      <w:r w:rsidR="0029251D">
        <w:rPr>
          <w:shd w:val="clear" w:color="auto" w:fill="FFFFFF"/>
          <w:lang w:val="en-US"/>
        </w:rPr>
        <w:t>8</w:t>
      </w:r>
      <w:r w:rsidR="00837231">
        <w:rPr>
          <w:shd w:val="clear" w:color="auto" w:fill="FFFFFF"/>
          <w:lang w:val="en-US"/>
        </w:rPr>
        <w:t>.</w:t>
      </w:r>
      <w:r w:rsidR="0029251D">
        <w:rPr>
          <w:shd w:val="clear" w:color="auto" w:fill="FFFFFF"/>
          <w:lang w:val="en-US"/>
        </w:rPr>
        <w:t>5</w:t>
      </w:r>
      <w:r w:rsidR="00837231">
        <w:rPr>
          <w:shd w:val="clear" w:color="auto" w:fill="FFFFFF"/>
          <w:lang w:val="en-US"/>
        </w:rPr>
        <w:t xml:space="preserve"> m. </w:t>
      </w:r>
      <w:proofErr w:type="spellStart"/>
      <w:r w:rsidR="00837231">
        <w:rPr>
          <w:shd w:val="clear" w:color="auto" w:fill="FFFFFF"/>
          <w:lang w:val="en-US"/>
        </w:rPr>
        <w:t>sq</w:t>
      </w:r>
      <w:proofErr w:type="spellEnd"/>
      <w:r w:rsidR="00837231">
        <w:rPr>
          <w:shd w:val="clear" w:color="auto" w:fill="FFFFFF"/>
          <w:lang w:val="en-US"/>
        </w:rPr>
        <w:t xml:space="preserve"> m, i.e. by </w:t>
      </w:r>
      <w:r w:rsidR="0029251D">
        <w:rPr>
          <w:shd w:val="clear" w:color="auto" w:fill="FFFFFF"/>
          <w:lang w:val="en-US"/>
        </w:rPr>
        <w:t>9</w:t>
      </w:r>
      <w:r w:rsidR="00837231">
        <w:rPr>
          <w:shd w:val="clear" w:color="auto" w:fill="FFFFFF"/>
          <w:lang w:val="en-US"/>
        </w:rPr>
        <w:t>.</w:t>
      </w:r>
      <w:r w:rsidR="0029251D">
        <w:rPr>
          <w:shd w:val="clear" w:color="auto" w:fill="FFFFFF"/>
          <w:lang w:val="en-US"/>
        </w:rPr>
        <w:t>4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837231">
        <w:rPr>
          <w:shd w:val="clear" w:color="auto" w:fill="FFFFFF"/>
          <w:lang w:val="en-US"/>
        </w:rPr>
        <w:t>January-</w:t>
      </w:r>
      <w:r w:rsidR="0029251D">
        <w:rPr>
          <w:shd w:val="clear" w:color="auto" w:fill="FFFFFF"/>
          <w:lang w:val="en-US"/>
        </w:rPr>
        <w:t>June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837231">
        <w:rPr>
          <w:shd w:val="clear" w:color="auto" w:fill="FFFFFF"/>
          <w:lang w:val="en-US"/>
        </w:rPr>
        <w:t xml:space="preserve">a of 1 dwelling decreased by </w:t>
      </w:r>
      <w:r w:rsidR="00237A99">
        <w:rPr>
          <w:shd w:val="clear" w:color="auto" w:fill="FFFFFF"/>
          <w:lang w:val="en-US"/>
        </w:rPr>
        <w:t>4</w:t>
      </w:r>
      <w:r w:rsidR="00837231">
        <w:rPr>
          <w:shd w:val="clear" w:color="auto" w:fill="FFFFFF"/>
          <w:lang w:val="en-US"/>
        </w:rPr>
        <w:t>.</w:t>
      </w:r>
      <w:r w:rsidR="00237A99">
        <w:rPr>
          <w:shd w:val="clear" w:color="auto" w:fill="FFFFFF"/>
          <w:lang w:val="en-US"/>
        </w:rPr>
        <w:t>1</w:t>
      </w:r>
      <w:r w:rsidRPr="00713DD1">
        <w:rPr>
          <w:shd w:val="clear" w:color="auto" w:fill="FFFFFF"/>
          <w:lang w:val="en-US"/>
        </w:rPr>
        <w:t xml:space="preserve"> </w:t>
      </w:r>
      <w:proofErr w:type="spellStart"/>
      <w:r w:rsidRPr="00713DD1">
        <w:rPr>
          <w:shd w:val="clear" w:color="auto" w:fill="FFFFFF"/>
          <w:lang w:val="en-US"/>
        </w:rPr>
        <w:t>sq</w:t>
      </w:r>
      <w:proofErr w:type="spellEnd"/>
      <w:r w:rsidRPr="00713DD1">
        <w:rPr>
          <w:shd w:val="clear" w:color="auto" w:fill="FFFFFF"/>
          <w:lang w:val="en-US"/>
        </w:rPr>
        <w:t xml:space="preserve">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5D25AB">
        <w:rPr>
          <w:shd w:val="clear" w:color="auto" w:fill="FFFFFF"/>
          <w:lang w:val="en-US"/>
        </w:rPr>
        <w:t>90.</w:t>
      </w:r>
      <w:r w:rsidR="00237A99">
        <w:rPr>
          <w:shd w:val="clear" w:color="auto" w:fill="FFFFFF"/>
          <w:lang w:val="en-US"/>
        </w:rPr>
        <w:t>1</w:t>
      </w:r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sq</w:t>
      </w:r>
      <w:proofErr w:type="spellEnd"/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</w:t>
      </w:r>
      <w:proofErr w:type="spellEnd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  <w:r w:rsidR="00510FCF">
              <w:rPr>
                <w:color w:val="000000" w:themeColor="text1"/>
                <w:sz w:val="16"/>
                <w:szCs w:val="16"/>
              </w:rPr>
              <w:t>I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37231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510FC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7231">
              <w:rPr>
                <w:rFonts w:cs="Arial"/>
                <w:b/>
                <w:color w:val="000000" w:themeColor="text1"/>
                <w:sz w:val="16"/>
                <w:szCs w:val="16"/>
              </w:rPr>
              <w:t>15 36</w:t>
            </w:r>
            <w:r w:rsidR="00510FCF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510FC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</w:t>
            </w:r>
            <w:r w:rsidR="00510FC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510FC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035EA7" w:rsidP="00035EA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837231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035EA7" w:rsidP="00035EA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</w:t>
            </w:r>
            <w:r w:rsidR="00837231" w:rsidRPr="00D40A89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696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035EA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</w:t>
            </w:r>
            <w:r w:rsidR="00035EA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035EA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372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611CFA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837231" w:rsidRPr="00FA5128" w:rsidRDefault="00510FCF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837231" w:rsidRPr="0062611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945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10FCF">
              <w:rPr>
                <w:rFonts w:cs="Arial"/>
                <w:color w:val="000000" w:themeColor="text1"/>
                <w:sz w:val="16"/>
                <w:szCs w:val="16"/>
              </w:rPr>
              <w:t>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10FC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35EA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837231" w:rsidRPr="00907546" w:rsidRDefault="00035EA7" w:rsidP="00035EA7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33</w:t>
            </w:r>
            <w:r w:rsidR="00837231"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362</w:t>
            </w:r>
          </w:p>
        </w:tc>
        <w:tc>
          <w:tcPr>
            <w:tcW w:w="1207" w:type="dxa"/>
            <w:vAlign w:val="center"/>
          </w:tcPr>
          <w:p w:rsidR="00837231" w:rsidRPr="00907546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="00035EA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372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611CFA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9 6</w:t>
            </w:r>
            <w:r w:rsidR="00510FCF"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10FCF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35EA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35EA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837231" w:rsidRPr="008A1C80" w:rsidRDefault="00035EA7" w:rsidP="00035EA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</w:t>
            </w:r>
            <w:r w:rsidR="00837231"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1207" w:type="dxa"/>
            <w:vAlign w:val="center"/>
          </w:tcPr>
          <w:p w:rsidR="00837231" w:rsidRPr="00FA5128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035EA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40A8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37231" w:rsidRPr="00837231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611CFA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837231" w:rsidRPr="005241EA" w:rsidRDefault="00837231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10FCF"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06" w:type="dxa"/>
            <w:vAlign w:val="center"/>
          </w:tcPr>
          <w:p w:rsidR="00837231" w:rsidRPr="004327B6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109.3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8372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764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8372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5D25AB" w:rsidRDefault="00837231" w:rsidP="0083723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</w:t>
            </w:r>
            <w:r w:rsidR="00510FC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06" w:type="dxa"/>
            <w:vAlign w:val="center"/>
          </w:tcPr>
          <w:p w:rsidR="00837231" w:rsidRPr="00837231" w:rsidRDefault="00510FCF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93</w:t>
            </w:r>
            <w:r w:rsidR="00837231"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035EA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95</w:t>
            </w:r>
            <w:r w:rsidR="00837231" w:rsidRPr="00837231">
              <w:rPr>
                <w:rFonts w:cs="Arial"/>
                <w:sz w:val="16"/>
                <w:szCs w:val="16"/>
                <w:lang w:val="en-GB"/>
              </w:rPr>
              <w:t>.</w:t>
            </w:r>
            <w:r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8372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914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  <w:r w:rsidR="00035EA7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="00035EA7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8372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5D25AB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  <w:r w:rsidR="00510FC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41</w:t>
            </w:r>
          </w:p>
        </w:tc>
        <w:tc>
          <w:tcPr>
            <w:tcW w:w="1206" w:type="dxa"/>
            <w:vAlign w:val="center"/>
          </w:tcPr>
          <w:p w:rsidR="00837231" w:rsidRPr="00837231" w:rsidRDefault="00510FCF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more than 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4-fold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035EA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more than 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-fold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8372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778</w:t>
            </w:r>
          </w:p>
        </w:tc>
        <w:tc>
          <w:tcPr>
            <w:tcW w:w="1207" w:type="dxa"/>
            <w:vAlign w:val="center"/>
          </w:tcPr>
          <w:p w:rsidR="00837231" w:rsidRPr="00837231" w:rsidRDefault="00035EA7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158</w:t>
            </w:r>
            <w:r w:rsidR="00837231">
              <w:rPr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8372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5D25AB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837231" w:rsidRPr="00837231" w:rsidRDefault="00510FCF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296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198</w:t>
            </w:r>
            <w:r w:rsidR="00837231"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035EA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more than 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-fold</w:t>
            </w:r>
          </w:p>
        </w:tc>
        <w:tc>
          <w:tcPr>
            <w:tcW w:w="1206" w:type="dxa"/>
            <w:vAlign w:val="center"/>
          </w:tcPr>
          <w:p w:rsidR="00837231" w:rsidRPr="00837231" w:rsidRDefault="00035EA7" w:rsidP="008372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750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="00035EA7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40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="00035EA7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8372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837231" w:rsidRPr="008C0EBD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837231" w:rsidRPr="00A030E6" w:rsidRDefault="00510FCF" w:rsidP="00510F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:rsidR="00837231" w:rsidRPr="006E0C18" w:rsidRDefault="00035EA7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16-fold</w:t>
            </w:r>
          </w:p>
        </w:tc>
        <w:tc>
          <w:tcPr>
            <w:tcW w:w="1206" w:type="dxa"/>
            <w:vAlign w:val="center"/>
          </w:tcPr>
          <w:p w:rsidR="00837231" w:rsidRPr="00296F96" w:rsidRDefault="00035EA7" w:rsidP="008372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118.5</w:t>
            </w:r>
          </w:p>
        </w:tc>
        <w:tc>
          <w:tcPr>
            <w:tcW w:w="1206" w:type="dxa"/>
            <w:vAlign w:val="center"/>
          </w:tcPr>
          <w:p w:rsidR="00837231" w:rsidRPr="00E87F78" w:rsidRDefault="00035EA7" w:rsidP="008372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207" w:type="dxa"/>
            <w:vAlign w:val="center"/>
          </w:tcPr>
          <w:p w:rsidR="00837231" w:rsidRPr="009F4F41" w:rsidRDefault="00837231" w:rsidP="00035EA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35EA7">
              <w:rPr>
                <w:color w:val="000000" w:themeColor="text1"/>
                <w:sz w:val="16"/>
                <w:szCs w:val="16"/>
              </w:rPr>
              <w:t>69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035EA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896EB9" w:rsidRPr="00E55DC7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 xml:space="preserve">Dwellings for which permits have been granted or which have been registered with </w:t>
      </w: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>
                              <w:rPr>
                                <w:lang w:val="en-US"/>
                              </w:rPr>
                              <w:t>the period of I-VI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>
                        <w:rPr>
                          <w:lang w:val="en-US"/>
                        </w:rPr>
                        <w:t>the period of I-VI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AD30D2">
        <w:rPr>
          <w:szCs w:val="19"/>
          <w:shd w:val="clear" w:color="auto" w:fill="FFFFFF"/>
          <w:lang w:val="en-GB"/>
        </w:rPr>
        <w:t>six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1A1F89">
        <w:rPr>
          <w:shd w:val="clear" w:color="auto" w:fill="FFFFFF"/>
          <w:lang w:val="en-US"/>
        </w:rPr>
        <w:t>1</w:t>
      </w:r>
      <w:r w:rsidR="00AD30D2">
        <w:rPr>
          <w:shd w:val="clear" w:color="auto" w:fill="FFFFFF"/>
          <w:lang w:val="en-US"/>
        </w:rPr>
        <w:t>28</w:t>
      </w:r>
      <w:r w:rsidR="00F06543">
        <w:rPr>
          <w:shd w:val="clear" w:color="auto" w:fill="FFFFFF"/>
          <w:lang w:val="en-US"/>
        </w:rPr>
        <w:t>.</w:t>
      </w:r>
      <w:r w:rsidR="00AD30D2">
        <w:rPr>
          <w:shd w:val="clear" w:color="auto" w:fill="FFFFFF"/>
          <w:lang w:val="en-US"/>
        </w:rPr>
        <w:t>7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1A1F89">
        <w:rPr>
          <w:shd w:val="clear" w:color="auto" w:fill="FFFFFF"/>
          <w:lang w:val="en-US"/>
        </w:rPr>
        <w:t>2</w:t>
      </w:r>
      <w:r w:rsidR="00E245E1">
        <w:rPr>
          <w:shd w:val="clear" w:color="auto" w:fill="FFFFFF"/>
          <w:lang w:val="en-US"/>
        </w:rPr>
        <w:t>.</w:t>
      </w:r>
      <w:r w:rsidR="00AD30D2">
        <w:rPr>
          <w:shd w:val="clear" w:color="auto" w:fill="FFFFFF"/>
          <w:lang w:val="en-US"/>
        </w:rPr>
        <w:t>5</w:t>
      </w:r>
      <w:r w:rsidR="00C47CE4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AD30D2">
        <w:rPr>
          <w:shd w:val="clear" w:color="auto" w:fill="FFFFFF"/>
          <w:lang w:val="en-US"/>
        </w:rPr>
        <w:t>77</w:t>
      </w:r>
      <w:r w:rsidR="001A1F89">
        <w:rPr>
          <w:shd w:val="clear" w:color="auto" w:fill="FFFFFF"/>
          <w:lang w:val="en-US"/>
        </w:rPr>
        <w:t>.7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1A1F89">
        <w:rPr>
          <w:shd w:val="clear" w:color="auto" w:fill="FFFFFF"/>
          <w:lang w:val="en-US"/>
        </w:rPr>
        <w:t>4</w:t>
      </w:r>
      <w:r w:rsidR="00AD30D2">
        <w:rPr>
          <w:shd w:val="clear" w:color="auto" w:fill="FFFFFF"/>
          <w:lang w:val="en-US"/>
        </w:rPr>
        <w:t>8</w:t>
      </w:r>
      <w:r w:rsidR="001A1F89">
        <w:rPr>
          <w:shd w:val="clear" w:color="auto" w:fill="FFFFFF"/>
          <w:lang w:val="en-US"/>
        </w:rPr>
        <w:t>.</w:t>
      </w:r>
      <w:r w:rsidR="00AD30D2">
        <w:rPr>
          <w:shd w:val="clear" w:color="auto" w:fill="FFFFFF"/>
          <w:lang w:val="en-US"/>
        </w:rPr>
        <w:t>7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respectively by </w:t>
      </w:r>
      <w:r w:rsidR="00AD30D2">
        <w:rPr>
          <w:shd w:val="clear" w:color="auto" w:fill="FFFFFF"/>
          <w:lang w:val="en-US"/>
        </w:rPr>
        <w:t>5</w:t>
      </w:r>
      <w:r w:rsidR="001A1F89">
        <w:rPr>
          <w:shd w:val="clear" w:color="auto" w:fill="FFFFFF"/>
          <w:lang w:val="en-US"/>
        </w:rPr>
        <w:t>.</w:t>
      </w:r>
      <w:r w:rsidR="00AD30D2">
        <w:rPr>
          <w:shd w:val="clear" w:color="auto" w:fill="FFFFFF"/>
          <w:lang w:val="en-US"/>
        </w:rPr>
        <w:t>5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</w:t>
      </w:r>
      <w:r w:rsidR="00710A0B">
        <w:rPr>
          <w:shd w:val="clear" w:color="auto" w:fill="FFFFFF"/>
          <w:lang w:val="en-US"/>
        </w:rPr>
        <w:t>less</w:t>
      </w:r>
      <w:r w:rsidR="00F06543">
        <w:rPr>
          <w:shd w:val="clear" w:color="auto" w:fill="FFFFFF"/>
          <w:lang w:val="en-US"/>
        </w:rPr>
        <w:t xml:space="preserve"> and </w:t>
      </w:r>
      <w:r w:rsidR="00AD30D2">
        <w:rPr>
          <w:shd w:val="clear" w:color="auto" w:fill="FFFFFF"/>
          <w:lang w:val="en-US"/>
        </w:rPr>
        <w:t>4</w:t>
      </w:r>
      <w:r w:rsidR="00C47CE4">
        <w:rPr>
          <w:shd w:val="clear" w:color="auto" w:fill="FFFFFF"/>
          <w:lang w:val="en-US"/>
        </w:rPr>
        <w:t>.</w:t>
      </w:r>
      <w:r w:rsidR="00AD30D2">
        <w:rPr>
          <w:shd w:val="clear" w:color="auto" w:fill="FFFFFF"/>
          <w:lang w:val="en-US"/>
        </w:rPr>
        <w:t>6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</w:t>
      </w:r>
      <w:r w:rsidR="00AD30D2">
        <w:rPr>
          <w:shd w:val="clear" w:color="auto" w:fill="FFFFFF"/>
          <w:lang w:val="en-US"/>
        </w:rPr>
        <w:t>2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AD30D2">
        <w:rPr>
          <w:lang w:val="en-GB"/>
        </w:rPr>
        <w:t>six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AD30D2">
        <w:rPr>
          <w:shd w:val="clear" w:color="auto" w:fill="FFFFFF"/>
          <w:lang w:val="en-US"/>
        </w:rPr>
        <w:t>8</w:t>
      </w:r>
      <w:r w:rsidR="001A1F89">
        <w:rPr>
          <w:shd w:val="clear" w:color="auto" w:fill="FFFFFF"/>
          <w:lang w:val="en-US"/>
        </w:rPr>
        <w:t>67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AD30D2">
        <w:rPr>
          <w:shd w:val="clear" w:color="auto" w:fill="FFFFFF"/>
          <w:lang w:val="en-US"/>
        </w:rPr>
        <w:t>1026)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1A1F89">
        <w:rPr>
          <w:shd w:val="clear" w:color="auto" w:fill="FFFFFF"/>
          <w:lang w:val="en-US"/>
        </w:rPr>
        <w:t>1</w:t>
      </w:r>
      <w:r w:rsidR="00704521">
        <w:rPr>
          <w:shd w:val="clear" w:color="auto" w:fill="FFFFFF"/>
          <w:lang w:val="en-US"/>
        </w:rPr>
        <w:t>438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1A1F89">
        <w:rPr>
          <w:shd w:val="clear" w:color="auto" w:fill="FFFFFF"/>
          <w:lang w:val="en-US"/>
        </w:rPr>
        <w:t>2</w:t>
      </w:r>
      <w:r w:rsidR="00704521">
        <w:rPr>
          <w:shd w:val="clear" w:color="auto" w:fill="FFFFFF"/>
          <w:lang w:val="en-US"/>
        </w:rPr>
        <w:t>149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E55DC7">
      <w:pPr>
        <w:pStyle w:val="tytuwykresu"/>
        <w:ind w:left="851" w:hanging="851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  <w:r w:rsidR="00704521">
              <w:rPr>
                <w:color w:val="000000" w:themeColor="text1"/>
                <w:sz w:val="16"/>
                <w:szCs w:val="16"/>
              </w:rPr>
              <w:t>I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964B1A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70452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704521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04521">
              <w:rPr>
                <w:rFonts w:cs="Arial"/>
                <w:b/>
                <w:color w:val="000000" w:themeColor="text1"/>
                <w:sz w:val="16"/>
                <w:szCs w:val="16"/>
              </w:rPr>
              <w:t>701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8D2290" w:rsidP="008D22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</w:t>
            </w:r>
            <w:r w:rsidR="00964B1A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8D229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8D229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8D22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8D2290">
              <w:rPr>
                <w:rFonts w:cs="Arial"/>
                <w:b/>
                <w:color w:val="000000" w:themeColor="text1"/>
                <w:sz w:val="16"/>
                <w:szCs w:val="16"/>
              </w:rPr>
              <w:t>28</w:t>
            </w:r>
            <w:r w:rsidRPr="007D6D5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D2290">
              <w:rPr>
                <w:rFonts w:cs="Arial"/>
                <w:b/>
                <w:color w:val="000000" w:themeColor="text1"/>
                <w:sz w:val="16"/>
                <w:szCs w:val="16"/>
              </w:rPr>
              <w:t>705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8D22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</w:t>
            </w:r>
            <w:r w:rsidR="008D229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64B1A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A569FC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964B1A" w:rsidRPr="00FA5128" w:rsidRDefault="00704521" w:rsidP="0070452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64B1A" w:rsidRPr="0068184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533</w:t>
            </w:r>
          </w:p>
        </w:tc>
        <w:tc>
          <w:tcPr>
            <w:tcW w:w="1206" w:type="dxa"/>
            <w:vAlign w:val="center"/>
          </w:tcPr>
          <w:p w:rsidR="00964B1A" w:rsidRPr="00FA5128" w:rsidRDefault="008D2290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  <w:r w:rsidR="00964B1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964B1A" w:rsidRPr="00FA5128" w:rsidRDefault="008D2290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</w:t>
            </w:r>
            <w:r w:rsidR="00964B1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964B1A" w:rsidRPr="00907546" w:rsidRDefault="00964B1A" w:rsidP="008D2290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  <w:r w:rsidR="008D2290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="008D2290">
              <w:rPr>
                <w:rFonts w:ascii="Fira Sans" w:hAnsi="Fira Sans"/>
                <w:color w:val="000000" w:themeColor="text1"/>
                <w:sz w:val="16"/>
                <w:szCs w:val="16"/>
              </w:rPr>
              <w:t>668</w:t>
            </w:r>
          </w:p>
        </w:tc>
        <w:tc>
          <w:tcPr>
            <w:tcW w:w="1207" w:type="dxa"/>
            <w:vAlign w:val="center"/>
          </w:tcPr>
          <w:p w:rsidR="00964B1A" w:rsidRPr="00907546" w:rsidRDefault="00964B1A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229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D229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64B1A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A569FC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70452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045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704521">
              <w:rPr>
                <w:rFonts w:cs="Arial"/>
                <w:color w:val="000000" w:themeColor="text1"/>
                <w:sz w:val="16"/>
                <w:szCs w:val="16"/>
              </w:rPr>
              <w:t>977</w:t>
            </w:r>
          </w:p>
        </w:tc>
        <w:tc>
          <w:tcPr>
            <w:tcW w:w="1206" w:type="dxa"/>
            <w:vAlign w:val="center"/>
          </w:tcPr>
          <w:p w:rsidR="00964B1A" w:rsidRPr="00FA5128" w:rsidRDefault="008D2290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64B1A">
              <w:rPr>
                <w:rFonts w:cs="Arial"/>
                <w:color w:val="000000" w:themeColor="text1"/>
                <w:sz w:val="16"/>
                <w:szCs w:val="16"/>
              </w:rPr>
              <w:t>8.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964B1A" w:rsidRPr="00FA5128" w:rsidRDefault="008D2290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64B1A">
              <w:rPr>
                <w:rFonts w:cs="Arial"/>
                <w:color w:val="000000" w:themeColor="text1"/>
                <w:sz w:val="16"/>
                <w:szCs w:val="16"/>
              </w:rPr>
              <w:t>7.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964B1A" w:rsidRPr="008A1C80" w:rsidRDefault="008D2290" w:rsidP="008D2290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77</w:t>
            </w:r>
            <w:r w:rsidR="00964B1A"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7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07" w:type="dxa"/>
            <w:vAlign w:val="center"/>
          </w:tcPr>
          <w:p w:rsidR="00964B1A" w:rsidRPr="00FA5128" w:rsidRDefault="00964B1A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8D229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D229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964B1A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A569FC" w:rsidRDefault="00964B1A" w:rsidP="00964B1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964B1A" w:rsidRPr="00FA5128" w:rsidRDefault="00704521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6" w:type="dxa"/>
            <w:vAlign w:val="center"/>
          </w:tcPr>
          <w:p w:rsidR="00964B1A" w:rsidRPr="00FA5128" w:rsidRDefault="008D2290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64B1A">
              <w:rPr>
                <w:rFonts w:cs="Arial"/>
                <w:color w:val="000000" w:themeColor="text1"/>
                <w:sz w:val="16"/>
                <w:szCs w:val="16"/>
              </w:rPr>
              <w:t>6.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964B1A" w:rsidRPr="00964B1A" w:rsidRDefault="008D2290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40.5</w:t>
            </w:r>
          </w:p>
        </w:tc>
        <w:tc>
          <w:tcPr>
            <w:tcW w:w="1206" w:type="dxa"/>
            <w:vAlign w:val="center"/>
          </w:tcPr>
          <w:p w:rsidR="00964B1A" w:rsidRPr="00964B1A" w:rsidRDefault="008D2290" w:rsidP="00964B1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="00964B1A" w:rsidRPr="00964B1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67</w:t>
            </w:r>
          </w:p>
        </w:tc>
        <w:tc>
          <w:tcPr>
            <w:tcW w:w="1207" w:type="dxa"/>
            <w:vAlign w:val="center"/>
          </w:tcPr>
          <w:p w:rsidR="00964B1A" w:rsidRPr="00964B1A" w:rsidRDefault="008D2290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84</w:t>
            </w:r>
            <w:r w:rsidR="00964B1A"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964B1A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964B1A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964B1A" w:rsidRPr="00964B1A" w:rsidRDefault="00704521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="00964B1A"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6" w:type="dxa"/>
            <w:vAlign w:val="center"/>
          </w:tcPr>
          <w:p w:rsidR="00964B1A" w:rsidRPr="00964B1A" w:rsidRDefault="008D2290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24.2</w:t>
            </w:r>
          </w:p>
        </w:tc>
        <w:tc>
          <w:tcPr>
            <w:tcW w:w="1206" w:type="dxa"/>
            <w:vAlign w:val="center"/>
          </w:tcPr>
          <w:p w:rsidR="00964B1A" w:rsidRPr="00964B1A" w:rsidRDefault="008D2290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4.5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8D229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8D2290">
              <w:rPr>
                <w:color w:val="000000" w:themeColor="text1"/>
                <w:sz w:val="16"/>
                <w:szCs w:val="16"/>
                <w:lang w:val="en-GB"/>
              </w:rPr>
              <w:t>62</w:t>
            </w:r>
          </w:p>
        </w:tc>
        <w:tc>
          <w:tcPr>
            <w:tcW w:w="1207" w:type="dxa"/>
            <w:vAlign w:val="center"/>
          </w:tcPr>
          <w:p w:rsidR="00964B1A" w:rsidRPr="00964B1A" w:rsidRDefault="00964B1A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="008D229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5.5</w:t>
            </w:r>
          </w:p>
        </w:tc>
      </w:tr>
      <w:tr w:rsidR="00964B1A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C57EF3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964B1A" w:rsidRPr="00964B1A" w:rsidRDefault="00704521" w:rsidP="0070452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76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="008D229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0.</w:t>
            </w:r>
            <w:r w:rsidR="008D229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06" w:type="dxa"/>
            <w:vAlign w:val="center"/>
          </w:tcPr>
          <w:p w:rsidR="00964B1A" w:rsidRPr="00964B1A" w:rsidRDefault="008D2290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m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ore than </w:t>
            </w:r>
            <w:r>
              <w:rPr>
                <w:rFonts w:cs="Arial"/>
                <w:sz w:val="16"/>
                <w:szCs w:val="16"/>
                <w:lang w:val="en-GB"/>
              </w:rPr>
              <w:br/>
              <w:t>3</w:t>
            </w:r>
            <w:r w:rsidRPr="00964B1A">
              <w:rPr>
                <w:rFonts w:cs="Arial"/>
                <w:sz w:val="16"/>
                <w:szCs w:val="16"/>
                <w:lang w:val="en-GB"/>
              </w:rPr>
              <w:t>-fold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8D229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 w:rsidR="008D2290">
              <w:rPr>
                <w:color w:val="000000" w:themeColor="text1"/>
                <w:sz w:val="16"/>
                <w:szCs w:val="16"/>
                <w:lang w:val="en-GB"/>
              </w:rPr>
              <w:t>90</w:t>
            </w:r>
          </w:p>
        </w:tc>
        <w:tc>
          <w:tcPr>
            <w:tcW w:w="1207" w:type="dxa"/>
            <w:vAlign w:val="center"/>
          </w:tcPr>
          <w:p w:rsidR="00964B1A" w:rsidRPr="00964B1A" w:rsidRDefault="00964B1A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="008D229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="008D229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="00964B1A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964B1A" w:rsidRPr="008C0EBD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964B1A" w:rsidRPr="00964B1A" w:rsidRDefault="00704521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964B1A" w:rsidRPr="00964B1A" w:rsidRDefault="008D2290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color w:val="000000" w:themeColor="text1"/>
                <w:sz w:val="16"/>
                <w:szCs w:val="16"/>
                <w:lang w:val="en-GB"/>
              </w:rPr>
              <w:t>186</w:t>
            </w:r>
          </w:p>
        </w:tc>
        <w:tc>
          <w:tcPr>
            <w:tcW w:w="1207" w:type="dxa"/>
            <w:vAlign w:val="center"/>
          </w:tcPr>
          <w:p w:rsidR="00964B1A" w:rsidRPr="009F4F41" w:rsidRDefault="00964B1A" w:rsidP="008D22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D2290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-fold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154AC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noProof/>
          <w:color w:val="001D77"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5255895</wp:posOffset>
                </wp:positionH>
                <wp:positionV relativeFrom="paragraph">
                  <wp:posOffset>236855</wp:posOffset>
                </wp:positionV>
                <wp:extent cx="1717675" cy="958215"/>
                <wp:effectExtent l="0" t="0" r="0" b="0"/>
                <wp:wrapTight wrapText="bothSides">
                  <wp:wrapPolygon edited="0">
                    <wp:start x="719" y="0"/>
                    <wp:lineTo x="719" y="21042"/>
                    <wp:lineTo x="20841" y="21042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D1492">
                              <w:rPr>
                                <w:lang w:val="en-US"/>
                              </w:rPr>
                              <w:t>umber of dwellings in</w:t>
                            </w:r>
                            <w:r>
                              <w:rPr>
                                <w:lang w:val="en-US"/>
                              </w:rPr>
                              <w:t xml:space="preserve"> which construction has begun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>
                              <w:rPr>
                                <w:lang w:val="en-US"/>
                              </w:rPr>
                              <w:t>1.5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y/y in </w:t>
                            </w:r>
                            <w:r>
                              <w:rPr>
                                <w:lang w:val="en-US"/>
                              </w:rPr>
                              <w:t>the period of I-VI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3.85pt;margin-top:18.65pt;width:135.25pt;height:75.4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" filled="f" stroked="f">
                <v:textbox>
                  <w:txbxContent>
                    <w:p w:rsidR="00B519FF" w:rsidRPr="00612A93" w:rsidRDefault="00B519FF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Pr="00AD1492">
                        <w:rPr>
                          <w:lang w:val="en-US"/>
                        </w:rPr>
                        <w:t>umber of dwellings in</w:t>
                      </w:r>
                      <w:r>
                        <w:rPr>
                          <w:lang w:val="en-US"/>
                        </w:rPr>
                        <w:t xml:space="preserve"> which construction has begun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>
                        <w:rPr>
                          <w:lang w:val="en-US"/>
                        </w:rPr>
                        <w:t>1.5</w:t>
                      </w:r>
                      <w:r w:rsidRPr="00AD1492">
                        <w:rPr>
                          <w:lang w:val="en-US"/>
                        </w:rPr>
                        <w:t xml:space="preserve">% 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AD1492">
                        <w:rPr>
                          <w:lang w:val="en-US"/>
                        </w:rPr>
                        <w:t xml:space="preserve">y/y in </w:t>
                      </w:r>
                      <w:r>
                        <w:rPr>
                          <w:lang w:val="en-US"/>
                        </w:rPr>
                        <w:t>the period of I-VI 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6EB9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BF475A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115</w:t>
      </w:r>
      <w:r w:rsidR="00964B1A">
        <w:rPr>
          <w:b w:val="0"/>
          <w:sz w:val="19"/>
          <w:szCs w:val="19"/>
          <w:shd w:val="clear" w:color="auto" w:fill="FFFFFF"/>
          <w:lang w:val="en-GB"/>
        </w:rPr>
        <w:t>.4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1</w:t>
      </w:r>
      <w:r w:rsidR="00964B1A">
        <w:rPr>
          <w:b w:val="0"/>
          <w:sz w:val="19"/>
          <w:szCs w:val="19"/>
          <w:shd w:val="clear" w:color="auto" w:fill="FFFFFF"/>
          <w:lang w:val="en-GB"/>
        </w:rPr>
        <w:t>.5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6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6.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6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46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1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6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0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3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3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0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also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1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109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1225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676177" w:rsidRPr="00676177">
        <w:rPr>
          <w:b w:val="0"/>
          <w:shd w:val="clear" w:color="auto" w:fill="FFFFFF"/>
          <w:lang w:val="en-US"/>
        </w:rPr>
        <w:t>whil</w:t>
      </w:r>
      <w:r w:rsidR="00676177">
        <w:rPr>
          <w:b w:val="0"/>
          <w:shd w:val="clear" w:color="auto" w:fill="FFFFFF"/>
          <w:lang w:val="en-US"/>
        </w:rPr>
        <w:t>st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more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1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611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1327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115574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F2C39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15574">
              <w:rPr>
                <w:color w:val="000000" w:themeColor="text1"/>
                <w:sz w:val="16"/>
                <w:szCs w:val="16"/>
              </w:rPr>
              <w:t>V</w:t>
            </w:r>
            <w:r w:rsidR="00B519FF">
              <w:rPr>
                <w:color w:val="000000" w:themeColor="text1"/>
                <w:sz w:val="16"/>
                <w:szCs w:val="16"/>
              </w:rPr>
              <w:t>I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AC3185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B519FF" w:rsidP="008F1CC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AC3185" w:rsidRPr="00A8065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</w:t>
            </w:r>
            <w:r w:rsidR="008F1CC2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B519FF" w:rsidP="00AC31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</w:t>
            </w:r>
            <w:r w:rsidR="00AC318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AC3185" w:rsidRPr="001D02D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B519F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B519FF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B519F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B519FF" w:rsidP="00B519F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</w:t>
            </w:r>
            <w:r w:rsidR="00AC3185" w:rsidRPr="00A457A4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B519F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519F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457A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AC3185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15574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AC3185" w:rsidRPr="00FA5128" w:rsidRDefault="00B519FF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C3185" w:rsidRPr="00A8065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AC3185" w:rsidRPr="00907546" w:rsidRDefault="00B519FF" w:rsidP="00B519F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  <w:r w:rsidR="00AC3185"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207" w:type="dxa"/>
            <w:vAlign w:val="center"/>
          </w:tcPr>
          <w:p w:rsidR="00AC3185" w:rsidRPr="00907546" w:rsidRDefault="00AC3185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C3185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15574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534</w:t>
            </w:r>
          </w:p>
        </w:tc>
        <w:tc>
          <w:tcPr>
            <w:tcW w:w="1206" w:type="dxa"/>
            <w:vAlign w:val="center"/>
          </w:tcPr>
          <w:p w:rsidR="00AC3185" w:rsidRPr="00FA5128" w:rsidRDefault="00B519FF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AC3185" w:rsidRPr="008A1C80" w:rsidRDefault="00B519FF" w:rsidP="00B519F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  <w:r w:rsidR="00AC3185"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6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569</w:t>
            </w:r>
          </w:p>
        </w:tc>
        <w:tc>
          <w:tcPr>
            <w:tcW w:w="1207" w:type="dxa"/>
            <w:vAlign w:val="center"/>
          </w:tcPr>
          <w:p w:rsidR="00AC3185" w:rsidRPr="00FA5128" w:rsidRDefault="00AC3185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519F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15574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of which for </w:t>
            </w:r>
            <w:proofErr w:type="spellStart"/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rent</w:t>
            </w:r>
            <w:r w:rsidRPr="00115574">
              <w:rPr>
                <w:rStyle w:val="Odwoanieprzypisudolnego"/>
                <w:lang w:val="en-GB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:rsidR="00AC3185" w:rsidRPr="005241EA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:rsidR="00AC3185" w:rsidRPr="004327B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AC3185" w:rsidRPr="004327B6" w:rsidRDefault="00B519FF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AC3185" w:rsidRPr="00553B0B" w:rsidRDefault="00B519FF" w:rsidP="00AC318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1207" w:type="dxa"/>
            <w:vAlign w:val="center"/>
          </w:tcPr>
          <w:p w:rsidR="00AC3185" w:rsidRPr="004266F7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54AC9" w:rsidRDefault="00AC3185" w:rsidP="00AC31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AC3185" w:rsidRPr="00FA5128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C3185" w:rsidRPr="00A8065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AC3185" w:rsidRPr="00FA5128" w:rsidRDefault="00B519FF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AC3185" w:rsidRPr="00E102B7" w:rsidRDefault="00B519FF" w:rsidP="00B519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  <w:r w:rsidR="00AC3185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AC3185" w:rsidRPr="00C230EE" w:rsidRDefault="00AC3185" w:rsidP="00B519F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1 </w:t>
            </w:r>
            <w:r w:rsidR="00B519FF">
              <w:rPr>
                <w:rFonts w:ascii="Fira Sans" w:hAnsi="Fira Sans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07" w:type="dxa"/>
            <w:vAlign w:val="center"/>
          </w:tcPr>
          <w:p w:rsidR="00AC3185" w:rsidRPr="00FA5128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54AC9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AC3185" w:rsidRPr="00FA5128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206" w:type="dxa"/>
            <w:vAlign w:val="center"/>
          </w:tcPr>
          <w:p w:rsidR="00AC3185" w:rsidRPr="00FA5128" w:rsidRDefault="00B519FF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m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ore than </w:t>
            </w:r>
            <w:r>
              <w:rPr>
                <w:rFonts w:cs="Arial"/>
                <w:sz w:val="16"/>
                <w:szCs w:val="16"/>
                <w:lang w:val="en-GB"/>
              </w:rPr>
              <w:br/>
              <w:t>8</w:t>
            </w:r>
            <w:r w:rsidRPr="00964B1A">
              <w:rPr>
                <w:rFonts w:cs="Arial"/>
                <w:sz w:val="16"/>
                <w:szCs w:val="16"/>
                <w:lang w:val="en-GB"/>
              </w:rPr>
              <w:t>-fold</w:t>
            </w:r>
          </w:p>
        </w:tc>
        <w:tc>
          <w:tcPr>
            <w:tcW w:w="1206" w:type="dxa"/>
            <w:vAlign w:val="center"/>
          </w:tcPr>
          <w:p w:rsidR="00AC3185" w:rsidRPr="00E102B7" w:rsidRDefault="00B519FF" w:rsidP="00B519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m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ore than </w:t>
            </w:r>
            <w:r>
              <w:rPr>
                <w:rFonts w:cs="Arial"/>
                <w:sz w:val="16"/>
                <w:szCs w:val="16"/>
                <w:lang w:val="en-GB"/>
              </w:rPr>
              <w:br/>
              <w:t>4</w:t>
            </w:r>
            <w:r w:rsidRPr="00964B1A">
              <w:rPr>
                <w:rFonts w:cs="Arial"/>
                <w:sz w:val="16"/>
                <w:szCs w:val="16"/>
                <w:lang w:val="en-GB"/>
              </w:rPr>
              <w:t>-fold</w:t>
            </w:r>
          </w:p>
        </w:tc>
        <w:tc>
          <w:tcPr>
            <w:tcW w:w="1206" w:type="dxa"/>
            <w:vAlign w:val="center"/>
          </w:tcPr>
          <w:p w:rsidR="00AC3185" w:rsidRPr="00E87F78" w:rsidRDefault="00B519FF" w:rsidP="00AC318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1207" w:type="dxa"/>
            <w:vAlign w:val="center"/>
          </w:tcPr>
          <w:p w:rsidR="00AC3185" w:rsidRPr="00FA5128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220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54AC9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AC3185" w:rsidRPr="00A030E6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:rsidR="00AC3185" w:rsidRPr="006E0C18" w:rsidRDefault="00B519FF" w:rsidP="00B519F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AC3185" w:rsidRPr="00296F96" w:rsidRDefault="00B519FF" w:rsidP="00AC31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  <w:r w:rsidR="00AC3185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AC3185" w:rsidRPr="00E87F78" w:rsidRDefault="00AC3185" w:rsidP="00B519F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457A4">
              <w:rPr>
                <w:color w:val="000000" w:themeColor="text1"/>
                <w:sz w:val="16"/>
                <w:szCs w:val="16"/>
              </w:rPr>
              <w:t>6</w:t>
            </w:r>
            <w:r w:rsidR="00B519FF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07" w:type="dxa"/>
            <w:vAlign w:val="center"/>
          </w:tcPr>
          <w:p w:rsidR="00AC3185" w:rsidRPr="009F4F41" w:rsidRDefault="00B519FF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</w:t>
            </w:r>
            <w:r w:rsidR="00AC318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AC3185" w:rsidRPr="008C0EBD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AC3185" w:rsidRPr="00A030E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AC3185" w:rsidRPr="006E0C1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1206" w:type="dxa"/>
            <w:vAlign w:val="center"/>
          </w:tcPr>
          <w:p w:rsidR="00AC3185" w:rsidRPr="00296F96" w:rsidRDefault="00AC3185" w:rsidP="00AC31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AC3185" w:rsidRPr="00E87F78" w:rsidRDefault="00AC3185" w:rsidP="00AC318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AC3185" w:rsidRPr="009F4F41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8F1CC2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 2019 there were 81</w:t>
      </w:r>
      <w:r w:rsidR="008F1CC2">
        <w:rPr>
          <w:b w:val="0"/>
          <w:sz w:val="19"/>
          <w:szCs w:val="19"/>
          <w:shd w:val="clear" w:color="auto" w:fill="FFFFFF"/>
          <w:lang w:val="en-GB"/>
        </w:rPr>
        <w:t>6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8F1CC2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>
        <w:rPr>
          <w:b w:val="0"/>
          <w:sz w:val="19"/>
          <w:szCs w:val="19"/>
          <w:shd w:val="clear" w:color="auto" w:fill="FFFFFF"/>
          <w:lang w:val="en-GB"/>
        </w:rPr>
        <w:t>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8F1CC2">
        <w:rPr>
          <w:b w:val="0"/>
          <w:sz w:val="19"/>
          <w:szCs w:val="19"/>
          <w:shd w:val="clear" w:color="auto" w:fill="FFFFFF"/>
          <w:lang w:val="en-GB"/>
        </w:rPr>
        <w:t>3.4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1D7244">
        <w:rPr>
          <w:noProof/>
          <w:lang w:val="en-GB" w:eastAsia="pl-PL"/>
        </w:rPr>
        <w:t xml:space="preserve"> </w:t>
      </w:r>
    </w:p>
    <w:p w:rsidR="007207E6" w:rsidRPr="00612A93" w:rsidRDefault="0051287F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97789</wp:posOffset>
            </wp:positionV>
            <wp:extent cx="5122545" cy="3133725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85"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5743575</wp:posOffset>
                </wp:positionH>
                <wp:positionV relativeFrom="paragraph">
                  <wp:posOffset>259715</wp:posOffset>
                </wp:positionV>
                <wp:extent cx="1760855" cy="20193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7B0D5E" w:rsidRP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stayed at a similar level whereas 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which construction has begun decreased (respectively by 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5% and 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8F63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AF7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2.25pt;margin-top:20.45pt;width:138.65pt;height:15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7B0D5E" w:rsidRP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stayed at a similar level whereas 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which construction has begun decreased (respectively by 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5% and 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8F63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</w:t>
      </w:r>
      <w:r w:rsidR="007B0D5E">
        <w:rPr>
          <w:szCs w:val="19"/>
          <w:shd w:val="clear" w:color="auto" w:fill="FFFFFF"/>
          <w:lang w:val="en-GB"/>
        </w:rPr>
        <w:t>June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8A7B99">
        <w:rPr>
          <w:szCs w:val="19"/>
          <w:shd w:val="clear" w:color="auto" w:fill="FFFFFF"/>
          <w:lang w:val="en-GB"/>
        </w:rPr>
        <w:t>22</w:t>
      </w:r>
      <w:r w:rsidR="007F4BEF">
        <w:rPr>
          <w:szCs w:val="19"/>
          <w:shd w:val="clear" w:color="auto" w:fill="FFFFFF"/>
          <w:lang w:val="en-GB"/>
        </w:rPr>
        <w:t>.</w:t>
      </w:r>
      <w:r w:rsidR="008A7B99">
        <w:rPr>
          <w:szCs w:val="19"/>
          <w:shd w:val="clear" w:color="auto" w:fill="FFFFFF"/>
          <w:lang w:val="en-GB"/>
        </w:rPr>
        <w:t>4</w:t>
      </w:r>
      <w:r w:rsidR="00E873C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E873C8">
        <w:rPr>
          <w:szCs w:val="19"/>
          <w:shd w:val="clear" w:color="auto" w:fill="FFFFFF"/>
          <w:lang w:val="en-GB"/>
        </w:rPr>
        <w:t>thous</w:t>
      </w:r>
      <w:proofErr w:type="spellEnd"/>
      <w:r w:rsidR="00E873C8">
        <w:rPr>
          <w:szCs w:val="19"/>
          <w:shd w:val="clear" w:color="auto" w:fill="FFFFFF"/>
          <w:lang w:val="en-GB"/>
        </w:rPr>
        <w:t>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A569FC">
        <w:rPr>
          <w:szCs w:val="19"/>
          <w:shd w:val="clear" w:color="auto" w:fill="FFFFFF"/>
          <w:lang w:val="en-GB"/>
        </w:rPr>
        <w:br/>
      </w:r>
      <w:r w:rsidR="007F4BEF">
        <w:rPr>
          <w:szCs w:val="19"/>
          <w:shd w:val="clear" w:color="auto" w:fill="FFFFFF"/>
          <w:lang w:val="en-GB"/>
        </w:rPr>
        <w:t>1</w:t>
      </w:r>
      <w:r w:rsidR="008A7B99">
        <w:rPr>
          <w:szCs w:val="19"/>
          <w:shd w:val="clear" w:color="auto" w:fill="FFFFFF"/>
          <w:lang w:val="en-GB"/>
        </w:rPr>
        <w:t>9</w:t>
      </w:r>
      <w:r w:rsidR="007F4BEF">
        <w:rPr>
          <w:szCs w:val="19"/>
          <w:shd w:val="clear" w:color="auto" w:fill="FFFFFF"/>
          <w:lang w:val="en-GB"/>
        </w:rPr>
        <w:t>.</w:t>
      </w:r>
      <w:r w:rsidR="008A7B99">
        <w:rPr>
          <w:szCs w:val="19"/>
          <w:shd w:val="clear" w:color="auto" w:fill="FFFFFF"/>
          <w:lang w:val="en-GB"/>
        </w:rPr>
        <w:t>6</w:t>
      </w:r>
      <w:r w:rsidR="00A84818" w:rsidRPr="00A84818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A84818" w:rsidRPr="00A84818">
        <w:rPr>
          <w:szCs w:val="19"/>
          <w:shd w:val="clear" w:color="auto" w:fill="FFFFFF"/>
          <w:lang w:val="en-GB"/>
        </w:rPr>
        <w:t>thous</w:t>
      </w:r>
      <w:proofErr w:type="spellEnd"/>
      <w:r w:rsidR="00A84818" w:rsidRPr="00A84818">
        <w:rPr>
          <w:szCs w:val="19"/>
          <w:shd w:val="clear" w:color="auto" w:fill="FFFFFF"/>
          <w:lang w:val="en-GB"/>
        </w:rPr>
        <w:t>.</w:t>
      </w:r>
      <w:r w:rsidR="00E873C8">
        <w:rPr>
          <w:szCs w:val="19"/>
          <w:shd w:val="clear" w:color="auto" w:fill="FFFFFF"/>
          <w:lang w:val="en-GB"/>
        </w:rPr>
        <w:t>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7F4BEF">
        <w:rPr>
          <w:szCs w:val="19"/>
          <w:shd w:val="clear" w:color="auto" w:fill="FFFFFF"/>
          <w:lang w:val="en-GB"/>
        </w:rPr>
        <w:t>skie</w:t>
      </w:r>
      <w:proofErr w:type="spellEnd"/>
      <w:r w:rsidR="007F4BEF">
        <w:rPr>
          <w:szCs w:val="19"/>
          <w:shd w:val="clear" w:color="auto" w:fill="FFFFFF"/>
          <w:lang w:val="en-GB"/>
        </w:rPr>
        <w:t xml:space="preserve"> voivodship (respectively 1</w:t>
      </w:r>
      <w:r w:rsidR="008A7B99">
        <w:rPr>
          <w:szCs w:val="19"/>
          <w:shd w:val="clear" w:color="auto" w:fill="FFFFFF"/>
          <w:lang w:val="en-GB"/>
        </w:rPr>
        <w:t>5</w:t>
      </w:r>
      <w:r w:rsidR="007F4BEF">
        <w:rPr>
          <w:szCs w:val="19"/>
          <w:shd w:val="clear" w:color="auto" w:fill="FFFFFF"/>
          <w:lang w:val="en-GB"/>
        </w:rPr>
        <w:t>.</w:t>
      </w:r>
      <w:r w:rsidR="008A7B99">
        <w:rPr>
          <w:szCs w:val="19"/>
          <w:shd w:val="clear" w:color="auto" w:fill="FFFFFF"/>
          <w:lang w:val="en-GB"/>
        </w:rPr>
        <w:t>1</w:t>
      </w:r>
      <w:r w:rsidR="007F4BEF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7F4BEF">
        <w:rPr>
          <w:szCs w:val="19"/>
          <w:shd w:val="clear" w:color="auto" w:fill="FFFFFF"/>
          <w:lang w:val="en-GB"/>
        </w:rPr>
        <w:t>thous</w:t>
      </w:r>
      <w:proofErr w:type="spellEnd"/>
      <w:r w:rsidR="007F4BEF">
        <w:rPr>
          <w:szCs w:val="19"/>
          <w:shd w:val="clear" w:color="auto" w:fill="FFFFFF"/>
          <w:lang w:val="en-GB"/>
        </w:rPr>
        <w:t>. and 1</w:t>
      </w:r>
      <w:r w:rsidR="008A7B99">
        <w:rPr>
          <w:szCs w:val="19"/>
          <w:shd w:val="clear" w:color="auto" w:fill="FFFFFF"/>
          <w:lang w:val="en-GB"/>
        </w:rPr>
        <w:t>3</w:t>
      </w:r>
      <w:r w:rsidR="007F4BEF">
        <w:rPr>
          <w:szCs w:val="19"/>
          <w:shd w:val="clear" w:color="auto" w:fill="FFFFFF"/>
          <w:lang w:val="en-GB"/>
        </w:rPr>
        <w:t>.</w:t>
      </w:r>
      <w:r w:rsidR="008A7B99">
        <w:rPr>
          <w:szCs w:val="19"/>
          <w:shd w:val="clear" w:color="auto" w:fill="FFFFFF"/>
          <w:lang w:val="en-GB"/>
        </w:rPr>
        <w:t>3</w:t>
      </w:r>
      <w:r w:rsidR="00CB6084" w:rsidRPr="00CB6084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CB6084" w:rsidRPr="00CB6084">
        <w:rPr>
          <w:szCs w:val="19"/>
          <w:shd w:val="clear" w:color="auto" w:fill="FFFFFF"/>
          <w:lang w:val="en-GB"/>
        </w:rPr>
        <w:t>thous</w:t>
      </w:r>
      <w:proofErr w:type="spellEnd"/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7F4BEF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7F4BEF">
        <w:rPr>
          <w:szCs w:val="19"/>
          <w:shd w:val="clear" w:color="auto" w:fill="FFFFFF"/>
          <w:lang w:val="en-GB"/>
        </w:rPr>
        <w:t>Mazowieckie</w:t>
      </w:r>
      <w:proofErr w:type="spellEnd"/>
      <w:r w:rsidR="007F4BEF">
        <w:rPr>
          <w:szCs w:val="19"/>
          <w:shd w:val="clear" w:color="auto" w:fill="FFFFFF"/>
          <w:lang w:val="en-GB"/>
        </w:rPr>
        <w:t xml:space="preserve"> (1</w:t>
      </w:r>
      <w:r w:rsidR="008A7B99">
        <w:rPr>
          <w:szCs w:val="19"/>
          <w:shd w:val="clear" w:color="auto" w:fill="FFFFFF"/>
          <w:lang w:val="en-GB"/>
        </w:rPr>
        <w:t>9</w:t>
      </w:r>
      <w:r w:rsidR="007F4BEF">
        <w:rPr>
          <w:szCs w:val="19"/>
          <w:shd w:val="clear" w:color="auto" w:fill="FFFFFF"/>
          <w:lang w:val="en-GB"/>
        </w:rPr>
        <w:t>.</w:t>
      </w:r>
      <w:r w:rsidR="008A7B99">
        <w:rPr>
          <w:szCs w:val="19"/>
          <w:shd w:val="clear" w:color="auto" w:fill="FFFFFF"/>
          <w:lang w:val="en-GB"/>
        </w:rPr>
        <w:t>6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E873C8">
        <w:rPr>
          <w:szCs w:val="19"/>
          <w:shd w:val="clear" w:color="auto" w:fill="FFFFFF"/>
          <w:lang w:val="en-GB"/>
        </w:rPr>
        <w:t>Małopolskie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8A7B99">
        <w:rPr>
          <w:szCs w:val="19"/>
          <w:shd w:val="clear" w:color="auto" w:fill="FFFFFF"/>
          <w:lang w:val="en-GB"/>
        </w:rPr>
        <w:t>11</w:t>
      </w:r>
      <w:r w:rsidR="007F4BEF">
        <w:rPr>
          <w:szCs w:val="19"/>
          <w:shd w:val="clear" w:color="auto" w:fill="FFFFFF"/>
          <w:lang w:val="en-GB"/>
        </w:rPr>
        <w:t>.</w:t>
      </w:r>
      <w:r w:rsidR="008A7B99">
        <w:rPr>
          <w:szCs w:val="19"/>
          <w:shd w:val="clear" w:color="auto" w:fill="FFFFFF"/>
          <w:lang w:val="en-GB"/>
        </w:rPr>
        <w:t>2</w:t>
      </w:r>
      <w:r w:rsidR="009664CD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9664CD">
        <w:rPr>
          <w:szCs w:val="19"/>
          <w:shd w:val="clear" w:color="auto" w:fill="FFFFFF"/>
          <w:lang w:val="en-GB"/>
        </w:rPr>
        <w:t>thous</w:t>
      </w:r>
      <w:proofErr w:type="spellEnd"/>
      <w:r w:rsidR="009664CD">
        <w:rPr>
          <w:szCs w:val="19"/>
          <w:shd w:val="clear" w:color="auto" w:fill="FFFFFF"/>
          <w:lang w:val="en-GB"/>
        </w:rPr>
        <w:t>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8A7B99">
        <w:rPr>
          <w:color w:val="auto"/>
          <w:sz w:val="18"/>
          <w:szCs w:val="18"/>
          <w:lang w:val="en-GB"/>
        </w:rPr>
        <w:t>June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CB6084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4231A6" w:rsidRDefault="00436B47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446FB034" wp14:editId="79019530">
            <wp:simplePos x="0" y="0"/>
            <wp:positionH relativeFrom="margin">
              <wp:align>left</wp:align>
            </wp:positionH>
            <wp:positionV relativeFrom="paragraph">
              <wp:posOffset>7918</wp:posOffset>
            </wp:positionV>
            <wp:extent cx="5249732" cy="5572461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7F1E2E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B34C4C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8" w:history="1">
              <w:r w:rsidRPr="00B34C4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  <w:bookmarkStart w:id="0" w:name="_GoBack"/>
            <w:bookmarkEnd w:id="0"/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7F1E2E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3491, +48 22 608 38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"https://stat.gov.pl/en/topics/other-studies/informations-on-socio-economic-situation/statistical-bulletin-no-102018,4.html"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4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AA4B7C" w:rsidRDefault="00BB420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B7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AA4B7C" w:rsidRPr="00AA4B7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"https://stat.gov.pl/en/topics/industry-construction-fixed-assets/construction/construction-results-in-2017,1,11.html"</w:instrText>
                            </w:r>
                            <w:r w:rsidRPr="00AA4B7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="00B519FF" w:rsidRPr="00AA4B7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Construction results in 2017</w:t>
                            </w:r>
                          </w:p>
                          <w:p w:rsidR="00B519FF" w:rsidRPr="00F11843" w:rsidRDefault="00BB420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B7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D667B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D667B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D667B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B519FF" w:rsidRPr="00F11843" w:rsidRDefault="00D667B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r>
                              <w:fldChar w:fldCharType="begin"/>
                            </w:r>
                            <w:r w:rsidRPr="007F1E2E">
                              <w:rPr>
                                <w:lang w:val="en-US"/>
                              </w:rPr>
                              <w:instrText xml:space="preserve"> HYPERLINK "http://stat.gov.pl/en/metainformations/glossary/terms-used-in-official-statistics/945,t</w:instrText>
                            </w:r>
                            <w:r w:rsidRPr="007F1E2E">
                              <w:rPr>
                                <w:lang w:val="en-US"/>
                              </w:rPr>
                              <w:instrText xml:space="preserve">erm.html"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  <w:p w:rsidR="00B519FF" w:rsidRPr="00F11843" w:rsidRDefault="00D667BC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DMLKbK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"https://stat.gov.pl/en/topics/other-studies/informations-on-socio-economic-situation/statistical-bulletin-no-102018,4.html"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1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B519FF" w:rsidRPr="00AA4B7C" w:rsidRDefault="00BB420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AA4B7C"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instrText>HYPERLINK "https://stat.gov.pl/en/topics/industry-construction-fixed-assets/construction/construction-results-in-2017,1,11.html"</w:instrText>
                      </w:r>
                      <w:r w:rsidR="00AA4B7C"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r>
                      <w:r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="00B519FF"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Construction resul</w:t>
                      </w:r>
                      <w:r w:rsidR="00B519FF"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t</w:t>
                      </w:r>
                      <w:r w:rsidR="00B519FF"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 in 2017</w:t>
                      </w:r>
                    </w:p>
                    <w:p w:rsidR="00B519FF" w:rsidRPr="00F11843" w:rsidRDefault="00BB420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AA4B7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0C52EA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0C52EA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bookmarkStart w:id="1" w:name="_GoBack"/>
                      <w:bookmarkEnd w:id="1"/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0C52EA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B519FF" w:rsidRPr="00F11843" w:rsidRDefault="000C52EA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:rsidR="00B519FF" w:rsidRPr="00F11843" w:rsidRDefault="000C52EA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BC" w:rsidRDefault="00D667BC" w:rsidP="000662E2">
      <w:pPr>
        <w:spacing w:after="0" w:line="240" w:lineRule="auto"/>
      </w:pPr>
      <w:r>
        <w:separator/>
      </w:r>
    </w:p>
  </w:endnote>
  <w:endnote w:type="continuationSeparator" w:id="0">
    <w:p w:rsidR="00D667BC" w:rsidRDefault="00D667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E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BC" w:rsidRDefault="00D667BC" w:rsidP="000662E2">
      <w:pPr>
        <w:spacing w:after="0" w:line="240" w:lineRule="auto"/>
      </w:pPr>
      <w:r>
        <w:separator/>
      </w:r>
    </w:p>
  </w:footnote>
  <w:footnote w:type="continuationSeparator" w:id="0">
    <w:p w:rsidR="00D667BC" w:rsidRDefault="00D667BC" w:rsidP="000662E2">
      <w:pPr>
        <w:spacing w:after="0" w:line="240" w:lineRule="auto"/>
      </w:pPr>
      <w:r>
        <w:continuationSeparator/>
      </w:r>
    </w:p>
  </w:footnote>
  <w:footnote w:id="1">
    <w:p w:rsidR="00B519FF" w:rsidRPr="00A05A3A" w:rsidRDefault="00B519FF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B519FF" w:rsidRPr="009046F6" w:rsidRDefault="00B519FF" w:rsidP="009046F6">
      <w:pPr>
        <w:rPr>
          <w:rFonts w:ascii="Fira Sans Light" w:hAnsi="Fira Sans Light"/>
          <w:b/>
          <w:bCs/>
          <w:sz w:val="14"/>
          <w:szCs w:val="14"/>
          <w:lang w:val="en-GB"/>
        </w:rPr>
      </w:pPr>
      <w:r>
        <w:rPr>
          <w:rStyle w:val="Odwoanieprzypisudolnego"/>
        </w:rPr>
        <w:footnoteRef/>
      </w:r>
      <w:r w:rsidRPr="00C733A3">
        <w:rPr>
          <w:lang w:val="en-GB"/>
        </w:rPr>
        <w:t xml:space="preserve"> </w:t>
      </w:r>
      <w:r w:rsidRPr="00C733A3">
        <w:rPr>
          <w:bCs/>
          <w:sz w:val="14"/>
          <w:szCs w:val="14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B519FF" w:rsidRPr="00207BF8" w:rsidRDefault="00B519FF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07BF8">
        <w:rPr>
          <w:lang w:val="en-GB"/>
        </w:rPr>
        <w:t xml:space="preserve"> </w:t>
      </w:r>
      <w:r>
        <w:rPr>
          <w:sz w:val="14"/>
          <w:szCs w:val="14"/>
          <w:lang w:val="en-GB"/>
        </w:rPr>
        <w:t>R</w:t>
      </w:r>
      <w:r w:rsidRPr="009046F6">
        <w:rPr>
          <w:sz w:val="14"/>
          <w:szCs w:val="14"/>
          <w:lang w:val="en-GB"/>
        </w:rPr>
        <w:t xml:space="preserve">ealised by various investors with the purpose of short </w:t>
      </w:r>
      <w:r>
        <w:rPr>
          <w:sz w:val="14"/>
          <w:szCs w:val="14"/>
          <w:lang w:val="en-GB"/>
        </w:rPr>
        <w:t>or</w:t>
      </w:r>
      <w:r w:rsidRPr="009046F6">
        <w:rPr>
          <w:sz w:val="14"/>
          <w:szCs w:val="14"/>
          <w:lang w:val="en-GB"/>
        </w:rPr>
        <w:t xml:space="preserve"> long term rent of dwellings, also based on the institutional lease </w:t>
      </w:r>
      <w:r>
        <w:rPr>
          <w:sz w:val="14"/>
          <w:szCs w:val="14"/>
          <w:lang w:val="en-GB"/>
        </w:rPr>
        <w:t>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23.07.2019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B519FF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23.07.2019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8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271FB"/>
    <w:rsid w:val="0003236F"/>
    <w:rsid w:val="00035EA7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52CB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4380"/>
    <w:rsid w:val="001A53F4"/>
    <w:rsid w:val="001A6EC1"/>
    <w:rsid w:val="001B1CE5"/>
    <w:rsid w:val="001B4A86"/>
    <w:rsid w:val="001C1808"/>
    <w:rsid w:val="001C3269"/>
    <w:rsid w:val="001C3694"/>
    <w:rsid w:val="001D03B4"/>
    <w:rsid w:val="001D087B"/>
    <w:rsid w:val="001D1DB4"/>
    <w:rsid w:val="001D270F"/>
    <w:rsid w:val="001D2AD6"/>
    <w:rsid w:val="001D508C"/>
    <w:rsid w:val="001D7244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787"/>
    <w:rsid w:val="00216F21"/>
    <w:rsid w:val="00217D5E"/>
    <w:rsid w:val="00224A09"/>
    <w:rsid w:val="00224D54"/>
    <w:rsid w:val="00237220"/>
    <w:rsid w:val="00237A99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811"/>
    <w:rsid w:val="00282699"/>
    <w:rsid w:val="00291BB9"/>
    <w:rsid w:val="002924CF"/>
    <w:rsid w:val="0029251D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42AA"/>
    <w:rsid w:val="003A716C"/>
    <w:rsid w:val="003B1454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46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309B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5619"/>
    <w:rsid w:val="00485E73"/>
    <w:rsid w:val="004862B6"/>
    <w:rsid w:val="0049056D"/>
    <w:rsid w:val="0049115E"/>
    <w:rsid w:val="004949CA"/>
    <w:rsid w:val="00495B6E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3AA"/>
    <w:rsid w:val="005D25AB"/>
    <w:rsid w:val="005D2FB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4521"/>
    <w:rsid w:val="00707935"/>
    <w:rsid w:val="00710A0B"/>
    <w:rsid w:val="00710C03"/>
    <w:rsid w:val="00713DD1"/>
    <w:rsid w:val="0071467D"/>
    <w:rsid w:val="0071658F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6332"/>
    <w:rsid w:val="00887F70"/>
    <w:rsid w:val="00891CF0"/>
    <w:rsid w:val="008948E4"/>
    <w:rsid w:val="00896EB9"/>
    <w:rsid w:val="008A1C80"/>
    <w:rsid w:val="008A26D9"/>
    <w:rsid w:val="008A58C2"/>
    <w:rsid w:val="008A7B99"/>
    <w:rsid w:val="008B3CA0"/>
    <w:rsid w:val="008C0C29"/>
    <w:rsid w:val="008C0EBD"/>
    <w:rsid w:val="008C167A"/>
    <w:rsid w:val="008C4E2B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56A"/>
    <w:rsid w:val="00983BE8"/>
    <w:rsid w:val="0098487F"/>
    <w:rsid w:val="009918AB"/>
    <w:rsid w:val="00991BAC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19FF"/>
    <w:rsid w:val="00B55F47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208"/>
    <w:rsid w:val="00BB4F09"/>
    <w:rsid w:val="00BC4AAD"/>
    <w:rsid w:val="00BC514E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F0172"/>
    <w:rsid w:val="00CF36C5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06543"/>
    <w:rsid w:val="00F11509"/>
    <w:rsid w:val="00F11843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Budownictwo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2" Type="http://schemas.openxmlformats.org/officeDocument/2006/relationships/hyperlink" Target="http://swaid.stat.gov.pl/EN/SitePagesDBW/Budownictwo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metainformations/glossary/terms-used-in-official-statistics/3763,term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21174435754114E-2"/>
          <c:y val="3.4593654516589682E-2"/>
          <c:w val="0.90308157370994302"/>
          <c:h val="0.7514367087092837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 formatCode="#,##0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26984</c:v>
                </c:pt>
                <c:pt idx="41" formatCode="#,##0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 formatCode="#,##0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14501552"/>
        <c:axId val="-1414497744"/>
      </c:lineChart>
      <c:catAx>
        <c:axId val="-141450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449774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41449774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450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712095257337918E-2"/>
          <c:y val="0.86897040432605788"/>
          <c:w val="0.9213699440414872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2.376723800408927E-2"/>
          <c:w val="0.78147912136044484"/>
          <c:h val="0.79343635576304672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1981</c:v>
                </c:pt>
                <c:pt idx="1">
                  <c:v>2000</c:v>
                </c:pt>
                <c:pt idx="2">
                  <c:v>3156</c:v>
                </c:pt>
                <c:pt idx="3">
                  <c:v>4733</c:v>
                </c:pt>
                <c:pt idx="4">
                  <c:v>2958</c:v>
                </c:pt>
                <c:pt idx="5">
                  <c:v>4334</c:v>
                </c:pt>
                <c:pt idx="6">
                  <c:v>5363</c:v>
                </c:pt>
                <c:pt idx="7">
                  <c:v>4960</c:v>
                </c:pt>
                <c:pt idx="8">
                  <c:v>4302</c:v>
                </c:pt>
                <c:pt idx="9">
                  <c:v>7019</c:v>
                </c:pt>
                <c:pt idx="10">
                  <c:v>8996</c:v>
                </c:pt>
                <c:pt idx="11">
                  <c:v>10295</c:v>
                </c:pt>
                <c:pt idx="12">
                  <c:v>13337</c:v>
                </c:pt>
                <c:pt idx="13">
                  <c:v>12617</c:v>
                </c:pt>
                <c:pt idx="14">
                  <c:v>9781</c:v>
                </c:pt>
                <c:pt idx="15">
                  <c:v>19560</c:v>
                </c:pt>
              </c:numCache>
            </c:numRef>
          </c:val>
        </c:ser>
        <c:ser>
          <c:idx val="1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solidFill>
                <a:srgbClr val="008542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2125</c:v>
                </c:pt>
                <c:pt idx="1">
                  <c:v>2080</c:v>
                </c:pt>
                <c:pt idx="2">
                  <c:v>3481</c:v>
                </c:pt>
                <c:pt idx="3">
                  <c:v>4504</c:v>
                </c:pt>
                <c:pt idx="4">
                  <c:v>3821</c:v>
                </c:pt>
                <c:pt idx="5">
                  <c:v>4797</c:v>
                </c:pt>
                <c:pt idx="6">
                  <c:v>5109</c:v>
                </c:pt>
                <c:pt idx="7">
                  <c:v>6321</c:v>
                </c:pt>
                <c:pt idx="8">
                  <c:v>5546</c:v>
                </c:pt>
                <c:pt idx="9">
                  <c:v>6029</c:v>
                </c:pt>
                <c:pt idx="10">
                  <c:v>10141</c:v>
                </c:pt>
                <c:pt idx="11">
                  <c:v>12768</c:v>
                </c:pt>
                <c:pt idx="12">
                  <c:v>15071</c:v>
                </c:pt>
                <c:pt idx="13">
                  <c:v>14232</c:v>
                </c:pt>
                <c:pt idx="14">
                  <c:v>10270</c:v>
                </c:pt>
                <c:pt idx="15">
                  <c:v>22410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1145</c:v>
                </c:pt>
                <c:pt idx="1">
                  <c:v>1698</c:v>
                </c:pt>
                <c:pt idx="2">
                  <c:v>1913</c:v>
                </c:pt>
                <c:pt idx="3">
                  <c:v>2437</c:v>
                </c:pt>
                <c:pt idx="4">
                  <c:v>2452</c:v>
                </c:pt>
                <c:pt idx="5">
                  <c:v>3635</c:v>
                </c:pt>
                <c:pt idx="6">
                  <c:v>3845</c:v>
                </c:pt>
                <c:pt idx="7">
                  <c:v>4123</c:v>
                </c:pt>
                <c:pt idx="8">
                  <c:v>4227</c:v>
                </c:pt>
                <c:pt idx="9">
                  <c:v>4777</c:v>
                </c:pt>
                <c:pt idx="10">
                  <c:v>6277</c:v>
                </c:pt>
                <c:pt idx="11">
                  <c:v>8044</c:v>
                </c:pt>
                <c:pt idx="12">
                  <c:v>9174</c:v>
                </c:pt>
                <c:pt idx="13">
                  <c:v>10104</c:v>
                </c:pt>
                <c:pt idx="14">
                  <c:v>11207</c:v>
                </c:pt>
                <c:pt idx="15">
                  <c:v>19638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14496656"/>
        <c:axId val="-1414500464"/>
      </c:barChart>
      <c:catAx>
        <c:axId val="-1414496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14500464"/>
        <c:crosses val="autoZero"/>
        <c:auto val="1"/>
        <c:lblAlgn val="ctr"/>
        <c:lblOffset val="100"/>
        <c:noMultiLvlLbl val="0"/>
      </c:catAx>
      <c:valAx>
        <c:axId val="-1414500464"/>
        <c:scaling>
          <c:orientation val="minMax"/>
          <c:max val="2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14496656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782089762022597E-2"/>
          <c:y val="0.87051975029364426"/>
          <c:w val="0.91621762229516779"/>
          <c:h val="9.92207552094662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0619A-2DC0-4A94-854C-017DCE0C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2019</vt:lpstr>
    </vt:vector>
  </TitlesOfParts>
  <Company>Statistics Poland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2019</dc:title>
  <dc:creator>GUS</dc:creator>
  <cp:keywords>dwellings completed; dwellings under construction; dwellings started; building permit; useful floor area</cp:keywords>
  <cp:lastPrinted>2019-07-22T10:56:00Z</cp:lastPrinted>
  <dcterms:created xsi:type="dcterms:W3CDTF">2019-07-22T09:32:00Z</dcterms:created>
  <dcterms:modified xsi:type="dcterms:W3CDTF">2019-07-22T11:17:00Z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