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7715B1">
        <w:rPr>
          <w:szCs w:val="32"/>
          <w:lang w:val="en-US"/>
        </w:rPr>
        <w:t>V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4466B1" w:rsidRDefault="00E873C8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E873C8" w:rsidRPr="004466B1" w:rsidRDefault="00E873C8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E873C8" w:rsidRPr="00F64AC1" w:rsidRDefault="00E873C8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E873C8" w:rsidRPr="00612A93" w:rsidRDefault="00E873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E873C8" w:rsidRPr="00F64AC1" w:rsidRDefault="00E873C8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B788D" w:rsidRDefault="00E873C8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5F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D45F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:rsidR="00E873C8" w:rsidRPr="00A519B5" w:rsidRDefault="00E873C8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E873C8" w:rsidRPr="00AB788D" w:rsidRDefault="00E873C8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5F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D45F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</w:p>
                    <w:p w:rsidR="00E873C8" w:rsidRPr="00A519B5" w:rsidRDefault="00E873C8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first </w:t>
      </w:r>
      <w:r w:rsidR="00436B47">
        <w:rPr>
          <w:lang w:val="en-US"/>
        </w:rPr>
        <w:t>five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F54505">
        <w:rPr>
          <w:lang w:val="en-US"/>
        </w:rPr>
        <w:t xml:space="preserve">also increased, </w:t>
      </w:r>
      <w:r w:rsidR="00F54505">
        <w:rPr>
          <w:spacing w:val="-4"/>
          <w:shd w:val="clear" w:color="auto" w:fill="FFFFFF"/>
          <w:lang w:val="en-US"/>
        </w:rPr>
        <w:t xml:space="preserve">whereas </w:t>
      </w:r>
      <w:r w:rsidR="00095A18" w:rsidRPr="007323FA">
        <w:rPr>
          <w:lang w:val="en-US"/>
        </w:rPr>
        <w:t xml:space="preserve">the number of </w:t>
      </w:r>
      <w:r w:rsidR="00F54505">
        <w:rPr>
          <w:lang w:val="en-US"/>
        </w:rPr>
        <w:t xml:space="preserve">dwellings </w:t>
      </w:r>
      <w:r w:rsidR="00F54505" w:rsidRPr="007323FA">
        <w:rPr>
          <w:lang w:val="en-US"/>
        </w:rPr>
        <w:t>for which permits have been granted or which have been registered with a construction proje</w:t>
      </w:r>
      <w:r w:rsidR="00F54505">
        <w:rPr>
          <w:lang w:val="en-US"/>
        </w:rPr>
        <w:t>c</w:t>
      </w:r>
      <w:r w:rsidR="00F54505" w:rsidRPr="007323FA">
        <w:rPr>
          <w:lang w:val="en-US"/>
        </w:rPr>
        <w:t>t</w:t>
      </w:r>
      <w:r w:rsidR="00095A18">
        <w:rPr>
          <w:lang w:val="en-US"/>
        </w:rPr>
        <w:t xml:space="preserve"> </w:t>
      </w:r>
      <w:r w:rsidR="00C733A3">
        <w:rPr>
          <w:lang w:val="en-US"/>
        </w:rPr>
        <w:t>de</w:t>
      </w:r>
      <w:r w:rsidR="00095A18">
        <w:rPr>
          <w:lang w:val="en-US"/>
        </w:rPr>
        <w:t>creased.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C733A3" w:rsidRDefault="00B407E7" w:rsidP="009B0770">
      <w:pPr>
        <w:jc w:val="both"/>
        <w:rPr>
          <w:b/>
          <w:spacing w:val="-4"/>
          <w:shd w:val="clear" w:color="auto" w:fill="FFFFFF"/>
          <w:lang w:val="en-US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5690235</wp:posOffset>
                </wp:positionH>
                <wp:positionV relativeFrom="paragraph">
                  <wp:posOffset>107315</wp:posOffset>
                </wp:positionV>
                <wp:extent cx="1809115" cy="1543050"/>
                <wp:effectExtent l="0" t="0" r="0" b="0"/>
                <wp:wrapTight wrapText="bothSides">
                  <wp:wrapPolygon edited="0">
                    <wp:start x="682" y="0"/>
                    <wp:lineTo x="682" y="21333"/>
                    <wp:lineTo x="20698" y="21333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D1492" w:rsidRDefault="005D25AB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61</w:t>
                            </w:r>
                            <w:r w:rsidR="00837231">
                              <w:rPr>
                                <w:lang w:val="en-US"/>
                              </w:rPr>
                              <w:t>.9</w:t>
                            </w:r>
                            <w:r w:rsidR="00E873C8">
                              <w:rPr>
                                <w:lang w:val="en-US"/>
                              </w:rPr>
                              <w:t>% of t</w:t>
                            </w:r>
                            <w:r w:rsidR="002D6C7A">
                              <w:rPr>
                                <w:lang w:val="en-US"/>
                              </w:rPr>
                              <w:t>ot</w:t>
                            </w:r>
                            <w:r w:rsidR="00837231">
                              <w:rPr>
                                <w:lang w:val="en-US"/>
                              </w:rPr>
                              <w:t>al number of dwellings, i.e. 4.0</w:t>
                            </w:r>
                            <w:r w:rsidR="00E873C8">
                              <w:rPr>
                                <w:lang w:val="en-US"/>
                              </w:rPr>
                              <w:t xml:space="preserve"> percentage points more than in the previous year, 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 xml:space="preserve">whereas the share of </w:t>
                            </w:r>
                            <w:r w:rsidR="002D6C7A" w:rsidRPr="00212787">
                              <w:rPr>
                                <w:lang w:val="en-US"/>
                              </w:rPr>
                              <w:t>private investors decreased by 3.</w:t>
                            </w:r>
                            <w:r w:rsidR="00837231">
                              <w:rPr>
                                <w:lang w:val="en-US"/>
                              </w:rPr>
                              <w:t>7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 xml:space="preserve"> percentage points to </w:t>
                            </w:r>
                            <w:r w:rsidR="002D6C7A" w:rsidRPr="00212787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837231">
                              <w:rPr>
                                <w:lang w:val="en-US"/>
                              </w:rPr>
                              <w:t>level of 35</w:t>
                            </w:r>
                            <w:r w:rsidR="00146D85" w:rsidRPr="00212787">
                              <w:rPr>
                                <w:lang w:val="en-US"/>
                              </w:rPr>
                              <w:t>.</w:t>
                            </w:r>
                            <w:r w:rsidR="00837231">
                              <w:rPr>
                                <w:lang w:val="en-US"/>
                              </w:rPr>
                              <w:t>8</w:t>
                            </w:r>
                            <w:r w:rsidR="00E873C8" w:rsidRPr="00212787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8.05pt;margin-top:8.45pt;width:142.45pt;height:12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" filled="f" stroked="f">
                <v:textbox>
                  <w:txbxContent>
                    <w:p w:rsidR="00E873C8" w:rsidRPr="00AD1492" w:rsidRDefault="005D25AB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61</w:t>
                      </w:r>
                      <w:r w:rsidR="00837231">
                        <w:rPr>
                          <w:lang w:val="en-US"/>
                        </w:rPr>
                        <w:t>.9</w:t>
                      </w:r>
                      <w:r w:rsidR="00E873C8">
                        <w:rPr>
                          <w:lang w:val="en-US"/>
                        </w:rPr>
                        <w:t>% of t</w:t>
                      </w:r>
                      <w:r w:rsidR="002D6C7A">
                        <w:rPr>
                          <w:lang w:val="en-US"/>
                        </w:rPr>
                        <w:t>ot</w:t>
                      </w:r>
                      <w:r w:rsidR="00837231">
                        <w:rPr>
                          <w:lang w:val="en-US"/>
                        </w:rPr>
                        <w:t>al number of dwellings, i.e. 4.0</w:t>
                      </w:r>
                      <w:r w:rsidR="00E873C8">
                        <w:rPr>
                          <w:lang w:val="en-US"/>
                        </w:rPr>
                        <w:t xml:space="preserve"> percentage points more than in the previous year, </w:t>
                      </w:r>
                      <w:r w:rsidR="00E873C8" w:rsidRPr="00212787">
                        <w:rPr>
                          <w:lang w:val="en-US"/>
                        </w:rPr>
                        <w:t xml:space="preserve">whereas the share of </w:t>
                      </w:r>
                      <w:r w:rsidR="002D6C7A" w:rsidRPr="00212787">
                        <w:rPr>
                          <w:lang w:val="en-US"/>
                        </w:rPr>
                        <w:t>private investors decreased by 3.</w:t>
                      </w:r>
                      <w:r w:rsidR="00837231">
                        <w:rPr>
                          <w:lang w:val="en-US"/>
                        </w:rPr>
                        <w:t>7</w:t>
                      </w:r>
                      <w:r w:rsidR="00E873C8" w:rsidRPr="00212787">
                        <w:rPr>
                          <w:lang w:val="en-US"/>
                        </w:rPr>
                        <w:t xml:space="preserve"> percentage points to </w:t>
                      </w:r>
                      <w:r w:rsidR="002D6C7A" w:rsidRPr="00212787">
                        <w:rPr>
                          <w:lang w:val="en-US"/>
                        </w:rPr>
                        <w:t xml:space="preserve">the </w:t>
                      </w:r>
                      <w:r w:rsidR="00837231">
                        <w:rPr>
                          <w:lang w:val="en-US"/>
                        </w:rPr>
                        <w:t>level of 35</w:t>
                      </w:r>
                      <w:r w:rsidR="00146D85" w:rsidRPr="00212787">
                        <w:rPr>
                          <w:lang w:val="en-US"/>
                        </w:rPr>
                        <w:t>.</w:t>
                      </w:r>
                      <w:r w:rsidR="00837231">
                        <w:rPr>
                          <w:lang w:val="en-US"/>
                        </w:rPr>
                        <w:t>8</w:t>
                      </w:r>
                      <w:r w:rsidR="00E873C8" w:rsidRPr="00212787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C733A3">
        <w:rPr>
          <w:b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5767678</wp:posOffset>
                </wp:positionH>
                <wp:positionV relativeFrom="paragraph">
                  <wp:posOffset>1243330</wp:posOffset>
                </wp:positionV>
                <wp:extent cx="1743710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E3772" w:rsidRDefault="00E873C8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8372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</w:t>
                            </w:r>
                            <w:r w:rsidR="005D25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V 2019 was 90.6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7.9pt;width:137.3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" filled="f" stroked="f">
                <v:textbox>
                  <w:txbxContent>
                    <w:p w:rsidR="00E873C8" w:rsidRPr="00AE3772" w:rsidRDefault="00E873C8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8372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</w:t>
                      </w:r>
                      <w:r w:rsidR="005D25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V 2019 was 90.6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D45F1D">
        <w:rPr>
          <w:spacing w:val="-4"/>
          <w:shd w:val="clear" w:color="auto" w:fill="FFFFFF"/>
          <w:lang w:val="en-US"/>
        </w:rPr>
        <w:t>79.3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D45F1D">
        <w:rPr>
          <w:spacing w:val="-4"/>
          <w:shd w:val="clear" w:color="auto" w:fill="FFFFFF"/>
          <w:lang w:val="en-US"/>
        </w:rPr>
        <w:t>May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12</w:t>
      </w:r>
      <w:r w:rsidR="0042048D">
        <w:rPr>
          <w:spacing w:val="-4"/>
          <w:shd w:val="clear" w:color="auto" w:fill="FFFFFF"/>
          <w:lang w:val="en-US"/>
        </w:rPr>
        <w:t>.</w:t>
      </w:r>
      <w:r w:rsidR="00D45F1D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D45F1D">
        <w:rPr>
          <w:spacing w:val="-4"/>
          <w:shd w:val="clear" w:color="auto" w:fill="FFFFFF"/>
          <w:lang w:val="en-US"/>
        </w:rPr>
        <w:t>49.1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>
        <w:rPr>
          <w:spacing w:val="-4"/>
          <w:shd w:val="clear" w:color="auto" w:fill="FFFFFF"/>
          <w:lang w:val="en-US"/>
        </w:rPr>
        <w:br/>
      </w:r>
      <w:r w:rsidR="00D45F1D">
        <w:rPr>
          <w:spacing w:val="-4"/>
          <w:shd w:val="clear" w:color="auto" w:fill="FFFFFF"/>
          <w:lang w:val="en-US"/>
        </w:rPr>
        <w:t>(20.4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28.4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837231">
        <w:rPr>
          <w:spacing w:val="-4"/>
          <w:shd w:val="clear" w:color="auto" w:fill="FFFFFF"/>
          <w:lang w:val="en-US"/>
        </w:rPr>
        <w:t>2.1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24BA">
        <w:rPr>
          <w:spacing w:val="-4"/>
          <w:shd w:val="clear" w:color="auto" w:fill="FFFFFF"/>
          <w:lang w:val="en-US"/>
        </w:rPr>
        <w:t>97.7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837231">
        <w:rPr>
          <w:spacing w:val="-4"/>
          <w:shd w:val="clear" w:color="auto" w:fill="FFFFFF"/>
          <w:lang w:val="en-US"/>
        </w:rPr>
        <w:t>811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837231">
        <w:rPr>
          <w:spacing w:val="-4"/>
          <w:shd w:val="clear" w:color="auto" w:fill="FFFFFF"/>
          <w:lang w:val="en-US"/>
        </w:rPr>
        <w:t>894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3A358E">
        <w:rPr>
          <w:spacing w:val="-4"/>
          <w:shd w:val="clear" w:color="auto" w:fill="FFFFFF"/>
          <w:lang w:val="en-US"/>
        </w:rPr>
        <w:t xml:space="preserve">ellings). In </w:t>
      </w:r>
      <w:r w:rsidR="003A358E" w:rsidRPr="00435283">
        <w:rPr>
          <w:b/>
          <w:spacing w:val="-4"/>
          <w:shd w:val="clear" w:color="auto" w:fill="FFFFFF"/>
          <w:lang w:val="en-US"/>
        </w:rPr>
        <w:t>other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837231">
        <w:rPr>
          <w:spacing w:val="-4"/>
          <w:shd w:val="clear" w:color="auto" w:fill="FFFFFF"/>
          <w:lang w:val="en-US"/>
        </w:rPr>
        <w:t>986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837231">
        <w:rPr>
          <w:spacing w:val="-4"/>
          <w:shd w:val="clear" w:color="auto" w:fill="FFFFFF"/>
          <w:lang w:val="en-US"/>
        </w:rPr>
        <w:t>5,1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2C39C1">
        <w:rPr>
          <w:shd w:val="clear" w:color="auto" w:fill="FFFFFF"/>
          <w:lang w:val="en-US"/>
        </w:rPr>
        <w:t xml:space="preserve">V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  <w:t>7.2 m. sq m, i.e. by 8.8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January-May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837231">
        <w:rPr>
          <w:shd w:val="clear" w:color="auto" w:fill="FFFFFF"/>
          <w:lang w:val="en-US"/>
        </w:rPr>
        <w:t>a of 1 dwelling decreased by 3.2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5D25AB">
        <w:rPr>
          <w:shd w:val="clear" w:color="auto" w:fill="FFFFFF"/>
          <w:lang w:val="en-US"/>
        </w:rPr>
        <w:t>90.6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5D25AB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837231">
              <w:rPr>
                <w:color w:val="000000" w:themeColor="text1"/>
                <w:sz w:val="16"/>
                <w:szCs w:val="16"/>
              </w:rPr>
              <w:t>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D25AB">
              <w:rPr>
                <w:color w:val="000000" w:themeColor="text1"/>
                <w:sz w:val="16"/>
                <w:szCs w:val="16"/>
              </w:rPr>
              <w:t>V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7231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7231">
              <w:rPr>
                <w:rFonts w:cs="Arial"/>
                <w:b/>
                <w:color w:val="000000" w:themeColor="text1"/>
                <w:sz w:val="16"/>
                <w:szCs w:val="16"/>
              </w:rPr>
              <w:t>15 368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128.</w:t>
            </w:r>
            <w:r w:rsidRPr="0083723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</w:t>
            </w:r>
            <w:r w:rsidRPr="00626112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b/>
                <w:color w:val="000000" w:themeColor="text1"/>
                <w:sz w:val="16"/>
                <w:szCs w:val="16"/>
              </w:rPr>
              <w:t>79 333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837231" w:rsidRPr="00FA5128" w:rsidRDefault="00837231" w:rsidP="0083723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D40A8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5 435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837231" w:rsidRPr="00907546" w:rsidRDefault="00837231" w:rsidP="0083723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28 417</w:t>
            </w:r>
          </w:p>
        </w:tc>
        <w:tc>
          <w:tcPr>
            <w:tcW w:w="1207" w:type="dxa"/>
            <w:vAlign w:val="center"/>
          </w:tcPr>
          <w:p w:rsidR="00837231" w:rsidRPr="00907546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9 684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837231" w:rsidRPr="008A1C80" w:rsidRDefault="00837231" w:rsidP="008372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49 119</w:t>
            </w:r>
          </w:p>
        </w:tc>
        <w:tc>
          <w:tcPr>
            <w:tcW w:w="1207" w:type="dxa"/>
            <w:vAlign w:val="center"/>
          </w:tcPr>
          <w:p w:rsidR="00837231" w:rsidRPr="00FA512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37231" w:rsidRPr="00837231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611CFA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837231" w:rsidRPr="005241EA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06" w:type="dxa"/>
            <w:vAlign w:val="center"/>
          </w:tcPr>
          <w:p w:rsidR="00837231" w:rsidRPr="004327B6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more than 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  <w:t>4-fold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635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108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55.1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sz w:val="16"/>
                <w:szCs w:val="16"/>
                <w:lang w:val="en-GB"/>
              </w:rPr>
              <w:t>300.0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811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90.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36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63.2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sz w:val="16"/>
                <w:szCs w:val="16"/>
                <w:lang w:val="en-GB"/>
              </w:rPr>
              <w:t>276.9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color w:val="000000" w:themeColor="text1"/>
                <w:sz w:val="16"/>
                <w:szCs w:val="16"/>
                <w:lang w:val="en-GB"/>
              </w:rPr>
              <w:t>437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90.</w:t>
            </w:r>
            <w:r w:rsidRPr="00837231">
              <w:rPr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="00837231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837231" w:rsidRPr="005D25AB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78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325.0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837231">
              <w:rPr>
                <w:rFonts w:cs="Arial"/>
                <w:sz w:val="16"/>
                <w:szCs w:val="16"/>
                <w:lang w:val="en-GB"/>
              </w:rPr>
              <w:t>78.0</w:t>
            </w:r>
          </w:p>
        </w:tc>
        <w:tc>
          <w:tcPr>
            <w:tcW w:w="1206" w:type="dxa"/>
            <w:vAlign w:val="center"/>
          </w:tcPr>
          <w:p w:rsidR="00837231" w:rsidRPr="00837231" w:rsidRDefault="00837231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837231">
              <w:rPr>
                <w:color w:val="000000" w:themeColor="text1"/>
                <w:sz w:val="16"/>
                <w:szCs w:val="16"/>
                <w:lang w:val="en-GB"/>
              </w:rPr>
              <w:t>454</w:t>
            </w:r>
          </w:p>
        </w:tc>
        <w:tc>
          <w:tcPr>
            <w:tcW w:w="1207" w:type="dxa"/>
            <w:vAlign w:val="center"/>
          </w:tcPr>
          <w:p w:rsidR="00837231" w:rsidRPr="0083723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118.</w:t>
            </w:r>
            <w:r w:rsidRPr="00837231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837231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837231" w:rsidRPr="008C0EBD" w:rsidRDefault="00837231" w:rsidP="0083723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837231" w:rsidRPr="00A030E6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:rsidR="00837231" w:rsidRPr="006E0C18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</w:t>
            </w: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837231" w:rsidRPr="00296F96" w:rsidRDefault="00837231" w:rsidP="0083723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27-fold </w:t>
            </w:r>
          </w:p>
        </w:tc>
        <w:tc>
          <w:tcPr>
            <w:tcW w:w="1206" w:type="dxa"/>
            <w:vAlign w:val="center"/>
          </w:tcPr>
          <w:p w:rsidR="00837231" w:rsidRPr="00E87F78" w:rsidRDefault="00837231" w:rsidP="0083723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07" w:type="dxa"/>
            <w:vAlign w:val="center"/>
          </w:tcPr>
          <w:p w:rsidR="00837231" w:rsidRPr="009F4F41" w:rsidRDefault="00837231" w:rsidP="008372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130.</w:t>
            </w:r>
            <w:r w:rsidRPr="00D40A89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896EB9" w:rsidRDefault="00896EB9" w:rsidP="00896EB9">
      <w:pPr>
        <w:rPr>
          <w:b/>
          <w:szCs w:val="19"/>
          <w:shd w:val="clear" w:color="auto" w:fill="FFFFFF"/>
          <w:lang w:val="en-GB"/>
        </w:rPr>
      </w:pPr>
      <w:r w:rsidRPr="00896EB9">
        <w:rPr>
          <w:b/>
          <w:szCs w:val="19"/>
          <w:shd w:val="clear" w:color="auto" w:fill="FFFFFF"/>
          <w:lang w:val="en-GB"/>
        </w:rPr>
        <w:t>Dwellings for which permits have been grante</w:t>
      </w:r>
      <w:r>
        <w:rPr>
          <w:b/>
          <w:szCs w:val="19"/>
          <w:shd w:val="clear" w:color="auto" w:fill="FFFFFF"/>
          <w:lang w:val="en-GB"/>
        </w:rPr>
        <w:t xml:space="preserve">d or which have been registered </w:t>
      </w:r>
      <w:r w:rsidRPr="00896EB9">
        <w:rPr>
          <w:b/>
          <w:szCs w:val="19"/>
          <w:shd w:val="clear" w:color="auto" w:fill="FFFFFF"/>
          <w:lang w:val="en-GB"/>
        </w:rPr>
        <w:t xml:space="preserve">with </w:t>
      </w:r>
      <w:r>
        <w:rPr>
          <w:b/>
          <w:szCs w:val="19"/>
          <w:shd w:val="clear" w:color="auto" w:fill="FFFFFF"/>
          <w:lang w:val="en-GB"/>
        </w:rPr>
        <w:br/>
      </w:r>
      <w:r w:rsidRPr="00896EB9">
        <w:rPr>
          <w:b/>
          <w:szCs w:val="19"/>
          <w:shd w:val="clear" w:color="auto" w:fill="FFFFFF"/>
          <w:lang w:val="en-GB"/>
        </w:rPr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73C8" w:rsidRPr="00AD1492" w:rsidRDefault="00E873C8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964B1A"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964B1A">
                              <w:rPr>
                                <w:lang w:val="en-US"/>
                              </w:rPr>
                              <w:t>1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964B1A">
                              <w:rPr>
                                <w:lang w:val="en-US"/>
                              </w:rPr>
                              <w:t>the period of I-</w:t>
                            </w:r>
                            <w:r w:rsidR="00C57EF3"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E873C8" w:rsidRPr="00AD1492" w:rsidRDefault="00E873C8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964B1A"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964B1A">
                        <w:rPr>
                          <w:lang w:val="en-US"/>
                        </w:rPr>
                        <w:t>1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964B1A">
                        <w:rPr>
                          <w:lang w:val="en-US"/>
                        </w:rPr>
                        <w:t>the period of I-</w:t>
                      </w:r>
                      <w:r w:rsidR="00C57EF3">
                        <w:rPr>
                          <w:lang w:val="en-US"/>
                        </w:rPr>
                        <w:t>V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1A1F89">
        <w:rPr>
          <w:szCs w:val="19"/>
          <w:shd w:val="clear" w:color="auto" w:fill="FFFFFF"/>
          <w:lang w:val="en-GB"/>
        </w:rPr>
        <w:t>five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1A1F89">
        <w:rPr>
          <w:shd w:val="clear" w:color="auto" w:fill="FFFFFF"/>
          <w:lang w:val="en-US"/>
        </w:rPr>
        <w:t>107</w:t>
      </w:r>
      <w:r w:rsidR="00F06543">
        <w:rPr>
          <w:shd w:val="clear" w:color="auto" w:fill="FFFFFF"/>
          <w:lang w:val="en-US"/>
        </w:rPr>
        <w:t>.0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1A1F89">
        <w:rPr>
          <w:shd w:val="clear" w:color="auto" w:fill="FFFFFF"/>
          <w:lang w:val="en-US"/>
        </w:rPr>
        <w:t>2</w:t>
      </w:r>
      <w:r w:rsidR="00E245E1">
        <w:rPr>
          <w:shd w:val="clear" w:color="auto" w:fill="FFFFFF"/>
          <w:lang w:val="en-US"/>
        </w:rPr>
        <w:t>.</w:t>
      </w:r>
      <w:r w:rsidR="001A1F89">
        <w:rPr>
          <w:shd w:val="clear" w:color="auto" w:fill="FFFFFF"/>
          <w:lang w:val="en-US"/>
        </w:rPr>
        <w:t>1</w:t>
      </w:r>
      <w:r w:rsidR="00C47CE4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1A1F89">
        <w:rPr>
          <w:shd w:val="clear" w:color="auto" w:fill="FFFFFF"/>
          <w:lang w:val="en-US"/>
        </w:rPr>
        <w:t>64.7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1A1F89">
        <w:rPr>
          <w:shd w:val="clear" w:color="auto" w:fill="FFFFFF"/>
          <w:lang w:val="en-US"/>
        </w:rPr>
        <w:t>40.2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1A1F89">
        <w:rPr>
          <w:shd w:val="clear" w:color="auto" w:fill="FFFFFF"/>
          <w:lang w:val="en-US"/>
        </w:rPr>
        <w:t>6.3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710A0B">
        <w:rPr>
          <w:shd w:val="clear" w:color="auto" w:fill="FFFFFF"/>
          <w:lang w:val="en-US"/>
        </w:rPr>
        <w:t>less</w:t>
      </w:r>
      <w:r w:rsidR="00F06543">
        <w:rPr>
          <w:shd w:val="clear" w:color="auto" w:fill="FFFFFF"/>
          <w:lang w:val="en-US"/>
        </w:rPr>
        <w:t xml:space="preserve"> and 6</w:t>
      </w:r>
      <w:r w:rsidR="00C47CE4">
        <w:rPr>
          <w:shd w:val="clear" w:color="auto" w:fill="FFFFFF"/>
          <w:lang w:val="en-US"/>
        </w:rPr>
        <w:t>.</w:t>
      </w:r>
      <w:r w:rsidR="001A1F89">
        <w:rPr>
          <w:shd w:val="clear" w:color="auto" w:fill="FFFFFF"/>
          <w:lang w:val="en-US"/>
        </w:rPr>
        <w:t>9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98.0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495B6E">
        <w:rPr>
          <w:shd w:val="clear" w:color="auto" w:fill="FFFFFF"/>
          <w:lang w:val="en-US"/>
        </w:rPr>
        <w:t>More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1A1F89">
        <w:rPr>
          <w:lang w:val="en-GB"/>
        </w:rPr>
        <w:t>five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1A1F89">
        <w:rPr>
          <w:shd w:val="clear" w:color="auto" w:fill="FFFFFF"/>
          <w:lang w:val="en-US"/>
        </w:rPr>
        <w:t>767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1A1F89">
        <w:rPr>
          <w:shd w:val="clear" w:color="auto" w:fill="FFFFFF"/>
          <w:lang w:val="en-US"/>
        </w:rPr>
        <w:t>649</w:t>
      </w:r>
      <w:r w:rsidR="00BC514E">
        <w:rPr>
          <w:shd w:val="clear" w:color="auto" w:fill="FFFFFF"/>
          <w:lang w:val="en-US"/>
        </w:rPr>
        <w:t>),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495B6E">
        <w:rPr>
          <w:shd w:val="clear" w:color="auto" w:fill="FFFFFF"/>
          <w:lang w:val="en-US"/>
        </w:rPr>
        <w:t xml:space="preserve">less </w:t>
      </w:r>
      <w:r w:rsidR="00616583" w:rsidRPr="00485E73">
        <w:rPr>
          <w:shd w:val="clear" w:color="auto" w:fill="FFFFFF"/>
          <w:lang w:val="en-US"/>
        </w:rPr>
        <w:t>(</w:t>
      </w:r>
      <w:r w:rsidR="001A1F89">
        <w:rPr>
          <w:shd w:val="clear" w:color="auto" w:fill="FFFFFF"/>
          <w:lang w:val="en-US"/>
        </w:rPr>
        <w:t>1347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1A1F89">
        <w:rPr>
          <w:shd w:val="clear" w:color="auto" w:fill="FFFFFF"/>
          <w:lang w:val="en-US"/>
        </w:rPr>
        <w:t>2032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 xml:space="preserve"> </w:t>
      </w:r>
      <w:r w:rsidR="00495B6E">
        <w:rPr>
          <w:shd w:val="clear" w:color="auto" w:fill="FFFFFF"/>
          <w:lang w:val="en-US"/>
        </w:rPr>
        <w:t>in</w:t>
      </w:r>
      <w:r w:rsidR="00B77EC9" w:rsidRPr="00485E73">
        <w:rPr>
          <w:shd w:val="clear" w:color="auto" w:fill="FFFFFF"/>
          <w:lang w:val="en-US"/>
        </w:rPr>
        <w:t xml:space="preserve">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896EB9">
      <w:pPr>
        <w:pStyle w:val="tytuwykresu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F06543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I</w:t>
            </w:r>
            <w:r w:rsidR="001A1F89">
              <w:rPr>
                <w:color w:val="000000" w:themeColor="text1"/>
                <w:sz w:val="16"/>
                <w:szCs w:val="16"/>
              </w:rPr>
              <w:t>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F06543">
              <w:rPr>
                <w:color w:val="000000" w:themeColor="text1"/>
                <w:sz w:val="16"/>
                <w:szCs w:val="16"/>
              </w:rPr>
              <w:t>V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26 984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122.</w:t>
            </w: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118.</w:t>
            </w: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>107 023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964B1A" w:rsidRPr="00FA5128" w:rsidRDefault="00964B1A" w:rsidP="00964B1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</w:t>
            </w: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9 577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964B1A" w:rsidRPr="00907546" w:rsidRDefault="00964B1A" w:rsidP="00964B1A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40 169</w:t>
            </w:r>
          </w:p>
        </w:tc>
        <w:tc>
          <w:tcPr>
            <w:tcW w:w="1207" w:type="dxa"/>
            <w:vAlign w:val="center"/>
          </w:tcPr>
          <w:p w:rsidR="00964B1A" w:rsidRPr="00907546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64B1A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16 731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128.</w:t>
            </w: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127.</w:t>
            </w: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964B1A" w:rsidRPr="008A1C80" w:rsidRDefault="00964B1A" w:rsidP="00964B1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64 740</w:t>
            </w:r>
          </w:p>
        </w:tc>
        <w:tc>
          <w:tcPr>
            <w:tcW w:w="1207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A569FC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206" w:type="dxa"/>
            <w:vAlign w:val="center"/>
          </w:tcPr>
          <w:p w:rsidR="00964B1A" w:rsidRPr="00FA5128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 xml:space="preserve">more than </w:t>
            </w:r>
            <w:r w:rsidRPr="00964B1A">
              <w:rPr>
                <w:rFonts w:cs="Arial"/>
                <w:sz w:val="16"/>
                <w:szCs w:val="16"/>
                <w:lang w:val="en-GB"/>
              </w:rPr>
              <w:br/>
              <w:t>4-fold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767</w:t>
            </w:r>
          </w:p>
        </w:tc>
        <w:tc>
          <w:tcPr>
            <w:tcW w:w="1207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118.2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964B1A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335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more than </w:t>
            </w: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6-fold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328.4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847</w:t>
            </w:r>
          </w:p>
        </w:tc>
        <w:tc>
          <w:tcPr>
            <w:tcW w:w="1207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135.5</w:t>
            </w:r>
          </w:p>
        </w:tc>
      </w:tr>
      <w:tr w:rsidR="00964B1A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64B1A" w:rsidRPr="00C57EF3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160.0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314</w:t>
            </w:r>
          </w:p>
        </w:tc>
        <w:tc>
          <w:tcPr>
            <w:tcW w:w="1207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22.4</w:t>
            </w:r>
          </w:p>
        </w:tc>
      </w:tr>
      <w:tr w:rsidR="00964B1A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964B1A" w:rsidRPr="008C0EBD" w:rsidRDefault="00964B1A" w:rsidP="00964B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70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964B1A">
              <w:rPr>
                <w:rFonts w:cs="Arial"/>
                <w:sz w:val="16"/>
                <w:szCs w:val="16"/>
                <w:lang w:val="en-GB"/>
              </w:rPr>
              <w:t>194.4</w:t>
            </w:r>
          </w:p>
        </w:tc>
        <w:tc>
          <w:tcPr>
            <w:tcW w:w="1206" w:type="dxa"/>
            <w:vAlign w:val="center"/>
          </w:tcPr>
          <w:p w:rsidR="00964B1A" w:rsidRPr="00964B1A" w:rsidRDefault="00964B1A" w:rsidP="00964B1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color w:val="000000" w:themeColor="text1"/>
                <w:sz w:val="16"/>
                <w:szCs w:val="16"/>
                <w:lang w:val="en-GB"/>
              </w:rPr>
              <w:t>186</w:t>
            </w:r>
          </w:p>
        </w:tc>
        <w:tc>
          <w:tcPr>
            <w:tcW w:w="1207" w:type="dxa"/>
            <w:vAlign w:val="center"/>
          </w:tcPr>
          <w:p w:rsidR="00964B1A" w:rsidRPr="009F4F41" w:rsidRDefault="00964B1A" w:rsidP="00964B1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more than 37-fold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896EB9" w:rsidRDefault="00154AC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5255895</wp:posOffset>
                </wp:positionH>
                <wp:positionV relativeFrom="paragraph">
                  <wp:posOffset>236855</wp:posOffset>
                </wp:positionV>
                <wp:extent cx="1717675" cy="958215"/>
                <wp:effectExtent l="0" t="0" r="0" b="0"/>
                <wp:wrapTight wrapText="bothSides">
                  <wp:wrapPolygon edited="0">
                    <wp:start x="719" y="0"/>
                    <wp:lineTo x="719" y="21042"/>
                    <wp:lineTo x="20841" y="21042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612A93" w:rsidRDefault="00E873C8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D1492">
                              <w:rPr>
                                <w:lang w:val="en-US"/>
                              </w:rPr>
                              <w:t>umber of dwellings in</w:t>
                            </w:r>
                            <w:r>
                              <w:rPr>
                                <w:lang w:val="en-US"/>
                              </w:rPr>
                              <w:t xml:space="preserve"> which construction has begun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AC3185">
                              <w:rPr>
                                <w:lang w:val="en-US"/>
                              </w:rPr>
                              <w:t>5.</w:t>
                            </w:r>
                            <w:r w:rsidR="00964B1A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</w:t>
                            </w:r>
                            <w:r w:rsidR="00964B1A">
                              <w:rPr>
                                <w:lang w:val="en-US"/>
                              </w:rPr>
                              <w:br/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y/y in </w:t>
                            </w:r>
                            <w:r w:rsidR="00115574">
                              <w:rPr>
                                <w:lang w:val="en-US"/>
                              </w:rPr>
                              <w:t xml:space="preserve">the period of I-V </w:t>
                            </w:r>
                            <w:r>
                              <w:rPr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3.85pt;margin-top:18.65pt;width:135.25pt;height:75.4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" filled="f" stroked="f">
                <v:textbox>
                  <w:txbxContent>
                    <w:p w:rsidR="00E873C8" w:rsidRPr="00612A93" w:rsidRDefault="00E873C8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Pr="00AD1492">
                        <w:rPr>
                          <w:lang w:val="en-US"/>
                        </w:rPr>
                        <w:t>umber of dwellings in</w:t>
                      </w:r>
                      <w:r>
                        <w:rPr>
                          <w:lang w:val="en-US"/>
                        </w:rPr>
                        <w:t xml:space="preserve"> which construction has begun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AC3185">
                        <w:rPr>
                          <w:lang w:val="en-US"/>
                        </w:rPr>
                        <w:t>5.</w:t>
                      </w:r>
                      <w:r w:rsidR="00964B1A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 xml:space="preserve">% </w:t>
                      </w:r>
                      <w:r w:rsidR="00964B1A">
                        <w:rPr>
                          <w:lang w:val="en-US"/>
                        </w:rPr>
                        <w:br/>
                      </w:r>
                      <w:r w:rsidRPr="00AD1492">
                        <w:rPr>
                          <w:lang w:val="en-US"/>
                        </w:rPr>
                        <w:t xml:space="preserve">y/y in </w:t>
                      </w:r>
                      <w:r w:rsidR="00115574">
                        <w:rPr>
                          <w:lang w:val="en-US"/>
                        </w:rPr>
                        <w:t xml:space="preserve">the period of I-V </w:t>
                      </w:r>
                      <w:r>
                        <w:rPr>
                          <w:lang w:val="en-US"/>
                        </w:rPr>
                        <w:t>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6EB9" w:rsidRPr="00896EB9">
        <w:rPr>
          <w:sz w:val="19"/>
          <w:szCs w:val="19"/>
          <w:shd w:val="clear" w:color="auto" w:fill="FFFFFF"/>
          <w:lang w:val="en-GB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964B1A">
        <w:rPr>
          <w:b w:val="0"/>
          <w:sz w:val="19"/>
          <w:szCs w:val="19"/>
          <w:shd w:val="clear" w:color="auto" w:fill="FFFFFF"/>
          <w:lang w:val="en-GB"/>
        </w:rPr>
        <w:t>May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964B1A">
        <w:rPr>
          <w:b w:val="0"/>
          <w:sz w:val="19"/>
          <w:szCs w:val="19"/>
          <w:shd w:val="clear" w:color="auto" w:fill="FFFFFF"/>
          <w:lang w:val="en-GB"/>
        </w:rPr>
        <w:t>96.4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64B1A">
        <w:rPr>
          <w:b w:val="0"/>
          <w:sz w:val="19"/>
          <w:szCs w:val="19"/>
          <w:shd w:val="clear" w:color="auto" w:fill="FFFFFF"/>
          <w:lang w:val="en-GB"/>
        </w:rPr>
        <w:t>5.5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56.0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38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ed by respectively 4.9% and 5.8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also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1027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941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) 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br/>
        <w:t>(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1052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852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115574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I</w:t>
            </w:r>
            <w:r w:rsidR="005F2C39">
              <w:rPr>
                <w:color w:val="000000" w:themeColor="text1"/>
                <w:sz w:val="16"/>
                <w:szCs w:val="16"/>
              </w:rPr>
              <w:t>V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046F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15574">
              <w:rPr>
                <w:color w:val="000000" w:themeColor="text1"/>
                <w:sz w:val="16"/>
                <w:szCs w:val="16"/>
              </w:rPr>
              <w:t>V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b/>
                <w:color w:val="000000" w:themeColor="text1"/>
                <w:sz w:val="16"/>
                <w:szCs w:val="16"/>
              </w:rPr>
              <w:t>20 600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</w:t>
            </w:r>
            <w:r w:rsidRPr="001D02D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</w:t>
            </w:r>
            <w:r w:rsidRPr="00865B3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>96 436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AC3185" w:rsidRPr="00FA5128" w:rsidRDefault="00AC3185" w:rsidP="00AC31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</w:t>
            </w:r>
            <w:r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9 023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AC3185" w:rsidRPr="00907546" w:rsidRDefault="00AC3185" w:rsidP="00AC3185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38 322</w:t>
            </w:r>
          </w:p>
        </w:tc>
        <w:tc>
          <w:tcPr>
            <w:tcW w:w="1207" w:type="dxa"/>
            <w:vAlign w:val="center"/>
          </w:tcPr>
          <w:p w:rsidR="00AC3185" w:rsidRPr="0090754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C3185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11 166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AC3185" w:rsidRPr="008A1C80" w:rsidRDefault="00AC3185" w:rsidP="00AC318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56 035</w:t>
            </w:r>
          </w:p>
        </w:tc>
        <w:tc>
          <w:tcPr>
            <w:tcW w:w="1207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15574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 w:rsidRPr="00115574">
              <w:rPr>
                <w:rStyle w:val="Odwoanieprzypisudolnego"/>
                <w:lang w:val="en-GB"/>
              </w:rPr>
              <w:t>c</w:t>
            </w:r>
          </w:p>
        </w:tc>
        <w:tc>
          <w:tcPr>
            <w:tcW w:w="1206" w:type="dxa"/>
            <w:vAlign w:val="center"/>
          </w:tcPr>
          <w:p w:rsidR="00AC3185" w:rsidRPr="005241EA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6" w:type="dxa"/>
            <w:vAlign w:val="center"/>
          </w:tcPr>
          <w:p w:rsidR="00AC3185" w:rsidRPr="004327B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C3185" w:rsidRPr="004327B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</w:t>
            </w: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AC3185" w:rsidRPr="00553B0B" w:rsidRDefault="00AC3185" w:rsidP="00AC318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352</w:t>
            </w:r>
          </w:p>
        </w:tc>
        <w:tc>
          <w:tcPr>
            <w:tcW w:w="1207" w:type="dxa"/>
            <w:vAlign w:val="center"/>
          </w:tcPr>
          <w:p w:rsidR="00AC3185" w:rsidRPr="004266F7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AC3185" w:rsidRPr="00E102B7" w:rsidRDefault="00AC3185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</w:t>
            </w:r>
            <w:r w:rsidRPr="00865B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AC3185" w:rsidRPr="00C230EE" w:rsidRDefault="00AC3185" w:rsidP="00AC3185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1 027</w:t>
            </w:r>
          </w:p>
        </w:tc>
        <w:tc>
          <w:tcPr>
            <w:tcW w:w="1207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06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AC3185" w:rsidRPr="00E102B7" w:rsidRDefault="00AC3185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</w:t>
            </w:r>
            <w:r w:rsidRPr="00865B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AC3185" w:rsidRPr="00E87F78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457A4">
              <w:rPr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07" w:type="dxa"/>
            <w:vAlign w:val="center"/>
          </w:tcPr>
          <w:p w:rsidR="00AC3185" w:rsidRPr="00FA512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AC3185" w:rsidRPr="00154AC9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AC3185" w:rsidRPr="00A030E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206" w:type="dxa"/>
            <w:vAlign w:val="center"/>
          </w:tcPr>
          <w:p w:rsidR="00AC3185" w:rsidRPr="006E0C1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AC3185" w:rsidRPr="00296F96" w:rsidRDefault="00AC3185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354.</w:t>
            </w:r>
            <w:r w:rsidRPr="00865B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AC3185" w:rsidRPr="00E87F78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457A4">
              <w:rPr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1207" w:type="dxa"/>
            <w:vAlign w:val="center"/>
          </w:tcPr>
          <w:p w:rsidR="00AC3185" w:rsidRPr="009F4F41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143.</w:t>
            </w: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3185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AC3185" w:rsidRPr="008C0EBD" w:rsidRDefault="00AC3185" w:rsidP="00AC31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AC3185" w:rsidRPr="00A030E6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AC3185" w:rsidRPr="006E0C18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</w:p>
        </w:tc>
        <w:tc>
          <w:tcPr>
            <w:tcW w:w="1206" w:type="dxa"/>
            <w:vAlign w:val="center"/>
          </w:tcPr>
          <w:p w:rsidR="00AC3185" w:rsidRPr="00296F96" w:rsidRDefault="00AC3185" w:rsidP="00AC31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AC3185" w:rsidRPr="00E87F78" w:rsidRDefault="00AC3185" w:rsidP="00AC318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AC3185" w:rsidRPr="009F4F41" w:rsidRDefault="00AC3185" w:rsidP="00AC318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May 2019 there were 812.8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4.2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436B47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anchorId="144D158A" wp14:editId="6C401B7B">
            <wp:simplePos x="0" y="0"/>
            <wp:positionH relativeFrom="margin">
              <wp:align>left</wp:align>
            </wp:positionH>
            <wp:positionV relativeFrom="paragraph">
              <wp:posOffset>136920</wp:posOffset>
            </wp:positionV>
            <wp:extent cx="5122545" cy="3361038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7E6" w:rsidRPr="00612A93" w:rsidRDefault="00AC3185" w:rsidP="00673BE0">
      <w:pPr>
        <w:pStyle w:val="Nagwek1"/>
        <w:rPr>
          <w:color w:val="auto"/>
          <w:sz w:val="18"/>
          <w:szCs w:val="18"/>
          <w:lang w:val="en-GB"/>
        </w:rPr>
      </w:pPr>
      <w:r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5741670</wp:posOffset>
                </wp:positionH>
                <wp:positionV relativeFrom="paragraph">
                  <wp:posOffset>262255</wp:posOffset>
                </wp:positionV>
                <wp:extent cx="1760855" cy="1902460"/>
                <wp:effectExtent l="0" t="0" r="0" b="254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90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Pr="00AC3185" w:rsidRDefault="002924C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May compared to April 2019 n</w:t>
                            </w:r>
                            <w:r w:rsidR="00E873C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umber of dwellings </w:t>
                            </w:r>
                            <w:r w:rsidR="00A8481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AC3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 (by 18.2%) whereas number of</w:t>
                            </w:r>
                            <w:r w:rsidR="00A8481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10C03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dwellings completed </w:t>
                            </w:r>
                            <w:r w:rsidR="00AC3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="00AC3185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which construction has begun decreased </w:t>
                            </w:r>
                            <w:r w:rsidR="00E873C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A8481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="00E873C8"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4025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7.1% and 6.2%)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AF7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2.1pt;margin-top:20.65pt;width:138.65pt;height:149.8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" filled="f" stroked="f">
                <v:textbox>
                  <w:txbxContent>
                    <w:p w:rsidR="00E873C8" w:rsidRPr="00AC3185" w:rsidRDefault="002924C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May compared to April 2019 n</w:t>
                      </w:r>
                      <w:r w:rsidR="00E873C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umber of dwellings </w:t>
                      </w:r>
                      <w:r w:rsidR="00A8481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AC3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 (by 18.2%) whereas number of</w:t>
                      </w:r>
                      <w:r w:rsidR="00A8481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10C03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dwellings completed </w:t>
                      </w:r>
                      <w:r w:rsidR="00AC3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="00AC3185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which construction has begun decreased </w:t>
                      </w:r>
                      <w:r w:rsidR="00E873C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A8481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="00E873C8"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4025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7.1% and 6.2%)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 xml:space="preserve">of January- </w:t>
      </w:r>
      <w:r w:rsidR="007F4BEF">
        <w:rPr>
          <w:szCs w:val="19"/>
          <w:shd w:val="clear" w:color="auto" w:fill="FFFFFF"/>
          <w:lang w:val="en-GB"/>
        </w:rPr>
        <w:t>May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>in M</w:t>
      </w:r>
      <w:r w:rsidR="00CB6084">
        <w:rPr>
          <w:szCs w:val="19"/>
          <w:shd w:val="clear" w:color="auto" w:fill="FFFFFF"/>
          <w:lang w:val="en-GB"/>
        </w:rPr>
        <w:t>azowieckie</w:t>
      </w:r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>ely 18.3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A569FC">
        <w:rPr>
          <w:szCs w:val="19"/>
          <w:shd w:val="clear" w:color="auto" w:fill="FFFFFF"/>
          <w:lang w:val="en-GB"/>
        </w:rPr>
        <w:br/>
      </w:r>
      <w:r w:rsidR="007F4BEF">
        <w:rPr>
          <w:szCs w:val="19"/>
          <w:shd w:val="clear" w:color="auto" w:fill="FFFFFF"/>
          <w:lang w:val="en-GB"/>
        </w:rPr>
        <w:t>16.9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>in 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7F4BEF">
        <w:rPr>
          <w:szCs w:val="19"/>
          <w:shd w:val="clear" w:color="auto" w:fill="FFFFFF"/>
          <w:lang w:val="en-GB"/>
        </w:rPr>
        <w:t>skie voivodship (respectively 13.0 thous. and 11.6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7F4BEF">
        <w:rPr>
          <w:szCs w:val="19"/>
          <w:shd w:val="clear" w:color="auto" w:fill="FFFFFF"/>
          <w:lang w:val="en-GB"/>
        </w:rPr>
        <w:t xml:space="preserve"> Mazowieckie (16.9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r w:rsidR="00E873C8">
        <w:rPr>
          <w:szCs w:val="19"/>
          <w:shd w:val="clear" w:color="auto" w:fill="FFFFFF"/>
          <w:lang w:val="en-GB"/>
        </w:rPr>
        <w:t>Małopolskie</w:t>
      </w:r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(9.6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9A61DB">
        <w:rPr>
          <w:color w:val="auto"/>
          <w:sz w:val="18"/>
          <w:szCs w:val="18"/>
          <w:lang w:val="en-GB"/>
        </w:rPr>
        <w:t xml:space="preserve">                                               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436B47">
        <w:rPr>
          <w:color w:val="auto"/>
          <w:sz w:val="18"/>
          <w:szCs w:val="18"/>
          <w:lang w:val="en-GB"/>
        </w:rPr>
        <w:t>May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CB6084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4231A6" w:rsidRDefault="00436B47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446FB034" wp14:editId="79019530">
            <wp:simplePos x="0" y="0"/>
            <wp:positionH relativeFrom="margin">
              <wp:align>left</wp:align>
            </wp:positionH>
            <wp:positionV relativeFrom="paragraph">
              <wp:posOffset>6247</wp:posOffset>
            </wp:positionV>
            <wp:extent cx="5122545" cy="3678229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4025BB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B34C4C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B34C4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Spokeperson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Dawidziuk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4025BB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3491, +48 22 608 38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C8" w:rsidRDefault="00E873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873C8" w:rsidRDefault="00E873C8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873C8" w:rsidRPr="004E377B" w:rsidRDefault="00E873C8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4E377B"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"https://stat.gov.pl/en/topics/other-studies/informations-on-socio-economic-situation/statistical-bulletin-no-102018,4.html"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E873C8" w:rsidRPr="008235EC" w:rsidRDefault="00E873C8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Construction results in </w:t>
                            </w:r>
                            <w:hyperlink r:id="rId26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2017</w:t>
                              </w:r>
                            </w:hyperlink>
                          </w:p>
                          <w:p w:rsidR="007F4BEF" w:rsidRPr="00F11843" w:rsidRDefault="007F4BE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873C8" w:rsidRPr="008235EC" w:rsidRDefault="0054146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E873C8" w:rsidRDefault="0054146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7F4BEF" w:rsidRPr="00F11843" w:rsidRDefault="007F4BE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E873C8" w:rsidRDefault="00E873C8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873C8" w:rsidRPr="008235EC" w:rsidRDefault="0054146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E873C8" w:rsidRPr="00F11843" w:rsidRDefault="0054146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E873C8" w:rsidRPr="00F11843" w:rsidRDefault="0054146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E873C8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E873C8" w:rsidRDefault="00E873C8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E873C8" w:rsidRPr="003B6350" w:rsidRDefault="00E873C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DMLKbK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E873C8" w:rsidRDefault="00E873C8" w:rsidP="00AB6D25">
                      <w:pPr>
                        <w:rPr>
                          <w:b/>
                        </w:rPr>
                      </w:pPr>
                    </w:p>
                    <w:p w:rsidR="00E873C8" w:rsidRDefault="00E873C8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873C8" w:rsidRPr="004E377B" w:rsidRDefault="00E873C8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4E377B"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"https://stat.gov.pl/en/topics/other-studies/informations-on-socio-economic-situation/statistical-bulletin-no-102018,4.html"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E873C8" w:rsidRPr="008235EC" w:rsidRDefault="00E873C8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Construction results in </w:t>
                      </w:r>
                      <w:hyperlink r:id="rId34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2017</w:t>
                        </w:r>
                      </w:hyperlink>
                    </w:p>
                    <w:p w:rsidR="007F4BEF" w:rsidRPr="00F11843" w:rsidRDefault="007F4BE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873C8" w:rsidRPr="008235EC" w:rsidRDefault="00DC285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E873C8" w:rsidRDefault="00DC285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7F4BEF" w:rsidRPr="00F11843" w:rsidRDefault="007F4BE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E873C8" w:rsidRDefault="00E873C8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873C8" w:rsidRPr="008235EC" w:rsidRDefault="00DC285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E873C8" w:rsidRPr="00F11843" w:rsidRDefault="00DC285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9" w:history="1"/>
                    </w:p>
                    <w:p w:rsidR="00E873C8" w:rsidRPr="00F11843" w:rsidRDefault="00DC2850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40" w:history="1">
                        <w:r w:rsidR="00E873C8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E873C8" w:rsidRDefault="00E873C8" w:rsidP="00000009">
                      <w:pPr>
                        <w:rPr>
                          <w:lang w:val="en-GB"/>
                        </w:rPr>
                      </w:pPr>
                    </w:p>
                    <w:p w:rsidR="00E873C8" w:rsidRPr="003B6350" w:rsidRDefault="00E873C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66" w:rsidRDefault="00541466" w:rsidP="000662E2">
      <w:pPr>
        <w:spacing w:after="0" w:line="240" w:lineRule="auto"/>
      </w:pPr>
      <w:r>
        <w:separator/>
      </w:r>
    </w:p>
  </w:endnote>
  <w:endnote w:type="continuationSeparator" w:id="0">
    <w:p w:rsidR="00541466" w:rsidRDefault="0054146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5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873C8" w:rsidRPr="007B4F73" w:rsidRDefault="00E873C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E873C8" w:rsidRDefault="00E873C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3C8" w:rsidRPr="00CC1C7C" w:rsidRDefault="00E873C8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66" w:rsidRDefault="00541466" w:rsidP="000662E2">
      <w:pPr>
        <w:spacing w:after="0" w:line="240" w:lineRule="auto"/>
      </w:pPr>
      <w:r>
        <w:separator/>
      </w:r>
    </w:p>
  </w:footnote>
  <w:footnote w:type="continuationSeparator" w:id="0">
    <w:p w:rsidR="00541466" w:rsidRDefault="00541466" w:rsidP="000662E2">
      <w:pPr>
        <w:spacing w:after="0" w:line="240" w:lineRule="auto"/>
      </w:pPr>
      <w:r>
        <w:continuationSeparator/>
      </w:r>
    </w:p>
  </w:footnote>
  <w:footnote w:id="1">
    <w:p w:rsidR="00E873C8" w:rsidRPr="00A05A3A" w:rsidRDefault="00E873C8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E873C8" w:rsidRPr="009046F6" w:rsidRDefault="00E873C8" w:rsidP="009046F6">
      <w:pPr>
        <w:rPr>
          <w:rFonts w:ascii="Fira Sans Light" w:hAnsi="Fira Sans Light"/>
          <w:b/>
          <w:bCs/>
          <w:sz w:val="14"/>
          <w:szCs w:val="14"/>
          <w:lang w:val="en-GB"/>
        </w:rPr>
      </w:pPr>
      <w:r>
        <w:rPr>
          <w:rStyle w:val="Odwoanieprzypisudolnego"/>
        </w:rPr>
        <w:footnoteRef/>
      </w:r>
      <w:r w:rsidRPr="00C733A3">
        <w:rPr>
          <w:lang w:val="en-GB"/>
        </w:rPr>
        <w:t xml:space="preserve"> </w:t>
      </w:r>
      <w:r w:rsidRPr="00C733A3">
        <w:rPr>
          <w:bCs/>
          <w:sz w:val="14"/>
          <w:szCs w:val="14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837231" w:rsidRPr="00207BF8" w:rsidRDefault="00837231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07BF8">
        <w:rPr>
          <w:lang w:val="en-GB"/>
        </w:rPr>
        <w:t xml:space="preserve"> </w:t>
      </w:r>
      <w:r>
        <w:rPr>
          <w:sz w:val="14"/>
          <w:szCs w:val="14"/>
          <w:lang w:val="en-GB"/>
        </w:rPr>
        <w:t>R</w:t>
      </w:r>
      <w:r w:rsidRPr="009046F6">
        <w:rPr>
          <w:sz w:val="14"/>
          <w:szCs w:val="14"/>
          <w:lang w:val="en-GB"/>
        </w:rPr>
        <w:t xml:space="preserve">ealised by various investors with the purpose of short </w:t>
      </w:r>
      <w:r>
        <w:rPr>
          <w:sz w:val="14"/>
          <w:szCs w:val="14"/>
          <w:lang w:val="en-GB"/>
        </w:rPr>
        <w:t>or</w:t>
      </w:r>
      <w:r w:rsidRPr="009046F6">
        <w:rPr>
          <w:sz w:val="14"/>
          <w:szCs w:val="14"/>
          <w:lang w:val="en-GB"/>
        </w:rPr>
        <w:t xml:space="preserve"> long term rent of dwellings, also based on the institutional lease </w:t>
      </w:r>
      <w:r>
        <w:rPr>
          <w:sz w:val="14"/>
          <w:szCs w:val="14"/>
          <w:lang w:val="en-GB"/>
        </w:rPr>
        <w:t>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E873C8" w:rsidRDefault="00E873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820FB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0FB9" w:rsidRPr="00C97596" w:rsidRDefault="00436B47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24.06</w:t>
                          </w:r>
                          <w:r w:rsidR="00820FB9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820FB9" w:rsidRPr="00C97596" w:rsidRDefault="00436B47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24.06</w:t>
                    </w:r>
                    <w:r w:rsidR="00820FB9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 w:rsidR="00527BA1"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73C8" w:rsidRPr="003C6C8D" w:rsidRDefault="00E873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873C8" w:rsidRPr="003C6C8D" w:rsidRDefault="00E873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E873C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E873C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3C8" w:rsidRPr="00C97596" w:rsidRDefault="007715B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</w:t>
                          </w:r>
                          <w:r w:rsidR="00E873C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873C8" w:rsidRPr="00C97596" w:rsidRDefault="007715B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 w:rsidR="00E873C8">
                      <w:rPr>
                        <w:rFonts w:ascii="Fira Sans SemiBold" w:hAnsi="Fira Sans SemiBold"/>
                        <w:color w:val="001D77"/>
                      </w:rPr>
                      <w:t xml:space="preserve">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C8" w:rsidRDefault="00E873C8">
    <w:pPr>
      <w:pStyle w:val="Nagwek"/>
    </w:pPr>
  </w:p>
  <w:p w:rsidR="00E873C8" w:rsidRDefault="00E873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45pt;height:125.85pt;visibility:visible;mso-wrap-style:square" o:bullet="t">
        <v:imagedata r:id="rId1" o:title=""/>
      </v:shape>
    </w:pict>
  </w:numPicBullet>
  <w:numPicBullet w:numPicBulletId="1">
    <w:pict>
      <v:shape id="_x0000_i1035" type="#_x0000_t75" style="width:125.3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271FB"/>
    <w:rsid w:val="0003236F"/>
    <w:rsid w:val="000411F6"/>
    <w:rsid w:val="000441C0"/>
    <w:rsid w:val="000457C6"/>
    <w:rsid w:val="0004582E"/>
    <w:rsid w:val="000470AA"/>
    <w:rsid w:val="0005122F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4380"/>
    <w:rsid w:val="001A53F4"/>
    <w:rsid w:val="001A6EC1"/>
    <w:rsid w:val="001B1CE5"/>
    <w:rsid w:val="001B4A86"/>
    <w:rsid w:val="001C1808"/>
    <w:rsid w:val="001C3269"/>
    <w:rsid w:val="001C3694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787"/>
    <w:rsid w:val="00216F21"/>
    <w:rsid w:val="00217D5E"/>
    <w:rsid w:val="00224A09"/>
    <w:rsid w:val="00224D54"/>
    <w:rsid w:val="00237220"/>
    <w:rsid w:val="002452B8"/>
    <w:rsid w:val="00246441"/>
    <w:rsid w:val="00254D71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811"/>
    <w:rsid w:val="00282699"/>
    <w:rsid w:val="00291BB9"/>
    <w:rsid w:val="002924CF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46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25BB"/>
    <w:rsid w:val="004045B4"/>
    <w:rsid w:val="004130BC"/>
    <w:rsid w:val="0042048D"/>
    <w:rsid w:val="004212E7"/>
    <w:rsid w:val="004231A6"/>
    <w:rsid w:val="0042446D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5619"/>
    <w:rsid w:val="00485E73"/>
    <w:rsid w:val="004862B6"/>
    <w:rsid w:val="0049056D"/>
    <w:rsid w:val="0049115E"/>
    <w:rsid w:val="004949CA"/>
    <w:rsid w:val="00495B6E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1466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44FF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0A0B"/>
    <w:rsid w:val="00710C03"/>
    <w:rsid w:val="00713DD1"/>
    <w:rsid w:val="0071467D"/>
    <w:rsid w:val="0071658F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4BEF"/>
    <w:rsid w:val="007F6B07"/>
    <w:rsid w:val="007F7483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6332"/>
    <w:rsid w:val="00887F70"/>
    <w:rsid w:val="00891CF0"/>
    <w:rsid w:val="008948E4"/>
    <w:rsid w:val="00896EB9"/>
    <w:rsid w:val="008A1C80"/>
    <w:rsid w:val="008A26D9"/>
    <w:rsid w:val="008A58C2"/>
    <w:rsid w:val="008B3CA0"/>
    <w:rsid w:val="008C0C29"/>
    <w:rsid w:val="008C0EBD"/>
    <w:rsid w:val="008C167A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64CD"/>
    <w:rsid w:val="0096740A"/>
    <w:rsid w:val="009705EE"/>
    <w:rsid w:val="009729CD"/>
    <w:rsid w:val="00972B83"/>
    <w:rsid w:val="00975A71"/>
    <w:rsid w:val="00977927"/>
    <w:rsid w:val="00980EA5"/>
    <w:rsid w:val="0098135C"/>
    <w:rsid w:val="0098156A"/>
    <w:rsid w:val="00983BE8"/>
    <w:rsid w:val="0098487F"/>
    <w:rsid w:val="009918AB"/>
    <w:rsid w:val="00991BAC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F09"/>
    <w:rsid w:val="00BC4AAD"/>
    <w:rsid w:val="00BC514E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F0172"/>
    <w:rsid w:val="00CF36C5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7D4D"/>
    <w:rsid w:val="00E641D0"/>
    <w:rsid w:val="00E661E4"/>
    <w:rsid w:val="00E664C5"/>
    <w:rsid w:val="00E671A2"/>
    <w:rsid w:val="00E67A9D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tat.gov.pl/en/topics/industry-construction-fixed-assets/construction/construction-results-in-2017,1,11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topics/industry-construction-fixed-assets/construction/construction-results-in-2017,1,11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en/metainformations/glossary/terms-used-in-official-statistics/3763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://stat.gov.pl/en/metainformations/glossary/terms-used-in-official-statistics/3763,term.html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waid.stat.gov.pl/EN/SitePagesDBW/Budownictwo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3" Type="http://schemas.openxmlformats.org/officeDocument/2006/relationships/hyperlink" Target="https://stat.gov.pl/en/topics/other-studies/informations-on-socio-economic-situation/socio-economic-situation-of-the-country-in-january-2019,1.html" TargetMode="External"/><Relationship Id="rId38" Type="http://schemas.openxmlformats.org/officeDocument/2006/relationships/hyperlink" Target="http://stat.gov.pl/en/metainformations/glossary/terms-used-in-official-statistics/945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85916322447399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Arkusz1!$B$4:$AP$4</c:f>
              <c:numCache>
                <c:formatCode>General</c:formatCode>
                <c:ptCount val="41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Arkusz1!$B$16:$AP$16</c:f>
              <c:numCache>
                <c:formatCode>General</c:formatCode>
                <c:ptCount val="41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26984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Arkusz1!$B$10:$AP$10</c:f>
              <c:numCache>
                <c:formatCode>General</c:formatCode>
                <c:ptCount val="41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671824"/>
        <c:axId val="434682160"/>
      </c:lineChart>
      <c:catAx>
        <c:axId val="43467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3468216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43468216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3467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859113975572693E-2"/>
          <c:y val="0.81451663780122718"/>
          <c:w val="0.87178521613768156"/>
          <c:h val="0.157172615327845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1538</c:v>
                </c:pt>
                <c:pt idx="1">
                  <c:v>1665</c:v>
                </c:pt>
                <c:pt idx="2">
                  <c:v>2688</c:v>
                </c:pt>
                <c:pt idx="3">
                  <c:v>2499</c:v>
                </c:pt>
                <c:pt idx="4">
                  <c:v>3538</c:v>
                </c:pt>
                <c:pt idx="5">
                  <c:v>4260</c:v>
                </c:pt>
                <c:pt idx="6">
                  <c:v>4296</c:v>
                </c:pt>
                <c:pt idx="7">
                  <c:v>3750</c:v>
                </c:pt>
                <c:pt idx="8">
                  <c:v>3362</c:v>
                </c:pt>
                <c:pt idx="9">
                  <c:v>5525</c:v>
                </c:pt>
                <c:pt idx="10">
                  <c:v>7574</c:v>
                </c:pt>
                <c:pt idx="11">
                  <c:v>8849</c:v>
                </c:pt>
                <c:pt idx="12">
                  <c:v>10590</c:v>
                </c:pt>
                <c:pt idx="13">
                  <c:v>11595</c:v>
                </c:pt>
                <c:pt idx="14">
                  <c:v>8098</c:v>
                </c:pt>
                <c:pt idx="15">
                  <c:v>16609</c:v>
                </c:pt>
              </c:numCache>
            </c:numRef>
          </c:val>
        </c:ser>
        <c:ser>
          <c:idx val="1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1825</c:v>
                </c:pt>
                <c:pt idx="1">
                  <c:v>1782</c:v>
                </c:pt>
                <c:pt idx="2">
                  <c:v>2574</c:v>
                </c:pt>
                <c:pt idx="3">
                  <c:v>3260</c:v>
                </c:pt>
                <c:pt idx="4">
                  <c:v>3711</c:v>
                </c:pt>
                <c:pt idx="5">
                  <c:v>4935</c:v>
                </c:pt>
                <c:pt idx="6">
                  <c:v>4152</c:v>
                </c:pt>
                <c:pt idx="7">
                  <c:v>4140</c:v>
                </c:pt>
                <c:pt idx="8">
                  <c:v>4661</c:v>
                </c:pt>
                <c:pt idx="9">
                  <c:v>5070</c:v>
                </c:pt>
                <c:pt idx="10">
                  <c:v>8894</c:v>
                </c:pt>
                <c:pt idx="11">
                  <c:v>10714</c:v>
                </c:pt>
                <c:pt idx="12">
                  <c:v>11516</c:v>
                </c:pt>
                <c:pt idx="13">
                  <c:v>12971</c:v>
                </c:pt>
                <c:pt idx="14">
                  <c:v>8512</c:v>
                </c:pt>
                <c:pt idx="15">
                  <c:v>18306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866</c:v>
                </c:pt>
                <c:pt idx="1">
                  <c:v>1426</c:v>
                </c:pt>
                <c:pt idx="2">
                  <c:v>1649</c:v>
                </c:pt>
                <c:pt idx="3">
                  <c:v>2027</c:v>
                </c:pt>
                <c:pt idx="4">
                  <c:v>2042</c:v>
                </c:pt>
                <c:pt idx="5">
                  <c:v>3082</c:v>
                </c:pt>
                <c:pt idx="6">
                  <c:v>3309</c:v>
                </c:pt>
                <c:pt idx="7">
                  <c:v>3316</c:v>
                </c:pt>
                <c:pt idx="8">
                  <c:v>3470</c:v>
                </c:pt>
                <c:pt idx="9">
                  <c:v>4246</c:v>
                </c:pt>
                <c:pt idx="10">
                  <c:v>5207</c:v>
                </c:pt>
                <c:pt idx="11">
                  <c:v>6742</c:v>
                </c:pt>
                <c:pt idx="12">
                  <c:v>7612</c:v>
                </c:pt>
                <c:pt idx="13">
                  <c:v>7759</c:v>
                </c:pt>
                <c:pt idx="14">
                  <c:v>9631</c:v>
                </c:pt>
                <c:pt idx="15">
                  <c:v>16949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4672912"/>
        <c:axId val="434683248"/>
      </c:barChart>
      <c:catAx>
        <c:axId val="43467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34683248"/>
        <c:crosses val="autoZero"/>
        <c:auto val="1"/>
        <c:lblAlgn val="ctr"/>
        <c:lblOffset val="100"/>
        <c:noMultiLvlLbl val="0"/>
      </c:catAx>
      <c:valAx>
        <c:axId val="434683248"/>
        <c:scaling>
          <c:orientation val="minMax"/>
          <c:max val="2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4672912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3253632487927964"/>
          <c:w val="0.83688211129506873"/>
          <c:h val="0.137204180623830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E810EEC-D433-481B-B407-B12B52A5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2019</vt:lpstr>
    </vt:vector>
  </TitlesOfParts>
  <Company>Statistics Poland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2019</dc:title>
  <dc:creator>GUS</dc:creator>
  <cp:keywords>dwellings completed; dwellings under construction; dwellings started; building permit; useful floor area</cp:keywords>
  <cp:revision>2</cp:revision>
  <cp:lastPrinted>2019-05-22T10:01:00Z</cp:lastPrinted>
  <dcterms:created xsi:type="dcterms:W3CDTF">2019-06-21T12:28:00Z</dcterms:created>
  <dcterms:modified xsi:type="dcterms:W3CDTF">2019-06-21T12:28:00Z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