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B34C4C" w:rsidRDefault="001F1170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B34C4C">
        <w:rPr>
          <w:szCs w:val="32"/>
          <w:lang w:val="en-US"/>
        </w:rPr>
        <w:t>Residential con</w:t>
      </w:r>
      <w:bookmarkStart w:id="0" w:name="_GoBack"/>
      <w:bookmarkEnd w:id="0"/>
      <w:r w:rsidRPr="00B34C4C">
        <w:rPr>
          <w:szCs w:val="32"/>
          <w:lang w:val="en-US"/>
        </w:rPr>
        <w:t xml:space="preserve">struction </w:t>
      </w:r>
      <w:r w:rsidR="00A05A3A" w:rsidRPr="00B34C4C">
        <w:rPr>
          <w:rStyle w:val="Odwoanieprzypisudolnego"/>
          <w:szCs w:val="32"/>
          <w:lang w:val="en-US"/>
        </w:rPr>
        <w:footnoteReference w:id="1"/>
      </w:r>
      <w:r w:rsidRPr="00B34C4C">
        <w:rPr>
          <w:szCs w:val="32"/>
          <w:lang w:val="en-US"/>
        </w:rPr>
        <w:t xml:space="preserve"> in </w:t>
      </w:r>
      <w:r w:rsidR="00F54505">
        <w:rPr>
          <w:szCs w:val="32"/>
          <w:lang w:val="en-US"/>
        </w:rPr>
        <w:t>I-II</w:t>
      </w:r>
      <w:r w:rsidRPr="00B34C4C">
        <w:rPr>
          <w:szCs w:val="32"/>
          <w:lang w:val="en-US"/>
        </w:rPr>
        <w:t xml:space="preserve"> </w:t>
      </w:r>
      <w:r w:rsidR="00C733A3" w:rsidRPr="00B34C4C">
        <w:rPr>
          <w:szCs w:val="32"/>
          <w:shd w:val="clear" w:color="auto" w:fill="FFFFFF"/>
          <w:lang w:val="en-US"/>
        </w:rPr>
        <w:t>2019</w:t>
      </w:r>
    </w:p>
    <w:p w:rsidR="00393761" w:rsidRPr="00612A93" w:rsidRDefault="005F302D" w:rsidP="00074DD8">
      <w:pPr>
        <w:pStyle w:val="tytuinformacji"/>
        <w:rPr>
          <w:b/>
          <w:szCs w:val="40"/>
          <w:lang w:val="en-GB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C8" w:rsidRPr="004466B1" w:rsidRDefault="00E873C8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:rsidR="00E873C8" w:rsidRPr="004466B1" w:rsidRDefault="00E873C8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95A18" w:rsidRPr="002B1FCD" w:rsidRDefault="005F302D" w:rsidP="00896EB9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C8" w:rsidRPr="00612A93" w:rsidRDefault="00E873C8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" cy="335280"/>
                                  <wp:effectExtent l="0" t="0" r="7620" b="762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:rsidR="00E873C8" w:rsidRPr="00F64AC1" w:rsidRDefault="00E873C8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E873C8" w:rsidRPr="00612A93" w:rsidRDefault="00E873C8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:rsidR="00E873C8" w:rsidRPr="00F64AC1" w:rsidRDefault="00E873C8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C8" w:rsidRPr="00AB788D" w:rsidRDefault="00E873C8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420897" cy="384838"/>
                                  <wp:effectExtent l="19050" t="19050" r="0" b="0"/>
                                  <wp:docPr id="18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3375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7</w:t>
                            </w:r>
                            <w:r w:rsidRPr="00A3375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8</w:t>
                            </w:r>
                          </w:p>
                          <w:p w:rsidR="00E873C8" w:rsidRPr="00A519B5" w:rsidRDefault="00E873C8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number of dwellings </w:t>
                            </w:r>
                            <w:r>
                              <w:rPr>
                                <w:lang w:val="en-US"/>
                              </w:rPr>
                              <w:t>completed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:rsidR="00E873C8" w:rsidRPr="00AB788D" w:rsidRDefault="00E873C8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420897" cy="384838"/>
                            <wp:effectExtent l="19050" t="19050" r="0" b="0"/>
                            <wp:docPr id="18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3375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7</w:t>
                      </w:r>
                      <w:r w:rsidRPr="00A3375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8</w:t>
                      </w:r>
                    </w:p>
                    <w:p w:rsidR="00E873C8" w:rsidRPr="00A519B5" w:rsidRDefault="00E873C8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number of dwellings </w:t>
                      </w:r>
                      <w:r>
                        <w:rPr>
                          <w:lang w:val="en-US"/>
                        </w:rPr>
                        <w:t>completed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612A93">
        <w:rPr>
          <w:lang w:val="en-GB"/>
        </w:rPr>
        <w:t xml:space="preserve">In </w:t>
      </w:r>
      <w:r w:rsidR="00F54505">
        <w:rPr>
          <w:lang w:val="en-US"/>
        </w:rPr>
        <w:t xml:space="preserve">the first two months of </w:t>
      </w:r>
      <w:r w:rsidR="00C733A3">
        <w:rPr>
          <w:lang w:val="en-US"/>
        </w:rPr>
        <w:t>2019</w:t>
      </w:r>
      <w:r w:rsidR="00AD1492" w:rsidRPr="001E693A">
        <w:rPr>
          <w:lang w:val="en-US"/>
        </w:rPr>
        <w:t xml:space="preserve"> there were </w:t>
      </w:r>
      <w:r w:rsidR="00AD1492">
        <w:rPr>
          <w:lang w:val="en-US"/>
        </w:rPr>
        <w:t>more</w:t>
      </w:r>
      <w:r w:rsidR="00AD1492" w:rsidRPr="001E693A">
        <w:rPr>
          <w:lang w:val="en-US"/>
        </w:rPr>
        <w:t xml:space="preserve"> dwellings completed than the year before. </w:t>
      </w:r>
      <w:r w:rsidR="00095A18" w:rsidRPr="007323FA">
        <w:rPr>
          <w:lang w:val="en-US"/>
        </w:rPr>
        <w:t xml:space="preserve">The number of dwellings </w:t>
      </w:r>
      <w:r w:rsidR="00F54505">
        <w:rPr>
          <w:lang w:val="en-US"/>
        </w:rPr>
        <w:t>in which construction has</w:t>
      </w:r>
      <w:r w:rsidR="00435283">
        <w:rPr>
          <w:lang w:val="en-US"/>
        </w:rPr>
        <w:t xml:space="preserve"> begun </w:t>
      </w:r>
      <w:r w:rsidR="00F54505">
        <w:rPr>
          <w:lang w:val="en-US"/>
        </w:rPr>
        <w:t xml:space="preserve">also increased, </w:t>
      </w:r>
      <w:r w:rsidR="00F54505">
        <w:rPr>
          <w:spacing w:val="-4"/>
          <w:shd w:val="clear" w:color="auto" w:fill="FFFFFF"/>
          <w:lang w:val="en-US"/>
        </w:rPr>
        <w:t xml:space="preserve">whereas </w:t>
      </w:r>
      <w:r w:rsidR="00095A18" w:rsidRPr="007323FA">
        <w:rPr>
          <w:lang w:val="en-US"/>
        </w:rPr>
        <w:t xml:space="preserve">the number of </w:t>
      </w:r>
      <w:r w:rsidR="00F54505">
        <w:rPr>
          <w:lang w:val="en-US"/>
        </w:rPr>
        <w:t xml:space="preserve">dwellings </w:t>
      </w:r>
      <w:r w:rsidR="00F54505" w:rsidRPr="007323FA">
        <w:rPr>
          <w:lang w:val="en-US"/>
        </w:rPr>
        <w:t>for which permits have been granted or which have been registered with a construction proje</w:t>
      </w:r>
      <w:r w:rsidR="00F54505">
        <w:rPr>
          <w:lang w:val="en-US"/>
        </w:rPr>
        <w:t>c</w:t>
      </w:r>
      <w:r w:rsidR="00F54505" w:rsidRPr="007323FA">
        <w:rPr>
          <w:lang w:val="en-US"/>
        </w:rPr>
        <w:t>t</w:t>
      </w:r>
      <w:r w:rsidR="00095A18">
        <w:rPr>
          <w:lang w:val="en-US"/>
        </w:rPr>
        <w:t xml:space="preserve"> </w:t>
      </w:r>
      <w:r w:rsidR="00C733A3">
        <w:rPr>
          <w:lang w:val="en-US"/>
        </w:rPr>
        <w:t>de</w:t>
      </w:r>
      <w:r w:rsidR="00095A18">
        <w:rPr>
          <w:lang w:val="en-US"/>
        </w:rPr>
        <w:t>creased.</w:t>
      </w:r>
    </w:p>
    <w:p w:rsidR="0075636C" w:rsidRPr="00612A93" w:rsidRDefault="00074DD8" w:rsidP="00095A18">
      <w:pPr>
        <w:pStyle w:val="LID"/>
        <w:jc w:val="both"/>
        <w:rPr>
          <w:lang w:val="en-GB"/>
        </w:rPr>
      </w:pPr>
      <w:r w:rsidRPr="00612A93">
        <w:rPr>
          <w:shd w:val="clear" w:color="auto" w:fill="FFFFFF"/>
          <w:lang w:val="en-GB"/>
        </w:rPr>
        <w:t xml:space="preserve"> </w:t>
      </w:r>
    </w:p>
    <w:p w:rsidR="00C733A3" w:rsidRDefault="00C733A3" w:rsidP="009B0770">
      <w:pPr>
        <w:jc w:val="both"/>
        <w:rPr>
          <w:spacing w:val="-4"/>
          <w:shd w:val="clear" w:color="auto" w:fill="FFFFFF"/>
          <w:lang w:val="en-US"/>
        </w:rPr>
      </w:pPr>
    </w:p>
    <w:p w:rsidR="00C733A3" w:rsidRPr="00C733A3" w:rsidRDefault="00B407E7" w:rsidP="009B0770">
      <w:pPr>
        <w:jc w:val="both"/>
        <w:rPr>
          <w:b/>
          <w:spacing w:val="-4"/>
          <w:shd w:val="clear" w:color="auto" w:fill="FFFFFF"/>
          <w:lang w:val="en-US"/>
        </w:rPr>
      </w:pPr>
      <w:r>
        <w:rPr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page">
                  <wp:posOffset>5688428</wp:posOffset>
                </wp:positionH>
                <wp:positionV relativeFrom="paragraph">
                  <wp:posOffset>106680</wp:posOffset>
                </wp:positionV>
                <wp:extent cx="1678940" cy="1388745"/>
                <wp:effectExtent l="0" t="0" r="0" b="1905"/>
                <wp:wrapTight wrapText="bothSides">
                  <wp:wrapPolygon edited="0">
                    <wp:start x="735" y="0"/>
                    <wp:lineTo x="735" y="21333"/>
                    <wp:lineTo x="20832" y="21333"/>
                    <wp:lineTo x="20832" y="0"/>
                    <wp:lineTo x="73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1388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C8" w:rsidRPr="00AD1492" w:rsidRDefault="00E873C8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Developers completed 61.6% of total number of dwellings, i.e. 4.7 percentage points more than in the previous year, </w:t>
                            </w:r>
                            <w:r>
                              <w:rPr>
                                <w:spacing w:val="-4"/>
                                <w:shd w:val="clear" w:color="auto" w:fill="FFFFFF"/>
                                <w:lang w:val="en-US"/>
                              </w:rPr>
                              <w:t>whereas the share of private investors decreased by 4,6 percentage points to the level of 36,0%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47.9pt;margin-top:8.4pt;width:132.2pt;height:109.3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" filled="f" stroked="f">
                <v:textbox>
                  <w:txbxContent>
                    <w:p w:rsidR="00E873C8" w:rsidRPr="00AD1492" w:rsidRDefault="00E873C8" w:rsidP="00AD149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Developers completed 61.6% of total number of dwellings, i.e. 4.7 percentage points more than in the previous year, </w:t>
                      </w:r>
                      <w:r>
                        <w:rPr>
                          <w:spacing w:val="-4"/>
                          <w:shd w:val="clear" w:color="auto" w:fill="FFFFFF"/>
                          <w:lang w:val="en-US"/>
                        </w:rPr>
                        <w:t>whereas the share of private investors decreased by 4,6 percentage points to the level of 36,0%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733A3" w:rsidRPr="00C733A3">
        <w:rPr>
          <w:b/>
          <w:spacing w:val="-4"/>
          <w:shd w:val="clear" w:color="auto" w:fill="FFFFFF"/>
          <w:lang w:val="en-US"/>
        </w:rPr>
        <w:t>Dwellings completed</w:t>
      </w:r>
    </w:p>
    <w:p w:rsidR="0042048D" w:rsidRDefault="00A365AC" w:rsidP="00896EB9">
      <w:pPr>
        <w:rPr>
          <w:spacing w:val="-4"/>
          <w:shd w:val="clear" w:color="auto" w:fill="FFFFFF"/>
          <w:lang w:val="en-US"/>
        </w:rPr>
      </w:pPr>
      <w:r w:rsidRPr="00C733A3">
        <w:rPr>
          <w:b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>
                <wp:simplePos x="0" y="0"/>
                <wp:positionH relativeFrom="page">
                  <wp:posOffset>5711015</wp:posOffset>
                </wp:positionH>
                <wp:positionV relativeFrom="paragraph">
                  <wp:posOffset>1155700</wp:posOffset>
                </wp:positionV>
                <wp:extent cx="1743710" cy="8001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C8" w:rsidRPr="008E61BD" w:rsidRDefault="00E873C8" w:rsidP="008E61BD">
                            <w:pPr>
                              <w:pStyle w:val="tekstzboku"/>
                              <w:rPr>
                                <w:spacing w:val="-4"/>
                                <w:shd w:val="clear" w:color="auto" w:fill="FFFFFF"/>
                                <w:lang w:val="en-US"/>
                              </w:rPr>
                            </w:pPr>
                            <w:r w:rsidRPr="008E61BD">
                              <w:rPr>
                                <w:spacing w:val="-4"/>
                                <w:shd w:val="clear" w:color="auto" w:fill="FFFFFF"/>
                                <w:lang w:val="en-US"/>
                              </w:rPr>
                              <w:t xml:space="preserve">Average useful floor area of </w:t>
                            </w:r>
                            <w:r w:rsidRPr="008E61BD">
                              <w:rPr>
                                <w:spacing w:val="-4"/>
                                <w:shd w:val="clear" w:color="auto" w:fill="FFFFFF"/>
                                <w:lang w:val="en-US"/>
                              </w:rPr>
                              <w:br/>
                              <w:t>a dwelling in the period of I-II 2019 was 89.9 sq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49.7pt;margin-top:91pt;width:137.3pt;height:63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" filled="f" stroked="f">
                <v:textbox>
                  <w:txbxContent>
                    <w:p w:rsidR="00E873C8" w:rsidRPr="008E61BD" w:rsidRDefault="00E873C8" w:rsidP="008E61BD">
                      <w:pPr>
                        <w:pStyle w:val="tekstzboku"/>
                        <w:rPr>
                          <w:spacing w:val="-4"/>
                          <w:shd w:val="clear" w:color="auto" w:fill="FFFFFF"/>
                          <w:lang w:val="en-US"/>
                        </w:rPr>
                      </w:pPr>
                      <w:r w:rsidRPr="008E61BD">
                        <w:rPr>
                          <w:spacing w:val="-4"/>
                          <w:shd w:val="clear" w:color="auto" w:fill="FFFFFF"/>
                          <w:lang w:val="en-US"/>
                        </w:rPr>
                        <w:t xml:space="preserve">Average useful floor area of </w:t>
                      </w:r>
                      <w:r w:rsidRPr="008E61BD">
                        <w:rPr>
                          <w:spacing w:val="-4"/>
                          <w:shd w:val="clear" w:color="auto" w:fill="FFFFFF"/>
                          <w:lang w:val="en-US"/>
                        </w:rPr>
                        <w:br/>
                        <w:t>a dwelling in the period of I-II 2019 was 89.9 sq 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D1492" w:rsidRPr="00A33759">
        <w:rPr>
          <w:spacing w:val="-4"/>
          <w:shd w:val="clear" w:color="auto" w:fill="FFFFFF"/>
          <w:lang w:val="en-US"/>
        </w:rPr>
        <w:t xml:space="preserve">According </w:t>
      </w:r>
      <w:r w:rsidR="00C733A3" w:rsidRPr="00C733A3">
        <w:rPr>
          <w:spacing w:val="-4"/>
          <w:shd w:val="clear" w:color="auto" w:fill="FFFFFF"/>
          <w:lang w:val="en-US"/>
        </w:rPr>
        <w:t xml:space="preserve">to </w:t>
      </w:r>
      <w:r w:rsidR="00F54505">
        <w:rPr>
          <w:spacing w:val="-4"/>
          <w:shd w:val="clear" w:color="auto" w:fill="FFFFFF"/>
          <w:lang w:val="en-US"/>
        </w:rPr>
        <w:t xml:space="preserve">the </w:t>
      </w:r>
      <w:r w:rsidR="00111FD5" w:rsidRPr="00A33759">
        <w:rPr>
          <w:spacing w:val="-4"/>
          <w:shd w:val="clear" w:color="auto" w:fill="FFFFFF"/>
          <w:lang w:val="en-US"/>
        </w:rPr>
        <w:t xml:space="preserve">preliminary </w:t>
      </w:r>
      <w:r w:rsidR="0042048D">
        <w:rPr>
          <w:spacing w:val="-4"/>
          <w:shd w:val="clear" w:color="auto" w:fill="FFFFFF"/>
          <w:lang w:val="en-US"/>
        </w:rPr>
        <w:t>data, 32.</w:t>
      </w:r>
      <w:r w:rsidR="00F54505">
        <w:rPr>
          <w:spacing w:val="-4"/>
          <w:shd w:val="clear" w:color="auto" w:fill="FFFFFF"/>
          <w:lang w:val="en-US"/>
        </w:rPr>
        <w:t>3</w:t>
      </w:r>
      <w:r w:rsidR="00C733A3" w:rsidRPr="00C733A3">
        <w:rPr>
          <w:spacing w:val="-4"/>
          <w:shd w:val="clear" w:color="auto" w:fill="FFFFFF"/>
          <w:lang w:val="en-US"/>
        </w:rPr>
        <w:t xml:space="preserve"> thous. dwellings were co</w:t>
      </w:r>
      <w:r w:rsidR="009664CD">
        <w:rPr>
          <w:spacing w:val="-4"/>
          <w:shd w:val="clear" w:color="auto" w:fill="FFFFFF"/>
          <w:lang w:val="en-US"/>
        </w:rPr>
        <w:t xml:space="preserve">mpleted in </w:t>
      </w:r>
      <w:r w:rsidR="00F54505">
        <w:rPr>
          <w:spacing w:val="-4"/>
          <w:shd w:val="clear" w:color="auto" w:fill="FFFFFF"/>
          <w:lang w:val="en-US"/>
        </w:rPr>
        <w:t>the period of January-February</w:t>
      </w:r>
      <w:r w:rsidR="009664CD">
        <w:rPr>
          <w:spacing w:val="-4"/>
          <w:shd w:val="clear" w:color="auto" w:fill="FFFFFF"/>
          <w:lang w:val="en-US"/>
        </w:rPr>
        <w:t xml:space="preserve"> 2019, i.e. by </w:t>
      </w:r>
      <w:r w:rsidR="00F54505">
        <w:rPr>
          <w:spacing w:val="-4"/>
          <w:shd w:val="clear" w:color="auto" w:fill="FFFFFF"/>
          <w:lang w:val="en-US"/>
        </w:rPr>
        <w:t>7</w:t>
      </w:r>
      <w:r w:rsidR="0042048D">
        <w:rPr>
          <w:spacing w:val="-4"/>
          <w:shd w:val="clear" w:color="auto" w:fill="FFFFFF"/>
          <w:lang w:val="en-US"/>
        </w:rPr>
        <w:t>.</w:t>
      </w:r>
      <w:r w:rsidR="00F54505">
        <w:rPr>
          <w:spacing w:val="-4"/>
          <w:shd w:val="clear" w:color="auto" w:fill="FFFFFF"/>
          <w:lang w:val="en-US"/>
        </w:rPr>
        <w:t>8</w:t>
      </w:r>
      <w:r w:rsidR="00C733A3" w:rsidRPr="00C733A3">
        <w:rPr>
          <w:spacing w:val="-4"/>
          <w:shd w:val="clear" w:color="auto" w:fill="FFFFFF"/>
          <w:lang w:val="en-US"/>
        </w:rPr>
        <w:t>% more than a year ago.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b/>
          <w:spacing w:val="-4"/>
          <w:shd w:val="clear" w:color="auto" w:fill="FFFFFF"/>
          <w:lang w:val="en-US"/>
        </w:rPr>
        <w:t>Developers</w:t>
      </w:r>
      <w:r w:rsidR="00C733A3">
        <w:rPr>
          <w:rStyle w:val="Odwoanieprzypisudolnego"/>
          <w:spacing w:val="-4"/>
          <w:shd w:val="clear" w:color="auto" w:fill="FFFFFF"/>
          <w:lang w:val="en-US"/>
        </w:rPr>
        <w:footnoteReference w:id="2"/>
      </w:r>
      <w:r w:rsidR="00C733A3" w:rsidRPr="00C733A3">
        <w:rPr>
          <w:spacing w:val="-4"/>
          <w:shd w:val="clear" w:color="auto" w:fill="FFFFFF"/>
          <w:lang w:val="en-US"/>
        </w:rPr>
        <w:t xml:space="preserve"> completed </w:t>
      </w:r>
      <w:r w:rsidR="00F54505">
        <w:rPr>
          <w:spacing w:val="-4"/>
          <w:shd w:val="clear" w:color="auto" w:fill="FFFFFF"/>
          <w:lang w:val="en-US"/>
        </w:rPr>
        <w:t>19.9 thous. dwellings (16.7</w:t>
      </w:r>
      <w:r w:rsidR="00C733A3" w:rsidRPr="00C733A3">
        <w:rPr>
          <w:spacing w:val="-4"/>
          <w:shd w:val="clear" w:color="auto" w:fill="FFFFFF"/>
          <w:lang w:val="en-US"/>
        </w:rPr>
        <w:t xml:space="preserve">% more than in the </w:t>
      </w:r>
      <w:r w:rsidR="009664CD">
        <w:rPr>
          <w:spacing w:val="-4"/>
          <w:shd w:val="clear" w:color="auto" w:fill="FFFFFF"/>
          <w:lang w:val="en-US"/>
        </w:rPr>
        <w:t>corresponding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F54505">
        <w:rPr>
          <w:spacing w:val="-4"/>
          <w:shd w:val="clear" w:color="auto" w:fill="FFFFFF"/>
          <w:lang w:val="en-US"/>
        </w:rPr>
        <w:t>period</w:t>
      </w:r>
      <w:r w:rsidR="00C733A3">
        <w:rPr>
          <w:spacing w:val="-4"/>
          <w:shd w:val="clear" w:color="auto" w:fill="FFFFFF"/>
          <w:lang w:val="en-US"/>
        </w:rPr>
        <w:t xml:space="preserve"> of the previous year), whereas </w:t>
      </w:r>
      <w:r w:rsidR="00C733A3" w:rsidRPr="00054314">
        <w:rPr>
          <w:b/>
          <w:spacing w:val="-4"/>
          <w:shd w:val="clear" w:color="auto" w:fill="FFFFFF"/>
          <w:lang w:val="en-US"/>
        </w:rPr>
        <w:t>private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C733A3" w:rsidRPr="00054314">
        <w:rPr>
          <w:b/>
          <w:spacing w:val="-4"/>
          <w:shd w:val="clear" w:color="auto" w:fill="FFFFFF"/>
          <w:lang w:val="en-US"/>
        </w:rPr>
        <w:t>investors</w:t>
      </w:r>
      <w:r w:rsidR="00C733A3" w:rsidRPr="00054314">
        <w:rPr>
          <w:spacing w:val="-4"/>
          <w:shd w:val="clear" w:color="auto" w:fill="FFFFFF"/>
          <w:vertAlign w:val="superscript"/>
          <w:lang w:val="en-US"/>
        </w:rPr>
        <w:t>b</w:t>
      </w:r>
      <w:r w:rsidR="00F54505">
        <w:rPr>
          <w:spacing w:val="-4"/>
          <w:shd w:val="clear" w:color="auto" w:fill="FFFFFF"/>
          <w:lang w:val="en-US"/>
        </w:rPr>
        <w:t xml:space="preserve"> completed 11.6</w:t>
      </w:r>
      <w:r w:rsidR="00C733A3" w:rsidRPr="00C733A3">
        <w:rPr>
          <w:spacing w:val="-4"/>
          <w:shd w:val="clear" w:color="auto" w:fill="FFFFFF"/>
          <w:lang w:val="en-US"/>
        </w:rPr>
        <w:t xml:space="preserve"> thous. dwellings, </w:t>
      </w:r>
      <w:r w:rsidR="009664CD">
        <w:rPr>
          <w:spacing w:val="-4"/>
          <w:shd w:val="clear" w:color="auto" w:fill="FFFFFF"/>
          <w:lang w:val="en-US"/>
        </w:rPr>
        <w:t xml:space="preserve">i.e. by </w:t>
      </w:r>
      <w:r w:rsidR="00435283">
        <w:rPr>
          <w:spacing w:val="-4"/>
          <w:shd w:val="clear" w:color="auto" w:fill="FFFFFF"/>
          <w:lang w:val="en-US"/>
        </w:rPr>
        <w:t>4.4</w:t>
      </w:r>
      <w:r w:rsidR="00C733A3" w:rsidRPr="00C733A3">
        <w:rPr>
          <w:spacing w:val="-4"/>
          <w:shd w:val="clear" w:color="auto" w:fill="FFFFFF"/>
          <w:lang w:val="en-US"/>
        </w:rPr>
        <w:t xml:space="preserve">% less than in </w:t>
      </w:r>
      <w:r w:rsidR="00F54505">
        <w:rPr>
          <w:spacing w:val="-4"/>
          <w:shd w:val="clear" w:color="auto" w:fill="FFFFFF"/>
          <w:lang w:val="en-US"/>
        </w:rPr>
        <w:t xml:space="preserve">2018. Within these forms of </w:t>
      </w:r>
      <w:r w:rsidR="00435283">
        <w:rPr>
          <w:spacing w:val="-4"/>
          <w:shd w:val="clear" w:color="auto" w:fill="FFFFFF"/>
          <w:lang w:val="en-US"/>
        </w:rPr>
        <w:t xml:space="preserve">construction, </w:t>
      </w:r>
      <w:r w:rsidR="0042048D">
        <w:rPr>
          <w:spacing w:val="-4"/>
          <w:shd w:val="clear" w:color="auto" w:fill="FFFFFF"/>
          <w:lang w:val="en-US"/>
        </w:rPr>
        <w:t>97.6</w:t>
      </w:r>
      <w:r w:rsidR="00C733A3" w:rsidRPr="00C733A3">
        <w:rPr>
          <w:spacing w:val="-4"/>
          <w:shd w:val="clear" w:color="auto" w:fill="FFFFFF"/>
          <w:lang w:val="en-US"/>
        </w:rPr>
        <w:t>% of a total number of comple</w:t>
      </w:r>
      <w:r w:rsidR="001C1808">
        <w:rPr>
          <w:spacing w:val="-4"/>
          <w:shd w:val="clear" w:color="auto" w:fill="FFFFFF"/>
          <w:lang w:val="en-US"/>
        </w:rPr>
        <w:t>ted dwellings was built</w:t>
      </w:r>
      <w:r w:rsidR="00C733A3" w:rsidRPr="00C733A3">
        <w:rPr>
          <w:spacing w:val="-4"/>
          <w:shd w:val="clear" w:color="auto" w:fill="FFFFFF"/>
          <w:lang w:val="en-US"/>
        </w:rPr>
        <w:t xml:space="preserve">. Less dwellings than a year ago were completed within </w:t>
      </w:r>
      <w:r w:rsidR="00C733A3" w:rsidRPr="00435283">
        <w:rPr>
          <w:b/>
          <w:spacing w:val="-4"/>
          <w:shd w:val="clear" w:color="auto" w:fill="FFFFFF"/>
          <w:lang w:val="en-US"/>
        </w:rPr>
        <w:t>cooperative</w:t>
      </w:r>
      <w:r w:rsidR="00C733A3" w:rsidRPr="00C733A3">
        <w:rPr>
          <w:spacing w:val="-4"/>
          <w:shd w:val="clear" w:color="auto" w:fill="FFFFFF"/>
          <w:lang w:val="en-US"/>
        </w:rPr>
        <w:t xml:space="preserve"> construction (</w:t>
      </w:r>
      <w:r w:rsidR="0042048D">
        <w:rPr>
          <w:spacing w:val="-4"/>
          <w:shd w:val="clear" w:color="auto" w:fill="FFFFFF"/>
          <w:lang w:val="en-US"/>
        </w:rPr>
        <w:t>223</w:t>
      </w:r>
      <w:r w:rsidR="00C733A3" w:rsidRPr="00C733A3">
        <w:rPr>
          <w:spacing w:val="-4"/>
          <w:shd w:val="clear" w:color="auto" w:fill="FFFFFF"/>
          <w:lang w:val="en-US"/>
        </w:rPr>
        <w:t xml:space="preserve"> compared to </w:t>
      </w:r>
      <w:r w:rsidR="0042048D">
        <w:rPr>
          <w:spacing w:val="-4"/>
          <w:shd w:val="clear" w:color="auto" w:fill="FFFFFF"/>
          <w:lang w:val="en-US"/>
        </w:rPr>
        <w:t>351</w:t>
      </w:r>
      <w:r w:rsidR="00C733A3" w:rsidRPr="00C733A3">
        <w:rPr>
          <w:spacing w:val="-4"/>
          <w:shd w:val="clear" w:color="auto" w:fill="FFFFFF"/>
          <w:lang w:val="en-US"/>
        </w:rPr>
        <w:t xml:space="preserve"> dw</w:t>
      </w:r>
      <w:r w:rsidR="003A358E">
        <w:rPr>
          <w:spacing w:val="-4"/>
          <w:shd w:val="clear" w:color="auto" w:fill="FFFFFF"/>
          <w:lang w:val="en-US"/>
        </w:rPr>
        <w:t xml:space="preserve">ellings). In </w:t>
      </w:r>
      <w:r w:rsidR="003A358E" w:rsidRPr="00435283">
        <w:rPr>
          <w:b/>
          <w:spacing w:val="-4"/>
          <w:shd w:val="clear" w:color="auto" w:fill="FFFFFF"/>
          <w:lang w:val="en-US"/>
        </w:rPr>
        <w:t>other forms</w:t>
      </w:r>
      <w:r w:rsidR="003A358E">
        <w:rPr>
          <w:spacing w:val="-4"/>
          <w:shd w:val="clear" w:color="auto" w:fill="FFFFFF"/>
          <w:lang w:val="en-US"/>
        </w:rPr>
        <w:t xml:space="preserve"> of </w:t>
      </w:r>
      <w:r w:rsidR="00C733A3" w:rsidRPr="00C733A3">
        <w:rPr>
          <w:spacing w:val="-4"/>
          <w:shd w:val="clear" w:color="auto" w:fill="FFFFFF"/>
          <w:lang w:val="en-US"/>
        </w:rPr>
        <w:t>construction (municipal</w:t>
      </w:r>
      <w:r w:rsidR="0042048D">
        <w:rPr>
          <w:spacing w:val="-4"/>
          <w:shd w:val="clear" w:color="auto" w:fill="FFFFFF"/>
          <w:lang w:val="en-US"/>
        </w:rPr>
        <w:t xml:space="preserve">, </w:t>
      </w:r>
      <w:r w:rsidR="0042048D" w:rsidRPr="00C733A3">
        <w:rPr>
          <w:spacing w:val="-4"/>
          <w:shd w:val="clear" w:color="auto" w:fill="FFFFFF"/>
          <w:lang w:val="en-US"/>
        </w:rPr>
        <w:t xml:space="preserve">public building society </w:t>
      </w:r>
      <w:r w:rsidR="002B1FCD">
        <w:rPr>
          <w:spacing w:val="-4"/>
          <w:shd w:val="clear" w:color="auto" w:fill="FFFFFF"/>
          <w:lang w:val="en-US"/>
        </w:rPr>
        <w:t>and company construction)</w:t>
      </w:r>
      <w:r w:rsidR="00C733A3" w:rsidRPr="00C733A3">
        <w:rPr>
          <w:spacing w:val="-4"/>
          <w:shd w:val="clear" w:color="auto" w:fill="FFFFFF"/>
          <w:lang w:val="en-US"/>
        </w:rPr>
        <w:t xml:space="preserve"> </w:t>
      </w:r>
      <w:r w:rsidR="0042048D">
        <w:rPr>
          <w:spacing w:val="-4"/>
          <w:shd w:val="clear" w:color="auto" w:fill="FFFFFF"/>
          <w:lang w:val="en-US"/>
        </w:rPr>
        <w:t>547</w:t>
      </w:r>
      <w:r w:rsidR="00C733A3" w:rsidRPr="00C733A3">
        <w:rPr>
          <w:spacing w:val="-4"/>
          <w:shd w:val="clear" w:color="auto" w:fill="FFFFFF"/>
          <w:lang w:val="en-US"/>
        </w:rPr>
        <w:t xml:space="preserve"> dwellings were complete</w:t>
      </w:r>
      <w:r w:rsidR="0043577A">
        <w:rPr>
          <w:spacing w:val="-4"/>
          <w:shd w:val="clear" w:color="auto" w:fill="FFFFFF"/>
          <w:lang w:val="en-US"/>
        </w:rPr>
        <w:t>d</w:t>
      </w:r>
      <w:r w:rsidR="00C733A3" w:rsidRPr="00C733A3">
        <w:rPr>
          <w:spacing w:val="-4"/>
          <w:shd w:val="clear" w:color="auto" w:fill="FFFFFF"/>
          <w:lang w:val="en-US"/>
        </w:rPr>
        <w:t xml:space="preserve"> in total, </w:t>
      </w:r>
      <w:r w:rsidR="009664CD">
        <w:rPr>
          <w:spacing w:val="-4"/>
          <w:shd w:val="clear" w:color="auto" w:fill="FFFFFF"/>
          <w:lang w:val="en-US"/>
        </w:rPr>
        <w:t>i.e. by</w:t>
      </w:r>
      <w:r w:rsidR="00C733A3" w:rsidRPr="00C733A3">
        <w:rPr>
          <w:spacing w:val="-4"/>
          <w:shd w:val="clear" w:color="auto" w:fill="FFFFFF"/>
          <w:lang w:val="en-US"/>
        </w:rPr>
        <w:t xml:space="preserve"> 3</w:t>
      </w:r>
      <w:r w:rsidR="0042048D">
        <w:rPr>
          <w:spacing w:val="-4"/>
          <w:shd w:val="clear" w:color="auto" w:fill="FFFFFF"/>
          <w:lang w:val="en-US"/>
        </w:rPr>
        <w:t>2.8</w:t>
      </w:r>
      <w:r w:rsidR="00C733A3" w:rsidRPr="00C733A3">
        <w:rPr>
          <w:spacing w:val="-4"/>
          <w:shd w:val="clear" w:color="auto" w:fill="FFFFFF"/>
          <w:lang w:val="en-US"/>
        </w:rPr>
        <w:t>% more than a year ago</w:t>
      </w:r>
      <w:r w:rsidR="0042048D">
        <w:rPr>
          <w:spacing w:val="-4"/>
          <w:shd w:val="clear" w:color="auto" w:fill="FFFFFF"/>
          <w:lang w:val="en-US"/>
        </w:rPr>
        <w:t>.</w:t>
      </w:r>
    </w:p>
    <w:p w:rsidR="00054314" w:rsidRDefault="000A7C88" w:rsidP="00896EB9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Total useful floor area of dwellings completed in </w:t>
      </w:r>
      <w:r w:rsidR="0042048D">
        <w:rPr>
          <w:shd w:val="clear" w:color="auto" w:fill="FFFFFF"/>
          <w:lang w:val="en-US"/>
        </w:rPr>
        <w:t>the period of two months of</w:t>
      </w:r>
      <w:r w:rsidR="00054314">
        <w:rPr>
          <w:shd w:val="clear" w:color="auto" w:fill="FFFFFF"/>
          <w:lang w:val="en-US"/>
        </w:rPr>
        <w:t xml:space="preserve"> 2019</w:t>
      </w:r>
      <w:r w:rsidR="007C6C81">
        <w:rPr>
          <w:shd w:val="clear" w:color="auto" w:fill="FFFFFF"/>
          <w:lang w:val="en-US"/>
        </w:rPr>
        <w:t xml:space="preserve"> </w:t>
      </w:r>
      <w:r w:rsidR="006A0E22" w:rsidRPr="006A0E22">
        <w:rPr>
          <w:shd w:val="clear" w:color="auto" w:fill="FFFFFF"/>
          <w:lang w:val="en-US"/>
        </w:rPr>
        <w:t>amounted to</w:t>
      </w:r>
      <w:r w:rsidRPr="006A0E22">
        <w:rPr>
          <w:shd w:val="clear" w:color="auto" w:fill="FFFFFF"/>
          <w:lang w:val="en-US"/>
        </w:rPr>
        <w:t xml:space="preserve"> </w:t>
      </w:r>
      <w:r w:rsidR="0042048D">
        <w:rPr>
          <w:shd w:val="clear" w:color="auto" w:fill="FFFFFF"/>
          <w:lang w:val="en-US"/>
        </w:rPr>
        <w:t>2.9 m. sq m, i.e. by 3.0</w:t>
      </w:r>
      <w:r w:rsidR="00EF767E">
        <w:rPr>
          <w:shd w:val="clear" w:color="auto" w:fill="FFFFFF"/>
          <w:lang w:val="en-US"/>
        </w:rPr>
        <w:t>% more tha</w:t>
      </w:r>
      <w:r>
        <w:rPr>
          <w:shd w:val="clear" w:color="auto" w:fill="FFFFFF"/>
          <w:lang w:val="en-US"/>
        </w:rPr>
        <w:t xml:space="preserve">n in the corresponding </w:t>
      </w:r>
      <w:r w:rsidR="00CE0F21">
        <w:rPr>
          <w:shd w:val="clear" w:color="auto" w:fill="FFFFFF"/>
          <w:lang w:val="en-US"/>
        </w:rPr>
        <w:t>period</w:t>
      </w:r>
      <w:r>
        <w:rPr>
          <w:shd w:val="clear" w:color="auto" w:fill="FFFFFF"/>
          <w:lang w:val="en-US"/>
        </w:rPr>
        <w:t xml:space="preserve"> of </w:t>
      </w:r>
      <w:r w:rsidR="00CE0F21">
        <w:rPr>
          <w:shd w:val="clear" w:color="auto" w:fill="FFFFFF"/>
          <w:lang w:val="en-US"/>
        </w:rPr>
        <w:t xml:space="preserve">the </w:t>
      </w:r>
      <w:r>
        <w:rPr>
          <w:shd w:val="clear" w:color="auto" w:fill="FFFFFF"/>
          <w:lang w:val="en-US"/>
        </w:rPr>
        <w:t>previous year</w:t>
      </w:r>
      <w:r w:rsidRPr="00713DD1">
        <w:rPr>
          <w:shd w:val="clear" w:color="auto" w:fill="FFFFFF"/>
          <w:lang w:val="en-US"/>
        </w:rPr>
        <w:t>.</w:t>
      </w:r>
      <w:r w:rsidR="0042048D">
        <w:rPr>
          <w:shd w:val="clear" w:color="auto" w:fill="FFFFFF"/>
          <w:lang w:val="en-US"/>
        </w:rPr>
        <w:t xml:space="preserve"> Compared to the period of I-II 2018</w:t>
      </w:r>
      <w:r w:rsidRPr="00713DD1">
        <w:rPr>
          <w:shd w:val="clear" w:color="auto" w:fill="FFFFFF"/>
          <w:lang w:val="en-US"/>
        </w:rPr>
        <w:t xml:space="preserve"> the average </w:t>
      </w:r>
      <w:r w:rsidR="005E3825" w:rsidRPr="00713DD1">
        <w:rPr>
          <w:shd w:val="clear" w:color="auto" w:fill="FFFFFF"/>
          <w:lang w:val="en-US"/>
        </w:rPr>
        <w:t xml:space="preserve">useful </w:t>
      </w:r>
      <w:r w:rsidRPr="00713DD1">
        <w:rPr>
          <w:shd w:val="clear" w:color="auto" w:fill="FFFFFF"/>
          <w:lang w:val="en-US"/>
        </w:rPr>
        <w:t>floor are</w:t>
      </w:r>
      <w:r w:rsidR="00054314">
        <w:rPr>
          <w:shd w:val="clear" w:color="auto" w:fill="FFFFFF"/>
          <w:lang w:val="en-US"/>
        </w:rPr>
        <w:t>a of 1 dwelling decreased by 4.2</w:t>
      </w:r>
      <w:r w:rsidRPr="00713DD1">
        <w:rPr>
          <w:shd w:val="clear" w:color="auto" w:fill="FFFFFF"/>
          <w:lang w:val="en-US"/>
        </w:rPr>
        <w:t xml:space="preserve"> sq </w:t>
      </w:r>
      <w:r w:rsidR="003460DF" w:rsidRPr="00713DD1">
        <w:rPr>
          <w:shd w:val="clear" w:color="auto" w:fill="FFFFFF"/>
          <w:lang w:val="en-US"/>
        </w:rPr>
        <w:t>m to the lev</w:t>
      </w:r>
      <w:r w:rsidR="003460DF">
        <w:rPr>
          <w:shd w:val="clear" w:color="auto" w:fill="FFFFFF"/>
          <w:lang w:val="en-US"/>
        </w:rPr>
        <w:t xml:space="preserve">el of </w:t>
      </w:r>
      <w:r w:rsidR="0042048D">
        <w:rPr>
          <w:shd w:val="clear" w:color="auto" w:fill="FFFFFF"/>
          <w:lang w:val="en-US"/>
        </w:rPr>
        <w:t>89.9</w:t>
      </w:r>
      <w:r>
        <w:rPr>
          <w:shd w:val="clear" w:color="auto" w:fill="FFFFFF"/>
          <w:lang w:val="en-US"/>
        </w:rPr>
        <w:t xml:space="preserve"> sq</w:t>
      </w:r>
      <w:r w:rsidR="00A33759">
        <w:rPr>
          <w:shd w:val="clear" w:color="auto" w:fill="FFFFFF"/>
          <w:lang w:val="en-US"/>
        </w:rPr>
        <w:t> </w:t>
      </w:r>
      <w:r>
        <w:rPr>
          <w:shd w:val="clear" w:color="auto" w:fill="FFFFFF"/>
          <w:lang w:val="en-US"/>
        </w:rPr>
        <w:t>m.</w:t>
      </w:r>
    </w:p>
    <w:p w:rsidR="00054314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proofErr w:type="spellStart"/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Table</w:t>
      </w:r>
      <w:proofErr w:type="spellEnd"/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1.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Dwellings </w:t>
      </w:r>
      <w:proofErr w:type="spellStart"/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completed</w:t>
      </w:r>
      <w:proofErr w:type="spellEnd"/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B407E7" w:rsidRPr="00FA5128" w:rsidTr="00E873C8">
        <w:trPr>
          <w:trHeight w:val="57"/>
        </w:trPr>
        <w:tc>
          <w:tcPr>
            <w:tcW w:w="2049" w:type="dxa"/>
            <w:vMerge w:val="restart"/>
            <w:vAlign w:val="center"/>
          </w:tcPr>
          <w:p w:rsidR="00B407E7" w:rsidRPr="0030115B" w:rsidRDefault="00B407E7" w:rsidP="00E873C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Forms</w:t>
            </w:r>
            <w:proofErr w:type="spellEnd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construction</w:t>
            </w:r>
            <w:proofErr w:type="spellEnd"/>
          </w:p>
        </w:tc>
        <w:tc>
          <w:tcPr>
            <w:tcW w:w="6031" w:type="dxa"/>
            <w:gridSpan w:val="5"/>
            <w:vAlign w:val="center"/>
          </w:tcPr>
          <w:p w:rsidR="00B407E7" w:rsidRPr="00FA5128" w:rsidRDefault="00B407E7" w:rsidP="00E873C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B407E7" w:rsidRPr="00FA5128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B407E7" w:rsidRPr="00FA5128" w:rsidRDefault="00B407E7" w:rsidP="00E873C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I-II</w:t>
            </w:r>
          </w:p>
        </w:tc>
      </w:tr>
      <w:tr w:rsidR="00B407E7" w:rsidRPr="00FA5128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B407E7" w:rsidRPr="00FA5128" w:rsidRDefault="00B407E7" w:rsidP="00E873C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Pr="00FA5128" w:rsidRDefault="008C0EBD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</w:t>
            </w:r>
          </w:p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</w:p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Pr="00FA5128" w:rsidRDefault="008C0EBD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B407E7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>
              <w:rPr>
                <w:color w:val="000000" w:themeColor="text1"/>
                <w:sz w:val="16"/>
                <w:szCs w:val="16"/>
              </w:rPr>
              <w:t>II</w:t>
            </w:r>
          </w:p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407E7" w:rsidRPr="00FA5128" w:rsidTr="00E873C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B407E7" w:rsidRPr="00FA5128" w:rsidRDefault="00B407E7" w:rsidP="00E873C8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B407E7" w:rsidRPr="00FA5128" w:rsidRDefault="00B407E7" w:rsidP="00E873C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15971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B407E7" w:rsidRPr="00FA5128" w:rsidRDefault="008C0EBD" w:rsidP="00E873C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106.</w:t>
            </w:r>
            <w:r w:rsidR="00B407E7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B407E7" w:rsidRPr="00FA5128" w:rsidRDefault="008C0EBD" w:rsidP="00E873C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97.</w:t>
            </w:r>
            <w:r w:rsidR="00B407E7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B407E7" w:rsidRPr="00FA5128" w:rsidRDefault="00B407E7" w:rsidP="00E873C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32283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B407E7" w:rsidRPr="00FA5128" w:rsidRDefault="008C0EBD" w:rsidP="00E873C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107.</w:t>
            </w:r>
            <w:r w:rsidR="00B407E7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</w:tr>
      <w:tr w:rsidR="008C0EBD" w:rsidRPr="00907546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8C0EBD" w:rsidRPr="00154AC9" w:rsidRDefault="008C0EBD" w:rsidP="008C0EB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Private</w:t>
            </w:r>
          </w:p>
        </w:tc>
        <w:tc>
          <w:tcPr>
            <w:tcW w:w="1206" w:type="dxa"/>
            <w:vAlign w:val="center"/>
          </w:tcPr>
          <w:p w:rsidR="008C0EBD" w:rsidRPr="00FA5128" w:rsidRDefault="008C0EBD" w:rsidP="008C0EB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5508</w:t>
            </w:r>
          </w:p>
        </w:tc>
        <w:tc>
          <w:tcPr>
            <w:tcW w:w="1206" w:type="dxa"/>
            <w:vAlign w:val="center"/>
          </w:tcPr>
          <w:p w:rsidR="008C0EBD" w:rsidRPr="00FA5128" w:rsidRDefault="008C0EBD" w:rsidP="008C0EB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96.3</w:t>
            </w:r>
          </w:p>
        </w:tc>
        <w:tc>
          <w:tcPr>
            <w:tcW w:w="1206" w:type="dxa"/>
            <w:vAlign w:val="center"/>
          </w:tcPr>
          <w:p w:rsidR="008C0EBD" w:rsidRPr="00FA5128" w:rsidRDefault="008C0EBD" w:rsidP="008C0EB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90.2</w:t>
            </w:r>
          </w:p>
        </w:tc>
        <w:tc>
          <w:tcPr>
            <w:tcW w:w="1206" w:type="dxa"/>
            <w:vAlign w:val="center"/>
          </w:tcPr>
          <w:p w:rsidR="008C0EBD" w:rsidRPr="00907546" w:rsidRDefault="008C0EBD" w:rsidP="008C0EBD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11616</w:t>
            </w:r>
          </w:p>
        </w:tc>
        <w:tc>
          <w:tcPr>
            <w:tcW w:w="1207" w:type="dxa"/>
            <w:vAlign w:val="center"/>
          </w:tcPr>
          <w:p w:rsidR="008C0EBD" w:rsidRPr="00907546" w:rsidRDefault="008C0EBD" w:rsidP="008C0EB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95.6</w:t>
            </w:r>
          </w:p>
        </w:tc>
      </w:tr>
      <w:tr w:rsidR="008C0EBD" w:rsidRPr="00FA5128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8C0EBD" w:rsidRPr="00154AC9" w:rsidRDefault="008C0EBD" w:rsidP="008C0EB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For sale </w:t>
            </w:r>
            <w:proofErr w:type="spellStart"/>
            <w:r w:rsidRPr="00154AC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or</w:t>
            </w:r>
            <w:proofErr w:type="spellEnd"/>
            <w:r w:rsidRPr="00154AC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rent </w:t>
            </w:r>
          </w:p>
        </w:tc>
        <w:tc>
          <w:tcPr>
            <w:tcW w:w="1206" w:type="dxa"/>
            <w:vAlign w:val="center"/>
          </w:tcPr>
          <w:p w:rsidR="008C0EBD" w:rsidRPr="00FA5128" w:rsidRDefault="008C0EBD" w:rsidP="008C0EB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10012</w:t>
            </w:r>
          </w:p>
        </w:tc>
        <w:tc>
          <w:tcPr>
            <w:tcW w:w="1206" w:type="dxa"/>
            <w:vAlign w:val="center"/>
          </w:tcPr>
          <w:p w:rsidR="008C0EBD" w:rsidRPr="00FA5128" w:rsidRDefault="008C0EBD" w:rsidP="008C0EB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113.2</w:t>
            </w:r>
          </w:p>
        </w:tc>
        <w:tc>
          <w:tcPr>
            <w:tcW w:w="1206" w:type="dxa"/>
            <w:vAlign w:val="center"/>
          </w:tcPr>
          <w:p w:rsidR="008C0EBD" w:rsidRPr="00FA5128" w:rsidRDefault="008C0EBD" w:rsidP="008C0EB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101.3</w:t>
            </w:r>
          </w:p>
        </w:tc>
        <w:tc>
          <w:tcPr>
            <w:tcW w:w="1206" w:type="dxa"/>
            <w:vAlign w:val="center"/>
          </w:tcPr>
          <w:p w:rsidR="008C0EBD" w:rsidRPr="008A1C80" w:rsidRDefault="008C0EBD" w:rsidP="008C0EBD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19897</w:t>
            </w:r>
          </w:p>
        </w:tc>
        <w:tc>
          <w:tcPr>
            <w:tcW w:w="1207" w:type="dxa"/>
            <w:vAlign w:val="center"/>
          </w:tcPr>
          <w:p w:rsidR="008C0EBD" w:rsidRPr="00FA5128" w:rsidRDefault="008C0EBD" w:rsidP="008C0EB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116.7</w:t>
            </w:r>
          </w:p>
        </w:tc>
      </w:tr>
      <w:tr w:rsidR="008C0EBD" w:rsidRPr="00FA5128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8C0EBD" w:rsidRPr="00154AC9" w:rsidRDefault="008C0EBD" w:rsidP="007C6C8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of </w:t>
            </w:r>
            <w:proofErr w:type="spellStart"/>
            <w:r w:rsidRPr="00154AC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which</w:t>
            </w:r>
            <w:proofErr w:type="spellEnd"/>
            <w:r w:rsidRPr="00154AC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for rent</w:t>
            </w:r>
            <w:r>
              <w:rPr>
                <w:rStyle w:val="Odwoanieprzypisudolnego"/>
                <w:rFonts w:eastAsiaTheme="majorEastAsia" w:cstheme="majorBidi"/>
                <w:color w:val="000000" w:themeColor="text1"/>
                <w:sz w:val="16"/>
                <w:szCs w:val="16"/>
              </w:rPr>
              <w:footnoteReference w:id="3"/>
            </w:r>
          </w:p>
        </w:tc>
        <w:tc>
          <w:tcPr>
            <w:tcW w:w="1206" w:type="dxa"/>
            <w:vAlign w:val="center"/>
          </w:tcPr>
          <w:p w:rsidR="008C0EBD" w:rsidRPr="005241EA" w:rsidRDefault="008C0EBD" w:rsidP="008C0EB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206" w:type="dxa"/>
            <w:vAlign w:val="center"/>
          </w:tcPr>
          <w:p w:rsidR="008C0EBD" w:rsidRPr="004327B6" w:rsidRDefault="008C0EBD" w:rsidP="008C0EB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8C0EBD" w:rsidRPr="004327B6" w:rsidRDefault="008C0EBD" w:rsidP="008C0EB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23.5</w:t>
            </w:r>
          </w:p>
        </w:tc>
        <w:tc>
          <w:tcPr>
            <w:tcW w:w="1206" w:type="dxa"/>
            <w:vAlign w:val="center"/>
          </w:tcPr>
          <w:p w:rsidR="008C0EBD" w:rsidRPr="00553B0B" w:rsidRDefault="008C0EBD" w:rsidP="008C0EBD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231</w:t>
            </w:r>
          </w:p>
        </w:tc>
        <w:tc>
          <w:tcPr>
            <w:tcW w:w="1207" w:type="dxa"/>
            <w:vAlign w:val="center"/>
          </w:tcPr>
          <w:p w:rsidR="008C0EBD" w:rsidRPr="004266F7" w:rsidRDefault="008C0EBD" w:rsidP="008C0EB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8C0EBD" w:rsidRPr="00FA5128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8C0EBD" w:rsidRPr="00154AC9" w:rsidRDefault="008C0EBD" w:rsidP="008C0EBD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54AC9">
              <w:rPr>
                <w:rFonts w:cstheme="majorBidi"/>
                <w:color w:val="000000" w:themeColor="text1"/>
                <w:sz w:val="16"/>
                <w:szCs w:val="16"/>
              </w:rPr>
              <w:t>Cooperative</w:t>
            </w:r>
            <w:proofErr w:type="spellEnd"/>
          </w:p>
        </w:tc>
        <w:tc>
          <w:tcPr>
            <w:tcW w:w="1206" w:type="dxa"/>
            <w:vAlign w:val="center"/>
          </w:tcPr>
          <w:p w:rsidR="008C0EBD" w:rsidRPr="00FA5128" w:rsidRDefault="008C0EBD" w:rsidP="008C0EB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199</w:t>
            </w:r>
          </w:p>
        </w:tc>
        <w:tc>
          <w:tcPr>
            <w:tcW w:w="1206" w:type="dxa"/>
            <w:vAlign w:val="center"/>
          </w:tcPr>
          <w:p w:rsidR="008C0EBD" w:rsidRPr="00FA5128" w:rsidRDefault="008C0EBD" w:rsidP="008C0EB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82.9</w:t>
            </w:r>
          </w:p>
        </w:tc>
        <w:tc>
          <w:tcPr>
            <w:tcW w:w="1206" w:type="dxa"/>
            <w:vAlign w:val="center"/>
          </w:tcPr>
          <w:p w:rsidR="008C0EBD" w:rsidRPr="00E102B7" w:rsidRDefault="00B30E2E" w:rsidP="008C0EB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</w:t>
            </w:r>
            <w:r w:rsidR="008C0EBD">
              <w:rPr>
                <w:rFonts w:cs="Arial"/>
                <w:sz w:val="16"/>
                <w:szCs w:val="16"/>
              </w:rPr>
              <w:t xml:space="preserve">ore </w:t>
            </w:r>
            <w:proofErr w:type="spellStart"/>
            <w:r w:rsidR="008C0EBD">
              <w:rPr>
                <w:rFonts w:cs="Arial"/>
                <w:sz w:val="16"/>
                <w:szCs w:val="16"/>
              </w:rPr>
              <w:t>than</w:t>
            </w:r>
            <w:proofErr w:type="spellEnd"/>
            <w:r w:rsidR="008C0EBD">
              <w:rPr>
                <w:rFonts w:cs="Arial"/>
                <w:sz w:val="16"/>
                <w:szCs w:val="16"/>
              </w:rPr>
              <w:t xml:space="preserve"> 8-fold</w:t>
            </w:r>
          </w:p>
        </w:tc>
        <w:tc>
          <w:tcPr>
            <w:tcW w:w="1206" w:type="dxa"/>
            <w:vAlign w:val="center"/>
          </w:tcPr>
          <w:p w:rsidR="008C0EBD" w:rsidRPr="00C230EE" w:rsidRDefault="008C0EBD" w:rsidP="008C0EBD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223</w:t>
            </w:r>
          </w:p>
        </w:tc>
        <w:tc>
          <w:tcPr>
            <w:tcW w:w="1207" w:type="dxa"/>
            <w:vAlign w:val="center"/>
          </w:tcPr>
          <w:p w:rsidR="008C0EBD" w:rsidRPr="00FA5128" w:rsidRDefault="008C0EBD" w:rsidP="008C0EB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63.5</w:t>
            </w:r>
          </w:p>
        </w:tc>
      </w:tr>
      <w:tr w:rsidR="008C0EBD" w:rsidRPr="00FA5128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8C0EBD" w:rsidRPr="00154AC9" w:rsidRDefault="008C0EBD" w:rsidP="008C0EB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Municipal</w:t>
            </w:r>
            <w:proofErr w:type="spellEnd"/>
          </w:p>
        </w:tc>
        <w:tc>
          <w:tcPr>
            <w:tcW w:w="1206" w:type="dxa"/>
            <w:vAlign w:val="center"/>
          </w:tcPr>
          <w:p w:rsidR="008C0EBD" w:rsidRPr="00FA5128" w:rsidRDefault="008C0EBD" w:rsidP="008C0EB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137</w:t>
            </w:r>
          </w:p>
        </w:tc>
        <w:tc>
          <w:tcPr>
            <w:tcW w:w="1206" w:type="dxa"/>
            <w:vAlign w:val="center"/>
          </w:tcPr>
          <w:p w:rsidR="008C0EBD" w:rsidRPr="00FA5128" w:rsidRDefault="008C0EBD" w:rsidP="008C0EB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112.3</w:t>
            </w:r>
          </w:p>
        </w:tc>
        <w:tc>
          <w:tcPr>
            <w:tcW w:w="1206" w:type="dxa"/>
            <w:vAlign w:val="center"/>
          </w:tcPr>
          <w:p w:rsidR="008C0EBD" w:rsidRPr="00E102B7" w:rsidRDefault="008C0EBD" w:rsidP="008C0EB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126.9</w:t>
            </w:r>
          </w:p>
        </w:tc>
        <w:tc>
          <w:tcPr>
            <w:tcW w:w="1206" w:type="dxa"/>
            <w:vAlign w:val="center"/>
          </w:tcPr>
          <w:p w:rsidR="008C0EBD" w:rsidRPr="00E87F78" w:rsidRDefault="008C0EBD" w:rsidP="008C0EBD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245</w:t>
            </w:r>
          </w:p>
        </w:tc>
        <w:tc>
          <w:tcPr>
            <w:tcW w:w="1207" w:type="dxa"/>
            <w:vAlign w:val="center"/>
          </w:tcPr>
          <w:p w:rsidR="008C0EBD" w:rsidRPr="00FA5128" w:rsidRDefault="008C0EBD" w:rsidP="008C0EB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166.7</w:t>
            </w:r>
          </w:p>
        </w:tc>
      </w:tr>
      <w:tr w:rsidR="008C0EBD" w:rsidRPr="008C0EBD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8C0EBD" w:rsidRPr="00154AC9" w:rsidRDefault="008C0EBD" w:rsidP="008C0EB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Public </w:t>
            </w: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building</w:t>
            </w:r>
            <w:proofErr w:type="spellEnd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society</w:t>
            </w:r>
            <w:proofErr w:type="spellEnd"/>
          </w:p>
        </w:tc>
        <w:tc>
          <w:tcPr>
            <w:tcW w:w="1206" w:type="dxa"/>
            <w:vAlign w:val="center"/>
          </w:tcPr>
          <w:p w:rsidR="008C0EBD" w:rsidRPr="00A030E6" w:rsidRDefault="008C0EBD" w:rsidP="008C0EB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1206" w:type="dxa"/>
            <w:vAlign w:val="center"/>
          </w:tcPr>
          <w:p w:rsidR="008C0EBD" w:rsidRPr="006E0C18" w:rsidRDefault="008C0EBD" w:rsidP="008C0EB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8C0EBD" w:rsidRPr="00296F96" w:rsidRDefault="008C0EBD" w:rsidP="008C0EB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50.3</w:t>
            </w:r>
          </w:p>
        </w:tc>
        <w:tc>
          <w:tcPr>
            <w:tcW w:w="1206" w:type="dxa"/>
            <w:vAlign w:val="center"/>
          </w:tcPr>
          <w:p w:rsidR="008C0EBD" w:rsidRPr="00E87F78" w:rsidRDefault="008C0EBD" w:rsidP="008C0EBD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207" w:type="dxa"/>
            <w:vAlign w:val="center"/>
          </w:tcPr>
          <w:p w:rsidR="008C0EBD" w:rsidRPr="008C0EBD" w:rsidRDefault="008C0EBD" w:rsidP="008C0EB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</w:t>
            </w: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.</w:t>
            </w:r>
            <w:r w:rsidRPr="008C0EB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</w:tr>
      <w:tr w:rsidR="008C0EBD" w:rsidRPr="008C0EBD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8C0EBD" w:rsidRPr="008C0EBD" w:rsidRDefault="008C0EBD" w:rsidP="008C0EB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8C0EBD" w:rsidRPr="008C0EBD" w:rsidRDefault="008C0EBD" w:rsidP="008C0EB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36</w:t>
            </w:r>
          </w:p>
        </w:tc>
        <w:tc>
          <w:tcPr>
            <w:tcW w:w="1206" w:type="dxa"/>
            <w:vAlign w:val="center"/>
          </w:tcPr>
          <w:p w:rsidR="008C0EBD" w:rsidRPr="008C0EBD" w:rsidRDefault="008C0EBD" w:rsidP="008C0EB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9-fold </w:t>
            </w:r>
          </w:p>
        </w:tc>
        <w:tc>
          <w:tcPr>
            <w:tcW w:w="1206" w:type="dxa"/>
            <w:vAlign w:val="center"/>
          </w:tcPr>
          <w:p w:rsidR="008C0EBD" w:rsidRPr="008C0EBD" w:rsidRDefault="008C0EBD" w:rsidP="008C0EBD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8C0EBD">
              <w:rPr>
                <w:rFonts w:cs="Arial"/>
                <w:sz w:val="16"/>
                <w:szCs w:val="16"/>
                <w:lang w:val="en-GB"/>
              </w:rPr>
              <w:t>120.0</w:t>
            </w:r>
          </w:p>
        </w:tc>
        <w:tc>
          <w:tcPr>
            <w:tcW w:w="1206" w:type="dxa"/>
            <w:vAlign w:val="center"/>
          </w:tcPr>
          <w:p w:rsidR="008C0EBD" w:rsidRPr="008C0EBD" w:rsidRDefault="008C0EBD" w:rsidP="008C0EBD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color w:val="000000" w:themeColor="text1"/>
                <w:sz w:val="16"/>
                <w:szCs w:val="16"/>
                <w:lang w:val="en-GB"/>
              </w:rPr>
              <w:t>66</w:t>
            </w:r>
          </w:p>
        </w:tc>
        <w:tc>
          <w:tcPr>
            <w:tcW w:w="1207" w:type="dxa"/>
            <w:vAlign w:val="center"/>
          </w:tcPr>
          <w:p w:rsidR="008C0EBD" w:rsidRPr="008C0EBD" w:rsidRDefault="008C0EBD" w:rsidP="008C0EB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11-fold</w:t>
            </w:r>
          </w:p>
        </w:tc>
      </w:tr>
    </w:tbl>
    <w:p w:rsidR="00054314" w:rsidRPr="008C0EBD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Pr="008C0EBD" w:rsidRDefault="00154AC9" w:rsidP="00896EB9">
      <w:pPr>
        <w:rPr>
          <w:shd w:val="clear" w:color="auto" w:fill="FFFFFF"/>
          <w:lang w:val="en-GB"/>
        </w:rPr>
      </w:pPr>
    </w:p>
    <w:p w:rsidR="00154AC9" w:rsidRPr="008C0EBD" w:rsidRDefault="00154AC9" w:rsidP="00896EB9">
      <w:pPr>
        <w:rPr>
          <w:shd w:val="clear" w:color="auto" w:fill="FFFFFF"/>
          <w:lang w:val="en-GB"/>
        </w:rPr>
      </w:pPr>
    </w:p>
    <w:p w:rsidR="00896EB9" w:rsidRPr="00896EB9" w:rsidRDefault="00896EB9" w:rsidP="00896EB9">
      <w:pPr>
        <w:rPr>
          <w:b/>
          <w:szCs w:val="19"/>
          <w:shd w:val="clear" w:color="auto" w:fill="FFFFFF"/>
          <w:lang w:val="en-GB"/>
        </w:rPr>
      </w:pPr>
      <w:r w:rsidRPr="00896EB9">
        <w:rPr>
          <w:b/>
          <w:szCs w:val="19"/>
          <w:shd w:val="clear" w:color="auto" w:fill="FFFFFF"/>
          <w:lang w:val="en-GB"/>
        </w:rPr>
        <w:t>Dwellings for which permits have been grante</w:t>
      </w:r>
      <w:r>
        <w:rPr>
          <w:b/>
          <w:szCs w:val="19"/>
          <w:shd w:val="clear" w:color="auto" w:fill="FFFFFF"/>
          <w:lang w:val="en-GB"/>
        </w:rPr>
        <w:t xml:space="preserve">d or which have been registered </w:t>
      </w:r>
      <w:r w:rsidRPr="00896EB9">
        <w:rPr>
          <w:b/>
          <w:szCs w:val="19"/>
          <w:shd w:val="clear" w:color="auto" w:fill="FFFFFF"/>
          <w:lang w:val="en-GB"/>
        </w:rPr>
        <w:t xml:space="preserve">with </w:t>
      </w:r>
      <w:r>
        <w:rPr>
          <w:b/>
          <w:szCs w:val="19"/>
          <w:shd w:val="clear" w:color="auto" w:fill="FFFFFF"/>
          <w:lang w:val="en-GB"/>
        </w:rPr>
        <w:br/>
      </w:r>
      <w:r w:rsidRPr="00896EB9">
        <w:rPr>
          <w:b/>
          <w:szCs w:val="19"/>
          <w:shd w:val="clear" w:color="auto" w:fill="FFFFFF"/>
          <w:lang w:val="en-GB"/>
        </w:rPr>
        <w:t>a construction project</w:t>
      </w:r>
    </w:p>
    <w:p w:rsidR="00C47CE4" w:rsidRPr="00E04DF2" w:rsidRDefault="00E04DF2" w:rsidP="00896EB9">
      <w:pPr>
        <w:rPr>
          <w:shd w:val="clear" w:color="auto" w:fill="FFFFFF"/>
          <w:lang w:val="en-GB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938AAD7" wp14:editId="5DFE9E4B">
                <wp:simplePos x="0" y="0"/>
                <wp:positionH relativeFrom="page">
                  <wp:posOffset>5649058</wp:posOffset>
                </wp:positionH>
                <wp:positionV relativeFrom="paragraph">
                  <wp:posOffset>5715</wp:posOffset>
                </wp:positionV>
                <wp:extent cx="1812290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873C8" w:rsidRPr="00AD1492" w:rsidRDefault="00E873C8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>
                              <w:rPr>
                                <w:lang w:val="en-US"/>
                              </w:rPr>
                              <w:t xml:space="preserve"> de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by </w:t>
                            </w:r>
                            <w:r>
                              <w:rPr>
                                <w:lang w:val="en-US"/>
                              </w:rPr>
                              <w:t>8</w:t>
                            </w:r>
                            <w:r w:rsidRPr="00AD1492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9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% y/y in </w:t>
                            </w:r>
                            <w:r>
                              <w:rPr>
                                <w:lang w:val="en-US"/>
                              </w:rPr>
                              <w:t>the period of I-II 2019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8AAD7" id="Pole tekstowe 15" o:spid="_x0000_s1031" type="#_x0000_t202" style="position:absolute;margin-left:444.8pt;margin-top:.45pt;width:142.7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" filled="f" stroked="f" strokeweight=".5pt">
                <v:textbox>
                  <w:txbxContent>
                    <w:p w:rsidR="00E873C8" w:rsidRPr="00AD1492" w:rsidRDefault="00E873C8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>
                        <w:rPr>
                          <w:lang w:val="en-US"/>
                        </w:rPr>
                        <w:t xml:space="preserve"> de</w:t>
                      </w:r>
                      <w:r w:rsidRPr="00AD1492">
                        <w:rPr>
                          <w:lang w:val="en-US"/>
                        </w:rPr>
                        <w:t xml:space="preserve">creased by </w:t>
                      </w:r>
                      <w:r>
                        <w:rPr>
                          <w:lang w:val="en-US"/>
                        </w:rPr>
                        <w:t>8</w:t>
                      </w:r>
                      <w:r w:rsidRPr="00AD1492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>9</w:t>
                      </w:r>
                      <w:r w:rsidRPr="00AD1492">
                        <w:rPr>
                          <w:lang w:val="en-US"/>
                        </w:rPr>
                        <w:t xml:space="preserve">% y/y in </w:t>
                      </w:r>
                      <w:r>
                        <w:rPr>
                          <w:lang w:val="en-US"/>
                        </w:rPr>
                        <w:t>the period of I-II 2019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1D77" w:rsidRPr="00BD1D77">
        <w:rPr>
          <w:szCs w:val="19"/>
          <w:shd w:val="clear" w:color="auto" w:fill="FFFFFF"/>
          <w:lang w:val="en-GB"/>
        </w:rPr>
        <w:t>I</w:t>
      </w:r>
      <w:r w:rsidR="00BD1D77" w:rsidRPr="00425FE5">
        <w:rPr>
          <w:szCs w:val="19"/>
          <w:shd w:val="clear" w:color="auto" w:fill="FFFFFF"/>
          <w:lang w:val="en-GB"/>
        </w:rPr>
        <w:t xml:space="preserve">n </w:t>
      </w:r>
      <w:r w:rsidR="00CE0F21">
        <w:rPr>
          <w:szCs w:val="19"/>
          <w:shd w:val="clear" w:color="auto" w:fill="FFFFFF"/>
          <w:lang w:val="en-GB"/>
        </w:rPr>
        <w:t>the period of January-</w:t>
      </w:r>
      <w:r w:rsidR="007C3CC8">
        <w:rPr>
          <w:szCs w:val="19"/>
          <w:shd w:val="clear" w:color="auto" w:fill="FFFFFF"/>
          <w:lang w:val="en-GB"/>
        </w:rPr>
        <w:t>February</w:t>
      </w:r>
      <w:r>
        <w:rPr>
          <w:szCs w:val="19"/>
          <w:shd w:val="clear" w:color="auto" w:fill="FFFFFF"/>
          <w:lang w:val="en-GB"/>
        </w:rPr>
        <w:t xml:space="preserve"> 2019</w:t>
      </w:r>
      <w:r w:rsidR="00BD1D77" w:rsidRPr="00425FE5">
        <w:rPr>
          <w:szCs w:val="19"/>
          <w:shd w:val="clear" w:color="auto" w:fill="FFFFFF"/>
          <w:lang w:val="en-GB"/>
        </w:rPr>
        <w:t xml:space="preserve"> </w:t>
      </w:r>
      <w:r w:rsidR="00C47CE4">
        <w:rPr>
          <w:shd w:val="clear" w:color="auto" w:fill="FFFFFF"/>
          <w:lang w:val="en-US"/>
        </w:rPr>
        <w:t>permits and registrations</w:t>
      </w:r>
      <w:r w:rsidR="00C47CE4" w:rsidRPr="00361E3E">
        <w:rPr>
          <w:shd w:val="clear" w:color="auto" w:fill="FFFFFF"/>
          <w:lang w:val="en-US"/>
        </w:rPr>
        <w:t xml:space="preserve"> </w:t>
      </w:r>
      <w:r w:rsidR="00C47CE4">
        <w:rPr>
          <w:shd w:val="clear" w:color="auto" w:fill="FFFFFF"/>
          <w:lang w:val="en-US"/>
        </w:rPr>
        <w:t xml:space="preserve">have been granted for construction of </w:t>
      </w:r>
      <w:r w:rsidR="007C3CC8">
        <w:rPr>
          <w:shd w:val="clear" w:color="auto" w:fill="FFFFFF"/>
          <w:lang w:val="en-US"/>
        </w:rPr>
        <w:t>37.5</w:t>
      </w:r>
      <w:r w:rsidR="00086F9F">
        <w:rPr>
          <w:shd w:val="clear" w:color="auto" w:fill="FFFFFF"/>
          <w:lang w:val="en-US"/>
        </w:rPr>
        <w:t xml:space="preserve"> thous.</w:t>
      </w:r>
      <w:r w:rsidR="00FD0C2F">
        <w:rPr>
          <w:shd w:val="clear" w:color="auto" w:fill="FFFFFF"/>
          <w:lang w:val="en-US"/>
        </w:rPr>
        <w:t xml:space="preserve"> dwellings, </w:t>
      </w:r>
      <w:r w:rsidR="00C47CE4">
        <w:rPr>
          <w:shd w:val="clear" w:color="auto" w:fill="FFFFFF"/>
          <w:lang w:val="en-US"/>
        </w:rPr>
        <w:t xml:space="preserve">i.e. by </w:t>
      </w:r>
      <w:r w:rsidR="007C3CC8">
        <w:rPr>
          <w:shd w:val="clear" w:color="auto" w:fill="FFFFFF"/>
          <w:lang w:val="en-US"/>
        </w:rPr>
        <w:t>8</w:t>
      </w:r>
      <w:r w:rsidR="00E245E1">
        <w:rPr>
          <w:shd w:val="clear" w:color="auto" w:fill="FFFFFF"/>
          <w:lang w:val="en-US"/>
        </w:rPr>
        <w:t>.</w:t>
      </w:r>
      <w:r w:rsidR="007C3CC8">
        <w:rPr>
          <w:shd w:val="clear" w:color="auto" w:fill="FFFFFF"/>
          <w:lang w:val="en-US"/>
        </w:rPr>
        <w:t>9</w:t>
      </w:r>
      <w:r w:rsidR="00C47CE4">
        <w:rPr>
          <w:shd w:val="clear" w:color="auto" w:fill="FFFFFF"/>
          <w:lang w:val="en-US"/>
        </w:rPr>
        <w:t xml:space="preserve">% </w:t>
      </w:r>
      <w:r>
        <w:rPr>
          <w:shd w:val="clear" w:color="auto" w:fill="FFFFFF"/>
          <w:lang w:val="en-US"/>
        </w:rPr>
        <w:t>less</w:t>
      </w:r>
      <w:r w:rsidR="00C47CE4">
        <w:rPr>
          <w:shd w:val="clear" w:color="auto" w:fill="FFFFFF"/>
          <w:lang w:val="en-US"/>
        </w:rPr>
        <w:t xml:space="preserve"> than in </w:t>
      </w:r>
      <w:r w:rsidR="00C47CE4" w:rsidRPr="00A02ED8">
        <w:rPr>
          <w:shd w:val="clear" w:color="auto" w:fill="FFFFFF"/>
          <w:lang w:val="en-US"/>
        </w:rPr>
        <w:t>the corres</w:t>
      </w:r>
      <w:r w:rsidR="00856FE3">
        <w:rPr>
          <w:shd w:val="clear" w:color="auto" w:fill="FFFFFF"/>
          <w:lang w:val="en-US"/>
        </w:rPr>
        <w:t xml:space="preserve">ponding </w:t>
      </w:r>
      <w:r w:rsidR="007C3CC8">
        <w:rPr>
          <w:shd w:val="clear" w:color="auto" w:fill="FFFFFF"/>
          <w:lang w:val="en-US"/>
        </w:rPr>
        <w:t>period</w:t>
      </w:r>
      <w:r w:rsidR="00856FE3">
        <w:rPr>
          <w:shd w:val="clear" w:color="auto" w:fill="FFFFFF"/>
          <w:lang w:val="en-US"/>
        </w:rPr>
        <w:t xml:space="preserve"> of</w:t>
      </w:r>
      <w:r w:rsidR="003F19F4">
        <w:rPr>
          <w:shd w:val="clear" w:color="auto" w:fill="FFFFFF"/>
          <w:lang w:val="en-US"/>
        </w:rPr>
        <w:t xml:space="preserve"> </w:t>
      </w:r>
      <w:r w:rsidR="002B1FCD">
        <w:rPr>
          <w:shd w:val="clear" w:color="auto" w:fill="FFFFFF"/>
          <w:lang w:val="en-US"/>
        </w:rPr>
        <w:br/>
      </w:r>
      <w:r w:rsidR="007C3CC8">
        <w:rPr>
          <w:shd w:val="clear" w:color="auto" w:fill="FFFFFF"/>
          <w:lang w:val="en-US"/>
        </w:rPr>
        <w:t xml:space="preserve">the </w:t>
      </w:r>
      <w:r w:rsidR="00856FE3">
        <w:rPr>
          <w:shd w:val="clear" w:color="auto" w:fill="FFFFFF"/>
          <w:lang w:val="en-US"/>
        </w:rPr>
        <w:t xml:space="preserve">previous year. </w:t>
      </w:r>
      <w:r w:rsidR="00C47CE4">
        <w:rPr>
          <w:shd w:val="clear" w:color="auto" w:fill="FFFFFF"/>
          <w:lang w:val="en-US"/>
        </w:rPr>
        <w:t xml:space="preserve">Permits for construction of the biggest number of dwellings were given to </w:t>
      </w:r>
      <w:r w:rsidR="00435283">
        <w:rPr>
          <w:b/>
          <w:shd w:val="clear" w:color="auto" w:fill="FFFFFF"/>
          <w:lang w:val="en-US"/>
        </w:rPr>
        <w:t xml:space="preserve">developers </w:t>
      </w:r>
      <w:r w:rsidR="00BD1D77">
        <w:rPr>
          <w:shd w:val="clear" w:color="auto" w:fill="FFFFFF"/>
          <w:lang w:val="en-US"/>
        </w:rPr>
        <w:t>(</w:t>
      </w:r>
      <w:r w:rsidR="007C3CC8">
        <w:rPr>
          <w:shd w:val="clear" w:color="auto" w:fill="FFFFFF"/>
          <w:lang w:val="en-US"/>
        </w:rPr>
        <w:t>24.0</w:t>
      </w:r>
      <w:r w:rsidR="00086F9F">
        <w:rPr>
          <w:shd w:val="clear" w:color="auto" w:fill="FFFFFF"/>
          <w:lang w:val="en-US"/>
        </w:rPr>
        <w:t xml:space="preserve"> thous.</w:t>
      </w:r>
      <w:r w:rsidR="00BD1D77">
        <w:rPr>
          <w:shd w:val="clear" w:color="auto" w:fill="FFFFFF"/>
          <w:lang w:val="en-US"/>
        </w:rPr>
        <w:t>)</w:t>
      </w:r>
      <w:r w:rsidR="00C47CE4">
        <w:rPr>
          <w:shd w:val="clear" w:color="auto" w:fill="FFFFFF"/>
          <w:lang w:val="en-US"/>
        </w:rPr>
        <w:t xml:space="preserve"> and to </w:t>
      </w:r>
      <w:r w:rsidR="00C47CE4" w:rsidRPr="004F2B55">
        <w:rPr>
          <w:b/>
          <w:shd w:val="clear" w:color="auto" w:fill="FFFFFF"/>
          <w:lang w:val="en-US"/>
        </w:rPr>
        <w:t>private investors</w:t>
      </w:r>
      <w:r w:rsidR="00BD1D77">
        <w:rPr>
          <w:shd w:val="clear" w:color="auto" w:fill="FFFFFF"/>
          <w:lang w:val="en-US"/>
        </w:rPr>
        <w:t xml:space="preserve"> (</w:t>
      </w:r>
      <w:r w:rsidR="007C3CC8">
        <w:rPr>
          <w:shd w:val="clear" w:color="auto" w:fill="FFFFFF"/>
          <w:lang w:val="en-US"/>
        </w:rPr>
        <w:t>12.6</w:t>
      </w:r>
      <w:r w:rsidR="00086F9F">
        <w:rPr>
          <w:shd w:val="clear" w:color="auto" w:fill="FFFFFF"/>
          <w:lang w:val="en-US"/>
        </w:rPr>
        <w:t xml:space="preserve"> thous.</w:t>
      </w:r>
      <w:r w:rsidR="00BD1D77">
        <w:rPr>
          <w:shd w:val="clear" w:color="auto" w:fill="FFFFFF"/>
          <w:lang w:val="en-US"/>
        </w:rPr>
        <w:t>)</w:t>
      </w:r>
      <w:r w:rsidR="003A358E">
        <w:rPr>
          <w:shd w:val="clear" w:color="auto" w:fill="FFFFFF"/>
          <w:lang w:val="en-US"/>
        </w:rPr>
        <w:t xml:space="preserve">, i.e. </w:t>
      </w:r>
      <w:r w:rsidR="00495B6E">
        <w:rPr>
          <w:shd w:val="clear" w:color="auto" w:fill="FFFFFF"/>
          <w:lang w:val="en-US"/>
        </w:rPr>
        <w:t>respectively by 12.1</w:t>
      </w:r>
      <w:r w:rsidR="003A358E">
        <w:rPr>
          <w:shd w:val="clear" w:color="auto" w:fill="FFFFFF"/>
          <w:lang w:val="en-US"/>
        </w:rPr>
        <w:t>%</w:t>
      </w:r>
      <w:r w:rsidR="000712A2">
        <w:rPr>
          <w:shd w:val="clear" w:color="auto" w:fill="FFFFFF"/>
          <w:lang w:val="en-US"/>
        </w:rPr>
        <w:t xml:space="preserve"> less</w:t>
      </w:r>
      <w:r w:rsidR="003A358E">
        <w:rPr>
          <w:shd w:val="clear" w:color="auto" w:fill="FFFFFF"/>
          <w:lang w:val="en-US"/>
        </w:rPr>
        <w:t xml:space="preserve"> and 0</w:t>
      </w:r>
      <w:r w:rsidR="00C47CE4">
        <w:rPr>
          <w:shd w:val="clear" w:color="auto" w:fill="FFFFFF"/>
          <w:lang w:val="en-US"/>
        </w:rPr>
        <w:t>.</w:t>
      </w:r>
      <w:r w:rsidR="00495B6E">
        <w:rPr>
          <w:shd w:val="clear" w:color="auto" w:fill="FFFFFF"/>
          <w:lang w:val="en-US"/>
        </w:rPr>
        <w:t>4</w:t>
      </w:r>
      <w:r w:rsidR="003A358E">
        <w:rPr>
          <w:shd w:val="clear" w:color="auto" w:fill="FFFFFF"/>
          <w:lang w:val="en-US"/>
        </w:rPr>
        <w:t xml:space="preserve">% </w:t>
      </w:r>
      <w:r w:rsidR="000712A2">
        <w:rPr>
          <w:shd w:val="clear" w:color="auto" w:fill="FFFFFF"/>
          <w:lang w:val="en-US"/>
        </w:rPr>
        <w:t>more</w:t>
      </w:r>
      <w:r w:rsidR="003A358E">
        <w:rPr>
          <w:shd w:val="clear" w:color="auto" w:fill="FFFFFF"/>
          <w:lang w:val="en-US"/>
        </w:rPr>
        <w:t xml:space="preserve"> than in </w:t>
      </w:r>
      <w:r w:rsidR="00495B6E">
        <w:rPr>
          <w:shd w:val="clear" w:color="auto" w:fill="FFFFFF"/>
          <w:lang w:val="en-US"/>
        </w:rPr>
        <w:t>the corresponding period of</w:t>
      </w:r>
      <w:r w:rsidR="003A358E">
        <w:rPr>
          <w:shd w:val="clear" w:color="auto" w:fill="FFFFFF"/>
          <w:lang w:val="en-US"/>
        </w:rPr>
        <w:t xml:space="preserve"> 2018</w:t>
      </w:r>
      <w:r w:rsidR="00CF36C5">
        <w:rPr>
          <w:shd w:val="clear" w:color="auto" w:fill="FFFFFF"/>
          <w:lang w:val="en-US"/>
        </w:rPr>
        <w:t xml:space="preserve">. </w:t>
      </w:r>
      <w:r w:rsidR="000A7C88" w:rsidRPr="00485E73">
        <w:rPr>
          <w:shd w:val="clear" w:color="auto" w:fill="FFFFFF"/>
          <w:lang w:val="en-US"/>
        </w:rPr>
        <w:t xml:space="preserve">Altogether </w:t>
      </w:r>
      <w:r w:rsidR="00507D43" w:rsidRPr="00485E73">
        <w:rPr>
          <w:shd w:val="clear" w:color="auto" w:fill="FFFFFF"/>
          <w:lang w:val="en-US"/>
        </w:rPr>
        <w:t xml:space="preserve">the share </w:t>
      </w:r>
      <w:r w:rsidR="00CD44F1">
        <w:rPr>
          <w:shd w:val="clear" w:color="auto" w:fill="FFFFFF"/>
          <w:lang w:val="en-US"/>
        </w:rPr>
        <w:t>of</w:t>
      </w:r>
      <w:r w:rsidR="00507D43" w:rsidRPr="00485E73">
        <w:rPr>
          <w:shd w:val="clear" w:color="auto" w:fill="FFFFFF"/>
          <w:lang w:val="en-US"/>
        </w:rPr>
        <w:t xml:space="preserve"> </w:t>
      </w:r>
      <w:r w:rsidR="000A7C88" w:rsidRPr="000A7C88">
        <w:rPr>
          <w:shd w:val="clear" w:color="auto" w:fill="FFFFFF"/>
          <w:lang w:val="en-US"/>
        </w:rPr>
        <w:t xml:space="preserve">these forms </w:t>
      </w:r>
      <w:r w:rsidR="00495B6E">
        <w:rPr>
          <w:shd w:val="clear" w:color="auto" w:fill="FFFFFF"/>
          <w:lang w:val="en-US"/>
        </w:rPr>
        <w:t>of construction amounted to 97.4</w:t>
      </w:r>
      <w:r w:rsidR="000A7C88" w:rsidRPr="000A7C88">
        <w:rPr>
          <w:shd w:val="clear" w:color="auto" w:fill="FFFFFF"/>
          <w:lang w:val="en-US"/>
        </w:rPr>
        <w:t xml:space="preserve">% of </w:t>
      </w:r>
      <w:r w:rsidR="00B30E2E">
        <w:rPr>
          <w:shd w:val="clear" w:color="auto" w:fill="FFFFFF"/>
          <w:lang w:val="en-US"/>
        </w:rPr>
        <w:t xml:space="preserve">a </w:t>
      </w:r>
      <w:r w:rsidR="000A7C88" w:rsidRPr="000A7C88">
        <w:rPr>
          <w:shd w:val="clear" w:color="auto" w:fill="FFFFFF"/>
          <w:lang w:val="en-US"/>
        </w:rPr>
        <w:t>total number of dwellings</w:t>
      </w:r>
      <w:r w:rsidR="00507D43">
        <w:rPr>
          <w:shd w:val="clear" w:color="auto" w:fill="FFFFFF"/>
          <w:lang w:val="en-US"/>
        </w:rPr>
        <w:t xml:space="preserve">. </w:t>
      </w:r>
      <w:r w:rsidR="00495B6E">
        <w:rPr>
          <w:shd w:val="clear" w:color="auto" w:fill="FFFFFF"/>
          <w:lang w:val="en-US"/>
        </w:rPr>
        <w:t>More</w:t>
      </w:r>
      <w:r w:rsidR="00507D43">
        <w:rPr>
          <w:shd w:val="clear" w:color="auto" w:fill="FFFFFF"/>
          <w:lang w:val="en-US"/>
        </w:rPr>
        <w:t xml:space="preserve"> dwellings</w:t>
      </w:r>
      <w:r w:rsidR="00507D43" w:rsidRPr="00612A93">
        <w:rPr>
          <w:lang w:val="en-GB"/>
        </w:rPr>
        <w:t xml:space="preserve"> </w:t>
      </w:r>
      <w:r w:rsidR="00CE0F21">
        <w:rPr>
          <w:lang w:val="en-GB"/>
        </w:rPr>
        <w:t xml:space="preserve">than in the period of two months of the previous year </w:t>
      </w:r>
      <w:r w:rsidR="00507D43" w:rsidRPr="00507D43">
        <w:rPr>
          <w:shd w:val="clear" w:color="auto" w:fill="FFFFFF"/>
          <w:lang w:val="en-US"/>
        </w:rPr>
        <w:t>for which permits have been grante</w:t>
      </w:r>
      <w:r w:rsidR="00507D43">
        <w:rPr>
          <w:shd w:val="clear" w:color="auto" w:fill="FFFFFF"/>
          <w:lang w:val="en-US"/>
        </w:rPr>
        <w:t xml:space="preserve">d or which have been registered </w:t>
      </w:r>
      <w:r w:rsidR="00507D43" w:rsidRPr="00507D43">
        <w:rPr>
          <w:shd w:val="clear" w:color="auto" w:fill="FFFFFF"/>
          <w:lang w:val="en-US"/>
        </w:rPr>
        <w:t xml:space="preserve">with a construction project </w:t>
      </w:r>
      <w:r w:rsidR="00C47CE4" w:rsidRPr="006A0E22">
        <w:rPr>
          <w:shd w:val="clear" w:color="auto" w:fill="FFFFFF"/>
          <w:lang w:val="en-US"/>
        </w:rPr>
        <w:t xml:space="preserve">were </w:t>
      </w:r>
      <w:r w:rsidR="00CD44F1">
        <w:rPr>
          <w:shd w:val="clear" w:color="auto" w:fill="FFFFFF"/>
          <w:lang w:val="en-US"/>
        </w:rPr>
        <w:t>not</w:t>
      </w:r>
      <w:r w:rsidR="00507D43" w:rsidRPr="006A0E22">
        <w:rPr>
          <w:shd w:val="clear" w:color="auto" w:fill="FFFFFF"/>
          <w:lang w:val="en-US"/>
        </w:rPr>
        <w:t xml:space="preserve">ed </w:t>
      </w:r>
      <w:r w:rsidR="006A0E22" w:rsidRPr="006A0E22">
        <w:rPr>
          <w:shd w:val="clear" w:color="auto" w:fill="FFFFFF"/>
          <w:lang w:val="en-US"/>
        </w:rPr>
        <w:t xml:space="preserve">in </w:t>
      </w:r>
      <w:r w:rsidR="00BD601A" w:rsidRPr="006A0E22">
        <w:rPr>
          <w:shd w:val="clear" w:color="auto" w:fill="FFFFFF"/>
          <w:lang w:val="en-US"/>
        </w:rPr>
        <w:t>the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BD601A" w:rsidRPr="006A0E22">
        <w:rPr>
          <w:b/>
          <w:shd w:val="clear" w:color="auto" w:fill="FFFFFF"/>
          <w:lang w:val="en-US"/>
        </w:rPr>
        <w:t xml:space="preserve">cooperative </w:t>
      </w:r>
      <w:r w:rsidR="00BD601A" w:rsidRPr="00D536C0">
        <w:rPr>
          <w:shd w:val="clear" w:color="auto" w:fill="FFFFFF"/>
          <w:lang w:val="en-US"/>
        </w:rPr>
        <w:t>construction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983BE8">
        <w:rPr>
          <w:shd w:val="clear" w:color="auto" w:fill="FFFFFF"/>
          <w:lang w:val="en-US"/>
        </w:rPr>
        <w:t>(</w:t>
      </w:r>
      <w:r w:rsidR="00495B6E">
        <w:rPr>
          <w:shd w:val="clear" w:color="auto" w:fill="FFFFFF"/>
          <w:lang w:val="en-US"/>
        </w:rPr>
        <w:t>326</w:t>
      </w:r>
      <w:r w:rsidR="00507D43">
        <w:rPr>
          <w:shd w:val="clear" w:color="auto" w:fill="FFFFFF"/>
          <w:lang w:val="en-US"/>
        </w:rPr>
        <w:t xml:space="preserve"> dwellings </w:t>
      </w:r>
      <w:r w:rsidR="00C47CE4">
        <w:rPr>
          <w:shd w:val="clear" w:color="auto" w:fill="FFFFFF"/>
          <w:lang w:val="en-US"/>
        </w:rPr>
        <w:t xml:space="preserve">against </w:t>
      </w:r>
      <w:r w:rsidR="00495B6E">
        <w:rPr>
          <w:shd w:val="clear" w:color="auto" w:fill="FFFFFF"/>
          <w:lang w:val="en-US"/>
        </w:rPr>
        <w:t>229</w:t>
      </w:r>
      <w:r w:rsidR="00BC514E">
        <w:rPr>
          <w:shd w:val="clear" w:color="auto" w:fill="FFFFFF"/>
          <w:lang w:val="en-US"/>
        </w:rPr>
        <w:t>),</w:t>
      </w:r>
      <w:r w:rsidR="00C47CE4" w:rsidRPr="00485E73">
        <w:rPr>
          <w:shd w:val="clear" w:color="auto" w:fill="FFFFFF"/>
          <w:lang w:val="en-US"/>
        </w:rPr>
        <w:t xml:space="preserve"> while </w:t>
      </w:r>
      <w:r w:rsidR="00495B6E">
        <w:rPr>
          <w:shd w:val="clear" w:color="auto" w:fill="FFFFFF"/>
          <w:lang w:val="en-US"/>
        </w:rPr>
        <w:t xml:space="preserve">less </w:t>
      </w:r>
      <w:r w:rsidR="00616583" w:rsidRPr="00485E73">
        <w:rPr>
          <w:shd w:val="clear" w:color="auto" w:fill="FFFFFF"/>
          <w:lang w:val="en-US"/>
        </w:rPr>
        <w:t>(</w:t>
      </w:r>
      <w:r w:rsidR="00616583">
        <w:rPr>
          <w:shd w:val="clear" w:color="auto" w:fill="FFFFFF"/>
          <w:lang w:val="en-US"/>
        </w:rPr>
        <w:t>643</w:t>
      </w:r>
      <w:r w:rsidR="00616583" w:rsidRPr="00485E73">
        <w:rPr>
          <w:shd w:val="clear" w:color="auto" w:fill="FFFFFF"/>
          <w:lang w:val="en-US"/>
        </w:rPr>
        <w:t xml:space="preserve"> dwellings</w:t>
      </w:r>
      <w:r w:rsidR="00616583">
        <w:rPr>
          <w:shd w:val="clear" w:color="auto" w:fill="FFFFFF"/>
          <w:lang w:val="en-US"/>
        </w:rPr>
        <w:t xml:space="preserve"> against 1131</w:t>
      </w:r>
      <w:r w:rsidR="00616583" w:rsidRPr="00485E73">
        <w:rPr>
          <w:shd w:val="clear" w:color="auto" w:fill="FFFFFF"/>
          <w:lang w:val="en-US"/>
        </w:rPr>
        <w:t>)</w:t>
      </w:r>
      <w:r w:rsidR="00616583">
        <w:rPr>
          <w:shd w:val="clear" w:color="auto" w:fill="FFFFFF"/>
          <w:lang w:val="en-US"/>
        </w:rPr>
        <w:t xml:space="preserve"> </w:t>
      </w:r>
      <w:r w:rsidR="00495B6E">
        <w:rPr>
          <w:shd w:val="clear" w:color="auto" w:fill="FFFFFF"/>
          <w:lang w:val="en-US"/>
        </w:rPr>
        <w:t>in</w:t>
      </w:r>
      <w:r w:rsidR="00B77EC9" w:rsidRPr="00485E73">
        <w:rPr>
          <w:shd w:val="clear" w:color="auto" w:fill="FFFFFF"/>
          <w:lang w:val="en-US"/>
        </w:rPr>
        <w:t xml:space="preserve"> </w:t>
      </w:r>
      <w:r w:rsidR="00C47CE4" w:rsidRPr="00485E73">
        <w:rPr>
          <w:b/>
          <w:shd w:val="clear" w:color="auto" w:fill="FFFFFF"/>
          <w:lang w:val="en-US"/>
        </w:rPr>
        <w:t xml:space="preserve">other </w:t>
      </w:r>
      <w:r w:rsidR="00B77EC9" w:rsidRPr="00485E73">
        <w:rPr>
          <w:b/>
          <w:shd w:val="clear" w:color="auto" w:fill="FFFFFF"/>
          <w:lang w:val="en-US"/>
        </w:rPr>
        <w:t xml:space="preserve">forms </w:t>
      </w:r>
      <w:r w:rsidR="00B77EC9" w:rsidRPr="00485E73">
        <w:rPr>
          <w:shd w:val="clear" w:color="auto" w:fill="FFFFFF"/>
          <w:lang w:val="en-US"/>
        </w:rPr>
        <w:t>of</w:t>
      </w:r>
      <w:r w:rsidR="00B77EC9" w:rsidRPr="00485E73">
        <w:rPr>
          <w:b/>
          <w:shd w:val="clear" w:color="auto" w:fill="FFFFFF"/>
          <w:lang w:val="en-US"/>
        </w:rPr>
        <w:t xml:space="preserve"> </w:t>
      </w:r>
      <w:r w:rsidR="00B77EC9" w:rsidRPr="00485E73">
        <w:rPr>
          <w:shd w:val="clear" w:color="auto" w:fill="FFFFFF"/>
          <w:lang w:val="en-US"/>
        </w:rPr>
        <w:t>construction</w:t>
      </w:r>
      <w:r w:rsidR="00616583">
        <w:rPr>
          <w:shd w:val="clear" w:color="auto" w:fill="FFFFFF"/>
          <w:lang w:val="en-US"/>
        </w:rPr>
        <w:t>.</w:t>
      </w:r>
    </w:p>
    <w:p w:rsidR="00896EB9" w:rsidRPr="00896EB9" w:rsidRDefault="00896EB9" w:rsidP="00896EB9">
      <w:pPr>
        <w:pStyle w:val="tytuwykresu"/>
        <w:jc w:val="both"/>
        <w:rPr>
          <w:szCs w:val="19"/>
          <w:shd w:val="clear" w:color="auto" w:fill="FFFFFF"/>
          <w:lang w:val="en-GB"/>
        </w:rPr>
      </w:pPr>
      <w:r>
        <w:rPr>
          <w:sz w:val="19"/>
          <w:szCs w:val="19"/>
          <w:shd w:val="clear" w:color="auto" w:fill="FFFFFF"/>
          <w:lang w:val="en-GB"/>
        </w:rPr>
        <w:t>Table 2</w:t>
      </w:r>
      <w:r w:rsidRPr="00896EB9">
        <w:rPr>
          <w:sz w:val="19"/>
          <w:szCs w:val="19"/>
          <w:shd w:val="clear" w:color="auto" w:fill="FFFFFF"/>
          <w:lang w:val="en-GB"/>
        </w:rPr>
        <w:t xml:space="preserve">. </w:t>
      </w:r>
      <w:r w:rsidRPr="00896E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896E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1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EC7E66" w:rsidRPr="00EC7E66" w:rsidTr="00E873C8">
        <w:trPr>
          <w:trHeight w:val="57"/>
        </w:trPr>
        <w:tc>
          <w:tcPr>
            <w:tcW w:w="2049" w:type="dxa"/>
            <w:vMerge w:val="restart"/>
            <w:vAlign w:val="center"/>
          </w:tcPr>
          <w:p w:rsidR="00EC7E66" w:rsidRPr="0030115B" w:rsidRDefault="00EC7E66" w:rsidP="00EC7E66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Forms</w:t>
            </w:r>
            <w:proofErr w:type="spellEnd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construction</w:t>
            </w:r>
            <w:proofErr w:type="spellEnd"/>
          </w:p>
        </w:tc>
        <w:tc>
          <w:tcPr>
            <w:tcW w:w="6031" w:type="dxa"/>
            <w:gridSpan w:val="5"/>
            <w:vAlign w:val="center"/>
          </w:tcPr>
          <w:p w:rsidR="00EC7E66" w:rsidRPr="00EC7E66" w:rsidRDefault="00EC7E66" w:rsidP="00EC7E66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C7E6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2019</w:t>
            </w:r>
          </w:p>
        </w:tc>
      </w:tr>
      <w:tr w:rsidR="00EC7E66" w:rsidRPr="00EC7E66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EC7E66" w:rsidRPr="00EC7E66" w:rsidRDefault="00EC7E66" w:rsidP="00EC7E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I-II</w:t>
            </w:r>
          </w:p>
        </w:tc>
      </w:tr>
      <w:tr w:rsidR="00EC7E66" w:rsidRPr="00EC7E66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EC7E66" w:rsidRPr="00EC7E66" w:rsidRDefault="00EC7E66" w:rsidP="00EC7E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5E6FF1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II</w:t>
            </w:r>
          </w:p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I</w:t>
            </w:r>
          </w:p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5E6FF1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I-II</w:t>
            </w:r>
          </w:p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2018=100</w:t>
            </w:r>
          </w:p>
        </w:tc>
      </w:tr>
      <w:tr w:rsidR="00EC7E66" w:rsidRPr="00EC7E66" w:rsidTr="00E873C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EC7E66" w:rsidRPr="00FA5128" w:rsidRDefault="00EC7E66" w:rsidP="00EC7E66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EC7E66" w:rsidRPr="00EC7E66" w:rsidRDefault="00EC7E66" w:rsidP="00EC7E6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C7E66">
              <w:rPr>
                <w:rFonts w:cs="Arial"/>
                <w:b/>
                <w:color w:val="000000" w:themeColor="text1"/>
                <w:sz w:val="16"/>
                <w:szCs w:val="16"/>
              </w:rPr>
              <w:t>16914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EC7E66" w:rsidRPr="00EC7E66" w:rsidRDefault="00CD44F1" w:rsidP="00EC7E6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82.</w:t>
            </w:r>
            <w:r w:rsidR="00EC7E66" w:rsidRPr="00EC7E66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EC7E66" w:rsidRPr="00EC7E66" w:rsidRDefault="00CD44F1" w:rsidP="00EC7E6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82.</w:t>
            </w:r>
            <w:r w:rsidR="00EC7E66" w:rsidRPr="00EC7E66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EC7E66" w:rsidRPr="00EC7E66" w:rsidRDefault="00EC7E66" w:rsidP="00EC7E6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C7E66">
              <w:rPr>
                <w:rFonts w:cs="Arial"/>
                <w:b/>
                <w:color w:val="000000" w:themeColor="text1"/>
                <w:sz w:val="16"/>
                <w:szCs w:val="16"/>
              </w:rPr>
              <w:t>37544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EC7E66" w:rsidRPr="00EC7E66" w:rsidRDefault="00CD44F1" w:rsidP="00EC7E6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91.</w:t>
            </w:r>
            <w:r w:rsidR="00EC7E66" w:rsidRPr="00EC7E66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EC7E66" w:rsidRPr="00EC7E66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EC7E66" w:rsidRPr="00154AC9" w:rsidRDefault="00EC7E66" w:rsidP="00EC7E6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Private</w:t>
            </w:r>
          </w:p>
        </w:tc>
        <w:tc>
          <w:tcPr>
            <w:tcW w:w="1206" w:type="dxa"/>
            <w:vAlign w:val="center"/>
          </w:tcPr>
          <w:p w:rsidR="00EC7E66" w:rsidRPr="00EC7E66" w:rsidRDefault="00EC7E66" w:rsidP="00EC7E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C7E66">
              <w:rPr>
                <w:rFonts w:cs="Arial"/>
                <w:color w:val="000000" w:themeColor="text1"/>
                <w:sz w:val="16"/>
                <w:szCs w:val="16"/>
              </w:rPr>
              <w:t>6578</w:t>
            </w:r>
          </w:p>
        </w:tc>
        <w:tc>
          <w:tcPr>
            <w:tcW w:w="1206" w:type="dxa"/>
            <w:vAlign w:val="center"/>
          </w:tcPr>
          <w:p w:rsidR="00EC7E66" w:rsidRPr="00EC7E66" w:rsidRDefault="00CD44F1" w:rsidP="00EC7E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</w:t>
            </w:r>
            <w:r w:rsidR="00EC7E66" w:rsidRPr="00EC7E66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EC7E66" w:rsidRPr="00EC7E66" w:rsidRDefault="00CD44F1" w:rsidP="00EC7E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109.</w:t>
            </w:r>
            <w:r w:rsidR="00EC7E66" w:rsidRPr="00EC7E66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EC7E66" w:rsidRPr="00EC7E66" w:rsidRDefault="00EC7E66" w:rsidP="00EC7E6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C7E6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12606</w:t>
            </w:r>
          </w:p>
        </w:tc>
        <w:tc>
          <w:tcPr>
            <w:tcW w:w="1207" w:type="dxa"/>
            <w:vAlign w:val="center"/>
          </w:tcPr>
          <w:p w:rsidR="00EC7E66" w:rsidRPr="00EC7E66" w:rsidRDefault="00CD44F1" w:rsidP="00EC7E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</w:t>
            </w:r>
            <w:r w:rsidR="00EC7E66" w:rsidRPr="00EC7E66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EC7E66" w:rsidRPr="00EC7E66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EC7E66" w:rsidRPr="00154AC9" w:rsidRDefault="00EC7E66" w:rsidP="00EC7E6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For sale </w:t>
            </w:r>
            <w:proofErr w:type="spellStart"/>
            <w:r w:rsidRPr="00154AC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or</w:t>
            </w:r>
            <w:proofErr w:type="spellEnd"/>
            <w:r w:rsidRPr="00154AC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rent </w:t>
            </w:r>
          </w:p>
        </w:tc>
        <w:tc>
          <w:tcPr>
            <w:tcW w:w="1206" w:type="dxa"/>
            <w:vAlign w:val="center"/>
          </w:tcPr>
          <w:p w:rsidR="00EC7E66" w:rsidRPr="00EC7E66" w:rsidRDefault="00EC7E66" w:rsidP="00EC7E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C7E66">
              <w:rPr>
                <w:rFonts w:cs="Arial"/>
                <w:color w:val="000000" w:themeColor="text1"/>
                <w:sz w:val="16"/>
                <w:szCs w:val="16"/>
              </w:rPr>
              <w:t>10035</w:t>
            </w:r>
          </w:p>
        </w:tc>
        <w:tc>
          <w:tcPr>
            <w:tcW w:w="1206" w:type="dxa"/>
            <w:vAlign w:val="center"/>
          </w:tcPr>
          <w:p w:rsidR="00EC7E66" w:rsidRPr="00EC7E66" w:rsidRDefault="00CD44F1" w:rsidP="00EC7E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78.</w:t>
            </w:r>
            <w:r w:rsidR="00EC7E66" w:rsidRPr="00EC7E66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EC7E66" w:rsidRPr="00EC7E66" w:rsidRDefault="00CD44F1" w:rsidP="00EC7E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72.</w:t>
            </w:r>
            <w:r w:rsidR="00EC7E66" w:rsidRPr="00EC7E66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EC7E66" w:rsidRPr="00EC7E66" w:rsidRDefault="00EC7E66" w:rsidP="00EC7E6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C7E6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23969</w:t>
            </w:r>
          </w:p>
        </w:tc>
        <w:tc>
          <w:tcPr>
            <w:tcW w:w="1207" w:type="dxa"/>
            <w:vAlign w:val="center"/>
          </w:tcPr>
          <w:p w:rsidR="00EC7E66" w:rsidRPr="00EC7E66" w:rsidRDefault="00CD44F1" w:rsidP="00EC7E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87.</w:t>
            </w:r>
            <w:r w:rsidR="00EC7E66" w:rsidRPr="00EC7E66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EC7E66" w:rsidRPr="00EC7E66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EC7E66" w:rsidRPr="00154AC9" w:rsidRDefault="00EC7E66" w:rsidP="00EC7E66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54AC9">
              <w:rPr>
                <w:rFonts w:cstheme="majorBidi"/>
                <w:color w:val="000000" w:themeColor="text1"/>
                <w:sz w:val="16"/>
                <w:szCs w:val="16"/>
              </w:rPr>
              <w:t>Cooperative</w:t>
            </w:r>
            <w:proofErr w:type="spellEnd"/>
          </w:p>
        </w:tc>
        <w:tc>
          <w:tcPr>
            <w:tcW w:w="1206" w:type="dxa"/>
            <w:vAlign w:val="center"/>
          </w:tcPr>
          <w:p w:rsidR="00EC7E66" w:rsidRPr="00EC7E66" w:rsidRDefault="00EC7E66" w:rsidP="00EC7E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C7E66">
              <w:rPr>
                <w:rFonts w:cs="Arial"/>
                <w:color w:val="000000" w:themeColor="text1"/>
                <w:sz w:val="16"/>
                <w:szCs w:val="16"/>
              </w:rPr>
              <w:t>286</w:t>
            </w:r>
          </w:p>
        </w:tc>
        <w:tc>
          <w:tcPr>
            <w:tcW w:w="1206" w:type="dxa"/>
            <w:vAlign w:val="center"/>
          </w:tcPr>
          <w:p w:rsidR="00EC7E66" w:rsidRPr="00EC7E66" w:rsidRDefault="00EC7E66" w:rsidP="00EC7E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more </w:t>
            </w:r>
            <w:proofErr w:type="spellStart"/>
            <w:r>
              <w:rPr>
                <w:rFonts w:cs="Arial"/>
                <w:color w:val="000000" w:themeColor="text1"/>
                <w:sz w:val="16"/>
                <w:szCs w:val="16"/>
              </w:rPr>
              <w:t>than</w:t>
            </w:r>
            <w:proofErr w:type="spellEnd"/>
            <w:r w:rsidRPr="00EC7E66">
              <w:rPr>
                <w:rFonts w:cs="Arial"/>
                <w:color w:val="000000" w:themeColor="text1"/>
                <w:sz w:val="16"/>
                <w:szCs w:val="16"/>
              </w:rPr>
              <w:t xml:space="preserve"> 5-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fold</w:t>
            </w:r>
          </w:p>
        </w:tc>
        <w:tc>
          <w:tcPr>
            <w:tcW w:w="1206" w:type="dxa"/>
            <w:vAlign w:val="center"/>
          </w:tcPr>
          <w:p w:rsidR="00EC7E66" w:rsidRPr="00EC7E66" w:rsidRDefault="00EC7E66" w:rsidP="00EC7E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more </w:t>
            </w:r>
            <w:proofErr w:type="spellStart"/>
            <w:r>
              <w:rPr>
                <w:rFonts w:cs="Arial"/>
                <w:sz w:val="16"/>
                <w:szCs w:val="16"/>
              </w:rPr>
              <w:t>than</w:t>
            </w:r>
            <w:proofErr w:type="spellEnd"/>
            <w:r w:rsidRPr="00EC7E66">
              <w:rPr>
                <w:rFonts w:cs="Arial"/>
                <w:sz w:val="16"/>
                <w:szCs w:val="16"/>
              </w:rPr>
              <w:t xml:space="preserve"> 7-</w:t>
            </w:r>
            <w:r>
              <w:rPr>
                <w:rFonts w:cs="Arial"/>
                <w:sz w:val="16"/>
                <w:szCs w:val="16"/>
              </w:rPr>
              <w:t>fold</w:t>
            </w:r>
          </w:p>
        </w:tc>
        <w:tc>
          <w:tcPr>
            <w:tcW w:w="1206" w:type="dxa"/>
            <w:vAlign w:val="center"/>
          </w:tcPr>
          <w:p w:rsidR="00EC7E66" w:rsidRPr="00EC7E66" w:rsidRDefault="00EC7E66" w:rsidP="00EC7E6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C7E6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326</w:t>
            </w:r>
          </w:p>
        </w:tc>
        <w:tc>
          <w:tcPr>
            <w:tcW w:w="1207" w:type="dxa"/>
            <w:vAlign w:val="center"/>
          </w:tcPr>
          <w:p w:rsidR="00EC7E66" w:rsidRPr="00EC7E66" w:rsidRDefault="00CD44F1" w:rsidP="00EC7E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142.</w:t>
            </w:r>
            <w:r w:rsidR="00EC7E66" w:rsidRPr="00EC7E66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EC7E66" w:rsidRPr="00EC7E66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EC7E66" w:rsidRPr="00154AC9" w:rsidRDefault="00EC7E66" w:rsidP="00EC7E6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Municipal</w:t>
            </w:r>
            <w:proofErr w:type="spellEnd"/>
          </w:p>
        </w:tc>
        <w:tc>
          <w:tcPr>
            <w:tcW w:w="1206" w:type="dxa"/>
            <w:vAlign w:val="center"/>
          </w:tcPr>
          <w:p w:rsidR="00EC7E66" w:rsidRPr="00EC7E66" w:rsidRDefault="00EC7E66" w:rsidP="00EC7E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C7E66">
              <w:rPr>
                <w:rFonts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206" w:type="dxa"/>
            <w:vAlign w:val="center"/>
          </w:tcPr>
          <w:p w:rsidR="00EC7E66" w:rsidRPr="00EC7E66" w:rsidRDefault="00CD44F1" w:rsidP="00EC7E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16.</w:t>
            </w:r>
            <w:r w:rsidR="00EC7E66" w:rsidRPr="00EC7E66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EC7E66" w:rsidRPr="00EC7E66" w:rsidRDefault="00CD44F1" w:rsidP="00EC7E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</w:t>
            </w:r>
            <w:r w:rsidR="00EC7E66" w:rsidRPr="00EC7E6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:rsidR="00EC7E66" w:rsidRPr="00EC7E66" w:rsidRDefault="00EC7E66" w:rsidP="00EC7E66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401</w:t>
            </w:r>
          </w:p>
        </w:tc>
        <w:tc>
          <w:tcPr>
            <w:tcW w:w="1207" w:type="dxa"/>
            <w:vAlign w:val="center"/>
          </w:tcPr>
          <w:p w:rsidR="00EC7E66" w:rsidRPr="00EC7E66" w:rsidRDefault="00EC7E66" w:rsidP="00EC7E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more </w:t>
            </w:r>
            <w:proofErr w:type="spellStart"/>
            <w:r>
              <w:rPr>
                <w:rFonts w:cs="Arial"/>
                <w:color w:val="000000" w:themeColor="text1"/>
                <w:sz w:val="16"/>
                <w:szCs w:val="16"/>
              </w:rPr>
              <w:t>than</w:t>
            </w:r>
            <w:proofErr w:type="spellEnd"/>
            <w:r w:rsidRPr="00EC7E66">
              <w:rPr>
                <w:rFonts w:cs="Arial"/>
                <w:color w:val="000000" w:themeColor="text1"/>
                <w:sz w:val="16"/>
                <w:szCs w:val="16"/>
              </w:rPr>
              <w:t xml:space="preserve"> 3-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fold</w:t>
            </w:r>
          </w:p>
        </w:tc>
      </w:tr>
      <w:tr w:rsidR="00EC7E66" w:rsidRPr="00EC7E66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EC7E66" w:rsidRPr="00154AC9" w:rsidRDefault="00EC7E66" w:rsidP="00EC7E6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Public </w:t>
            </w: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building</w:t>
            </w:r>
            <w:proofErr w:type="spellEnd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society</w:t>
            </w:r>
            <w:proofErr w:type="spellEnd"/>
          </w:p>
        </w:tc>
        <w:tc>
          <w:tcPr>
            <w:tcW w:w="1206" w:type="dxa"/>
            <w:vAlign w:val="center"/>
          </w:tcPr>
          <w:p w:rsidR="00EC7E66" w:rsidRPr="00EC7E66" w:rsidRDefault="00EC7E66" w:rsidP="00EC7E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C7E66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:rsidR="00EC7E66" w:rsidRPr="00EC7E66" w:rsidRDefault="00EC7E66" w:rsidP="00EC7E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C7E66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EC7E66" w:rsidRPr="00EC7E66" w:rsidRDefault="00EC7E66" w:rsidP="00EC7E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EC7E6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EC7E66" w:rsidRPr="00EC7E66" w:rsidRDefault="00EC7E66" w:rsidP="00EC7E66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239</w:t>
            </w:r>
          </w:p>
        </w:tc>
        <w:tc>
          <w:tcPr>
            <w:tcW w:w="1207" w:type="dxa"/>
            <w:vAlign w:val="center"/>
          </w:tcPr>
          <w:p w:rsidR="00EC7E66" w:rsidRPr="00EC7E66" w:rsidRDefault="00CD44F1" w:rsidP="00EC7E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23.</w:t>
            </w:r>
            <w:r w:rsidR="00EC7E66" w:rsidRPr="00EC7E66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EC7E66" w:rsidRPr="00EC7E66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EC7E66" w:rsidRPr="008C0EBD" w:rsidRDefault="00EC7E66" w:rsidP="00EC7E6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EC7E66" w:rsidRPr="00EC7E66" w:rsidRDefault="00EC7E66" w:rsidP="00EC7E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C7E6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EC7E66" w:rsidRPr="00EC7E66" w:rsidRDefault="00EC7E66" w:rsidP="00EC7E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C7E66">
              <w:rPr>
                <w:rFonts w:cs="Arial"/>
                <w:color w:val="000000" w:themeColor="text1"/>
                <w:sz w:val="16"/>
                <w:szCs w:val="16"/>
              </w:rPr>
              <w:t>2-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fold</w:t>
            </w:r>
            <w:r w:rsidRPr="00EC7E66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:rsidR="00EC7E66" w:rsidRPr="00EC7E66" w:rsidRDefault="00EC7E66" w:rsidP="00EC7E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EC7E66">
              <w:rPr>
                <w:rFonts w:cs="Arial"/>
                <w:sz w:val="16"/>
                <w:szCs w:val="16"/>
              </w:rPr>
              <w:t>2-</w:t>
            </w:r>
            <w:r>
              <w:rPr>
                <w:rFonts w:cs="Arial"/>
                <w:sz w:val="16"/>
                <w:szCs w:val="16"/>
              </w:rPr>
              <w:t>fold</w:t>
            </w:r>
          </w:p>
        </w:tc>
        <w:tc>
          <w:tcPr>
            <w:tcW w:w="1206" w:type="dxa"/>
            <w:vAlign w:val="center"/>
          </w:tcPr>
          <w:p w:rsidR="00EC7E66" w:rsidRPr="00EC7E66" w:rsidRDefault="00EC7E66" w:rsidP="00EC7E66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7" w:type="dxa"/>
            <w:vAlign w:val="center"/>
          </w:tcPr>
          <w:p w:rsidR="00EC7E66" w:rsidRPr="00EC7E66" w:rsidRDefault="00EC7E66" w:rsidP="00EC7E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C7E6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CD44F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C7E66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</w:tbl>
    <w:p w:rsidR="00896EB9" w:rsidRPr="00896EB9" w:rsidRDefault="00896EB9" w:rsidP="00095A18">
      <w:pPr>
        <w:pStyle w:val="tytuwykresu"/>
        <w:jc w:val="both"/>
        <w:rPr>
          <w:sz w:val="19"/>
          <w:szCs w:val="19"/>
          <w:shd w:val="clear" w:color="auto" w:fill="FFFFFF"/>
          <w:lang w:val="en-GB"/>
        </w:rPr>
      </w:pPr>
    </w:p>
    <w:p w:rsidR="00896E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:rsidR="00896E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:rsidR="00896EB9" w:rsidRPr="00896EB9" w:rsidRDefault="00154AC9" w:rsidP="00095A18">
      <w:pPr>
        <w:pStyle w:val="tytuwykresu"/>
        <w:jc w:val="both"/>
        <w:rPr>
          <w:sz w:val="19"/>
          <w:szCs w:val="19"/>
          <w:shd w:val="clear" w:color="auto" w:fill="FFFFFF"/>
          <w:lang w:val="en-GB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6F79F852" wp14:editId="35385208">
                <wp:simplePos x="0" y="0"/>
                <wp:positionH relativeFrom="column">
                  <wp:posOffset>5257800</wp:posOffset>
                </wp:positionH>
                <wp:positionV relativeFrom="paragraph">
                  <wp:posOffset>237490</wp:posOffset>
                </wp:positionV>
                <wp:extent cx="1645285" cy="958215"/>
                <wp:effectExtent l="0" t="0" r="0" b="0"/>
                <wp:wrapTight wrapText="bothSides">
                  <wp:wrapPolygon edited="0">
                    <wp:start x="750" y="0"/>
                    <wp:lineTo x="750" y="21042"/>
                    <wp:lineTo x="20758" y="21042"/>
                    <wp:lineTo x="20758" y="0"/>
                    <wp:lineTo x="750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958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C8" w:rsidRPr="00612A93" w:rsidRDefault="00E873C8" w:rsidP="00095A18">
                            <w:pPr>
                              <w:pStyle w:val="tekstzboku"/>
                              <w:rPr>
                                <w:bCs w:val="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  <w:r w:rsidRPr="00AD1492">
                              <w:rPr>
                                <w:lang w:val="en-US"/>
                              </w:rPr>
                              <w:t>umber of dwellings in</w:t>
                            </w:r>
                            <w:r>
                              <w:rPr>
                                <w:lang w:val="en-US"/>
                              </w:rPr>
                              <w:t xml:space="preserve"> which construction has begun in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by </w:t>
                            </w:r>
                            <w:r>
                              <w:rPr>
                                <w:lang w:val="en-US"/>
                              </w:rPr>
                              <w:t>8</w:t>
                            </w:r>
                            <w:r w:rsidRPr="00AD1492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4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% y/y in </w:t>
                            </w:r>
                            <w:r>
                              <w:rPr>
                                <w:lang w:val="en-US"/>
                              </w:rPr>
                              <w:t>the period of I-II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9F852" id="Pole tekstowe 16" o:spid="_x0000_s1032" type="#_x0000_t202" style="position:absolute;left:0;text-align:left;margin-left:414pt;margin-top:18.7pt;width:129.55pt;height:75.45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" filled="f" stroked="f">
                <v:textbox>
                  <w:txbxContent>
                    <w:p w:rsidR="00E873C8" w:rsidRPr="00612A93" w:rsidRDefault="00E873C8" w:rsidP="00095A18">
                      <w:pPr>
                        <w:pStyle w:val="tekstzboku"/>
                        <w:rPr>
                          <w:bCs w:val="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  <w:r w:rsidRPr="00AD1492">
                        <w:rPr>
                          <w:lang w:val="en-US"/>
                        </w:rPr>
                        <w:t>umber of dwellings in</w:t>
                      </w:r>
                      <w:r>
                        <w:rPr>
                          <w:lang w:val="en-US"/>
                        </w:rPr>
                        <w:t xml:space="preserve"> which construction has begun in</w:t>
                      </w:r>
                      <w:r w:rsidRPr="00AD1492">
                        <w:rPr>
                          <w:lang w:val="en-US"/>
                        </w:rPr>
                        <w:t xml:space="preserve">creased by </w:t>
                      </w:r>
                      <w:r>
                        <w:rPr>
                          <w:lang w:val="en-US"/>
                        </w:rPr>
                        <w:t>8</w:t>
                      </w:r>
                      <w:r w:rsidRPr="00AD1492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>4</w:t>
                      </w:r>
                      <w:r w:rsidRPr="00AD1492">
                        <w:rPr>
                          <w:lang w:val="en-US"/>
                        </w:rPr>
                        <w:t xml:space="preserve">% y/y in </w:t>
                      </w:r>
                      <w:r>
                        <w:rPr>
                          <w:lang w:val="en-US"/>
                        </w:rPr>
                        <w:t>the period of I-II 2019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96EB9" w:rsidRPr="00896EB9">
        <w:rPr>
          <w:sz w:val="19"/>
          <w:szCs w:val="19"/>
          <w:shd w:val="clear" w:color="auto" w:fill="FFFFFF"/>
          <w:lang w:val="en-GB"/>
        </w:rPr>
        <w:t>Dwellings in which construction has begun</w:t>
      </w:r>
    </w:p>
    <w:p w:rsidR="00095A18" w:rsidRPr="00612A93" w:rsidRDefault="00896EB9" w:rsidP="00CF36C5">
      <w:pPr>
        <w:pStyle w:val="tytuwykresu"/>
        <w:rPr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the period of two months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2019</w:t>
      </w:r>
      <w:r w:rsidR="00BD1D77" w:rsidRPr="00BD1D7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D1D77">
        <w:rPr>
          <w:b w:val="0"/>
          <w:sz w:val="19"/>
          <w:szCs w:val="19"/>
          <w:shd w:val="clear" w:color="auto" w:fill="FFFFFF"/>
          <w:lang w:val="en-GB"/>
        </w:rPr>
        <w:t>t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30.1</w:t>
      </w:r>
      <w:r w:rsidR="00A3375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>thous.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8.4</w:t>
      </w:r>
      <w:r w:rsidR="00856FE3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B1FCD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D76E73" w:rsidRPr="00612A93">
        <w:rPr>
          <w:lang w:val="en-GB"/>
        </w:rPr>
        <w:t xml:space="preserve"> 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period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>previous year</w:t>
      </w:r>
      <w:r w:rsidR="00B2646D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B2646D">
        <w:rPr>
          <w:sz w:val="19"/>
          <w:szCs w:val="19"/>
          <w:shd w:val="clear" w:color="auto" w:fill="FFFFFF"/>
          <w:lang w:val="en-GB"/>
        </w:rPr>
        <w:t>D</w:t>
      </w:r>
      <w:r w:rsidR="00095A18" w:rsidRPr="00B2646D">
        <w:rPr>
          <w:sz w:val="19"/>
          <w:szCs w:val="19"/>
          <w:shd w:val="clear" w:color="auto" w:fill="FFFFFF"/>
          <w:lang w:val="en-GB"/>
        </w:rPr>
        <w:t>evelopers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ha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>ve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started construction of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20.2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 xml:space="preserve"> thous.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dwellings,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25FE5">
        <w:rPr>
          <w:sz w:val="19"/>
          <w:szCs w:val="19"/>
          <w:shd w:val="clear" w:color="auto" w:fill="FFFFFF"/>
          <w:lang w:val="en-GB"/>
        </w:rPr>
        <w:t>private investors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9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>.3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 xml:space="preserve"> thous.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dwellings,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983BE8">
        <w:rPr>
          <w:b w:val="0"/>
          <w:sz w:val="19"/>
          <w:szCs w:val="19"/>
          <w:shd w:val="clear" w:color="auto" w:fill="FFFFFF"/>
          <w:lang w:val="en-GB"/>
        </w:rPr>
        <w:t>i.e. altogether 97.</w:t>
      </w:r>
      <w:r w:rsidR="000A672D">
        <w:rPr>
          <w:b w:val="0"/>
          <w:sz w:val="19"/>
          <w:szCs w:val="19"/>
          <w:shd w:val="clear" w:color="auto" w:fill="FFFFFF"/>
          <w:lang w:val="en-GB"/>
        </w:rPr>
        <w:t>8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>
        <w:rPr>
          <w:b w:val="0"/>
          <w:sz w:val="19"/>
          <w:szCs w:val="19"/>
          <w:shd w:val="clear" w:color="auto" w:fill="FFFFFF"/>
          <w:lang w:val="en-GB"/>
        </w:rPr>
        <w:t xml:space="preserve"> of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 a</w:t>
      </w:r>
      <w:r w:rsidR="001C1808">
        <w:rPr>
          <w:b w:val="0"/>
          <w:sz w:val="19"/>
          <w:szCs w:val="19"/>
          <w:shd w:val="clear" w:color="auto" w:fill="FFFFFF"/>
          <w:lang w:val="en-GB"/>
        </w:rPr>
        <w:t xml:space="preserve"> total number of dwellings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. B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 xml:space="preserve">oth for construction for sale or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rent and private construction in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>was not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ed by respectively 5.4% and 14.5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>% compared to 2018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dwellings in which construction has begun were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 xml:space="preserve">also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>not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ed </w:t>
      </w:r>
      <w:r w:rsidR="006A0E22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A0E22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A0E22">
        <w:rPr>
          <w:sz w:val="19"/>
          <w:szCs w:val="19"/>
          <w:shd w:val="clear" w:color="auto" w:fill="FFFFFF"/>
          <w:lang w:val="en-GB"/>
        </w:rPr>
        <w:t xml:space="preserve">cooperative </w:t>
      </w:r>
      <w:r w:rsidR="006A0E22" w:rsidRPr="00D536C0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(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292</w:t>
      </w:r>
      <w:r w:rsidR="00095A18" w:rsidRPr="004C57EC">
        <w:rPr>
          <w:b w:val="0"/>
          <w:color w:val="FF000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255) and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other </w:t>
      </w:r>
      <w:r w:rsidR="00B77EC9">
        <w:rPr>
          <w:sz w:val="19"/>
          <w:szCs w:val="19"/>
          <w:shd w:val="clear" w:color="auto" w:fill="FFFFFF"/>
          <w:lang w:val="en-GB"/>
        </w:rPr>
        <w:t xml:space="preserve">forms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of</w:t>
      </w:r>
      <w:r w:rsidR="00B77EC9">
        <w:rPr>
          <w:sz w:val="19"/>
          <w:szCs w:val="19"/>
          <w:shd w:val="clear" w:color="auto" w:fill="FFFFFF"/>
          <w:lang w:val="en-GB"/>
        </w:rPr>
        <w:t xml:space="preserve">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(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356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277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).</w:t>
      </w:r>
    </w:p>
    <w:p w:rsidR="009609A1" w:rsidRPr="00612A93" w:rsidRDefault="009609A1" w:rsidP="00467EFF">
      <w:pPr>
        <w:rPr>
          <w:shd w:val="clear" w:color="auto" w:fill="FFFFFF"/>
          <w:lang w:val="en-GB"/>
        </w:rPr>
      </w:pPr>
    </w:p>
    <w:p w:rsidR="00C41764" w:rsidRPr="00612A93" w:rsidRDefault="00C41764">
      <w:pPr>
        <w:spacing w:before="0" w:after="160" w:line="259" w:lineRule="auto"/>
        <w:rPr>
          <w:shd w:val="clear" w:color="auto" w:fill="FFFFFF"/>
          <w:lang w:val="en-GB"/>
        </w:rPr>
      </w:pPr>
      <w:r w:rsidRPr="00612A93">
        <w:rPr>
          <w:shd w:val="clear" w:color="auto" w:fill="FFFFFF"/>
          <w:lang w:val="en-GB"/>
        </w:rPr>
        <w:br w:type="page"/>
      </w:r>
    </w:p>
    <w:p w:rsidR="00154AC9" w:rsidRDefault="00154AC9" w:rsidP="00154AC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154AC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7C6C81" w:rsidRDefault="007C6C81" w:rsidP="00154AC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AB3F7C" w:rsidRPr="00916639" w:rsidRDefault="00154AC9" w:rsidP="00AB3F7C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</w:t>
      </w:r>
      <w:r w:rsidR="00224A0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 3</w:t>
      </w: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Dwellings in</w:t>
      </w: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 which construction has begun</w:t>
      </w:r>
    </w:p>
    <w:tbl>
      <w:tblPr>
        <w:tblStyle w:val="Siatkatabelijasna2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AB3F7C" w:rsidRPr="00AB3F7C" w:rsidTr="00E873C8">
        <w:trPr>
          <w:trHeight w:val="57"/>
        </w:trPr>
        <w:tc>
          <w:tcPr>
            <w:tcW w:w="2049" w:type="dxa"/>
            <w:vMerge w:val="restart"/>
            <w:vAlign w:val="center"/>
          </w:tcPr>
          <w:p w:rsidR="00AB3F7C" w:rsidRPr="00AB3F7C" w:rsidRDefault="00AB3F7C" w:rsidP="00AB3F7C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proofErr w:type="spellStart"/>
            <w:r>
              <w:rPr>
                <w:rFonts w:cs="Arial"/>
                <w:bCs/>
                <w:color w:val="000000" w:themeColor="text1"/>
                <w:sz w:val="16"/>
                <w:szCs w:val="16"/>
              </w:rPr>
              <w:t>Forms</w:t>
            </w:r>
            <w:proofErr w:type="spellEnd"/>
            <w:r>
              <w:rPr>
                <w:rFonts w:cs="Arial"/>
                <w:bCs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cs="Arial"/>
                <w:bCs/>
                <w:color w:val="000000" w:themeColor="text1"/>
                <w:sz w:val="16"/>
                <w:szCs w:val="16"/>
              </w:rPr>
              <w:t>construction</w:t>
            </w:r>
            <w:proofErr w:type="spellEnd"/>
          </w:p>
        </w:tc>
        <w:tc>
          <w:tcPr>
            <w:tcW w:w="6031" w:type="dxa"/>
            <w:gridSpan w:val="5"/>
            <w:vAlign w:val="center"/>
          </w:tcPr>
          <w:p w:rsidR="00AB3F7C" w:rsidRPr="00AB3F7C" w:rsidRDefault="00AB3F7C" w:rsidP="00AB3F7C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AB3F7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2019</w:t>
            </w:r>
          </w:p>
        </w:tc>
      </w:tr>
      <w:tr w:rsidR="00AB3F7C" w:rsidRPr="00AB3F7C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AB3F7C" w:rsidRPr="00AB3F7C" w:rsidRDefault="00AB3F7C" w:rsidP="00AB3F7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AB3F7C" w:rsidRPr="00AB3F7C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AB3F7C" w:rsidRPr="00AB3F7C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I-II</w:t>
            </w:r>
          </w:p>
        </w:tc>
      </w:tr>
      <w:tr w:rsidR="00AB3F7C" w:rsidRPr="00AB3F7C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AB3F7C" w:rsidRPr="00AB3F7C" w:rsidRDefault="00AB3F7C" w:rsidP="00AB3F7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5E6FF1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II</w:t>
            </w:r>
          </w:p>
          <w:p w:rsidR="00AB3F7C" w:rsidRPr="00AB3F7C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I</w:t>
            </w:r>
          </w:p>
          <w:p w:rsidR="00AB3F7C" w:rsidRPr="00AB3F7C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5E6FF1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I-II</w:t>
            </w:r>
          </w:p>
          <w:p w:rsidR="00AB3F7C" w:rsidRPr="00AB3F7C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2018=100</w:t>
            </w:r>
          </w:p>
        </w:tc>
      </w:tr>
      <w:tr w:rsidR="00AB3F7C" w:rsidRPr="00AB3F7C" w:rsidTr="00E873C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AB3F7C" w:rsidRPr="00FA5128" w:rsidRDefault="00AB3F7C" w:rsidP="00AB3F7C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AB3F7C" w:rsidRPr="00AB3F7C" w:rsidRDefault="00AB3F7C" w:rsidP="00AB3F7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B3F7C">
              <w:rPr>
                <w:rFonts w:cs="Arial"/>
                <w:b/>
                <w:color w:val="000000" w:themeColor="text1"/>
                <w:sz w:val="16"/>
                <w:szCs w:val="16"/>
              </w:rPr>
              <w:t>16682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AB3F7C" w:rsidRPr="00AB3F7C" w:rsidRDefault="00CD44F1" w:rsidP="00AB3F7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120.</w:t>
            </w:r>
            <w:r w:rsidR="00AB3F7C" w:rsidRPr="00AB3F7C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AB3F7C" w:rsidRPr="00AB3F7C" w:rsidRDefault="000712A2" w:rsidP="00AB3F7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124.</w:t>
            </w:r>
            <w:r w:rsidR="00AB3F7C" w:rsidRPr="00AB3F7C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AB3F7C" w:rsidRPr="00AB3F7C" w:rsidRDefault="00AB3F7C" w:rsidP="00AB3F7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B3F7C">
              <w:rPr>
                <w:rFonts w:cs="Arial"/>
                <w:b/>
                <w:color w:val="000000" w:themeColor="text1"/>
                <w:sz w:val="16"/>
                <w:szCs w:val="16"/>
              </w:rPr>
              <w:t>30126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AB3F7C" w:rsidRPr="00AB3F7C" w:rsidRDefault="00CD44F1" w:rsidP="00AB3F7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108.</w:t>
            </w:r>
            <w:r w:rsidR="00AB3F7C" w:rsidRPr="00AB3F7C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AB3F7C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AB3F7C" w:rsidRPr="00154AC9" w:rsidRDefault="00AB3F7C" w:rsidP="00AB3F7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Private</w:t>
            </w:r>
          </w:p>
        </w:tc>
        <w:tc>
          <w:tcPr>
            <w:tcW w:w="1206" w:type="dxa"/>
            <w:vAlign w:val="center"/>
          </w:tcPr>
          <w:p w:rsidR="00AB3F7C" w:rsidRPr="00AB3F7C" w:rsidRDefault="00AB3F7C" w:rsidP="00AB3F7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B3F7C">
              <w:rPr>
                <w:rFonts w:cs="Arial"/>
                <w:color w:val="000000" w:themeColor="text1"/>
                <w:sz w:val="16"/>
                <w:szCs w:val="16"/>
              </w:rPr>
              <w:t>5991</w:t>
            </w:r>
          </w:p>
        </w:tc>
        <w:tc>
          <w:tcPr>
            <w:tcW w:w="1206" w:type="dxa"/>
            <w:vAlign w:val="center"/>
          </w:tcPr>
          <w:p w:rsidR="00AB3F7C" w:rsidRPr="00AB3F7C" w:rsidRDefault="00CD44F1" w:rsidP="00AB3F7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131.</w:t>
            </w:r>
            <w:r w:rsidR="00AB3F7C" w:rsidRPr="00AB3F7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:rsidR="00AB3F7C" w:rsidRPr="00AB3F7C" w:rsidRDefault="000712A2" w:rsidP="00AB3F7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179.</w:t>
            </w:r>
            <w:r w:rsidR="00AB3F7C" w:rsidRPr="00AB3F7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AB3F7C" w:rsidRPr="00AB3F7C" w:rsidRDefault="00AB3F7C" w:rsidP="00AB3F7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AB3F7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9324</w:t>
            </w:r>
          </w:p>
        </w:tc>
        <w:tc>
          <w:tcPr>
            <w:tcW w:w="1207" w:type="dxa"/>
            <w:vAlign w:val="center"/>
          </w:tcPr>
          <w:p w:rsidR="00AB3F7C" w:rsidRPr="00AB3F7C" w:rsidRDefault="00CD44F1" w:rsidP="00AB3F7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114.</w:t>
            </w:r>
            <w:r w:rsidR="00AB3F7C" w:rsidRPr="00AB3F7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AB3F7C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AB3F7C" w:rsidRPr="00154AC9" w:rsidRDefault="00AB3F7C" w:rsidP="00AB3F7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For sale </w:t>
            </w:r>
            <w:proofErr w:type="spellStart"/>
            <w:r w:rsidRPr="00154AC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or</w:t>
            </w:r>
            <w:proofErr w:type="spellEnd"/>
            <w:r w:rsidRPr="00154AC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rent </w:t>
            </w:r>
          </w:p>
        </w:tc>
        <w:tc>
          <w:tcPr>
            <w:tcW w:w="1206" w:type="dxa"/>
            <w:vAlign w:val="center"/>
          </w:tcPr>
          <w:p w:rsidR="00AB3F7C" w:rsidRPr="00AB3F7C" w:rsidRDefault="00AB3F7C" w:rsidP="00AB3F7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B3F7C">
              <w:rPr>
                <w:rFonts w:cs="Arial"/>
                <w:color w:val="000000" w:themeColor="text1"/>
                <w:sz w:val="16"/>
                <w:szCs w:val="16"/>
              </w:rPr>
              <w:t>10333</w:t>
            </w:r>
          </w:p>
        </w:tc>
        <w:tc>
          <w:tcPr>
            <w:tcW w:w="1206" w:type="dxa"/>
            <w:vAlign w:val="center"/>
          </w:tcPr>
          <w:p w:rsidR="00AB3F7C" w:rsidRPr="00AB3F7C" w:rsidRDefault="00CD44F1" w:rsidP="00AB3F7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115.</w:t>
            </w:r>
            <w:r w:rsidR="00AB3F7C" w:rsidRPr="00AB3F7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AB3F7C" w:rsidRPr="00AB3F7C" w:rsidRDefault="000712A2" w:rsidP="00AB3F7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</w:t>
            </w:r>
            <w:r w:rsidR="00AB3F7C" w:rsidRPr="00AB3F7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AB3F7C" w:rsidRPr="00AB3F7C" w:rsidRDefault="00AB3F7C" w:rsidP="00AB3F7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AB3F7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20154</w:t>
            </w:r>
          </w:p>
        </w:tc>
        <w:tc>
          <w:tcPr>
            <w:tcW w:w="1207" w:type="dxa"/>
            <w:vAlign w:val="center"/>
          </w:tcPr>
          <w:p w:rsidR="00AB3F7C" w:rsidRPr="00AB3F7C" w:rsidRDefault="00CD44F1" w:rsidP="00AB3F7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</w:t>
            </w:r>
            <w:r w:rsidR="00AB3F7C" w:rsidRPr="00AB3F7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AB3F7C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AB3F7C" w:rsidRPr="00154AC9" w:rsidRDefault="00AB3F7C" w:rsidP="007C6C8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of </w:t>
            </w:r>
            <w:proofErr w:type="spellStart"/>
            <w:r w:rsidRPr="00154AC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which</w:t>
            </w:r>
            <w:proofErr w:type="spellEnd"/>
            <w:r w:rsidRPr="00154AC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for </w:t>
            </w:r>
            <w:proofErr w:type="spellStart"/>
            <w:r w:rsidRPr="00154AC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rent</w:t>
            </w:r>
            <w:r w:rsidR="00E873C8">
              <w:rPr>
                <w:rStyle w:val="Odwoanieprzypisudolnego"/>
              </w:rPr>
              <w:t>c</w:t>
            </w:r>
            <w:proofErr w:type="spellEnd"/>
          </w:p>
        </w:tc>
        <w:tc>
          <w:tcPr>
            <w:tcW w:w="1206" w:type="dxa"/>
            <w:vAlign w:val="center"/>
          </w:tcPr>
          <w:p w:rsidR="00AB3F7C" w:rsidRPr="00AB3F7C" w:rsidRDefault="00AB3F7C" w:rsidP="00AB3F7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B3F7C">
              <w:rPr>
                <w:rFonts w:cs="Arial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1206" w:type="dxa"/>
            <w:vAlign w:val="center"/>
          </w:tcPr>
          <w:p w:rsidR="00AB3F7C" w:rsidRPr="00AB3F7C" w:rsidRDefault="00AB3F7C" w:rsidP="00AB3F7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B3F7C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AB3F7C" w:rsidRPr="00AB3F7C" w:rsidRDefault="000712A2" w:rsidP="00AB3F7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195.</w:t>
            </w:r>
            <w:r w:rsidR="00AB3F7C" w:rsidRPr="00AB3F7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AB3F7C" w:rsidRPr="00AB3F7C" w:rsidRDefault="00AB3F7C" w:rsidP="00AB3F7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AB3F7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118</w:t>
            </w:r>
          </w:p>
        </w:tc>
        <w:tc>
          <w:tcPr>
            <w:tcW w:w="1207" w:type="dxa"/>
            <w:vAlign w:val="center"/>
          </w:tcPr>
          <w:p w:rsidR="00AB3F7C" w:rsidRPr="00AB3F7C" w:rsidRDefault="00AB3F7C" w:rsidP="00AB3F7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B3F7C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AB3F7C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AB3F7C" w:rsidRPr="00154AC9" w:rsidRDefault="00AB3F7C" w:rsidP="00AB3F7C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54AC9">
              <w:rPr>
                <w:rFonts w:cstheme="majorBidi"/>
                <w:color w:val="000000" w:themeColor="text1"/>
                <w:sz w:val="16"/>
                <w:szCs w:val="16"/>
              </w:rPr>
              <w:t>Cooperative</w:t>
            </w:r>
            <w:proofErr w:type="spellEnd"/>
          </w:p>
        </w:tc>
        <w:tc>
          <w:tcPr>
            <w:tcW w:w="1206" w:type="dxa"/>
            <w:vAlign w:val="center"/>
          </w:tcPr>
          <w:p w:rsidR="00AB3F7C" w:rsidRPr="00AB3F7C" w:rsidRDefault="00AB3F7C" w:rsidP="00AB3F7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B3F7C">
              <w:rPr>
                <w:rFonts w:cs="Arial"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1206" w:type="dxa"/>
            <w:vAlign w:val="center"/>
          </w:tcPr>
          <w:p w:rsidR="00AB3F7C" w:rsidRPr="00AB3F7C" w:rsidRDefault="00CD44F1" w:rsidP="00AB3F7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50.</w:t>
            </w:r>
            <w:r w:rsidR="00AB3F7C" w:rsidRPr="00AB3F7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AB3F7C" w:rsidRPr="00AB3F7C" w:rsidRDefault="000712A2" w:rsidP="00AB3F7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33.</w:t>
            </w:r>
            <w:r w:rsidR="00AB3F7C" w:rsidRPr="00AB3F7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AB3F7C" w:rsidRPr="00AB3F7C" w:rsidRDefault="00AB3F7C" w:rsidP="00AB3F7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AB3F7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292</w:t>
            </w:r>
          </w:p>
        </w:tc>
        <w:tc>
          <w:tcPr>
            <w:tcW w:w="1207" w:type="dxa"/>
            <w:vAlign w:val="center"/>
          </w:tcPr>
          <w:p w:rsidR="00AB3F7C" w:rsidRPr="00AB3F7C" w:rsidRDefault="00CD44F1" w:rsidP="00AB3F7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114.</w:t>
            </w:r>
            <w:r w:rsidR="00AB3F7C" w:rsidRPr="00AB3F7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AB3F7C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AB3F7C" w:rsidRPr="00154AC9" w:rsidRDefault="00AB3F7C" w:rsidP="00AB3F7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Municipal</w:t>
            </w:r>
            <w:proofErr w:type="spellEnd"/>
          </w:p>
        </w:tc>
        <w:tc>
          <w:tcPr>
            <w:tcW w:w="1206" w:type="dxa"/>
            <w:vAlign w:val="center"/>
          </w:tcPr>
          <w:p w:rsidR="00AB3F7C" w:rsidRPr="00AB3F7C" w:rsidRDefault="00AB3F7C" w:rsidP="00AB3F7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B3F7C">
              <w:rPr>
                <w:rFonts w:cs="Arial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206" w:type="dxa"/>
            <w:vAlign w:val="center"/>
          </w:tcPr>
          <w:p w:rsidR="00AB3F7C" w:rsidRPr="00AB3F7C" w:rsidRDefault="00AB3F7C" w:rsidP="000457C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B3F7C">
              <w:rPr>
                <w:rFonts w:cs="Arial"/>
                <w:color w:val="000000" w:themeColor="text1"/>
                <w:sz w:val="16"/>
                <w:szCs w:val="16"/>
              </w:rPr>
              <w:t>35-</w:t>
            </w:r>
            <w:r w:rsidR="000457C6">
              <w:rPr>
                <w:rFonts w:cs="Arial"/>
                <w:color w:val="000000" w:themeColor="text1"/>
                <w:sz w:val="16"/>
                <w:szCs w:val="16"/>
              </w:rPr>
              <w:t>fold</w:t>
            </w:r>
            <w:r w:rsidRPr="00AB3F7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:rsidR="00AB3F7C" w:rsidRPr="00AB3F7C" w:rsidRDefault="000457C6" w:rsidP="000457C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More </w:t>
            </w:r>
            <w:proofErr w:type="spellStart"/>
            <w:r>
              <w:rPr>
                <w:rFonts w:cs="Arial"/>
                <w:sz w:val="16"/>
                <w:szCs w:val="16"/>
              </w:rPr>
              <w:t>than</w:t>
            </w:r>
            <w:proofErr w:type="spellEnd"/>
            <w:r w:rsidR="00AB3F7C" w:rsidRPr="00AB3F7C">
              <w:rPr>
                <w:rFonts w:cs="Arial"/>
                <w:sz w:val="16"/>
                <w:szCs w:val="16"/>
              </w:rPr>
              <w:t xml:space="preserve"> 3-</w:t>
            </w:r>
            <w:r>
              <w:rPr>
                <w:rFonts w:cs="Arial"/>
                <w:sz w:val="16"/>
                <w:szCs w:val="16"/>
              </w:rPr>
              <w:t>fold</w:t>
            </w:r>
            <w:r w:rsidR="00AB3F7C" w:rsidRPr="00AB3F7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:rsidR="00AB3F7C" w:rsidRPr="00AB3F7C" w:rsidRDefault="00AB3F7C" w:rsidP="00AB3F7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1207" w:type="dxa"/>
            <w:vAlign w:val="center"/>
          </w:tcPr>
          <w:p w:rsidR="00AB3F7C" w:rsidRPr="00AB3F7C" w:rsidRDefault="00CD44F1" w:rsidP="00AB3F7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86.</w:t>
            </w:r>
            <w:r w:rsidR="00AB3F7C" w:rsidRPr="00AB3F7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AB3F7C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AB3F7C" w:rsidRPr="00154AC9" w:rsidRDefault="00AB3F7C" w:rsidP="00AB3F7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Public </w:t>
            </w: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building</w:t>
            </w:r>
            <w:proofErr w:type="spellEnd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society</w:t>
            </w:r>
            <w:proofErr w:type="spellEnd"/>
          </w:p>
        </w:tc>
        <w:tc>
          <w:tcPr>
            <w:tcW w:w="1206" w:type="dxa"/>
            <w:vAlign w:val="center"/>
          </w:tcPr>
          <w:p w:rsidR="00AB3F7C" w:rsidRPr="00AB3F7C" w:rsidRDefault="00AB3F7C" w:rsidP="00AB3F7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B3F7C">
              <w:rPr>
                <w:rFonts w:cs="Arial"/>
                <w:color w:val="000000" w:themeColor="text1"/>
                <w:sz w:val="16"/>
                <w:szCs w:val="16"/>
              </w:rPr>
              <w:t>215</w:t>
            </w:r>
          </w:p>
        </w:tc>
        <w:tc>
          <w:tcPr>
            <w:tcW w:w="1206" w:type="dxa"/>
            <w:vAlign w:val="center"/>
          </w:tcPr>
          <w:p w:rsidR="00AB3F7C" w:rsidRPr="00AB3F7C" w:rsidRDefault="00CD44F1" w:rsidP="00AB3F7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128.</w:t>
            </w:r>
            <w:r w:rsidR="00AB3F7C" w:rsidRPr="00AB3F7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AB3F7C" w:rsidRPr="00AB3F7C" w:rsidRDefault="000457C6" w:rsidP="000457C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More </w:t>
            </w:r>
            <w:proofErr w:type="spellStart"/>
            <w:r>
              <w:rPr>
                <w:rFonts w:cs="Arial"/>
                <w:sz w:val="16"/>
                <w:szCs w:val="16"/>
              </w:rPr>
              <w:t>than</w:t>
            </w:r>
            <w:proofErr w:type="spellEnd"/>
            <w:r w:rsidR="00AB3F7C" w:rsidRPr="00AB3F7C">
              <w:rPr>
                <w:rFonts w:cs="Arial"/>
                <w:sz w:val="16"/>
                <w:szCs w:val="16"/>
              </w:rPr>
              <w:t xml:space="preserve"> 4-</w:t>
            </w:r>
            <w:r>
              <w:rPr>
                <w:rFonts w:cs="Arial"/>
                <w:sz w:val="16"/>
                <w:szCs w:val="16"/>
              </w:rPr>
              <w:t>fold</w:t>
            </w:r>
          </w:p>
        </w:tc>
        <w:tc>
          <w:tcPr>
            <w:tcW w:w="1206" w:type="dxa"/>
            <w:vAlign w:val="center"/>
          </w:tcPr>
          <w:p w:rsidR="00AB3F7C" w:rsidRPr="00AB3F7C" w:rsidRDefault="00AB3F7C" w:rsidP="00AB3F7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268</w:t>
            </w:r>
          </w:p>
        </w:tc>
        <w:tc>
          <w:tcPr>
            <w:tcW w:w="1207" w:type="dxa"/>
            <w:vAlign w:val="center"/>
          </w:tcPr>
          <w:p w:rsidR="00AB3F7C" w:rsidRPr="00AB3F7C" w:rsidRDefault="00CD44F1" w:rsidP="00AB3F7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160.</w:t>
            </w:r>
            <w:r w:rsidR="00AB3F7C" w:rsidRPr="00AB3F7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AB3F7C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AB3F7C" w:rsidRPr="008C0EBD" w:rsidRDefault="00AB3F7C" w:rsidP="00AB3F7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AB3F7C" w:rsidRPr="00AB3F7C" w:rsidRDefault="00AB3F7C" w:rsidP="00AB3F7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B3F7C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:rsidR="00AB3F7C" w:rsidRPr="00AB3F7C" w:rsidRDefault="00AB3F7C" w:rsidP="00AB3F7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B3F7C"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</w:p>
        </w:tc>
        <w:tc>
          <w:tcPr>
            <w:tcW w:w="1206" w:type="dxa"/>
            <w:vAlign w:val="center"/>
          </w:tcPr>
          <w:p w:rsidR="00AB3F7C" w:rsidRPr="00AB3F7C" w:rsidRDefault="00AB3F7C" w:rsidP="00AB3F7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B3F7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AB3F7C" w:rsidRPr="00AB3F7C" w:rsidRDefault="00AB3F7C" w:rsidP="00AB3F7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7" w:type="dxa"/>
            <w:vAlign w:val="center"/>
          </w:tcPr>
          <w:p w:rsidR="00AB3F7C" w:rsidRPr="00AB3F7C" w:rsidRDefault="00AB3F7C" w:rsidP="00AB3F7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B3F7C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</w:tbl>
    <w:p w:rsidR="00154AC9" w:rsidRDefault="00154AC9" w:rsidP="00154AC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7207E6">
      <w:pPr>
        <w:pStyle w:val="tytuwykresu"/>
        <w:rPr>
          <w:lang w:val="en-GB"/>
        </w:rPr>
      </w:pPr>
    </w:p>
    <w:p w:rsidR="00154AC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 xml:space="preserve">It is estimated that in the end of </w:t>
      </w:r>
      <w:r w:rsidR="005E6FF1">
        <w:rPr>
          <w:b w:val="0"/>
          <w:sz w:val="19"/>
          <w:szCs w:val="19"/>
          <w:shd w:val="clear" w:color="auto" w:fill="FFFFFF"/>
          <w:lang w:val="en-GB"/>
        </w:rPr>
        <w:t>February 2019 there were 793.4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thous. dwellings under construction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CE0F21">
        <w:rPr>
          <w:b w:val="0"/>
          <w:sz w:val="19"/>
          <w:szCs w:val="19"/>
          <w:shd w:val="clear" w:color="auto" w:fill="FFFFFF"/>
          <w:lang w:val="en-GB"/>
        </w:rPr>
        <w:t>4.9</w:t>
      </w:r>
      <w:r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612A93">
        <w:rPr>
          <w:lang w:val="en-GB"/>
        </w:rPr>
        <w:t xml:space="preserve"> 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5E6FF1">
        <w:rPr>
          <w:b w:val="0"/>
          <w:sz w:val="19"/>
          <w:szCs w:val="19"/>
          <w:shd w:val="clear" w:color="auto" w:fill="FFFFFF"/>
          <w:lang w:val="en-GB"/>
        </w:rPr>
        <w:t>period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>previous year</w:t>
      </w:r>
      <w:r>
        <w:rPr>
          <w:b w:val="0"/>
          <w:sz w:val="19"/>
          <w:szCs w:val="19"/>
          <w:shd w:val="clear" w:color="auto" w:fill="FFFFFF"/>
          <w:lang w:val="en-GB"/>
        </w:rPr>
        <w:t>.</w:t>
      </w:r>
    </w:p>
    <w:p w:rsidR="005D23AA" w:rsidRDefault="005D23AA" w:rsidP="007207E6">
      <w:pPr>
        <w:pStyle w:val="tytuwykresu"/>
        <w:rPr>
          <w:lang w:val="en-GB"/>
        </w:rPr>
      </w:pPr>
    </w:p>
    <w:p w:rsidR="007207E6" w:rsidRDefault="00B66C90" w:rsidP="007207E6">
      <w:pPr>
        <w:pStyle w:val="tytuwykresu"/>
        <w:rPr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83168" behindDoc="0" locked="0" layoutInCell="1" allowOverlap="1" wp14:anchorId="02698884" wp14:editId="318CA310">
            <wp:simplePos x="0" y="0"/>
            <wp:positionH relativeFrom="margin">
              <wp:align>right</wp:align>
            </wp:positionH>
            <wp:positionV relativeFrom="paragraph">
              <wp:posOffset>224398</wp:posOffset>
            </wp:positionV>
            <wp:extent cx="5122545" cy="3323493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3AA" w:rsidRPr="00C733A3">
        <w:rPr>
          <w:b w:val="0"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663AF7C" wp14:editId="49500C00">
                <wp:simplePos x="0" y="0"/>
                <wp:positionH relativeFrom="page">
                  <wp:posOffset>5741035</wp:posOffset>
                </wp:positionH>
                <wp:positionV relativeFrom="paragraph">
                  <wp:posOffset>716915</wp:posOffset>
                </wp:positionV>
                <wp:extent cx="1760855" cy="1740535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74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C8" w:rsidRPr="008E61BD" w:rsidRDefault="00E873C8" w:rsidP="005D23AA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8E61B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Number of dwellings in which construction has begun increased (by 24.1%), whereas number of dwellings for which permits have been granted or which have been registered with a construction project and dwellings completed decreased (respectively by 18.0%</w:t>
                            </w:r>
                            <w:r w:rsidR="00B66C90" w:rsidRPr="008E61B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</w:t>
                            </w:r>
                            <w:r w:rsidRPr="008E61B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2.1%) compared to January 2019 </w:t>
                            </w:r>
                          </w:p>
                          <w:p w:rsidR="00E873C8" w:rsidRPr="008E61BD" w:rsidRDefault="00E873C8" w:rsidP="005D23AA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8E61B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AF7C" id="_x0000_s1033" type="#_x0000_t202" style="position:absolute;margin-left:452.05pt;margin-top:56.45pt;width:138.65pt;height:137.0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" filled="f" stroked="f">
                <v:textbox>
                  <w:txbxContent>
                    <w:p w:rsidR="00E873C8" w:rsidRPr="008E61BD" w:rsidRDefault="00E873C8" w:rsidP="005D23AA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8E61B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Number of dwellings in which construction has begun increased (by 24.1%), whereas number of dwellings for which permits have been granted or which have been registered with a construction project and dwellings completed decreased (respectively by 18.0%</w:t>
                      </w:r>
                      <w:r w:rsidR="00B66C90" w:rsidRPr="008E61B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</w:t>
                      </w:r>
                      <w:r w:rsidRPr="008E61B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2.1%) compared to January 2019 </w:t>
                      </w:r>
                    </w:p>
                    <w:p w:rsidR="00E873C8" w:rsidRPr="008E61BD" w:rsidRDefault="00E873C8" w:rsidP="005D23AA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8E61B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D1492">
        <w:rPr>
          <w:lang w:val="en-US"/>
        </w:rPr>
        <w:t>C</w:t>
      </w:r>
      <w:r w:rsidR="00AD1492" w:rsidRPr="005F5714">
        <w:rPr>
          <w:lang w:val="en-US"/>
        </w:rPr>
        <w:t xml:space="preserve">hart 1. Construction activity in the scope of </w:t>
      </w:r>
      <w:r w:rsidR="00256AD9">
        <w:rPr>
          <w:lang w:val="en-US"/>
        </w:rPr>
        <w:t>residential construction</w:t>
      </w:r>
      <w:r w:rsidR="005D23AA">
        <w:rPr>
          <w:lang w:val="en-US"/>
        </w:rPr>
        <w:t xml:space="preserve"> in Poland</w:t>
      </w:r>
    </w:p>
    <w:p w:rsidR="00632DF8" w:rsidRPr="00612A93" w:rsidRDefault="00632DF8" w:rsidP="007207E6">
      <w:pPr>
        <w:pStyle w:val="tytuwykresu"/>
        <w:rPr>
          <w:sz w:val="19"/>
          <w:szCs w:val="19"/>
          <w:shd w:val="clear" w:color="auto" w:fill="FFFFFF"/>
          <w:lang w:val="en-GB"/>
        </w:rPr>
      </w:pPr>
    </w:p>
    <w:p w:rsidR="007207E6" w:rsidRPr="00612A93" w:rsidRDefault="007207E6" w:rsidP="00673BE0">
      <w:pPr>
        <w:pStyle w:val="Nagwek1"/>
        <w:rPr>
          <w:color w:val="auto"/>
          <w:sz w:val="18"/>
          <w:szCs w:val="18"/>
          <w:lang w:val="en-GB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0271FB" w:rsidRPr="008E61BD" w:rsidRDefault="000271FB" w:rsidP="008E61BD">
      <w:pPr>
        <w:pStyle w:val="tekstzboku"/>
        <w:rPr>
          <w:spacing w:val="-4"/>
          <w:shd w:val="clear" w:color="auto" w:fill="FFFFFF"/>
          <w:lang w:val="en-US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3A358E" w:rsidRDefault="003A358E" w:rsidP="00CB6084">
      <w:pPr>
        <w:rPr>
          <w:szCs w:val="19"/>
          <w:shd w:val="clear" w:color="auto" w:fill="FFFFFF"/>
          <w:lang w:val="en-GB"/>
        </w:rPr>
      </w:pPr>
    </w:p>
    <w:p w:rsidR="003A358E" w:rsidRDefault="003A358E" w:rsidP="00CB6084">
      <w:pPr>
        <w:rPr>
          <w:szCs w:val="19"/>
          <w:shd w:val="clear" w:color="auto" w:fill="FFFFFF"/>
          <w:lang w:val="en-GB"/>
        </w:rPr>
      </w:pPr>
    </w:p>
    <w:p w:rsidR="00CF36C5" w:rsidRDefault="00CF36C5" w:rsidP="00CB6084">
      <w:pPr>
        <w:rPr>
          <w:szCs w:val="19"/>
          <w:shd w:val="clear" w:color="auto" w:fill="FFFFFF"/>
          <w:lang w:val="en-GB"/>
        </w:rPr>
      </w:pPr>
    </w:p>
    <w:p w:rsidR="007C6C81" w:rsidRDefault="007C6C81" w:rsidP="00CB6084">
      <w:pPr>
        <w:rPr>
          <w:szCs w:val="19"/>
          <w:shd w:val="clear" w:color="auto" w:fill="FFFFFF"/>
          <w:lang w:val="en-GB"/>
        </w:rPr>
      </w:pPr>
    </w:p>
    <w:p w:rsidR="00CB6084" w:rsidRPr="00CB6084" w:rsidRDefault="00980EA5" w:rsidP="00CB6084">
      <w:pPr>
        <w:rPr>
          <w:szCs w:val="19"/>
          <w:shd w:val="clear" w:color="auto" w:fill="FFFFFF"/>
          <w:lang w:val="en-GB"/>
        </w:rPr>
      </w:pPr>
      <w:r w:rsidRPr="00CB6084">
        <w:rPr>
          <w:szCs w:val="19"/>
          <w:shd w:val="clear" w:color="auto" w:fill="FFFFFF"/>
          <w:lang w:val="en-GB"/>
        </w:rPr>
        <w:t xml:space="preserve">The biggest number </w:t>
      </w:r>
      <w:r w:rsidR="00CB6084" w:rsidRPr="00CB6084">
        <w:rPr>
          <w:szCs w:val="19"/>
          <w:shd w:val="clear" w:color="auto" w:fill="FFFFFF"/>
          <w:lang w:val="en-GB"/>
        </w:rPr>
        <w:t xml:space="preserve">of </w:t>
      </w:r>
      <w:r w:rsidR="00CB6084">
        <w:rPr>
          <w:szCs w:val="19"/>
          <w:shd w:val="clear" w:color="auto" w:fill="FFFFFF"/>
          <w:lang w:val="en-GB"/>
        </w:rPr>
        <w:t>d</w:t>
      </w:r>
      <w:r w:rsidR="00CB6084" w:rsidRPr="00CB6084">
        <w:rPr>
          <w:szCs w:val="19"/>
          <w:shd w:val="clear" w:color="auto" w:fill="FFFFFF"/>
          <w:lang w:val="en-GB"/>
        </w:rPr>
        <w:t xml:space="preserve">wellings for which permits have been granted or which have been registered with </w:t>
      </w:r>
      <w:r w:rsidR="00CB6084">
        <w:rPr>
          <w:szCs w:val="19"/>
          <w:shd w:val="clear" w:color="auto" w:fill="FFFFFF"/>
          <w:lang w:val="en-GB"/>
        </w:rPr>
        <w:t xml:space="preserve">a construction project and </w:t>
      </w:r>
      <w:r w:rsidR="00CB6084" w:rsidRPr="00CB6084">
        <w:rPr>
          <w:szCs w:val="19"/>
          <w:shd w:val="clear" w:color="auto" w:fill="FFFFFF"/>
          <w:lang w:val="en-GB"/>
        </w:rPr>
        <w:t>in which construction has begun</w:t>
      </w:r>
      <w:r w:rsidR="00CB6084">
        <w:rPr>
          <w:szCs w:val="19"/>
          <w:shd w:val="clear" w:color="auto" w:fill="FFFFFF"/>
          <w:lang w:val="en-GB"/>
        </w:rPr>
        <w:t xml:space="preserve"> in </w:t>
      </w:r>
      <w:r w:rsidR="00E873C8">
        <w:rPr>
          <w:szCs w:val="19"/>
          <w:shd w:val="clear" w:color="auto" w:fill="FFFFFF"/>
          <w:lang w:val="en-GB"/>
        </w:rPr>
        <w:t>the period of first two months of</w:t>
      </w:r>
      <w:r w:rsidR="00CB6084">
        <w:rPr>
          <w:szCs w:val="19"/>
          <w:shd w:val="clear" w:color="auto" w:fill="FFFFFF"/>
          <w:lang w:val="en-GB"/>
        </w:rPr>
        <w:t xml:space="preserve"> 2019 was recorded </w:t>
      </w:r>
      <w:r w:rsidR="003A358E">
        <w:rPr>
          <w:szCs w:val="19"/>
          <w:shd w:val="clear" w:color="auto" w:fill="FFFFFF"/>
          <w:lang w:val="en-GB"/>
        </w:rPr>
        <w:t xml:space="preserve">in </w:t>
      </w:r>
      <w:proofErr w:type="spellStart"/>
      <w:r w:rsidR="003A358E">
        <w:rPr>
          <w:szCs w:val="19"/>
          <w:shd w:val="clear" w:color="auto" w:fill="FFFFFF"/>
          <w:lang w:val="en-GB"/>
        </w:rPr>
        <w:t>M</w:t>
      </w:r>
      <w:r w:rsidR="00CB6084">
        <w:rPr>
          <w:szCs w:val="19"/>
          <w:shd w:val="clear" w:color="auto" w:fill="FFFFFF"/>
          <w:lang w:val="en-GB"/>
        </w:rPr>
        <w:t>azowieckie</w:t>
      </w:r>
      <w:proofErr w:type="spellEnd"/>
      <w:r w:rsidR="006D5A05">
        <w:rPr>
          <w:szCs w:val="19"/>
          <w:shd w:val="clear" w:color="auto" w:fill="FFFFFF"/>
          <w:lang w:val="en-GB"/>
        </w:rPr>
        <w:t xml:space="preserve"> voivodship (</w:t>
      </w:r>
      <w:r w:rsidR="00E873C8">
        <w:rPr>
          <w:szCs w:val="19"/>
          <w:shd w:val="clear" w:color="auto" w:fill="FFFFFF"/>
          <w:lang w:val="en-GB"/>
        </w:rPr>
        <w:t>both 6.4 thous.) and</w:t>
      </w:r>
      <w:r w:rsidR="00CB6084">
        <w:rPr>
          <w:szCs w:val="19"/>
          <w:shd w:val="clear" w:color="auto" w:fill="FFFFFF"/>
          <w:lang w:val="en-GB"/>
        </w:rPr>
        <w:t xml:space="preserve"> </w:t>
      </w:r>
      <w:r w:rsidR="003A358E">
        <w:rPr>
          <w:szCs w:val="19"/>
          <w:shd w:val="clear" w:color="auto" w:fill="FFFFFF"/>
          <w:lang w:val="en-GB"/>
        </w:rPr>
        <w:t xml:space="preserve">in </w:t>
      </w:r>
      <w:proofErr w:type="spellStart"/>
      <w:r w:rsidR="003A358E">
        <w:rPr>
          <w:szCs w:val="19"/>
          <w:shd w:val="clear" w:color="auto" w:fill="FFFFFF"/>
          <w:lang w:val="en-GB"/>
        </w:rPr>
        <w:t>D</w:t>
      </w:r>
      <w:r w:rsidR="00CB6084">
        <w:rPr>
          <w:szCs w:val="19"/>
          <w:shd w:val="clear" w:color="auto" w:fill="FFFFFF"/>
          <w:lang w:val="en-GB"/>
        </w:rPr>
        <w:t>olnośl</w:t>
      </w:r>
      <w:r w:rsidR="00E873C8">
        <w:rPr>
          <w:szCs w:val="19"/>
          <w:shd w:val="clear" w:color="auto" w:fill="FFFFFF"/>
          <w:lang w:val="en-GB"/>
        </w:rPr>
        <w:t>ąskie</w:t>
      </w:r>
      <w:proofErr w:type="spellEnd"/>
      <w:r w:rsidR="00E873C8">
        <w:rPr>
          <w:szCs w:val="19"/>
          <w:shd w:val="clear" w:color="auto" w:fill="FFFFFF"/>
          <w:lang w:val="en-GB"/>
        </w:rPr>
        <w:t xml:space="preserve"> voivodship (respectively 5.3 thous. and 4.2</w:t>
      </w:r>
      <w:r w:rsidR="00CB6084" w:rsidRPr="00CB6084">
        <w:rPr>
          <w:szCs w:val="19"/>
          <w:shd w:val="clear" w:color="auto" w:fill="FFFFFF"/>
          <w:lang w:val="en-GB"/>
        </w:rPr>
        <w:t xml:space="preserve"> thous</w:t>
      </w:r>
      <w:r w:rsidR="00CB6084">
        <w:rPr>
          <w:szCs w:val="19"/>
          <w:shd w:val="clear" w:color="auto" w:fill="FFFFFF"/>
          <w:lang w:val="en-GB"/>
        </w:rPr>
        <w:t xml:space="preserve">.). </w:t>
      </w:r>
      <w:r w:rsidR="00CB6084" w:rsidRPr="00CB6084">
        <w:rPr>
          <w:szCs w:val="19"/>
          <w:shd w:val="clear" w:color="auto" w:fill="FFFFFF"/>
          <w:lang w:val="en-GB"/>
        </w:rPr>
        <w:t xml:space="preserve">Voivodships with the largest number of dwellings completed </w:t>
      </w:r>
      <w:r w:rsidR="002F2E8D">
        <w:rPr>
          <w:szCs w:val="19"/>
          <w:shd w:val="clear" w:color="auto" w:fill="FFFFFF"/>
          <w:lang w:val="en-GB"/>
        </w:rPr>
        <w:t>were</w:t>
      </w:r>
      <w:r w:rsidR="00E873C8">
        <w:rPr>
          <w:szCs w:val="19"/>
          <w:shd w:val="clear" w:color="auto" w:fill="FFFFFF"/>
          <w:lang w:val="en-GB"/>
        </w:rPr>
        <w:t xml:space="preserve"> </w:t>
      </w:r>
      <w:proofErr w:type="spellStart"/>
      <w:r w:rsidR="00E873C8">
        <w:rPr>
          <w:szCs w:val="19"/>
          <w:shd w:val="clear" w:color="auto" w:fill="FFFFFF"/>
          <w:lang w:val="en-GB"/>
        </w:rPr>
        <w:t>Mazowieckie</w:t>
      </w:r>
      <w:proofErr w:type="spellEnd"/>
      <w:r w:rsidR="00E873C8">
        <w:rPr>
          <w:szCs w:val="19"/>
          <w:shd w:val="clear" w:color="auto" w:fill="FFFFFF"/>
          <w:lang w:val="en-GB"/>
        </w:rPr>
        <w:t xml:space="preserve"> (6.7</w:t>
      </w:r>
      <w:r w:rsidR="009664CD">
        <w:rPr>
          <w:szCs w:val="19"/>
          <w:shd w:val="clear" w:color="auto" w:fill="FFFFFF"/>
          <w:lang w:val="en-GB"/>
        </w:rPr>
        <w:t xml:space="preserve"> thous. dwellings</w:t>
      </w:r>
      <w:r w:rsidR="00CB6084" w:rsidRPr="00CB6084">
        <w:rPr>
          <w:szCs w:val="19"/>
          <w:shd w:val="clear" w:color="auto" w:fill="FFFFFF"/>
          <w:lang w:val="en-GB"/>
        </w:rPr>
        <w:t>)</w:t>
      </w:r>
      <w:r w:rsidR="009664CD">
        <w:rPr>
          <w:szCs w:val="19"/>
          <w:shd w:val="clear" w:color="auto" w:fill="FFFFFF"/>
          <w:lang w:val="en-GB"/>
        </w:rPr>
        <w:t xml:space="preserve"> and </w:t>
      </w:r>
      <w:proofErr w:type="spellStart"/>
      <w:r w:rsidR="00E873C8">
        <w:rPr>
          <w:szCs w:val="19"/>
          <w:shd w:val="clear" w:color="auto" w:fill="FFFFFF"/>
          <w:lang w:val="en-GB"/>
        </w:rPr>
        <w:t>Małopolskie</w:t>
      </w:r>
      <w:proofErr w:type="spellEnd"/>
      <w:r w:rsidR="009664CD">
        <w:rPr>
          <w:szCs w:val="19"/>
          <w:shd w:val="clear" w:color="auto" w:fill="FFFFFF"/>
          <w:lang w:val="en-GB"/>
        </w:rPr>
        <w:t xml:space="preserve"> </w:t>
      </w:r>
      <w:r w:rsidR="006D5A05">
        <w:rPr>
          <w:szCs w:val="19"/>
          <w:shd w:val="clear" w:color="auto" w:fill="FFFFFF"/>
          <w:lang w:val="en-GB"/>
        </w:rPr>
        <w:br/>
      </w:r>
      <w:r w:rsidR="00E873C8">
        <w:rPr>
          <w:szCs w:val="19"/>
          <w:shd w:val="clear" w:color="auto" w:fill="FFFFFF"/>
          <w:lang w:val="en-GB"/>
        </w:rPr>
        <w:t>(3.7</w:t>
      </w:r>
      <w:r w:rsidR="009664CD">
        <w:rPr>
          <w:szCs w:val="19"/>
          <w:shd w:val="clear" w:color="auto" w:fill="FFFFFF"/>
          <w:lang w:val="en-GB"/>
        </w:rPr>
        <w:t xml:space="preserve"> thous.</w:t>
      </w:r>
      <w:r w:rsidR="00CB6084" w:rsidRPr="00CB6084">
        <w:rPr>
          <w:szCs w:val="19"/>
          <w:shd w:val="clear" w:color="auto" w:fill="FFFFFF"/>
          <w:lang w:val="en-GB"/>
        </w:rPr>
        <w:t>).</w:t>
      </w:r>
    </w:p>
    <w:p w:rsidR="00C60835" w:rsidRPr="00CB6084" w:rsidRDefault="001C1808" w:rsidP="009A61DB">
      <w:pPr>
        <w:pStyle w:val="Nagwek1"/>
        <w:rPr>
          <w:color w:val="auto"/>
          <w:sz w:val="18"/>
          <w:szCs w:val="18"/>
          <w:lang w:val="en-GB"/>
        </w:rPr>
      </w:pPr>
      <w:r>
        <w:rPr>
          <w:color w:val="auto"/>
          <w:sz w:val="18"/>
          <w:szCs w:val="18"/>
          <w:lang w:val="en-GB"/>
        </w:rPr>
        <w:t>Chart 2</w:t>
      </w:r>
      <w:r w:rsidRPr="001C1808">
        <w:rPr>
          <w:color w:val="auto"/>
          <w:sz w:val="18"/>
          <w:szCs w:val="18"/>
          <w:lang w:val="en-GB"/>
        </w:rPr>
        <w:t xml:space="preserve">. Construction activity in the scope of </w:t>
      </w:r>
      <w:r w:rsidR="00256AD9">
        <w:rPr>
          <w:color w:val="auto"/>
          <w:sz w:val="18"/>
          <w:szCs w:val="18"/>
          <w:lang w:val="en-GB"/>
        </w:rPr>
        <w:t>residential construction</w:t>
      </w:r>
      <w:r w:rsidRPr="001C1808">
        <w:rPr>
          <w:color w:val="auto"/>
          <w:sz w:val="18"/>
          <w:szCs w:val="18"/>
          <w:lang w:val="en-GB"/>
        </w:rPr>
        <w:t xml:space="preserve"> </w:t>
      </w:r>
      <w:r>
        <w:rPr>
          <w:color w:val="auto"/>
          <w:sz w:val="18"/>
          <w:szCs w:val="18"/>
          <w:lang w:val="en-GB"/>
        </w:rPr>
        <w:t xml:space="preserve">by voivodships </w:t>
      </w:r>
      <w:r>
        <w:rPr>
          <w:color w:val="auto"/>
          <w:sz w:val="18"/>
          <w:szCs w:val="18"/>
          <w:lang w:val="en-GB"/>
        </w:rPr>
        <w:br/>
      </w:r>
      <w:r w:rsidR="009A61DB">
        <w:rPr>
          <w:color w:val="auto"/>
          <w:sz w:val="18"/>
          <w:szCs w:val="18"/>
          <w:lang w:val="en-GB"/>
        </w:rPr>
        <w:t xml:space="preserve">                                                              </w:t>
      </w:r>
      <w:r w:rsidR="00E873C8">
        <w:rPr>
          <w:color w:val="auto"/>
          <w:sz w:val="18"/>
          <w:szCs w:val="18"/>
          <w:lang w:val="en-GB"/>
        </w:rPr>
        <w:t xml:space="preserve">(January-February </w:t>
      </w:r>
      <w:r>
        <w:rPr>
          <w:color w:val="auto"/>
          <w:sz w:val="18"/>
          <w:szCs w:val="18"/>
          <w:lang w:val="en-GB"/>
        </w:rPr>
        <w:t>2019)</w:t>
      </w:r>
    </w:p>
    <w:p w:rsidR="00C60835" w:rsidRPr="00CB6084" w:rsidRDefault="00B66C90" w:rsidP="00673BE0">
      <w:pPr>
        <w:pStyle w:val="Nagwek1"/>
        <w:rPr>
          <w:color w:val="auto"/>
          <w:sz w:val="18"/>
          <w:szCs w:val="18"/>
          <w:lang w:val="en-GB"/>
        </w:rPr>
      </w:pPr>
      <w:r>
        <w:rPr>
          <w:noProof/>
        </w:rPr>
        <w:drawing>
          <wp:anchor distT="0" distB="0" distL="114300" distR="114300" simplePos="0" relativeHeight="251781120" behindDoc="0" locked="0" layoutInCell="1" allowOverlap="1" wp14:anchorId="3D8F368E" wp14:editId="583D4100">
            <wp:simplePos x="0" y="0"/>
            <wp:positionH relativeFrom="margin">
              <wp:align>right</wp:align>
            </wp:positionH>
            <wp:positionV relativeFrom="paragraph">
              <wp:posOffset>194</wp:posOffset>
            </wp:positionV>
            <wp:extent cx="5122545" cy="4466493"/>
            <wp:effectExtent l="0" t="0" r="0" b="0"/>
            <wp:wrapNone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1A6" w:rsidRDefault="004231A6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Pr="00CB6084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694AF0" w:rsidRPr="00CB6084" w:rsidRDefault="00694AF0" w:rsidP="0046503D">
      <w:pPr>
        <w:rPr>
          <w:sz w:val="12"/>
          <w:szCs w:val="12"/>
          <w:lang w:val="en-GB"/>
        </w:rPr>
        <w:sectPr w:rsidR="00694AF0" w:rsidRPr="00CB6084" w:rsidSect="00A05A3A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lowerLetter"/>
          </w:footnotePr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:rsidR="000470AA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B34C4C" w:rsidRPr="008E61BD" w:rsidTr="00E873C8">
        <w:trPr>
          <w:trHeight w:val="1912"/>
        </w:trPr>
        <w:tc>
          <w:tcPr>
            <w:tcW w:w="4379" w:type="dxa"/>
          </w:tcPr>
          <w:p w:rsidR="00B34C4C" w:rsidRPr="00612A93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612A9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B34C4C" w:rsidRPr="00612A93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612A93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:rsidR="00B34C4C" w:rsidRPr="00A02ED8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02ED8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:rsidR="00B34C4C" w:rsidRPr="00A02ED8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2F2E8D">
              <w:rPr>
                <w:rFonts w:ascii="Fira Sans" w:hAnsi="Fira Sans" w:cs="Arial"/>
                <w:color w:val="auto"/>
                <w:sz w:val="20"/>
                <w:lang w:val="fi-FI"/>
              </w:rPr>
              <w:t>+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48 </w:t>
            </w: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>81 533 2301</w:t>
            </w:r>
          </w:p>
          <w:p w:rsidR="00B34C4C" w:rsidRPr="00B34C4C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  <w:r w:rsidRPr="00B34C4C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e-mail: </w:t>
            </w:r>
            <w:hyperlink r:id="rId18" w:history="1">
              <w:r w:rsidRPr="00B34C4C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Z.Kurlej@stat.gov.pl</w:t>
              </w:r>
            </w:hyperlink>
          </w:p>
        </w:tc>
        <w:tc>
          <w:tcPr>
            <w:tcW w:w="3942" w:type="dxa"/>
          </w:tcPr>
          <w:p w:rsidR="00B34C4C" w:rsidRPr="00612A93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612A93">
              <w:rPr>
                <w:sz w:val="20"/>
                <w:szCs w:val="20"/>
                <w:lang w:val="en-GB"/>
              </w:rPr>
              <w:t xml:space="preserve">Dissemination: </w:t>
            </w:r>
            <w:r w:rsidRPr="001C110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</w:t>
            </w:r>
            <w:proofErr w:type="spellStart"/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Spokeperson</w:t>
            </w:r>
            <w:proofErr w:type="spellEnd"/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for the President </w:t>
            </w:r>
          </w:p>
          <w:p w:rsidR="00B34C4C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 Poland</w:t>
            </w:r>
          </w:p>
          <w:p w:rsidR="00B34C4C" w:rsidRPr="001C110A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Karolina Dawidziuk</w:t>
            </w:r>
          </w:p>
          <w:p w:rsidR="00B34C4C" w:rsidRPr="008F3638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22 608 3475,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22 608 3009</w:t>
            </w:r>
          </w:p>
          <w:p w:rsidR="00B34C4C" w:rsidRPr="008F3638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8F3638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:rsidR="00B34C4C" w:rsidRPr="00FC6E4C" w:rsidRDefault="00B34C4C" w:rsidP="00E873C8">
            <w:pPr>
              <w:rPr>
                <w:b/>
                <w:sz w:val="20"/>
                <w:lang w:val="en-GB"/>
              </w:rPr>
            </w:pPr>
            <w:r w:rsidRPr="00FC6E4C">
              <w:rPr>
                <w:b/>
                <w:sz w:val="20"/>
                <w:lang w:val="en-GB"/>
              </w:rPr>
              <w:t>Press Office</w:t>
            </w:r>
          </w:p>
          <w:p w:rsidR="00B34C4C" w:rsidRPr="00FC6E4C" w:rsidRDefault="00B34C4C" w:rsidP="00E873C8">
            <w:pPr>
              <w:rPr>
                <w:sz w:val="20"/>
                <w:lang w:val="en-GB"/>
              </w:rPr>
            </w:pPr>
            <w:r w:rsidRPr="00FC6E4C">
              <w:rPr>
                <w:b/>
                <w:sz w:val="20"/>
                <w:lang w:val="en-GB"/>
              </w:rPr>
              <w:t xml:space="preserve">tel.: </w:t>
            </w:r>
            <w:r w:rsidRPr="00B34C4C">
              <w:rPr>
                <w:sz w:val="20"/>
                <w:lang w:val="en-GB"/>
              </w:rPr>
              <w:t>+ 48</w:t>
            </w:r>
            <w:r>
              <w:rPr>
                <w:b/>
                <w:sz w:val="20"/>
                <w:lang w:val="en-GB"/>
              </w:rPr>
              <w:t xml:space="preserve"> </w:t>
            </w:r>
            <w:r w:rsidRPr="00FC6E4C">
              <w:rPr>
                <w:sz w:val="20"/>
                <w:lang w:val="en-GB"/>
              </w:rPr>
              <w:t xml:space="preserve">22 608 34 91, +48 22 608 38 04 </w:t>
            </w:r>
          </w:p>
          <w:p w:rsidR="00B34C4C" w:rsidRPr="00B34C4C" w:rsidRDefault="00B34C4C" w:rsidP="00E873C8">
            <w:pPr>
              <w:rPr>
                <w:b/>
                <w:sz w:val="18"/>
                <w:lang w:val="en-US"/>
              </w:rPr>
            </w:pPr>
            <w:r w:rsidRPr="00B34C4C">
              <w:rPr>
                <w:b/>
                <w:sz w:val="20"/>
                <w:lang w:val="en-US"/>
              </w:rPr>
              <w:t xml:space="preserve">e-mail: </w:t>
            </w:r>
            <w:hyperlink r:id="rId20" w:history="1">
              <w:r w:rsidRPr="00B34C4C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B34C4C" w:rsidRPr="00F64AC1" w:rsidRDefault="00B34C4C" w:rsidP="00E873C8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685B0E8F" wp14:editId="084A61B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B34C4C" w:rsidRDefault="00B34C4C" w:rsidP="00E873C8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B34C4C" w:rsidTr="00E873C8">
        <w:trPr>
          <w:trHeight w:val="436"/>
        </w:trPr>
        <w:tc>
          <w:tcPr>
            <w:tcW w:w="2721" w:type="pct"/>
            <w:vMerge/>
            <w:vAlign w:val="center"/>
          </w:tcPr>
          <w:p w:rsidR="00B34C4C" w:rsidRDefault="00B34C4C" w:rsidP="00E873C8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B34C4C" w:rsidRDefault="00B34C4C" w:rsidP="00E873C8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28925955" wp14:editId="1179D4C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B34C4C" w:rsidRDefault="00B34C4C" w:rsidP="00E873C8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B34C4C" w:rsidTr="00E873C8">
        <w:trPr>
          <w:trHeight w:val="436"/>
        </w:trPr>
        <w:tc>
          <w:tcPr>
            <w:tcW w:w="2721" w:type="pct"/>
            <w:vMerge/>
            <w:vAlign w:val="center"/>
          </w:tcPr>
          <w:p w:rsidR="00B34C4C" w:rsidRDefault="00B34C4C" w:rsidP="00E873C8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B34C4C" w:rsidRDefault="00B34C4C" w:rsidP="00E873C8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09E52B18" wp14:editId="37B2E5C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B34C4C" w:rsidRDefault="00B34C4C" w:rsidP="00E873C8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B34C4C" w:rsidRPr="00B34C4C" w:rsidRDefault="00B34C4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361315</wp:posOffset>
                </wp:positionV>
                <wp:extent cx="5243830" cy="4535170"/>
                <wp:effectExtent l="0" t="0" r="1397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83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C8" w:rsidRDefault="00E873C8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E873C8" w:rsidRDefault="00E873C8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E873C8" w:rsidRPr="008E61BD" w:rsidRDefault="00E873C8" w:rsidP="00000009">
                            <w:pPr>
                              <w:rPr>
                                <w:rStyle w:val="Hipercze"/>
                                <w:rFonts w:cstheme="maj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E61BD">
                              <w:rPr>
                                <w:rStyle w:val="Hipercze"/>
                                <w:rFonts w:cstheme="majorBidi"/>
                                <w:color w:val="001D77"/>
                              </w:rPr>
                              <w:fldChar w:fldCharType="begin"/>
                            </w:r>
                            <w:r w:rsidR="004E377B" w:rsidRPr="008E61BD">
                              <w:rPr>
                                <w:rStyle w:val="Hipercze"/>
                                <w:rFonts w:cstheme="majorBidi"/>
                                <w:color w:val="001D77"/>
                              </w:rPr>
                              <w:instrText>HYPERLINK "https://stat.gov.pl/en/topics/other-studies/informations-on-socio-economic-situation/statistical-bulletin-no-102018,4.html"</w:instrText>
                            </w:r>
                            <w:r w:rsidRPr="008E61BD">
                              <w:rPr>
                                <w:rStyle w:val="Hipercze"/>
                                <w:rFonts w:cstheme="majorBidi"/>
                                <w:color w:val="001D77"/>
                              </w:rPr>
                              <w:fldChar w:fldCharType="separate"/>
                            </w:r>
                            <w:r w:rsidRPr="008E61BD">
                              <w:rPr>
                                <w:rStyle w:val="Hipercze"/>
                                <w:rFonts w:cstheme="maj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Statistical Bulletin </w:t>
                            </w:r>
                          </w:p>
                          <w:p w:rsidR="00E873C8" w:rsidRPr="008E61BD" w:rsidRDefault="00E873C8" w:rsidP="008E61BD">
                            <w:pPr>
                              <w:rPr>
                                <w:rStyle w:val="Hipercze"/>
                                <w:rFonts w:cstheme="majorBidi"/>
                                <w:color w:val="001D77"/>
                              </w:rPr>
                            </w:pPr>
                            <w:r w:rsidRPr="008E61BD">
                              <w:rPr>
                                <w:rStyle w:val="Hipercze"/>
                                <w:rFonts w:cstheme="majorBidi"/>
                                <w:color w:val="001D77"/>
                              </w:rPr>
                              <w:fldChar w:fldCharType="end"/>
                            </w:r>
                            <w:hyperlink r:id="rId24" w:history="1">
                              <w:r w:rsidRPr="008E61BD">
                                <w:rPr>
                                  <w:rStyle w:val="Hipercze"/>
                                  <w:rFonts w:cstheme="maj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:rsidR="00E873C8" w:rsidRPr="008E61BD" w:rsidRDefault="00E873C8" w:rsidP="00000009">
                            <w:pPr>
                              <w:rPr>
                                <w:rStyle w:val="Hipercze"/>
                                <w:rFonts w:cstheme="maj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E61BD">
                              <w:rPr>
                                <w:rStyle w:val="Hipercze"/>
                                <w:rFonts w:cstheme="maj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Construction results in </w:t>
                            </w:r>
                            <w:hyperlink r:id="rId25" w:history="1">
                              <w:r w:rsidRPr="008E61BD">
                                <w:rPr>
                                  <w:rStyle w:val="Hipercze"/>
                                  <w:rFonts w:cstheme="maj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2017</w:t>
                              </w:r>
                            </w:hyperlink>
                          </w:p>
                          <w:p w:rsidR="00E873C8" w:rsidRDefault="00E873C8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E873C8" w:rsidRPr="008E61BD" w:rsidRDefault="00AE768E" w:rsidP="00000009">
                            <w:pPr>
                              <w:rPr>
                                <w:rStyle w:val="Hipercze"/>
                                <w:rFonts w:cstheme="majorBidi"/>
                                <w:color w:val="001D77"/>
                              </w:rPr>
                            </w:pPr>
                            <w:hyperlink r:id="rId26" w:history="1">
                              <w:r w:rsidR="00E873C8" w:rsidRPr="008E61BD">
                                <w:rPr>
                                  <w:rStyle w:val="Hipercze"/>
                                  <w:rFonts w:cstheme="maj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:rsidR="00E873C8" w:rsidRPr="008E61BD" w:rsidRDefault="00AE768E" w:rsidP="00000009">
                            <w:pPr>
                              <w:rPr>
                                <w:rStyle w:val="Hipercze"/>
                                <w:rFonts w:cstheme="maj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7" w:history="1">
                              <w:r w:rsidR="00E873C8" w:rsidRPr="008E61BD">
                                <w:rPr>
                                  <w:rStyle w:val="Hipercze"/>
                                  <w:rFonts w:cstheme="maj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E873C8" w:rsidRDefault="00E873C8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E873C8" w:rsidRPr="008E61BD" w:rsidRDefault="00AE768E" w:rsidP="0000000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8" w:history="1">
                              <w:r w:rsidR="00E873C8" w:rsidRPr="008E61B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</w:t>
                              </w:r>
                            </w:hyperlink>
                          </w:p>
                          <w:p w:rsidR="00E873C8" w:rsidRPr="008E61BD" w:rsidRDefault="00AE768E" w:rsidP="00000009">
                            <w:pPr>
                              <w:rPr>
                                <w:color w:val="001D77"/>
                                <w:lang w:val="en-US"/>
                              </w:rPr>
                            </w:pPr>
                            <w:hyperlink r:id="rId29" w:history="1">
                              <w:r w:rsidR="00E873C8" w:rsidRPr="008E61BD">
                                <w:rPr>
                                  <w:rStyle w:val="Hipercze"/>
                                  <w:rFonts w:cstheme="maj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30" w:history="1"/>
                          </w:p>
                          <w:p w:rsidR="00E873C8" w:rsidRPr="008E61BD" w:rsidRDefault="00AE768E" w:rsidP="00000009">
                            <w:pPr>
                              <w:rPr>
                                <w:color w:val="001D77"/>
                                <w:lang w:val="en-US"/>
                              </w:rPr>
                            </w:pPr>
                            <w:hyperlink r:id="rId31" w:history="1">
                              <w:r w:rsidR="00E873C8" w:rsidRPr="008E61B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:rsidR="00E873C8" w:rsidRDefault="00E873C8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E873C8" w:rsidRPr="003B6350" w:rsidRDefault="00E873C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.35pt;margin-top:28.45pt;width:412.9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" fillcolor="#f2f2f2 [3052]" strokecolor="white [3212]">
                <v:textbox>
                  <w:txbxContent>
                    <w:p w:rsidR="00E873C8" w:rsidRDefault="00E873C8" w:rsidP="00AB6D25">
                      <w:pPr>
                        <w:rPr>
                          <w:b/>
                        </w:rPr>
                      </w:pPr>
                    </w:p>
                    <w:p w:rsidR="00E873C8" w:rsidRDefault="00E873C8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E873C8" w:rsidRPr="008E61BD" w:rsidRDefault="00E873C8" w:rsidP="00000009">
                      <w:pPr>
                        <w:rPr>
                          <w:rStyle w:val="Hipercze"/>
                          <w:rFonts w:cstheme="maj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8E61BD">
                        <w:rPr>
                          <w:rStyle w:val="Hipercze"/>
                          <w:rFonts w:cstheme="majorBidi"/>
                          <w:color w:val="001D77"/>
                        </w:rPr>
                        <w:fldChar w:fldCharType="begin"/>
                      </w:r>
                      <w:r w:rsidR="004E377B" w:rsidRPr="008E61BD">
                        <w:rPr>
                          <w:rStyle w:val="Hipercze"/>
                          <w:rFonts w:cstheme="majorBidi"/>
                          <w:color w:val="001D77"/>
                        </w:rPr>
                        <w:instrText>HYPERLINK "https://stat.gov.pl/en/topics/other-studies/informations-on-socio-economic-situation/statistical-bulletin-no-102018,4.html"</w:instrText>
                      </w:r>
                      <w:r w:rsidRPr="008E61BD">
                        <w:rPr>
                          <w:rStyle w:val="Hipercze"/>
                          <w:rFonts w:cstheme="majorBidi"/>
                          <w:color w:val="001D77"/>
                        </w:rPr>
                        <w:fldChar w:fldCharType="separate"/>
                      </w:r>
                      <w:r w:rsidRPr="008E61BD">
                        <w:rPr>
                          <w:rStyle w:val="Hipercze"/>
                          <w:rFonts w:cstheme="maj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Statistical Bulletin </w:t>
                      </w:r>
                    </w:p>
                    <w:p w:rsidR="00E873C8" w:rsidRPr="008E61BD" w:rsidRDefault="00E873C8" w:rsidP="008E61BD">
                      <w:pPr>
                        <w:rPr>
                          <w:rStyle w:val="Hipercze"/>
                          <w:rFonts w:cstheme="majorBidi"/>
                          <w:color w:val="001D77"/>
                        </w:rPr>
                      </w:pPr>
                      <w:r w:rsidRPr="008E61BD">
                        <w:rPr>
                          <w:rStyle w:val="Hipercze"/>
                          <w:rFonts w:cstheme="majorBidi"/>
                          <w:color w:val="001D77"/>
                        </w:rPr>
                        <w:fldChar w:fldCharType="end"/>
                      </w:r>
                      <w:hyperlink r:id="rId32" w:history="1">
                        <w:r w:rsidRPr="008E61BD">
                          <w:rPr>
                            <w:rStyle w:val="Hipercze"/>
                            <w:rFonts w:cstheme="maj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:rsidR="00E873C8" w:rsidRPr="008E61BD" w:rsidRDefault="00E873C8" w:rsidP="00000009">
                      <w:pPr>
                        <w:rPr>
                          <w:rStyle w:val="Hipercze"/>
                          <w:rFonts w:cstheme="maj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8E61BD">
                        <w:rPr>
                          <w:rStyle w:val="Hipercze"/>
                          <w:rFonts w:cstheme="maj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Construction results in </w:t>
                      </w:r>
                      <w:hyperlink r:id="rId33" w:history="1">
                        <w:r w:rsidRPr="008E61BD">
                          <w:rPr>
                            <w:rStyle w:val="Hipercze"/>
                            <w:rFonts w:cstheme="majorBidi"/>
                            <w:color w:val="001D77"/>
                            <w:sz w:val="18"/>
                            <w:szCs w:val="18"/>
                            <w:lang w:val="en-GB"/>
                          </w:rPr>
                          <w:t>2017</w:t>
                        </w:r>
                      </w:hyperlink>
                      <w:bookmarkStart w:id="1" w:name="_GoBack"/>
                      <w:bookmarkEnd w:id="1"/>
                    </w:p>
                    <w:p w:rsidR="00E873C8" w:rsidRDefault="00E873C8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E873C8" w:rsidRPr="008E61BD" w:rsidRDefault="005225EC" w:rsidP="00000009">
                      <w:pPr>
                        <w:rPr>
                          <w:rStyle w:val="Hipercze"/>
                          <w:rFonts w:cstheme="majorBidi"/>
                          <w:color w:val="001D77"/>
                        </w:rPr>
                      </w:pPr>
                      <w:hyperlink r:id="rId34" w:history="1">
                        <w:r w:rsidR="00E873C8" w:rsidRPr="008E61BD">
                          <w:rPr>
                            <w:rStyle w:val="Hipercze"/>
                            <w:rFonts w:cstheme="maj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:rsidR="00E873C8" w:rsidRPr="008E61BD" w:rsidRDefault="005225EC" w:rsidP="00000009">
                      <w:pPr>
                        <w:rPr>
                          <w:rStyle w:val="Hipercze"/>
                          <w:rFonts w:cstheme="maj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5" w:history="1">
                        <w:r w:rsidR="00E873C8" w:rsidRPr="008E61BD">
                          <w:rPr>
                            <w:rStyle w:val="Hipercze"/>
                            <w:rFonts w:cstheme="maj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:rsidR="00E873C8" w:rsidRDefault="00E873C8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E873C8" w:rsidRPr="008E61BD" w:rsidRDefault="005225EC" w:rsidP="00000009">
                      <w:pPr>
                        <w:rPr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6" w:history="1">
                        <w:r w:rsidR="00E873C8" w:rsidRPr="008E61B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</w:t>
                        </w:r>
                      </w:hyperlink>
                    </w:p>
                    <w:p w:rsidR="00E873C8" w:rsidRPr="008E61BD" w:rsidRDefault="005225EC" w:rsidP="00000009">
                      <w:pPr>
                        <w:rPr>
                          <w:color w:val="001D77"/>
                          <w:lang w:val="en-US"/>
                        </w:rPr>
                      </w:pPr>
                      <w:hyperlink r:id="rId37" w:history="1">
                        <w:r w:rsidR="00E873C8" w:rsidRPr="008E61BD">
                          <w:rPr>
                            <w:rStyle w:val="Hipercze"/>
                            <w:rFonts w:cstheme="maj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8" w:history="1"/>
                    </w:p>
                    <w:p w:rsidR="00E873C8" w:rsidRPr="008E61BD" w:rsidRDefault="005225EC" w:rsidP="00000009">
                      <w:pPr>
                        <w:rPr>
                          <w:color w:val="001D77"/>
                          <w:lang w:val="en-US"/>
                        </w:rPr>
                      </w:pPr>
                      <w:hyperlink r:id="rId39" w:history="1">
                        <w:r w:rsidR="00E873C8" w:rsidRPr="008E61B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:rsidR="00E873C8" w:rsidRDefault="00E873C8" w:rsidP="00000009">
                      <w:pPr>
                        <w:rPr>
                          <w:lang w:val="en-GB"/>
                        </w:rPr>
                      </w:pPr>
                    </w:p>
                    <w:p w:rsidR="00E873C8" w:rsidRPr="003B6350" w:rsidRDefault="00E873C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70AA" w:rsidRPr="00F64AC1" w:rsidRDefault="000470AA" w:rsidP="0046503D">
      <w:pPr>
        <w:rPr>
          <w:sz w:val="20"/>
          <w:lang w:val="en-US"/>
        </w:rPr>
      </w:pPr>
    </w:p>
    <w:p w:rsidR="000470AA" w:rsidRPr="00F64AC1" w:rsidRDefault="000470AA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B34C4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F64AC1" w:rsidRDefault="000470AA" w:rsidP="0000000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F64AC1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</w:tr>
      <w:tr w:rsidR="000470AA" w:rsidRPr="00B34C4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</w:tr>
      <w:tr w:rsidR="000470AA" w:rsidRPr="00B34C4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</w:tcPr>
          <w:p w:rsidR="000470AA" w:rsidRPr="00B34C4C" w:rsidRDefault="000470AA" w:rsidP="0046503D">
            <w:pPr>
              <w:rPr>
                <w:sz w:val="20"/>
                <w:lang w:val="en-US"/>
              </w:rPr>
            </w:pPr>
          </w:p>
        </w:tc>
      </w:tr>
    </w:tbl>
    <w:p w:rsidR="00D261A2" w:rsidRPr="00B34C4C" w:rsidRDefault="00D261A2" w:rsidP="0046503D">
      <w:pPr>
        <w:rPr>
          <w:sz w:val="18"/>
          <w:lang w:val="en-US"/>
        </w:rPr>
      </w:pPr>
    </w:p>
    <w:sectPr w:rsidR="00D261A2" w:rsidRPr="00B34C4C" w:rsidSect="00AE4F99">
      <w:headerReference w:type="default" r:id="rId4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68E" w:rsidRDefault="00AE768E" w:rsidP="000662E2">
      <w:pPr>
        <w:spacing w:after="0" w:line="240" w:lineRule="auto"/>
      </w:pPr>
      <w:r>
        <w:separator/>
      </w:r>
    </w:p>
  </w:endnote>
  <w:endnote w:type="continuationSeparator" w:id="0">
    <w:p w:rsidR="00AE768E" w:rsidRDefault="00AE768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53786"/>
      <w:docPartObj>
        <w:docPartGallery w:val="Page Numbers (Bottom of Page)"/>
        <w:docPartUnique/>
      </w:docPartObj>
    </w:sdtPr>
    <w:sdtEndPr/>
    <w:sdtContent>
      <w:p w:rsidR="00E873C8" w:rsidRDefault="00E873C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C0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873C8" w:rsidRPr="007B4F73" w:rsidRDefault="00E873C8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04876"/>
      <w:docPartObj>
        <w:docPartGallery w:val="Page Numbers (Bottom of Page)"/>
        <w:docPartUnique/>
      </w:docPartObj>
    </w:sdtPr>
    <w:sdtEndPr/>
    <w:sdtContent>
      <w:p w:rsidR="00E873C8" w:rsidRDefault="00E873C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C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73C8" w:rsidRPr="00CC1C7C" w:rsidRDefault="00E873C8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68E" w:rsidRDefault="00AE768E" w:rsidP="000662E2">
      <w:pPr>
        <w:spacing w:after="0" w:line="240" w:lineRule="auto"/>
      </w:pPr>
      <w:r>
        <w:separator/>
      </w:r>
    </w:p>
  </w:footnote>
  <w:footnote w:type="continuationSeparator" w:id="0">
    <w:p w:rsidR="00AE768E" w:rsidRDefault="00AE768E" w:rsidP="000662E2">
      <w:pPr>
        <w:spacing w:after="0" w:line="240" w:lineRule="auto"/>
      </w:pPr>
      <w:r>
        <w:continuationSeparator/>
      </w:r>
    </w:p>
  </w:footnote>
  <w:footnote w:id="1">
    <w:p w:rsidR="00E873C8" w:rsidRPr="00A05A3A" w:rsidRDefault="00E873C8">
      <w:pPr>
        <w:pStyle w:val="Tekstprzypisudolnego"/>
        <w:rPr>
          <w:sz w:val="14"/>
          <w:szCs w:val="14"/>
          <w:lang w:val="en-US"/>
        </w:rPr>
      </w:pPr>
      <w:r w:rsidRPr="00A05A3A">
        <w:rPr>
          <w:rStyle w:val="Odwoanieprzypisudolnego"/>
          <w:sz w:val="16"/>
          <w:szCs w:val="16"/>
        </w:rPr>
        <w:footnoteRef/>
      </w:r>
      <w:r w:rsidRPr="00A05A3A">
        <w:rPr>
          <w:sz w:val="16"/>
          <w:szCs w:val="16"/>
          <w:lang w:val="en-US"/>
        </w:rPr>
        <w:t xml:space="preserve"> </w:t>
      </w:r>
      <w:r w:rsidRPr="00A05A3A">
        <w:rPr>
          <w:sz w:val="14"/>
          <w:szCs w:val="14"/>
          <w:shd w:val="clear" w:color="auto" w:fill="FFFFFF"/>
          <w:lang w:val="en-GB"/>
        </w:rPr>
        <w:t>Reported data – subject to change upon developing quarterly reports</w:t>
      </w:r>
    </w:p>
  </w:footnote>
  <w:footnote w:id="2">
    <w:p w:rsidR="00E873C8" w:rsidRPr="009046F6" w:rsidRDefault="00E873C8" w:rsidP="009046F6">
      <w:pPr>
        <w:rPr>
          <w:rFonts w:ascii="Fira Sans Light" w:hAnsi="Fira Sans Light"/>
          <w:b/>
          <w:bCs/>
          <w:sz w:val="14"/>
          <w:szCs w:val="14"/>
          <w:lang w:val="en-GB"/>
        </w:rPr>
      </w:pPr>
      <w:r>
        <w:rPr>
          <w:rStyle w:val="Odwoanieprzypisudolnego"/>
        </w:rPr>
        <w:footnoteRef/>
      </w:r>
      <w:r w:rsidRPr="00C733A3">
        <w:rPr>
          <w:lang w:val="en-GB"/>
        </w:rPr>
        <w:t xml:space="preserve"> </w:t>
      </w:r>
      <w:r w:rsidRPr="00C733A3">
        <w:rPr>
          <w:bCs/>
          <w:sz w:val="14"/>
          <w:szCs w:val="14"/>
          <w:lang w:val="en-GB"/>
        </w:rPr>
        <w:t>Every time developers are mentioned in the news release, it means construction intended for sale or rent, that is realised by various investors with the purpose of making a profit, whereas if private investors are mentioned, it means private construction, that is realised for the use of the investor</w:t>
      </w:r>
    </w:p>
  </w:footnote>
  <w:footnote w:id="3">
    <w:p w:rsidR="00E873C8" w:rsidRPr="00207BF8" w:rsidRDefault="00E873C8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207BF8">
        <w:rPr>
          <w:lang w:val="en-GB"/>
        </w:rPr>
        <w:t xml:space="preserve"> </w:t>
      </w:r>
      <w:r>
        <w:rPr>
          <w:sz w:val="14"/>
          <w:szCs w:val="14"/>
          <w:lang w:val="en-GB"/>
        </w:rPr>
        <w:t>R</w:t>
      </w:r>
      <w:r w:rsidRPr="009046F6">
        <w:rPr>
          <w:sz w:val="14"/>
          <w:szCs w:val="14"/>
          <w:lang w:val="en-GB"/>
        </w:rPr>
        <w:t xml:space="preserve">ealised by various investors with the purpose of short </w:t>
      </w:r>
      <w:r>
        <w:rPr>
          <w:sz w:val="14"/>
          <w:szCs w:val="14"/>
          <w:lang w:val="en-GB"/>
        </w:rPr>
        <w:t>or</w:t>
      </w:r>
      <w:r w:rsidRPr="009046F6">
        <w:rPr>
          <w:sz w:val="14"/>
          <w:szCs w:val="14"/>
          <w:lang w:val="en-GB"/>
        </w:rPr>
        <w:t xml:space="preserve"> long term rent of dwellings, also based on the institutional lease </w:t>
      </w:r>
      <w:r>
        <w:rPr>
          <w:sz w:val="14"/>
          <w:szCs w:val="14"/>
          <w:lang w:val="en-GB"/>
        </w:rPr>
        <w:t>agreements leading to ownership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3C8" w:rsidRDefault="00E873C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E873C8" w:rsidRDefault="00E873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3C8" w:rsidRDefault="00153C0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5248680</wp:posOffset>
              </wp:positionH>
              <wp:positionV relativeFrom="paragraph">
                <wp:posOffset>820501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73C8" w:rsidRPr="00C97596" w:rsidRDefault="00153C0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21.03.2019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3.3pt;margin-top:64.6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" filled="f" stroked="f">
              <v:textbox>
                <w:txbxContent>
                  <w:p w:rsidR="00E873C8" w:rsidRPr="00C97596" w:rsidRDefault="00153C0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21.03.2019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45C75BC0" wp14:editId="0C17B6C2">
          <wp:extent cx="1866900" cy="704850"/>
          <wp:effectExtent l="0" t="0" r="0" b="0"/>
          <wp:docPr id="7" name="Obraz 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73C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873C8" w:rsidRPr="003C6C8D" w:rsidRDefault="00E873C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6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E873C8" w:rsidRPr="003C6C8D" w:rsidRDefault="00E873C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E873C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16FE0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3C8" w:rsidRDefault="00E873C8">
    <w:pPr>
      <w:pStyle w:val="Nagwek"/>
    </w:pPr>
  </w:p>
  <w:p w:rsidR="00E873C8" w:rsidRDefault="00E873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3pt;height:124.85pt;visibility:visible;mso-wrap-style:square" o:bullet="t">
        <v:imagedata r:id="rId1" o:title=""/>
      </v:shape>
    </w:pict>
  </w:numPicBullet>
  <w:numPicBullet w:numPicBulletId="1">
    <w:pict>
      <v:shape id="_x0000_i1033" type="#_x0000_t75" style="width:124.1pt;height:124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C5B"/>
    <w:rsid w:val="0000301D"/>
    <w:rsid w:val="00003437"/>
    <w:rsid w:val="0000709F"/>
    <w:rsid w:val="00007996"/>
    <w:rsid w:val="00007BF9"/>
    <w:rsid w:val="00010800"/>
    <w:rsid w:val="000108B8"/>
    <w:rsid w:val="000111EC"/>
    <w:rsid w:val="00013599"/>
    <w:rsid w:val="000152F5"/>
    <w:rsid w:val="000169EB"/>
    <w:rsid w:val="00024626"/>
    <w:rsid w:val="000271FB"/>
    <w:rsid w:val="0003236F"/>
    <w:rsid w:val="000411F6"/>
    <w:rsid w:val="000441C0"/>
    <w:rsid w:val="000457C6"/>
    <w:rsid w:val="0004582E"/>
    <w:rsid w:val="000470AA"/>
    <w:rsid w:val="0005122F"/>
    <w:rsid w:val="00052F03"/>
    <w:rsid w:val="00053190"/>
    <w:rsid w:val="0005394E"/>
    <w:rsid w:val="00054314"/>
    <w:rsid w:val="00057CA1"/>
    <w:rsid w:val="000657FC"/>
    <w:rsid w:val="000662E2"/>
    <w:rsid w:val="00066883"/>
    <w:rsid w:val="000712A2"/>
    <w:rsid w:val="000717DD"/>
    <w:rsid w:val="00073311"/>
    <w:rsid w:val="00074DD8"/>
    <w:rsid w:val="000761AC"/>
    <w:rsid w:val="00076D95"/>
    <w:rsid w:val="000806F7"/>
    <w:rsid w:val="000809C8"/>
    <w:rsid w:val="00084531"/>
    <w:rsid w:val="00086B7D"/>
    <w:rsid w:val="00086F9F"/>
    <w:rsid w:val="00087CEB"/>
    <w:rsid w:val="00091E35"/>
    <w:rsid w:val="00095A18"/>
    <w:rsid w:val="000A39FD"/>
    <w:rsid w:val="000A3AC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70E"/>
    <w:rsid w:val="000D1427"/>
    <w:rsid w:val="000D1D43"/>
    <w:rsid w:val="000D225C"/>
    <w:rsid w:val="000D2A5C"/>
    <w:rsid w:val="000D2E0B"/>
    <w:rsid w:val="000E0918"/>
    <w:rsid w:val="000E1F4F"/>
    <w:rsid w:val="000F1626"/>
    <w:rsid w:val="000F435D"/>
    <w:rsid w:val="000F445C"/>
    <w:rsid w:val="001011C3"/>
    <w:rsid w:val="001070E5"/>
    <w:rsid w:val="00110D87"/>
    <w:rsid w:val="001113A6"/>
    <w:rsid w:val="00111FD5"/>
    <w:rsid w:val="00112607"/>
    <w:rsid w:val="00113070"/>
    <w:rsid w:val="00114DB9"/>
    <w:rsid w:val="00116087"/>
    <w:rsid w:val="00127C74"/>
    <w:rsid w:val="00130296"/>
    <w:rsid w:val="00135FC7"/>
    <w:rsid w:val="00136D24"/>
    <w:rsid w:val="001409E1"/>
    <w:rsid w:val="00140E7D"/>
    <w:rsid w:val="001423B6"/>
    <w:rsid w:val="001448A7"/>
    <w:rsid w:val="00146621"/>
    <w:rsid w:val="00152273"/>
    <w:rsid w:val="00153C03"/>
    <w:rsid w:val="00154AC9"/>
    <w:rsid w:val="00162325"/>
    <w:rsid w:val="00175380"/>
    <w:rsid w:val="0017779B"/>
    <w:rsid w:val="00177DD6"/>
    <w:rsid w:val="001850EA"/>
    <w:rsid w:val="00193519"/>
    <w:rsid w:val="00194103"/>
    <w:rsid w:val="001945FA"/>
    <w:rsid w:val="001951DA"/>
    <w:rsid w:val="001952F2"/>
    <w:rsid w:val="00195767"/>
    <w:rsid w:val="001A4380"/>
    <w:rsid w:val="001A6EC1"/>
    <w:rsid w:val="001B1CE5"/>
    <w:rsid w:val="001C1808"/>
    <w:rsid w:val="001C3269"/>
    <w:rsid w:val="001C3694"/>
    <w:rsid w:val="001D03B4"/>
    <w:rsid w:val="001D087B"/>
    <w:rsid w:val="001D1DB4"/>
    <w:rsid w:val="001D270F"/>
    <w:rsid w:val="001D2AD6"/>
    <w:rsid w:val="001D508C"/>
    <w:rsid w:val="001E307A"/>
    <w:rsid w:val="001E475A"/>
    <w:rsid w:val="001F1170"/>
    <w:rsid w:val="001F31BD"/>
    <w:rsid w:val="001F3686"/>
    <w:rsid w:val="001F649C"/>
    <w:rsid w:val="00202E71"/>
    <w:rsid w:val="00207BF8"/>
    <w:rsid w:val="00211FA7"/>
    <w:rsid w:val="00216F21"/>
    <w:rsid w:val="00217D5E"/>
    <w:rsid w:val="00224A09"/>
    <w:rsid w:val="00224D54"/>
    <w:rsid w:val="00237220"/>
    <w:rsid w:val="002452B8"/>
    <w:rsid w:val="00246441"/>
    <w:rsid w:val="00254D71"/>
    <w:rsid w:val="00256AD9"/>
    <w:rsid w:val="002574F9"/>
    <w:rsid w:val="00257AA4"/>
    <w:rsid w:val="002615C6"/>
    <w:rsid w:val="00261B24"/>
    <w:rsid w:val="0026524A"/>
    <w:rsid w:val="00270874"/>
    <w:rsid w:val="0027193F"/>
    <w:rsid w:val="002722B3"/>
    <w:rsid w:val="0027483D"/>
    <w:rsid w:val="00276811"/>
    <w:rsid w:val="00282699"/>
    <w:rsid w:val="00291BB9"/>
    <w:rsid w:val="002926DF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0D68"/>
    <w:rsid w:val="002B18C6"/>
    <w:rsid w:val="002B1FCD"/>
    <w:rsid w:val="002B6B12"/>
    <w:rsid w:val="002B6B7B"/>
    <w:rsid w:val="002C2695"/>
    <w:rsid w:val="002C424B"/>
    <w:rsid w:val="002D2ECD"/>
    <w:rsid w:val="002D6990"/>
    <w:rsid w:val="002E13A8"/>
    <w:rsid w:val="002E3590"/>
    <w:rsid w:val="002E6140"/>
    <w:rsid w:val="002E6985"/>
    <w:rsid w:val="002E71B6"/>
    <w:rsid w:val="002F1F42"/>
    <w:rsid w:val="002F2E8D"/>
    <w:rsid w:val="002F77C8"/>
    <w:rsid w:val="0030115B"/>
    <w:rsid w:val="00304F22"/>
    <w:rsid w:val="00306C7C"/>
    <w:rsid w:val="00313E16"/>
    <w:rsid w:val="00315805"/>
    <w:rsid w:val="00317C29"/>
    <w:rsid w:val="00320924"/>
    <w:rsid w:val="00322EDD"/>
    <w:rsid w:val="003231A1"/>
    <w:rsid w:val="00332263"/>
    <w:rsid w:val="00332320"/>
    <w:rsid w:val="003426AA"/>
    <w:rsid w:val="00342DCF"/>
    <w:rsid w:val="003460DF"/>
    <w:rsid w:val="00346C98"/>
    <w:rsid w:val="003473DF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5F22"/>
    <w:rsid w:val="00367237"/>
    <w:rsid w:val="0037077F"/>
    <w:rsid w:val="00371C7E"/>
    <w:rsid w:val="0037385E"/>
    <w:rsid w:val="00373882"/>
    <w:rsid w:val="00375215"/>
    <w:rsid w:val="003843DB"/>
    <w:rsid w:val="003854ED"/>
    <w:rsid w:val="00386D02"/>
    <w:rsid w:val="003931C0"/>
    <w:rsid w:val="0039373A"/>
    <w:rsid w:val="00393761"/>
    <w:rsid w:val="00394C33"/>
    <w:rsid w:val="00397D18"/>
    <w:rsid w:val="003A09C1"/>
    <w:rsid w:val="003A18A4"/>
    <w:rsid w:val="003A1B36"/>
    <w:rsid w:val="003A2F3A"/>
    <w:rsid w:val="003A358E"/>
    <w:rsid w:val="003A42AA"/>
    <w:rsid w:val="003A716C"/>
    <w:rsid w:val="003B1454"/>
    <w:rsid w:val="003B24CF"/>
    <w:rsid w:val="003B5AC1"/>
    <w:rsid w:val="003B6350"/>
    <w:rsid w:val="003B7573"/>
    <w:rsid w:val="003C1BFD"/>
    <w:rsid w:val="003C34BC"/>
    <w:rsid w:val="003C59E0"/>
    <w:rsid w:val="003C6C8D"/>
    <w:rsid w:val="003D4F95"/>
    <w:rsid w:val="003D5F42"/>
    <w:rsid w:val="003D60A9"/>
    <w:rsid w:val="003D795B"/>
    <w:rsid w:val="003E0F23"/>
    <w:rsid w:val="003F13A9"/>
    <w:rsid w:val="003F19F4"/>
    <w:rsid w:val="003F4C97"/>
    <w:rsid w:val="003F53CA"/>
    <w:rsid w:val="003F68D3"/>
    <w:rsid w:val="003F7ED6"/>
    <w:rsid w:val="003F7FE6"/>
    <w:rsid w:val="00400193"/>
    <w:rsid w:val="00401DB3"/>
    <w:rsid w:val="004045B4"/>
    <w:rsid w:val="004130BC"/>
    <w:rsid w:val="0042048D"/>
    <w:rsid w:val="004212E7"/>
    <w:rsid w:val="004231A6"/>
    <w:rsid w:val="0042446D"/>
    <w:rsid w:val="00427281"/>
    <w:rsid w:val="00427BF8"/>
    <w:rsid w:val="00431C02"/>
    <w:rsid w:val="0043307C"/>
    <w:rsid w:val="004347B4"/>
    <w:rsid w:val="00435283"/>
    <w:rsid w:val="0043577A"/>
    <w:rsid w:val="00435BD0"/>
    <w:rsid w:val="00437395"/>
    <w:rsid w:val="00440E30"/>
    <w:rsid w:val="00443D4F"/>
    <w:rsid w:val="00444B75"/>
    <w:rsid w:val="00445047"/>
    <w:rsid w:val="004466B1"/>
    <w:rsid w:val="00450A42"/>
    <w:rsid w:val="00450E62"/>
    <w:rsid w:val="00454004"/>
    <w:rsid w:val="00463E39"/>
    <w:rsid w:val="00464D4F"/>
    <w:rsid w:val="0046503D"/>
    <w:rsid w:val="004652C2"/>
    <w:rsid w:val="004657FC"/>
    <w:rsid w:val="00467EFF"/>
    <w:rsid w:val="00471D34"/>
    <w:rsid w:val="004733F6"/>
    <w:rsid w:val="00474753"/>
    <w:rsid w:val="00474E69"/>
    <w:rsid w:val="00477DD8"/>
    <w:rsid w:val="00485619"/>
    <w:rsid w:val="00485E73"/>
    <w:rsid w:val="004862B6"/>
    <w:rsid w:val="0049056D"/>
    <w:rsid w:val="0049115E"/>
    <w:rsid w:val="004949CA"/>
    <w:rsid w:val="00495B6E"/>
    <w:rsid w:val="0049621B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377B"/>
    <w:rsid w:val="004F0C3C"/>
    <w:rsid w:val="004F4FCA"/>
    <w:rsid w:val="004F63FC"/>
    <w:rsid w:val="004F6903"/>
    <w:rsid w:val="00505A92"/>
    <w:rsid w:val="00507D43"/>
    <w:rsid w:val="005203F1"/>
    <w:rsid w:val="00521BC3"/>
    <w:rsid w:val="005225EC"/>
    <w:rsid w:val="00522606"/>
    <w:rsid w:val="0052510F"/>
    <w:rsid w:val="00525CAC"/>
    <w:rsid w:val="00533632"/>
    <w:rsid w:val="00536E29"/>
    <w:rsid w:val="005378A0"/>
    <w:rsid w:val="0054251F"/>
    <w:rsid w:val="00542771"/>
    <w:rsid w:val="00545B44"/>
    <w:rsid w:val="00546790"/>
    <w:rsid w:val="005501C7"/>
    <w:rsid w:val="00550618"/>
    <w:rsid w:val="005520D8"/>
    <w:rsid w:val="0055460F"/>
    <w:rsid w:val="00556A1B"/>
    <w:rsid w:val="00556CF1"/>
    <w:rsid w:val="0055770D"/>
    <w:rsid w:val="00561AEB"/>
    <w:rsid w:val="005762A7"/>
    <w:rsid w:val="00577BDE"/>
    <w:rsid w:val="00582224"/>
    <w:rsid w:val="00582ED4"/>
    <w:rsid w:val="005916D7"/>
    <w:rsid w:val="005A30AB"/>
    <w:rsid w:val="005A698C"/>
    <w:rsid w:val="005B2080"/>
    <w:rsid w:val="005C16BE"/>
    <w:rsid w:val="005C4A86"/>
    <w:rsid w:val="005C4E91"/>
    <w:rsid w:val="005D01B4"/>
    <w:rsid w:val="005D23AA"/>
    <w:rsid w:val="005D2FB0"/>
    <w:rsid w:val="005D7D25"/>
    <w:rsid w:val="005E0799"/>
    <w:rsid w:val="005E3825"/>
    <w:rsid w:val="005E48B2"/>
    <w:rsid w:val="005E4E00"/>
    <w:rsid w:val="005E6FF1"/>
    <w:rsid w:val="005F302D"/>
    <w:rsid w:val="005F5A80"/>
    <w:rsid w:val="005F6FE0"/>
    <w:rsid w:val="006030DD"/>
    <w:rsid w:val="006044FF"/>
    <w:rsid w:val="00607CC5"/>
    <w:rsid w:val="006102AA"/>
    <w:rsid w:val="00610B5E"/>
    <w:rsid w:val="00612A93"/>
    <w:rsid w:val="0061398F"/>
    <w:rsid w:val="00616583"/>
    <w:rsid w:val="0062187C"/>
    <w:rsid w:val="00621F5F"/>
    <w:rsid w:val="006263DA"/>
    <w:rsid w:val="00626952"/>
    <w:rsid w:val="00626D87"/>
    <w:rsid w:val="00627CBE"/>
    <w:rsid w:val="006318DA"/>
    <w:rsid w:val="00632DF8"/>
    <w:rsid w:val="00633014"/>
    <w:rsid w:val="0063437B"/>
    <w:rsid w:val="00646D6F"/>
    <w:rsid w:val="0065707D"/>
    <w:rsid w:val="00664589"/>
    <w:rsid w:val="00665C38"/>
    <w:rsid w:val="006673CA"/>
    <w:rsid w:val="00667D6F"/>
    <w:rsid w:val="00673BE0"/>
    <w:rsid w:val="00673C26"/>
    <w:rsid w:val="00674ABE"/>
    <w:rsid w:val="00677574"/>
    <w:rsid w:val="0067794E"/>
    <w:rsid w:val="006812AF"/>
    <w:rsid w:val="0068327D"/>
    <w:rsid w:val="0068790E"/>
    <w:rsid w:val="00690C38"/>
    <w:rsid w:val="00694AF0"/>
    <w:rsid w:val="006A0E22"/>
    <w:rsid w:val="006A1938"/>
    <w:rsid w:val="006A37E8"/>
    <w:rsid w:val="006B0E9E"/>
    <w:rsid w:val="006B5AE4"/>
    <w:rsid w:val="006B6187"/>
    <w:rsid w:val="006C645A"/>
    <w:rsid w:val="006D4054"/>
    <w:rsid w:val="006D5A05"/>
    <w:rsid w:val="006D5ABB"/>
    <w:rsid w:val="006D7F1E"/>
    <w:rsid w:val="006E02EC"/>
    <w:rsid w:val="006E4D66"/>
    <w:rsid w:val="006E5888"/>
    <w:rsid w:val="006E6053"/>
    <w:rsid w:val="006E6C7B"/>
    <w:rsid w:val="006F5EF5"/>
    <w:rsid w:val="00707935"/>
    <w:rsid w:val="00713DD1"/>
    <w:rsid w:val="0071467D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4924"/>
    <w:rsid w:val="00741554"/>
    <w:rsid w:val="00746187"/>
    <w:rsid w:val="0075636C"/>
    <w:rsid w:val="007573AD"/>
    <w:rsid w:val="0076254F"/>
    <w:rsid w:val="00763711"/>
    <w:rsid w:val="007702BD"/>
    <w:rsid w:val="00770725"/>
    <w:rsid w:val="0077078E"/>
    <w:rsid w:val="00773B09"/>
    <w:rsid w:val="007801F5"/>
    <w:rsid w:val="00780316"/>
    <w:rsid w:val="00783CA4"/>
    <w:rsid w:val="007842FB"/>
    <w:rsid w:val="00786124"/>
    <w:rsid w:val="0079437B"/>
    <w:rsid w:val="0079498A"/>
    <w:rsid w:val="0079514B"/>
    <w:rsid w:val="00797294"/>
    <w:rsid w:val="007A0D24"/>
    <w:rsid w:val="007A1014"/>
    <w:rsid w:val="007A2DC1"/>
    <w:rsid w:val="007B0E35"/>
    <w:rsid w:val="007B3DB7"/>
    <w:rsid w:val="007B4E2B"/>
    <w:rsid w:val="007B4F73"/>
    <w:rsid w:val="007C2C9F"/>
    <w:rsid w:val="007C3CC8"/>
    <w:rsid w:val="007C6C81"/>
    <w:rsid w:val="007C792E"/>
    <w:rsid w:val="007D3319"/>
    <w:rsid w:val="007D335D"/>
    <w:rsid w:val="007E3314"/>
    <w:rsid w:val="007E4B03"/>
    <w:rsid w:val="007E58A2"/>
    <w:rsid w:val="007E7CE3"/>
    <w:rsid w:val="007F0C1A"/>
    <w:rsid w:val="007F1D43"/>
    <w:rsid w:val="007F324B"/>
    <w:rsid w:val="007F6B07"/>
    <w:rsid w:val="007F7483"/>
    <w:rsid w:val="00802022"/>
    <w:rsid w:val="00804C08"/>
    <w:rsid w:val="0080553C"/>
    <w:rsid w:val="00805B46"/>
    <w:rsid w:val="00813014"/>
    <w:rsid w:val="00820D18"/>
    <w:rsid w:val="00825DC2"/>
    <w:rsid w:val="00834AD3"/>
    <w:rsid w:val="00836CD7"/>
    <w:rsid w:val="008433EE"/>
    <w:rsid w:val="00843795"/>
    <w:rsid w:val="00846DBD"/>
    <w:rsid w:val="00846E9E"/>
    <w:rsid w:val="00847F0F"/>
    <w:rsid w:val="008500B1"/>
    <w:rsid w:val="00852448"/>
    <w:rsid w:val="00853635"/>
    <w:rsid w:val="00856FE3"/>
    <w:rsid w:val="00860F7B"/>
    <w:rsid w:val="00863E09"/>
    <w:rsid w:val="008646DA"/>
    <w:rsid w:val="00866416"/>
    <w:rsid w:val="0087438B"/>
    <w:rsid w:val="0088258A"/>
    <w:rsid w:val="00882FBF"/>
    <w:rsid w:val="0088355D"/>
    <w:rsid w:val="008843BB"/>
    <w:rsid w:val="00886332"/>
    <w:rsid w:val="00887F70"/>
    <w:rsid w:val="008948E4"/>
    <w:rsid w:val="00896EB9"/>
    <w:rsid w:val="008A1C80"/>
    <w:rsid w:val="008A26D9"/>
    <w:rsid w:val="008A58C2"/>
    <w:rsid w:val="008B3CA0"/>
    <w:rsid w:val="008C0C29"/>
    <w:rsid w:val="008C0EBD"/>
    <w:rsid w:val="008C4E2B"/>
    <w:rsid w:val="008D2074"/>
    <w:rsid w:val="008D3F85"/>
    <w:rsid w:val="008D5496"/>
    <w:rsid w:val="008D561B"/>
    <w:rsid w:val="008E0933"/>
    <w:rsid w:val="008E61BD"/>
    <w:rsid w:val="008F2D53"/>
    <w:rsid w:val="008F3638"/>
    <w:rsid w:val="008F5556"/>
    <w:rsid w:val="008F6F31"/>
    <w:rsid w:val="008F74DF"/>
    <w:rsid w:val="00901350"/>
    <w:rsid w:val="009046F6"/>
    <w:rsid w:val="00905A67"/>
    <w:rsid w:val="00906857"/>
    <w:rsid w:val="00907546"/>
    <w:rsid w:val="009127BA"/>
    <w:rsid w:val="00916639"/>
    <w:rsid w:val="009168D8"/>
    <w:rsid w:val="009227A6"/>
    <w:rsid w:val="00926B44"/>
    <w:rsid w:val="0092750D"/>
    <w:rsid w:val="0092758B"/>
    <w:rsid w:val="00927755"/>
    <w:rsid w:val="009301B3"/>
    <w:rsid w:val="00931AE5"/>
    <w:rsid w:val="00933EC1"/>
    <w:rsid w:val="00944262"/>
    <w:rsid w:val="009510F1"/>
    <w:rsid w:val="009530DB"/>
    <w:rsid w:val="00953676"/>
    <w:rsid w:val="00956313"/>
    <w:rsid w:val="009609A1"/>
    <w:rsid w:val="00960A1C"/>
    <w:rsid w:val="00960A9C"/>
    <w:rsid w:val="00960BE4"/>
    <w:rsid w:val="009664CD"/>
    <w:rsid w:val="0096740A"/>
    <w:rsid w:val="009705EE"/>
    <w:rsid w:val="00972B83"/>
    <w:rsid w:val="00975A71"/>
    <w:rsid w:val="00977927"/>
    <w:rsid w:val="00980EA5"/>
    <w:rsid w:val="0098135C"/>
    <w:rsid w:val="0098156A"/>
    <w:rsid w:val="00983BE8"/>
    <w:rsid w:val="0098487F"/>
    <w:rsid w:val="009918AB"/>
    <w:rsid w:val="00991BAC"/>
    <w:rsid w:val="00996309"/>
    <w:rsid w:val="009A61DB"/>
    <w:rsid w:val="009A6EA0"/>
    <w:rsid w:val="009A7910"/>
    <w:rsid w:val="009B0217"/>
    <w:rsid w:val="009B0770"/>
    <w:rsid w:val="009B382F"/>
    <w:rsid w:val="009B7341"/>
    <w:rsid w:val="009B7D46"/>
    <w:rsid w:val="009C0CCF"/>
    <w:rsid w:val="009C1335"/>
    <w:rsid w:val="009C1AB2"/>
    <w:rsid w:val="009C7251"/>
    <w:rsid w:val="009D2F59"/>
    <w:rsid w:val="009E13F6"/>
    <w:rsid w:val="009E2E91"/>
    <w:rsid w:val="009E3371"/>
    <w:rsid w:val="009E6202"/>
    <w:rsid w:val="009F0127"/>
    <w:rsid w:val="009F16E7"/>
    <w:rsid w:val="009F1C77"/>
    <w:rsid w:val="009F1CDB"/>
    <w:rsid w:val="009F686F"/>
    <w:rsid w:val="00A02ED8"/>
    <w:rsid w:val="00A05A3A"/>
    <w:rsid w:val="00A05EE7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F52"/>
    <w:rsid w:val="00A33759"/>
    <w:rsid w:val="00A365AC"/>
    <w:rsid w:val="00A365F4"/>
    <w:rsid w:val="00A40D16"/>
    <w:rsid w:val="00A4219B"/>
    <w:rsid w:val="00A4223C"/>
    <w:rsid w:val="00A4333F"/>
    <w:rsid w:val="00A45EB1"/>
    <w:rsid w:val="00A47D80"/>
    <w:rsid w:val="00A51E03"/>
    <w:rsid w:val="00A53132"/>
    <w:rsid w:val="00A563F2"/>
    <w:rsid w:val="00A566E8"/>
    <w:rsid w:val="00A63CAF"/>
    <w:rsid w:val="00A66E7E"/>
    <w:rsid w:val="00A810F9"/>
    <w:rsid w:val="00A846D6"/>
    <w:rsid w:val="00A86ECC"/>
    <w:rsid w:val="00A86FCC"/>
    <w:rsid w:val="00A87DC7"/>
    <w:rsid w:val="00A91D74"/>
    <w:rsid w:val="00AA05AC"/>
    <w:rsid w:val="00AA087A"/>
    <w:rsid w:val="00AA298E"/>
    <w:rsid w:val="00AA3EB6"/>
    <w:rsid w:val="00AA5069"/>
    <w:rsid w:val="00AA710D"/>
    <w:rsid w:val="00AB0FC8"/>
    <w:rsid w:val="00AB3F7C"/>
    <w:rsid w:val="00AB6D25"/>
    <w:rsid w:val="00AB788D"/>
    <w:rsid w:val="00AB7943"/>
    <w:rsid w:val="00AB7945"/>
    <w:rsid w:val="00AC37B3"/>
    <w:rsid w:val="00AC658C"/>
    <w:rsid w:val="00AC7ADB"/>
    <w:rsid w:val="00AD0A03"/>
    <w:rsid w:val="00AD1492"/>
    <w:rsid w:val="00AD2EA0"/>
    <w:rsid w:val="00AD4A4E"/>
    <w:rsid w:val="00AD5C65"/>
    <w:rsid w:val="00AE19DE"/>
    <w:rsid w:val="00AE2D4B"/>
    <w:rsid w:val="00AE3772"/>
    <w:rsid w:val="00AE3FB3"/>
    <w:rsid w:val="00AE4F99"/>
    <w:rsid w:val="00AE768E"/>
    <w:rsid w:val="00AF19C9"/>
    <w:rsid w:val="00B01B1A"/>
    <w:rsid w:val="00B0456F"/>
    <w:rsid w:val="00B11740"/>
    <w:rsid w:val="00B130CA"/>
    <w:rsid w:val="00B14952"/>
    <w:rsid w:val="00B166F1"/>
    <w:rsid w:val="00B1769B"/>
    <w:rsid w:val="00B21BA7"/>
    <w:rsid w:val="00B21C01"/>
    <w:rsid w:val="00B2646D"/>
    <w:rsid w:val="00B30CCF"/>
    <w:rsid w:val="00B30E2E"/>
    <w:rsid w:val="00B31E5A"/>
    <w:rsid w:val="00B34C4C"/>
    <w:rsid w:val="00B407D3"/>
    <w:rsid w:val="00B407E7"/>
    <w:rsid w:val="00B42455"/>
    <w:rsid w:val="00B44C5A"/>
    <w:rsid w:val="00B465A7"/>
    <w:rsid w:val="00B55F47"/>
    <w:rsid w:val="00B6240E"/>
    <w:rsid w:val="00B6523B"/>
    <w:rsid w:val="00B653AB"/>
    <w:rsid w:val="00B65F9E"/>
    <w:rsid w:val="00B668FA"/>
    <w:rsid w:val="00B66B19"/>
    <w:rsid w:val="00B66C90"/>
    <w:rsid w:val="00B70D87"/>
    <w:rsid w:val="00B76621"/>
    <w:rsid w:val="00B77EC9"/>
    <w:rsid w:val="00B82E2D"/>
    <w:rsid w:val="00B847C4"/>
    <w:rsid w:val="00B86655"/>
    <w:rsid w:val="00B914E9"/>
    <w:rsid w:val="00B956EE"/>
    <w:rsid w:val="00B95FA8"/>
    <w:rsid w:val="00B96AD0"/>
    <w:rsid w:val="00BA14B6"/>
    <w:rsid w:val="00BA2BA1"/>
    <w:rsid w:val="00BA3D02"/>
    <w:rsid w:val="00BA44CD"/>
    <w:rsid w:val="00BA6BF5"/>
    <w:rsid w:val="00BB4F09"/>
    <w:rsid w:val="00BC514E"/>
    <w:rsid w:val="00BD1D77"/>
    <w:rsid w:val="00BD2577"/>
    <w:rsid w:val="00BD4E33"/>
    <w:rsid w:val="00BD5F7F"/>
    <w:rsid w:val="00BD601A"/>
    <w:rsid w:val="00BD6924"/>
    <w:rsid w:val="00BE7969"/>
    <w:rsid w:val="00BF01CB"/>
    <w:rsid w:val="00BF0335"/>
    <w:rsid w:val="00BF36AA"/>
    <w:rsid w:val="00C021FE"/>
    <w:rsid w:val="00C030DE"/>
    <w:rsid w:val="00C05C8B"/>
    <w:rsid w:val="00C16ABB"/>
    <w:rsid w:val="00C202E0"/>
    <w:rsid w:val="00C21FA8"/>
    <w:rsid w:val="00C22105"/>
    <w:rsid w:val="00C22EA2"/>
    <w:rsid w:val="00C230EE"/>
    <w:rsid w:val="00C244B6"/>
    <w:rsid w:val="00C35DEE"/>
    <w:rsid w:val="00C3702F"/>
    <w:rsid w:val="00C41764"/>
    <w:rsid w:val="00C45997"/>
    <w:rsid w:val="00C47820"/>
    <w:rsid w:val="00C47CE4"/>
    <w:rsid w:val="00C52C74"/>
    <w:rsid w:val="00C5434F"/>
    <w:rsid w:val="00C60835"/>
    <w:rsid w:val="00C64A37"/>
    <w:rsid w:val="00C7158E"/>
    <w:rsid w:val="00C7250B"/>
    <w:rsid w:val="00C733A3"/>
    <w:rsid w:val="00C7346B"/>
    <w:rsid w:val="00C769E6"/>
    <w:rsid w:val="00C77C0E"/>
    <w:rsid w:val="00C8094E"/>
    <w:rsid w:val="00C82362"/>
    <w:rsid w:val="00C84740"/>
    <w:rsid w:val="00C84D08"/>
    <w:rsid w:val="00C91687"/>
    <w:rsid w:val="00C924A8"/>
    <w:rsid w:val="00C945FE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0BB2"/>
    <w:rsid w:val="00CB1634"/>
    <w:rsid w:val="00CB3F80"/>
    <w:rsid w:val="00CB5FF0"/>
    <w:rsid w:val="00CB6084"/>
    <w:rsid w:val="00CB6E0A"/>
    <w:rsid w:val="00CC008F"/>
    <w:rsid w:val="00CC0A96"/>
    <w:rsid w:val="00CC1C7C"/>
    <w:rsid w:val="00CC739E"/>
    <w:rsid w:val="00CD07B6"/>
    <w:rsid w:val="00CD1C2A"/>
    <w:rsid w:val="00CD26C7"/>
    <w:rsid w:val="00CD44F1"/>
    <w:rsid w:val="00CD5580"/>
    <w:rsid w:val="00CD58B7"/>
    <w:rsid w:val="00CE0F21"/>
    <w:rsid w:val="00CF0172"/>
    <w:rsid w:val="00CF36C5"/>
    <w:rsid w:val="00CF4099"/>
    <w:rsid w:val="00D00796"/>
    <w:rsid w:val="00D10E44"/>
    <w:rsid w:val="00D110E3"/>
    <w:rsid w:val="00D21D71"/>
    <w:rsid w:val="00D242EC"/>
    <w:rsid w:val="00D261A2"/>
    <w:rsid w:val="00D30D5C"/>
    <w:rsid w:val="00D30EF4"/>
    <w:rsid w:val="00D45A80"/>
    <w:rsid w:val="00D47F69"/>
    <w:rsid w:val="00D504E4"/>
    <w:rsid w:val="00D536C0"/>
    <w:rsid w:val="00D54994"/>
    <w:rsid w:val="00D569E3"/>
    <w:rsid w:val="00D616D2"/>
    <w:rsid w:val="00D631C8"/>
    <w:rsid w:val="00D63B5F"/>
    <w:rsid w:val="00D67B34"/>
    <w:rsid w:val="00D70EF7"/>
    <w:rsid w:val="00D76E73"/>
    <w:rsid w:val="00D8018C"/>
    <w:rsid w:val="00D8211E"/>
    <w:rsid w:val="00D8397C"/>
    <w:rsid w:val="00D83D00"/>
    <w:rsid w:val="00D923F1"/>
    <w:rsid w:val="00D934F6"/>
    <w:rsid w:val="00D94EED"/>
    <w:rsid w:val="00D96026"/>
    <w:rsid w:val="00DA5A02"/>
    <w:rsid w:val="00DA7C1C"/>
    <w:rsid w:val="00DB147A"/>
    <w:rsid w:val="00DB1B7A"/>
    <w:rsid w:val="00DB562E"/>
    <w:rsid w:val="00DC3774"/>
    <w:rsid w:val="00DC6708"/>
    <w:rsid w:val="00DD1D64"/>
    <w:rsid w:val="00DD20E2"/>
    <w:rsid w:val="00DD21A2"/>
    <w:rsid w:val="00DE4176"/>
    <w:rsid w:val="00DE6865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15A67"/>
    <w:rsid w:val="00E16266"/>
    <w:rsid w:val="00E176B4"/>
    <w:rsid w:val="00E17B77"/>
    <w:rsid w:val="00E23337"/>
    <w:rsid w:val="00E245E1"/>
    <w:rsid w:val="00E24F07"/>
    <w:rsid w:val="00E259EA"/>
    <w:rsid w:val="00E31232"/>
    <w:rsid w:val="00E32061"/>
    <w:rsid w:val="00E322C8"/>
    <w:rsid w:val="00E34610"/>
    <w:rsid w:val="00E3705B"/>
    <w:rsid w:val="00E42FF9"/>
    <w:rsid w:val="00E457ED"/>
    <w:rsid w:val="00E4714C"/>
    <w:rsid w:val="00E51AEB"/>
    <w:rsid w:val="00E522A7"/>
    <w:rsid w:val="00E54452"/>
    <w:rsid w:val="00E57D4D"/>
    <w:rsid w:val="00E641D0"/>
    <w:rsid w:val="00E661E4"/>
    <w:rsid w:val="00E664C5"/>
    <w:rsid w:val="00E671A2"/>
    <w:rsid w:val="00E67A9D"/>
    <w:rsid w:val="00E7580A"/>
    <w:rsid w:val="00E75F97"/>
    <w:rsid w:val="00E76D26"/>
    <w:rsid w:val="00E82DBC"/>
    <w:rsid w:val="00E873C8"/>
    <w:rsid w:val="00E90AC0"/>
    <w:rsid w:val="00E928D6"/>
    <w:rsid w:val="00E94640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C7E66"/>
    <w:rsid w:val="00ED04D0"/>
    <w:rsid w:val="00ED55C0"/>
    <w:rsid w:val="00ED682B"/>
    <w:rsid w:val="00ED7983"/>
    <w:rsid w:val="00EE373E"/>
    <w:rsid w:val="00EE41D5"/>
    <w:rsid w:val="00EF767E"/>
    <w:rsid w:val="00F037A4"/>
    <w:rsid w:val="00F11509"/>
    <w:rsid w:val="00F137F7"/>
    <w:rsid w:val="00F17D27"/>
    <w:rsid w:val="00F245D9"/>
    <w:rsid w:val="00F26991"/>
    <w:rsid w:val="00F27C8F"/>
    <w:rsid w:val="00F32749"/>
    <w:rsid w:val="00F35AD5"/>
    <w:rsid w:val="00F37172"/>
    <w:rsid w:val="00F374DC"/>
    <w:rsid w:val="00F4477E"/>
    <w:rsid w:val="00F46B76"/>
    <w:rsid w:val="00F52D79"/>
    <w:rsid w:val="00F54505"/>
    <w:rsid w:val="00F55F41"/>
    <w:rsid w:val="00F56F73"/>
    <w:rsid w:val="00F57745"/>
    <w:rsid w:val="00F6158E"/>
    <w:rsid w:val="00F64AC1"/>
    <w:rsid w:val="00F67D8F"/>
    <w:rsid w:val="00F802BE"/>
    <w:rsid w:val="00F84FEA"/>
    <w:rsid w:val="00F86024"/>
    <w:rsid w:val="00F8611A"/>
    <w:rsid w:val="00F9379A"/>
    <w:rsid w:val="00FA3953"/>
    <w:rsid w:val="00FA5128"/>
    <w:rsid w:val="00FA544B"/>
    <w:rsid w:val="00FA6239"/>
    <w:rsid w:val="00FA68FD"/>
    <w:rsid w:val="00FB0592"/>
    <w:rsid w:val="00FB42D4"/>
    <w:rsid w:val="00FB58A3"/>
    <w:rsid w:val="00FB5906"/>
    <w:rsid w:val="00FB762F"/>
    <w:rsid w:val="00FC2AED"/>
    <w:rsid w:val="00FD0C2F"/>
    <w:rsid w:val="00FD5EA7"/>
    <w:rsid w:val="00FE6CB4"/>
    <w:rsid w:val="00FE705C"/>
    <w:rsid w:val="00FF4E3F"/>
    <w:rsid w:val="00FF5E10"/>
    <w:rsid w:val="00FF61AB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2.xml"/><Relationship Id="rId18" Type="http://schemas.openxmlformats.org/officeDocument/2006/relationships/hyperlink" Target="mailto:Z.Kurlej@stat.gov.pl" TargetMode="External"/><Relationship Id="rId26" Type="http://schemas.openxmlformats.org/officeDocument/2006/relationships/hyperlink" Target="http://swaid.stat.gov.pl/EN/SitePagesDBW/Budownictwo.aspx" TargetMode="External"/><Relationship Id="rId39" Type="http://schemas.openxmlformats.org/officeDocument/2006/relationships/hyperlink" Target="http://stat.gov.pl/en/metainformations/glossary/terms-used-in-official-statistics/201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yperlink" Target="http://swaid.stat.gov.pl/EN/SitePagesDBW/Budownictwo.aspx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://stat.gov.pl/en/topics/industry-construction-fixed-assets/construction/construction-results-in-2017,1,11.html" TargetMode="External"/><Relationship Id="rId33" Type="http://schemas.openxmlformats.org/officeDocument/2006/relationships/hyperlink" Target="http://stat.gov.pl/en/topics/industry-construction-fixed-assets/construction/construction-results-in-2017,1,11.html" TargetMode="External"/><Relationship Id="rId38" Type="http://schemas.openxmlformats.org/officeDocument/2006/relationships/hyperlink" Target="http://stat.gov.pl/en/metainformations/glossary/terms-used-in-official-statistics/945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945,term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en/topics/other-studies/informations-on-socio-economic-situation/socio-economic-situation-of-the-country-in-january-2019,1.html" TargetMode="External"/><Relationship Id="rId32" Type="http://schemas.openxmlformats.org/officeDocument/2006/relationships/hyperlink" Target="https://stat.gov.pl/en/topics/other-studies/informations-on-socio-economic-situation/socio-economic-situation-of-the-country-in-january-2019,1.html" TargetMode="External"/><Relationship Id="rId37" Type="http://schemas.openxmlformats.org/officeDocument/2006/relationships/hyperlink" Target="http://stat.gov.pl/en/metainformations/glossary/terms-used-in-official-statistics/945,term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metainformations/glossary/terms-used-in-official-statistics/3763,term.html" TargetMode="External"/><Relationship Id="rId36" Type="http://schemas.openxmlformats.org/officeDocument/2006/relationships/hyperlink" Target="http://stat.gov.pl/en/metainformations/glossary/terms-used-in-official-statistics/3763,term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en/metainformations/glossary/terms-used-in-official-statistics/201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en/metainformations/glossary/terms-used-in-official-statistics/945,term.html" TargetMode="External"/><Relationship Id="rId35" Type="http://schemas.openxmlformats.org/officeDocument/2006/relationships/hyperlink" Target="https://bdl.stat.gov.pl/BDL/star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8932938751783548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Arkusz1!$B$2:$AM$3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Arkusz1!$B$4:$AM$4</c:f>
              <c:numCache>
                <c:formatCode>General</c:formatCode>
                <c:ptCount val="38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15024</c:v>
                </c:pt>
                <c:pt idx="25">
                  <c:v>14935</c:v>
                </c:pt>
                <c:pt idx="26">
                  <c:v>14838</c:v>
                </c:pt>
                <c:pt idx="27">
                  <c:v>13869</c:v>
                </c:pt>
                <c:pt idx="28">
                  <c:v>11971</c:v>
                </c:pt>
                <c:pt idx="29">
                  <c:v>12320</c:v>
                </c:pt>
                <c:pt idx="30" formatCode="#,##0">
                  <c:v>16640</c:v>
                </c:pt>
                <c:pt idx="31" formatCode="#,##0">
                  <c:v>16426</c:v>
                </c:pt>
                <c:pt idx="32" formatCode="#,##0">
                  <c:v>13810</c:v>
                </c:pt>
                <c:pt idx="33" formatCode="#,##0">
                  <c:v>16344</c:v>
                </c:pt>
                <c:pt idx="34" formatCode="#,##0">
                  <c:v>17668</c:v>
                </c:pt>
                <c:pt idx="35" formatCode="#,##0">
                  <c:v>20938</c:v>
                </c:pt>
                <c:pt idx="36" formatCode="#,##0">
                  <c:v>16312</c:v>
                </c:pt>
                <c:pt idx="37" formatCode="#,##0">
                  <c:v>15971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Arkusz1!$B$2:$AM$3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Arkusz1!$B$16:$AM$16</c:f>
              <c:numCache>
                <c:formatCode>General</c:formatCode>
                <c:ptCount val="38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16914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007A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7AC9"/>
                </a:solidFill>
              </a:ln>
              <a:effectLst/>
            </c:spPr>
          </c:marker>
          <c:cat>
            <c:multiLvlStrRef>
              <c:f>Arkusz1!$B$2:$AM$3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Arkusz1!$B$10:$AM$10</c:f>
              <c:numCache>
                <c:formatCode>General</c:formatCode>
                <c:ptCount val="38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5895368"/>
        <c:axId val="225899680"/>
      </c:lineChart>
      <c:catAx>
        <c:axId val="225895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5899680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225899680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5895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8629040838099031E-2"/>
          <c:y val="0.81164204751493774"/>
          <c:w val="0.85443056137134954"/>
          <c:h val="0.152318343161433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007A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Kujawsko-pomorskie</c:v>
                </c:pt>
                <c:pt idx="8">
                  <c:v>Łódzkie</c:v>
                </c:pt>
                <c:pt idx="9">
                  <c:v>Śląskie</c:v>
                </c:pt>
                <c:pt idx="10">
                  <c:v>Zachodniopomorskie</c:v>
                </c:pt>
                <c:pt idx="11">
                  <c:v>Pomorskie</c:v>
                </c:pt>
                <c:pt idx="12">
                  <c:v>Wielkopolskie</c:v>
                </c:pt>
                <c:pt idx="13">
                  <c:v>Dolnośląskie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316</c:v>
                </c:pt>
                <c:pt idx="1">
                  <c:v>369</c:v>
                </c:pt>
                <c:pt idx="2">
                  <c:v>618</c:v>
                </c:pt>
                <c:pt idx="3">
                  <c:v>460</c:v>
                </c:pt>
                <c:pt idx="4">
                  <c:v>1678</c:v>
                </c:pt>
                <c:pt idx="5">
                  <c:v>920</c:v>
                </c:pt>
                <c:pt idx="6">
                  <c:v>794</c:v>
                </c:pt>
                <c:pt idx="7">
                  <c:v>1047</c:v>
                </c:pt>
                <c:pt idx="8">
                  <c:v>1853</c:v>
                </c:pt>
                <c:pt idx="9">
                  <c:v>1355</c:v>
                </c:pt>
                <c:pt idx="10">
                  <c:v>1279</c:v>
                </c:pt>
                <c:pt idx="11">
                  <c:v>2610</c:v>
                </c:pt>
                <c:pt idx="12">
                  <c:v>4110</c:v>
                </c:pt>
                <c:pt idx="13">
                  <c:v>4246</c:v>
                </c:pt>
                <c:pt idx="14">
                  <c:v>2079</c:v>
                </c:pt>
                <c:pt idx="15">
                  <c:v>6392</c:v>
                </c:pt>
              </c:numCache>
            </c:numRef>
          </c:val>
        </c:ser>
        <c:ser>
          <c:idx val="1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Kujawsko-pomorskie</c:v>
                </c:pt>
                <c:pt idx="8">
                  <c:v>Łódzkie</c:v>
                </c:pt>
                <c:pt idx="9">
                  <c:v>Śląskie</c:v>
                </c:pt>
                <c:pt idx="10">
                  <c:v>Zachodniopomorskie</c:v>
                </c:pt>
                <c:pt idx="11">
                  <c:v>Pomorskie</c:v>
                </c:pt>
                <c:pt idx="12">
                  <c:v>Wielkopolskie</c:v>
                </c:pt>
                <c:pt idx="13">
                  <c:v>Dolnośląskie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622</c:v>
                </c:pt>
                <c:pt idx="1">
                  <c:v>629</c:v>
                </c:pt>
                <c:pt idx="2">
                  <c:v>1018</c:v>
                </c:pt>
                <c:pt idx="3">
                  <c:v>1257</c:v>
                </c:pt>
                <c:pt idx="4">
                  <c:v>1191</c:v>
                </c:pt>
                <c:pt idx="5">
                  <c:v>1748</c:v>
                </c:pt>
                <c:pt idx="6">
                  <c:v>1632</c:v>
                </c:pt>
                <c:pt idx="7">
                  <c:v>1324</c:v>
                </c:pt>
                <c:pt idx="8">
                  <c:v>1931</c:v>
                </c:pt>
                <c:pt idx="9">
                  <c:v>2590</c:v>
                </c:pt>
                <c:pt idx="10">
                  <c:v>2127</c:v>
                </c:pt>
                <c:pt idx="11">
                  <c:v>3220</c:v>
                </c:pt>
                <c:pt idx="12">
                  <c:v>3533</c:v>
                </c:pt>
                <c:pt idx="13">
                  <c:v>5292</c:v>
                </c:pt>
                <c:pt idx="14">
                  <c:v>3035</c:v>
                </c:pt>
                <c:pt idx="15">
                  <c:v>6395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Kujawsko-pomorskie</c:v>
                </c:pt>
                <c:pt idx="8">
                  <c:v>Łódzkie</c:v>
                </c:pt>
                <c:pt idx="9">
                  <c:v>Śląskie</c:v>
                </c:pt>
                <c:pt idx="10">
                  <c:v>Zachodniopomorskie</c:v>
                </c:pt>
                <c:pt idx="11">
                  <c:v>Pomorskie</c:v>
                </c:pt>
                <c:pt idx="12">
                  <c:v>Wielkopolskie</c:v>
                </c:pt>
                <c:pt idx="13">
                  <c:v>Dolnośląskie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340</c:v>
                </c:pt>
                <c:pt idx="1">
                  <c:v>683</c:v>
                </c:pt>
                <c:pt idx="2">
                  <c:v>717</c:v>
                </c:pt>
                <c:pt idx="3">
                  <c:v>906</c:v>
                </c:pt>
                <c:pt idx="4">
                  <c:v>1005</c:v>
                </c:pt>
                <c:pt idx="5">
                  <c:v>1222</c:v>
                </c:pt>
                <c:pt idx="6">
                  <c:v>1232</c:v>
                </c:pt>
                <c:pt idx="7">
                  <c:v>1507</c:v>
                </c:pt>
                <c:pt idx="8">
                  <c:v>1783</c:v>
                </c:pt>
                <c:pt idx="9">
                  <c:v>1866</c:v>
                </c:pt>
                <c:pt idx="10">
                  <c:v>1922</c:v>
                </c:pt>
                <c:pt idx="11">
                  <c:v>2706</c:v>
                </c:pt>
                <c:pt idx="12">
                  <c:v>2857</c:v>
                </c:pt>
                <c:pt idx="13">
                  <c:v>3158</c:v>
                </c:pt>
                <c:pt idx="14">
                  <c:v>3671</c:v>
                </c:pt>
                <c:pt idx="15">
                  <c:v>6708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25895760"/>
        <c:axId val="228956760"/>
      </c:barChart>
      <c:catAx>
        <c:axId val="2258957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28956760"/>
        <c:crosses val="autoZero"/>
        <c:auto val="1"/>
        <c:lblAlgn val="ctr"/>
        <c:lblOffset val="100"/>
        <c:noMultiLvlLbl val="0"/>
      </c:catAx>
      <c:valAx>
        <c:axId val="228956760"/>
        <c:scaling>
          <c:orientation val="minMax"/>
          <c:max val="7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25895760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15918161773103"/>
          <c:y val="0.80409901129769557"/>
          <c:w val="0.83688211129506873"/>
          <c:h val="0.132937971833571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30576C78-D3D6-4C76-A1FB-9C908A22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January 2019</vt:lpstr>
    </vt:vector>
  </TitlesOfParts>
  <Company>Statistics Poland</Company>
  <LinksUpToDate>false</LinksUpToDate>
  <CharactersWithSpaces>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January 2019</dc:title>
  <dc:creator>Powęska Anna</dc:creator>
  <cp:keywords>dwellings completed; dwellings under construction; dwellings started; building permit; useful floor area</cp:keywords>
  <cp:lastModifiedBy>Powęska Anna</cp:lastModifiedBy>
  <cp:revision>3</cp:revision>
  <cp:lastPrinted>2019-02-20T11:23:00Z</cp:lastPrinted>
  <dcterms:created xsi:type="dcterms:W3CDTF">2019-05-23T11:46:00Z</dcterms:created>
  <dcterms:modified xsi:type="dcterms:W3CDTF">2019-05-23T12:28:00Z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