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34C4C" w:rsidRDefault="001F1170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bookmarkStart w:id="0" w:name="_GoBack"/>
      <w:bookmarkEnd w:id="0"/>
      <w:r w:rsidRPr="00B34C4C">
        <w:rPr>
          <w:szCs w:val="32"/>
          <w:lang w:val="en-US"/>
        </w:rPr>
        <w:t xml:space="preserve">Residential construction </w:t>
      </w:r>
      <w:r w:rsidR="00A05A3A" w:rsidRPr="00B34C4C">
        <w:rPr>
          <w:rStyle w:val="Odwoanieprzypisudolnego"/>
          <w:szCs w:val="32"/>
          <w:lang w:val="en-US"/>
        </w:rPr>
        <w:footnoteReference w:id="1"/>
      </w:r>
      <w:r w:rsidRPr="00B34C4C">
        <w:rPr>
          <w:szCs w:val="32"/>
          <w:lang w:val="en-US"/>
        </w:rPr>
        <w:t xml:space="preserve"> in </w:t>
      </w:r>
      <w:r w:rsidR="00C733A3" w:rsidRPr="00B34C4C">
        <w:rPr>
          <w:szCs w:val="32"/>
          <w:lang w:val="en-US"/>
        </w:rPr>
        <w:t>January</w:t>
      </w:r>
      <w:r w:rsidRPr="00B34C4C">
        <w:rPr>
          <w:szCs w:val="32"/>
          <w:lang w:val="en-US"/>
        </w:rPr>
        <w:t xml:space="preserve"> </w:t>
      </w:r>
      <w:r w:rsidR="00C733A3" w:rsidRPr="00B34C4C">
        <w:rPr>
          <w:szCs w:val="32"/>
          <w:shd w:val="clear" w:color="auto" w:fill="FFFFFF"/>
          <w:lang w:val="en-US"/>
        </w:rPr>
        <w:t>2019</w:t>
      </w:r>
    </w:p>
    <w:p w:rsidR="00393761" w:rsidRPr="00612A93" w:rsidRDefault="005F302D" w:rsidP="00074DD8">
      <w:pPr>
        <w:pStyle w:val="tytuinformacji"/>
        <w:rPr>
          <w:b/>
          <w:szCs w:val="40"/>
          <w:lang w:val="en-GB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95A18" w:rsidRPr="00612A93" w:rsidRDefault="005F302D" w:rsidP="00896EB9">
      <w:pPr>
        <w:pStyle w:val="LID"/>
        <w:rPr>
          <w:lang w:val="en-GB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612A93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4862B6"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4862B6" w:rsidRPr="00612A93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4862B6"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420897" cy="384838"/>
                                  <wp:effectExtent l="19050" t="19050" r="0" b="0"/>
                                  <wp:docPr id="18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3375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</w:t>
                            </w:r>
                            <w:r w:rsidR="00C733A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</w:t>
                            </w:r>
                            <w:r w:rsidR="00010800" w:rsidRPr="00A3375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 w:rsidR="00C733A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  <w:p w:rsidR="004862B6" w:rsidRPr="00A519B5" w:rsidRDefault="00542771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 w:rsidR="00313E16">
                              <w:rPr>
                                <w:lang w:val="en-US"/>
                              </w:rPr>
                              <w:t>ndex</w:t>
                            </w:r>
                            <w:r w:rsidR="00AD1492" w:rsidRPr="001D3843">
                              <w:rPr>
                                <w:lang w:val="en-US"/>
                              </w:rPr>
                              <w:t xml:space="preserve"> number of dwellings </w:t>
                            </w:r>
                            <w:r w:rsidR="00AD1492">
                              <w:rPr>
                                <w:lang w:val="en-US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420897" cy="384838"/>
                            <wp:effectExtent l="19050" t="19050" r="0" b="0"/>
                            <wp:docPr id="18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3375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</w:t>
                      </w:r>
                      <w:r w:rsidR="00C733A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</w:t>
                      </w:r>
                      <w:r w:rsidR="00010800" w:rsidRPr="00A3375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 w:rsidR="00C733A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6</w:t>
                      </w:r>
                    </w:p>
                    <w:p w:rsidR="004862B6" w:rsidRPr="00A519B5" w:rsidRDefault="00542771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r w:rsidR="00313E16">
                        <w:rPr>
                          <w:lang w:val="en-US"/>
                        </w:rPr>
                        <w:t>ndex</w:t>
                      </w:r>
                      <w:r w:rsidR="00AD1492" w:rsidRPr="001D3843">
                        <w:rPr>
                          <w:lang w:val="en-US"/>
                        </w:rPr>
                        <w:t xml:space="preserve"> number of dwellings </w:t>
                      </w:r>
                      <w:r w:rsidR="00AD1492">
                        <w:rPr>
                          <w:lang w:val="en-US"/>
                        </w:rPr>
                        <w:t>completed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612A93">
        <w:rPr>
          <w:lang w:val="en-GB"/>
        </w:rPr>
        <w:t xml:space="preserve">In </w:t>
      </w:r>
      <w:r w:rsidR="00C733A3">
        <w:rPr>
          <w:lang w:val="en-US"/>
        </w:rPr>
        <w:t>January 2019</w:t>
      </w:r>
      <w:r w:rsidR="00AD1492" w:rsidRPr="001E693A">
        <w:rPr>
          <w:lang w:val="en-US"/>
        </w:rPr>
        <w:t xml:space="preserve"> there were </w:t>
      </w:r>
      <w:r w:rsidR="00AD1492">
        <w:rPr>
          <w:lang w:val="en-US"/>
        </w:rPr>
        <w:t>more</w:t>
      </w:r>
      <w:r w:rsidR="00AD1492" w:rsidRPr="001E693A">
        <w:rPr>
          <w:lang w:val="en-US"/>
        </w:rPr>
        <w:t xml:space="preserve"> dwellings completed than the year before. </w:t>
      </w:r>
      <w:r w:rsidR="00095A18" w:rsidRPr="007323FA">
        <w:rPr>
          <w:lang w:val="en-US"/>
        </w:rPr>
        <w:t>The number of dwellings for which permits have been granted or which have been registered with a construction proje</w:t>
      </w:r>
      <w:r w:rsidR="00095A18">
        <w:rPr>
          <w:lang w:val="en-US"/>
        </w:rPr>
        <w:t>c</w:t>
      </w:r>
      <w:r w:rsidR="00095A18" w:rsidRPr="007323FA">
        <w:rPr>
          <w:lang w:val="en-US"/>
        </w:rPr>
        <w:t xml:space="preserve">t and the number of </w:t>
      </w:r>
      <w:r w:rsidR="00095A18">
        <w:rPr>
          <w:lang w:val="en-US"/>
        </w:rPr>
        <w:t xml:space="preserve">dwellings in which construction has begun </w:t>
      </w:r>
      <w:r w:rsidR="00C733A3">
        <w:rPr>
          <w:lang w:val="en-US"/>
        </w:rPr>
        <w:t>slightly de</w:t>
      </w:r>
      <w:r w:rsidR="00095A18">
        <w:rPr>
          <w:lang w:val="en-US"/>
        </w:rPr>
        <w:t>creased.</w:t>
      </w:r>
    </w:p>
    <w:p w:rsidR="0075636C" w:rsidRPr="00612A93" w:rsidRDefault="00074DD8" w:rsidP="00095A18">
      <w:pPr>
        <w:pStyle w:val="LID"/>
        <w:jc w:val="both"/>
        <w:rPr>
          <w:lang w:val="en-GB"/>
        </w:rPr>
      </w:pPr>
      <w:r w:rsidRPr="00612A93">
        <w:rPr>
          <w:shd w:val="clear" w:color="auto" w:fill="FFFFFF"/>
          <w:lang w:val="en-GB"/>
        </w:rPr>
        <w:t xml:space="preserve"> </w:t>
      </w:r>
    </w:p>
    <w:p w:rsidR="00C733A3" w:rsidRDefault="00C733A3" w:rsidP="009B0770">
      <w:pPr>
        <w:jc w:val="both"/>
        <w:rPr>
          <w:spacing w:val="-4"/>
          <w:shd w:val="clear" w:color="auto" w:fill="FFFFFF"/>
          <w:lang w:val="en-US"/>
        </w:rPr>
      </w:pPr>
    </w:p>
    <w:p w:rsidR="00C733A3" w:rsidRPr="00C733A3" w:rsidRDefault="0043577A" w:rsidP="009B0770">
      <w:pPr>
        <w:jc w:val="both"/>
        <w:rPr>
          <w:b/>
          <w:spacing w:val="-4"/>
          <w:shd w:val="clear" w:color="auto" w:fill="FFFFFF"/>
          <w:lang w:val="en-US"/>
        </w:rPr>
      </w:pPr>
      <w:r>
        <w:rPr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236220</wp:posOffset>
                </wp:positionV>
                <wp:extent cx="1805305" cy="629920"/>
                <wp:effectExtent l="0" t="0" r="0" b="0"/>
                <wp:wrapTight wrapText="bothSides">
                  <wp:wrapPolygon edited="0">
                    <wp:start x="684" y="0"/>
                    <wp:lineTo x="684" y="20903"/>
                    <wp:lineTo x="20741" y="20903"/>
                    <wp:lineTo x="20741" y="0"/>
                    <wp:lineTo x="684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AD1492" w:rsidRDefault="000E1F4F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="00AD1492" w:rsidRPr="00463A76">
                              <w:rPr>
                                <w:lang w:val="en-US"/>
                              </w:rPr>
                              <w:t xml:space="preserve">umber of dwellings </w:t>
                            </w:r>
                            <w:r w:rsidR="00AD1492">
                              <w:rPr>
                                <w:lang w:val="en-US"/>
                              </w:rPr>
                              <w:t xml:space="preserve">completed </w:t>
                            </w:r>
                            <w:r w:rsidR="00054314">
                              <w:rPr>
                                <w:lang w:val="en-US"/>
                              </w:rPr>
                              <w:t>increased by 8.6</w:t>
                            </w:r>
                            <w:r w:rsidR="00AD1492" w:rsidRPr="00463A76">
                              <w:rPr>
                                <w:lang w:val="en-US"/>
                              </w:rPr>
                              <w:t xml:space="preserve">% y/y in </w:t>
                            </w:r>
                            <w:r w:rsidR="00054314">
                              <w:rPr>
                                <w:lang w:val="en-US"/>
                              </w:rPr>
                              <w:t>January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90.95pt;margin-top:18.6pt;width:142.15pt;height:49.6pt;z-index:-2516418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" filled="f" stroked="f">
                <v:textbox>
                  <w:txbxContent>
                    <w:p w:rsidR="004862B6" w:rsidRPr="00AD1492" w:rsidRDefault="000E1F4F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  <w:r w:rsidR="00AD1492" w:rsidRPr="00463A76">
                        <w:rPr>
                          <w:lang w:val="en-US"/>
                        </w:rPr>
                        <w:t xml:space="preserve">umber of dwellings </w:t>
                      </w:r>
                      <w:r w:rsidR="00AD1492">
                        <w:rPr>
                          <w:lang w:val="en-US"/>
                        </w:rPr>
                        <w:t xml:space="preserve">completed </w:t>
                      </w:r>
                      <w:r w:rsidR="00054314">
                        <w:rPr>
                          <w:lang w:val="en-US"/>
                        </w:rPr>
                        <w:t>increased by 8.6</w:t>
                      </w:r>
                      <w:r w:rsidR="00AD1492" w:rsidRPr="00463A76">
                        <w:rPr>
                          <w:lang w:val="en-US"/>
                        </w:rPr>
                        <w:t xml:space="preserve">% y/y in </w:t>
                      </w:r>
                      <w:r w:rsidR="00054314">
                        <w:rPr>
                          <w:lang w:val="en-US"/>
                        </w:rPr>
                        <w:t>January 2019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71D34" w:rsidRPr="00C733A3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page">
                  <wp:posOffset>5770245</wp:posOffset>
                </wp:positionH>
                <wp:positionV relativeFrom="paragraph">
                  <wp:posOffset>1629410</wp:posOffset>
                </wp:positionV>
                <wp:extent cx="1743710" cy="61404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EC9" w:rsidRPr="00AE3772" w:rsidRDefault="000E1F4F" w:rsidP="00736952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736952">
                              <w:rPr>
                                <w:lang w:val="en-US"/>
                              </w:rPr>
                              <w:t>A</w:t>
                            </w:r>
                            <w:r w:rsidR="00B77EC9" w:rsidRPr="00736952">
                              <w:rPr>
                                <w:lang w:val="en-US"/>
                              </w:rPr>
                              <w:t>verage</w:t>
                            </w:r>
                            <w:r w:rsidR="00B77EC9" w:rsidRPr="004C7185">
                              <w:rPr>
                                <w:color w:val="002060"/>
                                <w:lang w:val="en-US"/>
                              </w:rPr>
                              <w:t xml:space="preserve"> </w:t>
                            </w:r>
                            <w:r w:rsidR="007204E8" w:rsidRPr="004C7185">
                              <w:rPr>
                                <w:color w:val="002060"/>
                                <w:lang w:val="en-US"/>
                              </w:rPr>
                              <w:t xml:space="preserve">useful </w:t>
                            </w:r>
                            <w:r w:rsidR="00B77EC9" w:rsidRPr="004C7185">
                              <w:rPr>
                                <w:color w:val="002060"/>
                                <w:lang w:val="en-US"/>
                              </w:rPr>
                              <w:t xml:space="preserve">floor </w:t>
                            </w:r>
                            <w:r w:rsidR="00B77EC9" w:rsidRPr="00AE3772">
                              <w:rPr>
                                <w:lang w:val="en-US"/>
                              </w:rPr>
                              <w:t xml:space="preserve">area of </w:t>
                            </w:r>
                            <w:r w:rsidR="000717DD">
                              <w:rPr>
                                <w:lang w:val="en-US"/>
                              </w:rPr>
                              <w:br/>
                              <w:t xml:space="preserve">a </w:t>
                            </w:r>
                            <w:r w:rsidR="00DE4176">
                              <w:rPr>
                                <w:lang w:val="en-US"/>
                              </w:rPr>
                              <w:t xml:space="preserve">dwelling in </w:t>
                            </w:r>
                            <w:r w:rsidR="00054314">
                              <w:rPr>
                                <w:lang w:val="en-US"/>
                              </w:rPr>
                              <w:t>January 2019 was 91.6</w:t>
                            </w:r>
                            <w:r w:rsidR="00B77EC9" w:rsidRPr="00AE3772">
                              <w:rPr>
                                <w:lang w:val="en-US"/>
                              </w:rPr>
                              <w:t xml:space="preserve"> sq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54.35pt;margin-top:128.3pt;width:137.3pt;height:48.3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" filled="f" stroked="f">
                <v:textbox>
                  <w:txbxContent>
                    <w:p w:rsidR="00B77EC9" w:rsidRPr="00AE3772" w:rsidRDefault="000E1F4F" w:rsidP="00736952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736952">
                        <w:rPr>
                          <w:lang w:val="en-US"/>
                        </w:rPr>
                        <w:t>A</w:t>
                      </w:r>
                      <w:r w:rsidR="00B77EC9" w:rsidRPr="00736952">
                        <w:rPr>
                          <w:lang w:val="en-US"/>
                        </w:rPr>
                        <w:t>verage</w:t>
                      </w:r>
                      <w:r w:rsidR="00B77EC9" w:rsidRPr="004C7185">
                        <w:rPr>
                          <w:color w:val="002060"/>
                          <w:lang w:val="en-US"/>
                        </w:rPr>
                        <w:t xml:space="preserve"> </w:t>
                      </w:r>
                      <w:r w:rsidR="007204E8" w:rsidRPr="004C7185">
                        <w:rPr>
                          <w:color w:val="002060"/>
                          <w:lang w:val="en-US"/>
                        </w:rPr>
                        <w:t xml:space="preserve">useful </w:t>
                      </w:r>
                      <w:r w:rsidR="00B77EC9" w:rsidRPr="004C7185">
                        <w:rPr>
                          <w:color w:val="002060"/>
                          <w:lang w:val="en-US"/>
                        </w:rPr>
                        <w:t xml:space="preserve">floor </w:t>
                      </w:r>
                      <w:r w:rsidR="00B77EC9" w:rsidRPr="00AE3772">
                        <w:rPr>
                          <w:lang w:val="en-US"/>
                        </w:rPr>
                        <w:t xml:space="preserve">area of </w:t>
                      </w:r>
                      <w:r w:rsidR="000717DD">
                        <w:rPr>
                          <w:lang w:val="en-US"/>
                        </w:rPr>
                        <w:br/>
                        <w:t xml:space="preserve">a </w:t>
                      </w:r>
                      <w:r w:rsidR="00DE4176">
                        <w:rPr>
                          <w:lang w:val="en-US"/>
                        </w:rPr>
                        <w:t xml:space="preserve">dwelling in </w:t>
                      </w:r>
                      <w:r w:rsidR="00054314">
                        <w:rPr>
                          <w:lang w:val="en-US"/>
                        </w:rPr>
                        <w:t>January 2019 was 91.6</w:t>
                      </w:r>
                      <w:r w:rsidR="00B77EC9" w:rsidRPr="00AE3772">
                        <w:rPr>
                          <w:lang w:val="en-US"/>
                        </w:rPr>
                        <w:t xml:space="preserve"> sq 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733A3" w:rsidRPr="00C733A3">
        <w:rPr>
          <w:b/>
          <w:spacing w:val="-4"/>
          <w:shd w:val="clear" w:color="auto" w:fill="FFFFFF"/>
          <w:lang w:val="en-US"/>
        </w:rPr>
        <w:t>Dwellings completed</w:t>
      </w:r>
    </w:p>
    <w:p w:rsidR="00BF0335" w:rsidRPr="00A33759" w:rsidRDefault="00AD1492" w:rsidP="00896EB9">
      <w:pPr>
        <w:rPr>
          <w:spacing w:val="-4"/>
          <w:shd w:val="clear" w:color="auto" w:fill="FFFFFF"/>
          <w:lang w:val="en-US"/>
        </w:rPr>
      </w:pPr>
      <w:r w:rsidRPr="00A33759">
        <w:rPr>
          <w:spacing w:val="-4"/>
          <w:shd w:val="clear" w:color="auto" w:fill="FFFFFF"/>
          <w:lang w:val="en-US"/>
        </w:rPr>
        <w:t xml:space="preserve">According </w:t>
      </w:r>
      <w:r w:rsidR="00C733A3" w:rsidRPr="00C733A3">
        <w:rPr>
          <w:spacing w:val="-4"/>
          <w:shd w:val="clear" w:color="auto" w:fill="FFFFFF"/>
          <w:lang w:val="en-US"/>
        </w:rPr>
        <w:t xml:space="preserve">to </w:t>
      </w:r>
      <w:r w:rsidR="00111FD5" w:rsidRPr="00A33759">
        <w:rPr>
          <w:spacing w:val="-4"/>
          <w:shd w:val="clear" w:color="auto" w:fill="FFFFFF"/>
          <w:lang w:val="en-US"/>
        </w:rPr>
        <w:t xml:space="preserve">preliminary </w:t>
      </w:r>
      <w:r w:rsidR="00C733A3" w:rsidRPr="00C733A3">
        <w:rPr>
          <w:spacing w:val="-4"/>
          <w:shd w:val="clear" w:color="auto" w:fill="FFFFFF"/>
          <w:lang w:val="en-US"/>
        </w:rPr>
        <w:t>data, 16.3 thous. dwellings were co</w:t>
      </w:r>
      <w:r w:rsidR="009664CD">
        <w:rPr>
          <w:spacing w:val="-4"/>
          <w:shd w:val="clear" w:color="auto" w:fill="FFFFFF"/>
          <w:lang w:val="en-US"/>
        </w:rPr>
        <w:t xml:space="preserve">mpleted in January 2019, i.e. by </w:t>
      </w:r>
      <w:r w:rsidR="00C733A3" w:rsidRPr="00C733A3">
        <w:rPr>
          <w:spacing w:val="-4"/>
          <w:shd w:val="clear" w:color="auto" w:fill="FFFFFF"/>
          <w:lang w:val="en-US"/>
        </w:rPr>
        <w:t>8,6% more than a year ago.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b/>
          <w:spacing w:val="-4"/>
          <w:shd w:val="clear" w:color="auto" w:fill="FFFFFF"/>
          <w:lang w:val="en-US"/>
        </w:rPr>
        <w:t>Developers</w:t>
      </w:r>
      <w:r w:rsidR="00C733A3">
        <w:rPr>
          <w:rStyle w:val="Odwoanieprzypisudolnego"/>
          <w:spacing w:val="-4"/>
          <w:shd w:val="clear" w:color="auto" w:fill="FFFFFF"/>
          <w:lang w:val="en-US"/>
        </w:rPr>
        <w:footnoteReference w:id="2"/>
      </w:r>
      <w:r w:rsidR="00C733A3" w:rsidRPr="00C733A3">
        <w:rPr>
          <w:spacing w:val="-4"/>
          <w:shd w:val="clear" w:color="auto" w:fill="FFFFFF"/>
          <w:lang w:val="en-US"/>
        </w:rPr>
        <w:t xml:space="preserve"> completed 9.9 thous. dwellings (20.6% more than in the </w:t>
      </w:r>
      <w:r w:rsidR="009664CD">
        <w:rPr>
          <w:spacing w:val="-4"/>
          <w:shd w:val="clear" w:color="auto" w:fill="FFFFFF"/>
          <w:lang w:val="en-US"/>
        </w:rPr>
        <w:t>corresponding</w:t>
      </w:r>
      <w:r w:rsidR="00C733A3">
        <w:rPr>
          <w:spacing w:val="-4"/>
          <w:shd w:val="clear" w:color="auto" w:fill="FFFFFF"/>
          <w:lang w:val="en-US"/>
        </w:rPr>
        <w:t xml:space="preserve"> month of the previous year), whereas </w:t>
      </w:r>
      <w:r w:rsidR="00C733A3" w:rsidRPr="00054314">
        <w:rPr>
          <w:b/>
          <w:spacing w:val="-4"/>
          <w:shd w:val="clear" w:color="auto" w:fill="FFFFFF"/>
          <w:lang w:val="en-US"/>
        </w:rPr>
        <w:t>private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C733A3" w:rsidRPr="00054314">
        <w:rPr>
          <w:b/>
          <w:spacing w:val="-4"/>
          <w:shd w:val="clear" w:color="auto" w:fill="FFFFFF"/>
          <w:lang w:val="en-US"/>
        </w:rPr>
        <w:t>investors</w:t>
      </w:r>
      <w:r w:rsidR="00C733A3" w:rsidRPr="00054314">
        <w:rPr>
          <w:spacing w:val="-4"/>
          <w:shd w:val="clear" w:color="auto" w:fill="FFFFFF"/>
          <w:vertAlign w:val="superscript"/>
          <w:lang w:val="en-US"/>
        </w:rPr>
        <w:t>b</w:t>
      </w:r>
      <w:r w:rsidR="00C733A3" w:rsidRPr="00C733A3">
        <w:rPr>
          <w:spacing w:val="-4"/>
          <w:shd w:val="clear" w:color="auto" w:fill="FFFFFF"/>
          <w:lang w:val="en-US"/>
        </w:rPr>
        <w:t xml:space="preserve"> completed 6.1 thous. dwellings, </w:t>
      </w:r>
      <w:r w:rsidR="009664CD">
        <w:rPr>
          <w:spacing w:val="-4"/>
          <w:shd w:val="clear" w:color="auto" w:fill="FFFFFF"/>
          <w:lang w:val="en-US"/>
        </w:rPr>
        <w:t xml:space="preserve">i.e. by </w:t>
      </w:r>
      <w:r w:rsidR="00C733A3" w:rsidRPr="00C733A3">
        <w:rPr>
          <w:spacing w:val="-4"/>
          <w:shd w:val="clear" w:color="auto" w:fill="FFFFFF"/>
          <w:lang w:val="en-US"/>
        </w:rPr>
        <w:t xml:space="preserve"> 5.0% less than in January 2018. Within these forms of construction,  98.0% of a total number of comple</w:t>
      </w:r>
      <w:r w:rsidR="001C1808">
        <w:rPr>
          <w:spacing w:val="-4"/>
          <w:shd w:val="clear" w:color="auto" w:fill="FFFFFF"/>
          <w:lang w:val="en-US"/>
        </w:rPr>
        <w:t>ted dwellings was built</w:t>
      </w:r>
      <w:r w:rsidR="00C733A3" w:rsidRPr="00C733A3">
        <w:rPr>
          <w:spacing w:val="-4"/>
          <w:shd w:val="clear" w:color="auto" w:fill="FFFFFF"/>
          <w:lang w:val="en-US"/>
        </w:rPr>
        <w:t>. Less dwellings than a year ago were completed within cooperative construction (24 compared to 111 dw</w:t>
      </w:r>
      <w:r w:rsidR="003A358E">
        <w:rPr>
          <w:spacing w:val="-4"/>
          <w:shd w:val="clear" w:color="auto" w:fill="FFFFFF"/>
          <w:lang w:val="en-US"/>
        </w:rPr>
        <w:t xml:space="preserve">ellings). In the other forms of </w:t>
      </w:r>
      <w:r w:rsidR="00C733A3" w:rsidRPr="00C733A3">
        <w:rPr>
          <w:spacing w:val="-4"/>
          <w:shd w:val="clear" w:color="auto" w:fill="FFFFFF"/>
          <w:lang w:val="en-US"/>
        </w:rPr>
        <w:t>construction (public building society, municipal and company construction), 295 dwellings were complete</w:t>
      </w:r>
      <w:r w:rsidR="0043577A">
        <w:rPr>
          <w:spacing w:val="-4"/>
          <w:shd w:val="clear" w:color="auto" w:fill="FFFFFF"/>
          <w:lang w:val="en-US"/>
        </w:rPr>
        <w:t>d</w:t>
      </w:r>
      <w:r w:rsidR="00C733A3" w:rsidRPr="00C733A3">
        <w:rPr>
          <w:spacing w:val="-4"/>
          <w:shd w:val="clear" w:color="auto" w:fill="FFFFFF"/>
          <w:lang w:val="en-US"/>
        </w:rPr>
        <w:t xml:space="preserve"> in total, </w:t>
      </w:r>
      <w:r w:rsidR="009664CD">
        <w:rPr>
          <w:spacing w:val="-4"/>
          <w:shd w:val="clear" w:color="auto" w:fill="FFFFFF"/>
          <w:lang w:val="en-US"/>
        </w:rPr>
        <w:t>i.e. by</w:t>
      </w:r>
      <w:r w:rsidR="00C733A3" w:rsidRPr="00C733A3">
        <w:rPr>
          <w:spacing w:val="-4"/>
          <w:shd w:val="clear" w:color="auto" w:fill="FFFFFF"/>
          <w:lang w:val="en-US"/>
        </w:rPr>
        <w:t xml:space="preserve"> 3.1% more than a year ago, more than a half of which is constituted by public building society dwellings.</w:t>
      </w:r>
    </w:p>
    <w:p w:rsidR="00054314" w:rsidRDefault="000A7C88" w:rsidP="00896EB9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Total useful floor area of dwellings completed in </w:t>
      </w:r>
      <w:r w:rsidR="00054314">
        <w:rPr>
          <w:shd w:val="clear" w:color="auto" w:fill="FFFFFF"/>
          <w:lang w:val="en-US"/>
        </w:rPr>
        <w:t>January 2019</w:t>
      </w:r>
      <w:r>
        <w:rPr>
          <w:shd w:val="clear" w:color="auto" w:fill="FFFFFF"/>
          <w:lang w:val="en-US"/>
        </w:rPr>
        <w:t xml:space="preserve"> </w:t>
      </w:r>
      <w:r w:rsidR="006A0E22" w:rsidRPr="006A0E22">
        <w:rPr>
          <w:shd w:val="clear" w:color="auto" w:fill="FFFFFF"/>
          <w:lang w:val="en-US"/>
        </w:rPr>
        <w:t>amounted to</w:t>
      </w:r>
      <w:r w:rsidRPr="006A0E22">
        <w:rPr>
          <w:shd w:val="clear" w:color="auto" w:fill="FFFFFF"/>
          <w:lang w:val="en-US"/>
        </w:rPr>
        <w:t xml:space="preserve"> </w:t>
      </w:r>
      <w:r w:rsidR="00054314">
        <w:rPr>
          <w:shd w:val="clear" w:color="auto" w:fill="FFFFFF"/>
          <w:lang w:val="en-US"/>
        </w:rPr>
        <w:t>1.5 m. sq m, i.e. by 3.9</w:t>
      </w:r>
      <w:r w:rsidR="00EF767E">
        <w:rPr>
          <w:shd w:val="clear" w:color="auto" w:fill="FFFFFF"/>
          <w:lang w:val="en-US"/>
        </w:rPr>
        <w:t>% more tha</w:t>
      </w:r>
      <w:r>
        <w:rPr>
          <w:shd w:val="clear" w:color="auto" w:fill="FFFFFF"/>
          <w:lang w:val="en-US"/>
        </w:rPr>
        <w:t xml:space="preserve">n in the corresponding </w:t>
      </w:r>
      <w:r w:rsidR="00054314">
        <w:rPr>
          <w:shd w:val="clear" w:color="auto" w:fill="FFFFFF"/>
          <w:lang w:val="en-US"/>
        </w:rPr>
        <w:t>month</w:t>
      </w:r>
      <w:r>
        <w:rPr>
          <w:shd w:val="clear" w:color="auto" w:fill="FFFFFF"/>
          <w:lang w:val="en-US"/>
        </w:rPr>
        <w:t xml:space="preserve"> of previous year</w:t>
      </w:r>
      <w:r w:rsidRPr="00713DD1">
        <w:rPr>
          <w:shd w:val="clear" w:color="auto" w:fill="FFFFFF"/>
          <w:lang w:val="en-US"/>
        </w:rPr>
        <w:t xml:space="preserve">. During that time the average </w:t>
      </w:r>
      <w:r w:rsidR="005E3825" w:rsidRPr="00713DD1">
        <w:rPr>
          <w:shd w:val="clear" w:color="auto" w:fill="FFFFFF"/>
          <w:lang w:val="en-US"/>
        </w:rPr>
        <w:t xml:space="preserve">useful </w:t>
      </w:r>
      <w:r w:rsidRPr="00713DD1">
        <w:rPr>
          <w:shd w:val="clear" w:color="auto" w:fill="FFFFFF"/>
          <w:lang w:val="en-US"/>
        </w:rPr>
        <w:t>floor are</w:t>
      </w:r>
      <w:r w:rsidR="00054314">
        <w:rPr>
          <w:shd w:val="clear" w:color="auto" w:fill="FFFFFF"/>
          <w:lang w:val="en-US"/>
        </w:rPr>
        <w:t>a of 1 dwelling decreased by 4.2</w:t>
      </w:r>
      <w:r w:rsidRPr="00713DD1">
        <w:rPr>
          <w:shd w:val="clear" w:color="auto" w:fill="FFFFFF"/>
          <w:lang w:val="en-US"/>
        </w:rPr>
        <w:t xml:space="preserve"> sq </w:t>
      </w:r>
      <w:r w:rsidR="003460DF" w:rsidRPr="00713DD1">
        <w:rPr>
          <w:shd w:val="clear" w:color="auto" w:fill="FFFFFF"/>
          <w:lang w:val="en-US"/>
        </w:rPr>
        <w:t>m to the lev</w:t>
      </w:r>
      <w:r w:rsidR="003460DF">
        <w:rPr>
          <w:shd w:val="clear" w:color="auto" w:fill="FFFFFF"/>
          <w:lang w:val="en-US"/>
        </w:rPr>
        <w:t xml:space="preserve">el of </w:t>
      </w:r>
      <w:r w:rsidR="0068790E">
        <w:rPr>
          <w:shd w:val="clear" w:color="auto" w:fill="FFFFFF"/>
          <w:lang w:val="en-US"/>
        </w:rPr>
        <w:t>91.</w:t>
      </w:r>
      <w:r w:rsidR="00054314">
        <w:rPr>
          <w:shd w:val="clear" w:color="auto" w:fill="FFFFFF"/>
          <w:lang w:val="en-US"/>
        </w:rPr>
        <w:t>6</w:t>
      </w:r>
      <w:r>
        <w:rPr>
          <w:shd w:val="clear" w:color="auto" w:fill="FFFFFF"/>
          <w:lang w:val="en-US"/>
        </w:rPr>
        <w:t xml:space="preserve"> sq</w:t>
      </w:r>
      <w:r w:rsidR="00A33759">
        <w:rPr>
          <w:shd w:val="clear" w:color="auto" w:fill="FFFFFF"/>
          <w:lang w:val="en-US"/>
        </w:rPr>
        <w:t> </w:t>
      </w:r>
      <w:r>
        <w:rPr>
          <w:shd w:val="clear" w:color="auto" w:fill="FFFFFF"/>
          <w:lang w:val="en-US"/>
        </w:rPr>
        <w:t>m.</w:t>
      </w:r>
    </w:p>
    <w:p w:rsidR="00054314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proofErr w:type="spellStart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Table</w:t>
      </w:r>
      <w:proofErr w:type="spellEnd"/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1.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Dwellings </w:t>
      </w:r>
      <w:proofErr w:type="spellStart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completed</w:t>
      </w:r>
      <w:proofErr w:type="spellEnd"/>
    </w:p>
    <w:tbl>
      <w:tblPr>
        <w:tblStyle w:val="Siatkatabelijasna2"/>
        <w:tblpPr w:leftFromText="141" w:rightFromText="141" w:vertAnchor="text" w:horzAnchor="margin" w:tblpY="400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325"/>
        <w:gridCol w:w="2019"/>
        <w:gridCol w:w="1930"/>
        <w:gridCol w:w="1770"/>
      </w:tblGrid>
      <w:tr w:rsidR="00054314" w:rsidRPr="00833D4E" w:rsidTr="00154AC9">
        <w:trPr>
          <w:trHeight w:val="464"/>
        </w:trPr>
        <w:tc>
          <w:tcPr>
            <w:tcW w:w="2325" w:type="dxa"/>
            <w:vMerge w:val="restart"/>
            <w:tcBorders>
              <w:top w:val="nil"/>
              <w:left w:val="nil"/>
              <w:bottom w:val="single" w:sz="12" w:space="0" w:color="212492"/>
            </w:tcBorders>
            <w:vAlign w:val="center"/>
          </w:tcPr>
          <w:p w:rsidR="00054314" w:rsidRPr="00833D4E" w:rsidRDefault="009046F6" w:rsidP="00B23B98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proofErr w:type="spellStart"/>
            <w:r w:rsidRPr="009046F6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Forms</w:t>
            </w:r>
            <w:proofErr w:type="spellEnd"/>
            <w:r w:rsidRPr="009046F6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9046F6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construction</w:t>
            </w:r>
            <w:proofErr w:type="spellEnd"/>
          </w:p>
        </w:tc>
        <w:tc>
          <w:tcPr>
            <w:tcW w:w="5719" w:type="dxa"/>
            <w:gridSpan w:val="3"/>
            <w:tcBorders>
              <w:top w:val="nil"/>
              <w:bottom w:val="single" w:sz="4" w:space="0" w:color="212492"/>
              <w:right w:val="nil"/>
            </w:tcBorders>
            <w:vAlign w:val="center"/>
          </w:tcPr>
          <w:p w:rsidR="00054314" w:rsidRPr="00833D4E" w:rsidRDefault="00054314" w:rsidP="00B23B9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 xml:space="preserve"> I 2019</w:t>
            </w:r>
          </w:p>
        </w:tc>
      </w:tr>
      <w:tr w:rsidR="00054314" w:rsidRPr="00833D4E" w:rsidTr="00154AC9">
        <w:trPr>
          <w:trHeight w:val="20"/>
        </w:trPr>
        <w:tc>
          <w:tcPr>
            <w:tcW w:w="2325" w:type="dxa"/>
            <w:vMerge/>
            <w:tcBorders>
              <w:top w:val="single" w:sz="12" w:space="0" w:color="212492"/>
              <w:left w:val="nil"/>
              <w:bottom w:val="single" w:sz="12" w:space="0" w:color="212492"/>
            </w:tcBorders>
            <w:vAlign w:val="center"/>
          </w:tcPr>
          <w:p w:rsidR="00054314" w:rsidRPr="00833D4E" w:rsidRDefault="00054314" w:rsidP="00B23B98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01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054314" w:rsidRPr="00833D4E" w:rsidRDefault="009046F6" w:rsidP="00B23B9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930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054314" w:rsidRPr="00833D4E" w:rsidRDefault="00054314" w:rsidP="00B23B9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</w:p>
          <w:p w:rsidR="00054314" w:rsidRPr="00833D4E" w:rsidRDefault="00054314" w:rsidP="00B23B9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769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054314" w:rsidRPr="00833D4E" w:rsidRDefault="00054314" w:rsidP="00B23B9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XI</w:t>
            </w:r>
            <w:r w:rsidRPr="00833D4E">
              <w:rPr>
                <w:color w:val="000000" w:themeColor="text1"/>
                <w:sz w:val="16"/>
                <w:szCs w:val="16"/>
              </w:rPr>
              <w:t>I</w:t>
            </w:r>
          </w:p>
          <w:p w:rsidR="00054314" w:rsidRPr="00833D4E" w:rsidRDefault="00054314" w:rsidP="00B23B9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054314" w:rsidRPr="00833D4E" w:rsidTr="00154AC9">
        <w:trPr>
          <w:trHeight w:val="58"/>
        </w:trPr>
        <w:tc>
          <w:tcPr>
            <w:tcW w:w="2325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:rsidR="00054314" w:rsidRPr="00833D4E" w:rsidRDefault="00054314" w:rsidP="00B23B98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33D4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2019" w:type="dxa"/>
            <w:tcBorders>
              <w:top w:val="single" w:sz="4" w:space="0" w:color="212492"/>
            </w:tcBorders>
            <w:vAlign w:val="center"/>
          </w:tcPr>
          <w:p w:rsidR="00054314" w:rsidRPr="00833D4E" w:rsidRDefault="00054314" w:rsidP="00B23B9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33D4E">
              <w:rPr>
                <w:b/>
                <w:color w:val="000000" w:themeColor="text1"/>
                <w:sz w:val="16"/>
                <w:szCs w:val="16"/>
              </w:rPr>
              <w:t>16312</w:t>
            </w:r>
          </w:p>
        </w:tc>
        <w:tc>
          <w:tcPr>
            <w:tcW w:w="193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054314" w:rsidRPr="00833D4E" w:rsidRDefault="009046F6" w:rsidP="00B23B9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108.</w:t>
            </w:r>
            <w:r w:rsidR="00054314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69" w:type="dxa"/>
            <w:tcBorders>
              <w:top w:val="single" w:sz="12" w:space="0" w:color="212492"/>
              <w:bottom w:val="single" w:sz="4" w:space="0" w:color="212492"/>
              <w:right w:val="nil"/>
            </w:tcBorders>
            <w:vAlign w:val="center"/>
          </w:tcPr>
          <w:p w:rsidR="00054314" w:rsidRPr="00833D4E" w:rsidRDefault="009046F6" w:rsidP="00B23B9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77.</w:t>
            </w:r>
            <w:r w:rsidR="00054314" w:rsidRPr="00833D4E">
              <w:rPr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  <w:tr w:rsidR="00054314" w:rsidRPr="00833D4E" w:rsidTr="00154AC9">
        <w:trPr>
          <w:trHeight w:val="58"/>
        </w:trPr>
        <w:tc>
          <w:tcPr>
            <w:tcW w:w="2325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54314" w:rsidRPr="00833D4E" w:rsidRDefault="009046F6" w:rsidP="00B23B9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Private</w:t>
            </w:r>
          </w:p>
        </w:tc>
        <w:tc>
          <w:tcPr>
            <w:tcW w:w="2019" w:type="dxa"/>
            <w:vAlign w:val="center"/>
          </w:tcPr>
          <w:p w:rsidR="00054314" w:rsidRPr="00833D4E" w:rsidRDefault="00054314" w:rsidP="00B23B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6108</w:t>
            </w:r>
          </w:p>
        </w:tc>
        <w:tc>
          <w:tcPr>
            <w:tcW w:w="193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054314" w:rsidRPr="00833D4E" w:rsidRDefault="009046F6" w:rsidP="00B23B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95.</w:t>
            </w:r>
            <w:r w:rsidR="00054314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9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054314" w:rsidRPr="00833D4E" w:rsidRDefault="009046F6" w:rsidP="00B23B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90.</w:t>
            </w:r>
            <w:r w:rsidR="00054314" w:rsidRPr="00833D4E">
              <w:rPr>
                <w:color w:val="000000" w:themeColor="text1"/>
                <w:sz w:val="16"/>
                <w:szCs w:val="16"/>
              </w:rPr>
              <w:t>7</w:t>
            </w:r>
          </w:p>
        </w:tc>
      </w:tr>
      <w:tr w:rsidR="00054314" w:rsidRPr="00833D4E" w:rsidTr="00154AC9">
        <w:trPr>
          <w:trHeight w:val="58"/>
        </w:trPr>
        <w:tc>
          <w:tcPr>
            <w:tcW w:w="2325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54314" w:rsidRPr="00833D4E" w:rsidRDefault="009046F6" w:rsidP="00B23B9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For sale </w:t>
            </w:r>
            <w:proofErr w:type="spellStart"/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or</w:t>
            </w:r>
            <w:proofErr w:type="spellEnd"/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rent</w:t>
            </w:r>
            <w:r w:rsidR="00054314" w:rsidRPr="00833D4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vAlign w:val="center"/>
          </w:tcPr>
          <w:p w:rsidR="00054314" w:rsidRPr="00833D4E" w:rsidRDefault="00054314" w:rsidP="00B23B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9885</w:t>
            </w:r>
          </w:p>
        </w:tc>
        <w:tc>
          <w:tcPr>
            <w:tcW w:w="193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054314" w:rsidRPr="00833D4E" w:rsidRDefault="009046F6" w:rsidP="00B23B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120.</w:t>
            </w:r>
            <w:r w:rsidR="00054314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69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054314" w:rsidRPr="00833D4E" w:rsidRDefault="009046F6" w:rsidP="00B23B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74.</w:t>
            </w:r>
            <w:r w:rsidR="00054314" w:rsidRPr="00833D4E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054314" w:rsidRPr="00833D4E" w:rsidTr="00154AC9">
        <w:trPr>
          <w:trHeight w:val="58"/>
        </w:trPr>
        <w:tc>
          <w:tcPr>
            <w:tcW w:w="2325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54314" w:rsidRPr="00833D4E" w:rsidRDefault="009046F6" w:rsidP="00B23B98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which</w:t>
            </w:r>
            <w:proofErr w:type="spellEnd"/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for rent</w:t>
            </w:r>
            <w:r w:rsidR="00054314" w:rsidRPr="00833D4E"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2019" w:type="dxa"/>
            <w:vAlign w:val="center"/>
          </w:tcPr>
          <w:p w:rsidR="00054314" w:rsidRPr="00833D4E" w:rsidRDefault="00054314" w:rsidP="00B23B9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187</w:t>
            </w:r>
          </w:p>
        </w:tc>
        <w:tc>
          <w:tcPr>
            <w:tcW w:w="193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054314" w:rsidRPr="00833D4E" w:rsidRDefault="00054314" w:rsidP="00B23B9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769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054314" w:rsidRPr="00833D4E" w:rsidRDefault="00054314" w:rsidP="00B23B9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054314" w:rsidRPr="00833D4E" w:rsidTr="00154AC9">
        <w:trPr>
          <w:trHeight w:val="58"/>
        </w:trPr>
        <w:tc>
          <w:tcPr>
            <w:tcW w:w="2325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54314" w:rsidRPr="00833D4E" w:rsidRDefault="009046F6" w:rsidP="00B23B9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ajorBidi"/>
                <w:color w:val="000000" w:themeColor="text1"/>
                <w:sz w:val="16"/>
                <w:szCs w:val="16"/>
              </w:rPr>
              <w:t>Cooperative</w:t>
            </w:r>
            <w:proofErr w:type="spellEnd"/>
          </w:p>
        </w:tc>
        <w:tc>
          <w:tcPr>
            <w:tcW w:w="2019" w:type="dxa"/>
            <w:vAlign w:val="center"/>
          </w:tcPr>
          <w:p w:rsidR="00054314" w:rsidRPr="00833D4E" w:rsidRDefault="00054314" w:rsidP="00B23B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93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054314" w:rsidRPr="00833D4E" w:rsidRDefault="009046F6" w:rsidP="00B23B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21.</w:t>
            </w:r>
            <w:r w:rsidR="00054314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69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054314" w:rsidRPr="00833D4E" w:rsidRDefault="009046F6" w:rsidP="00B23B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</w:t>
            </w:r>
            <w:r w:rsidR="00054314" w:rsidRPr="00833D4E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054314" w:rsidRPr="00833D4E" w:rsidTr="00154AC9">
        <w:trPr>
          <w:trHeight w:val="58"/>
        </w:trPr>
        <w:tc>
          <w:tcPr>
            <w:tcW w:w="2325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54314" w:rsidRPr="00833D4E" w:rsidRDefault="009046F6" w:rsidP="00B23B9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M</w:t>
            </w:r>
            <w:r w:rsidRPr="009046F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unicipal</w:t>
            </w:r>
            <w:proofErr w:type="spellEnd"/>
          </w:p>
        </w:tc>
        <w:tc>
          <w:tcPr>
            <w:tcW w:w="2019" w:type="dxa"/>
            <w:tcBorders>
              <w:bottom w:val="single" w:sz="4" w:space="0" w:color="212492"/>
            </w:tcBorders>
            <w:vAlign w:val="center"/>
          </w:tcPr>
          <w:p w:rsidR="00054314" w:rsidRPr="00833D4E" w:rsidRDefault="00054314" w:rsidP="00B23B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193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054314" w:rsidRPr="00833D4E" w:rsidRDefault="009046F6" w:rsidP="009046F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more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than</w:t>
            </w:r>
            <w:proofErr w:type="spellEnd"/>
            <w:r w:rsidR="00054314">
              <w:rPr>
                <w:color w:val="000000" w:themeColor="text1"/>
                <w:sz w:val="16"/>
                <w:szCs w:val="16"/>
              </w:rPr>
              <w:t xml:space="preserve"> 4-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fold</w:t>
            </w:r>
            <w:proofErr w:type="spellEnd"/>
          </w:p>
        </w:tc>
        <w:tc>
          <w:tcPr>
            <w:tcW w:w="1769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054314" w:rsidRPr="00833D4E" w:rsidRDefault="009046F6" w:rsidP="00B23B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35.</w:t>
            </w:r>
            <w:r w:rsidR="00054314" w:rsidRPr="00833D4E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054314" w:rsidRPr="00833D4E" w:rsidTr="00154AC9">
        <w:trPr>
          <w:trHeight w:val="58"/>
        </w:trPr>
        <w:tc>
          <w:tcPr>
            <w:tcW w:w="2325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54314" w:rsidRPr="00833D4E" w:rsidRDefault="009046F6" w:rsidP="00B23B9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P</w:t>
            </w:r>
            <w:r w:rsidRPr="009046F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ublic </w:t>
            </w:r>
            <w:proofErr w:type="spellStart"/>
            <w:r w:rsidRPr="009046F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building</w:t>
            </w:r>
            <w:proofErr w:type="spellEnd"/>
            <w:r w:rsidRPr="009046F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46F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society</w:t>
            </w:r>
            <w:proofErr w:type="spellEnd"/>
          </w:p>
        </w:tc>
        <w:tc>
          <w:tcPr>
            <w:tcW w:w="2019" w:type="dxa"/>
            <w:tcBorders>
              <w:bottom w:val="single" w:sz="4" w:space="0" w:color="212492"/>
            </w:tcBorders>
            <w:vAlign w:val="center"/>
          </w:tcPr>
          <w:p w:rsidR="00054314" w:rsidRPr="00833D4E" w:rsidRDefault="00054314" w:rsidP="00B23B9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93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054314" w:rsidRPr="00833D4E" w:rsidRDefault="009046F6" w:rsidP="00B23B9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60.</w:t>
            </w:r>
            <w:r w:rsidR="00054314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69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054314" w:rsidRPr="00833D4E" w:rsidRDefault="009046F6" w:rsidP="00B23B9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more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than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3</w:t>
            </w:r>
            <w:r w:rsidRPr="009046F6">
              <w:rPr>
                <w:color w:val="000000" w:themeColor="text1"/>
                <w:sz w:val="16"/>
                <w:szCs w:val="16"/>
              </w:rPr>
              <w:t xml:space="preserve">-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fold</w:t>
            </w:r>
            <w:proofErr w:type="spellEnd"/>
          </w:p>
        </w:tc>
      </w:tr>
      <w:tr w:rsidR="00054314" w:rsidRPr="00833D4E" w:rsidTr="00154AC9">
        <w:trPr>
          <w:trHeight w:val="58"/>
        </w:trPr>
        <w:tc>
          <w:tcPr>
            <w:tcW w:w="2325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54314" w:rsidRPr="00833D4E" w:rsidRDefault="009046F6" w:rsidP="00B23B9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</w:t>
            </w:r>
            <w:r w:rsidRPr="009046F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ompany</w:t>
            </w:r>
          </w:p>
        </w:tc>
        <w:tc>
          <w:tcPr>
            <w:tcW w:w="2019" w:type="dxa"/>
            <w:tcBorders>
              <w:bottom w:val="single" w:sz="4" w:space="0" w:color="212492"/>
            </w:tcBorders>
            <w:vAlign w:val="center"/>
          </w:tcPr>
          <w:p w:rsidR="00054314" w:rsidRPr="00833D4E" w:rsidRDefault="00054314" w:rsidP="00B23B9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93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054314" w:rsidRPr="00833D4E" w:rsidRDefault="009046F6" w:rsidP="00B23B9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more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than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15</w:t>
            </w:r>
            <w:r w:rsidRPr="009046F6">
              <w:rPr>
                <w:color w:val="000000" w:themeColor="text1"/>
                <w:sz w:val="16"/>
                <w:szCs w:val="16"/>
              </w:rPr>
              <w:t xml:space="preserve">-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fold</w:t>
            </w:r>
            <w:proofErr w:type="spellEnd"/>
          </w:p>
        </w:tc>
        <w:tc>
          <w:tcPr>
            <w:tcW w:w="1769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054314" w:rsidRPr="00833D4E" w:rsidRDefault="009046F6" w:rsidP="00B23B9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115.</w:t>
            </w:r>
            <w:r w:rsidR="00054314" w:rsidRPr="00833D4E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</w:tbl>
    <w:p w:rsidR="00054314" w:rsidRPr="004D107E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:rsidR="00154AC9" w:rsidRDefault="00154AC9" w:rsidP="00896EB9">
      <w:pPr>
        <w:rPr>
          <w:shd w:val="clear" w:color="auto" w:fill="FFFFFF"/>
        </w:rPr>
      </w:pPr>
    </w:p>
    <w:p w:rsidR="00154AC9" w:rsidRDefault="00154AC9" w:rsidP="00896EB9">
      <w:pPr>
        <w:rPr>
          <w:shd w:val="clear" w:color="auto" w:fill="FFFFFF"/>
        </w:rPr>
      </w:pPr>
    </w:p>
    <w:p w:rsidR="00896EB9" w:rsidRPr="00896EB9" w:rsidRDefault="00896EB9" w:rsidP="00896EB9">
      <w:pPr>
        <w:rPr>
          <w:b/>
          <w:szCs w:val="19"/>
          <w:shd w:val="clear" w:color="auto" w:fill="FFFFFF"/>
          <w:lang w:val="en-GB"/>
        </w:rPr>
      </w:pPr>
      <w:r w:rsidRPr="00896EB9">
        <w:rPr>
          <w:b/>
          <w:szCs w:val="19"/>
          <w:shd w:val="clear" w:color="auto" w:fill="FFFFFF"/>
          <w:lang w:val="en-GB"/>
        </w:rPr>
        <w:t>Dwellings for which permits have been grante</w:t>
      </w:r>
      <w:r>
        <w:rPr>
          <w:b/>
          <w:szCs w:val="19"/>
          <w:shd w:val="clear" w:color="auto" w:fill="FFFFFF"/>
          <w:lang w:val="en-GB"/>
        </w:rPr>
        <w:t xml:space="preserve">d or which have been registered </w:t>
      </w:r>
      <w:r w:rsidRPr="00896EB9">
        <w:rPr>
          <w:b/>
          <w:szCs w:val="19"/>
          <w:shd w:val="clear" w:color="auto" w:fill="FFFFFF"/>
          <w:lang w:val="en-GB"/>
        </w:rPr>
        <w:t xml:space="preserve">with </w:t>
      </w:r>
      <w:r>
        <w:rPr>
          <w:b/>
          <w:szCs w:val="19"/>
          <w:shd w:val="clear" w:color="auto" w:fill="FFFFFF"/>
          <w:lang w:val="en-GB"/>
        </w:rPr>
        <w:br/>
      </w:r>
      <w:r w:rsidRPr="00896EB9">
        <w:rPr>
          <w:b/>
          <w:szCs w:val="19"/>
          <w:shd w:val="clear" w:color="auto" w:fill="FFFFFF"/>
          <w:lang w:val="en-GB"/>
        </w:rPr>
        <w:t>a construction project</w:t>
      </w:r>
    </w:p>
    <w:p w:rsidR="00C47CE4" w:rsidRPr="00E04DF2" w:rsidRDefault="00E04DF2" w:rsidP="00896EB9">
      <w:pPr>
        <w:rPr>
          <w:shd w:val="clear" w:color="auto" w:fill="FFFFFF"/>
          <w:lang w:val="en-GB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38AAD7" wp14:editId="5DFE9E4B">
                <wp:simplePos x="0" y="0"/>
                <wp:positionH relativeFrom="page">
                  <wp:posOffset>5657850</wp:posOffset>
                </wp:positionH>
                <wp:positionV relativeFrom="paragraph">
                  <wp:posOffset>6203</wp:posOffset>
                </wp:positionV>
                <wp:extent cx="1812290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47CE4" w:rsidRPr="00AD1492" w:rsidRDefault="00BD601A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Number of d</w:t>
                            </w:r>
                            <w:r w:rsidR="00C47CE4"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 w:rsidR="00C47CE4"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="00C47CE4"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C47CE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04DF2">
                              <w:rPr>
                                <w:lang w:val="en-US"/>
                              </w:rPr>
                              <w:t>de</w:t>
                            </w:r>
                            <w:r w:rsidR="00C47CE4" w:rsidRPr="00AD1492">
                              <w:rPr>
                                <w:lang w:val="en-US"/>
                              </w:rPr>
                              <w:t xml:space="preserve">creased by </w:t>
                            </w:r>
                            <w:r w:rsidR="00E04DF2">
                              <w:rPr>
                                <w:lang w:val="en-US"/>
                              </w:rPr>
                              <w:t>0</w:t>
                            </w:r>
                            <w:r w:rsidR="00C47CE4" w:rsidRPr="00AD1492">
                              <w:rPr>
                                <w:lang w:val="en-US"/>
                              </w:rPr>
                              <w:t>.</w:t>
                            </w:r>
                            <w:r w:rsidR="00E04DF2">
                              <w:rPr>
                                <w:lang w:val="en-US"/>
                              </w:rPr>
                              <w:t>7</w:t>
                            </w:r>
                            <w:r w:rsidR="00C47CE4" w:rsidRPr="00AD1492">
                              <w:rPr>
                                <w:lang w:val="en-US"/>
                              </w:rPr>
                              <w:t xml:space="preserve">% y/y in </w:t>
                            </w:r>
                            <w:r w:rsidR="00E04DF2">
                              <w:rPr>
                                <w:lang w:val="en-US"/>
                              </w:rPr>
                              <w:t>January</w:t>
                            </w:r>
                            <w:r w:rsidR="00BC514E">
                              <w:rPr>
                                <w:lang w:val="en-US"/>
                              </w:rPr>
                              <w:t xml:space="preserve"> 2019</w:t>
                            </w:r>
                            <w:r w:rsidR="00C47CE4"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AAD7" id="Pole tekstowe 15" o:spid="_x0000_s1031" type="#_x0000_t202" style="position:absolute;margin-left:445.5pt;margin-top:.5pt;width:142.7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" filled="f" stroked="f" strokeweight=".5pt">
                <v:textbox>
                  <w:txbxContent>
                    <w:p w:rsidR="00C47CE4" w:rsidRPr="00AD1492" w:rsidRDefault="00BD601A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Number of d</w:t>
                      </w:r>
                      <w:r w:rsidR="00C47CE4" w:rsidRPr="004C57EC">
                        <w:rPr>
                          <w:lang w:val="en-US"/>
                        </w:rPr>
                        <w:t>wellings for which permits have been grante</w:t>
                      </w:r>
                      <w:r w:rsidR="00C47CE4">
                        <w:rPr>
                          <w:lang w:val="en-US"/>
                        </w:rPr>
                        <w:t xml:space="preserve">d or which have been registered </w:t>
                      </w:r>
                      <w:r w:rsidR="00C47CE4" w:rsidRPr="004C57EC">
                        <w:rPr>
                          <w:lang w:val="en-US"/>
                        </w:rPr>
                        <w:t>with a construction project</w:t>
                      </w:r>
                      <w:r w:rsidR="00C47CE4">
                        <w:rPr>
                          <w:lang w:val="en-US"/>
                        </w:rPr>
                        <w:t xml:space="preserve"> </w:t>
                      </w:r>
                      <w:r w:rsidR="00E04DF2">
                        <w:rPr>
                          <w:lang w:val="en-US"/>
                        </w:rPr>
                        <w:t>de</w:t>
                      </w:r>
                      <w:r w:rsidR="00C47CE4" w:rsidRPr="00AD1492">
                        <w:rPr>
                          <w:lang w:val="en-US"/>
                        </w:rPr>
                        <w:t xml:space="preserve">creased by </w:t>
                      </w:r>
                      <w:r w:rsidR="00E04DF2">
                        <w:rPr>
                          <w:lang w:val="en-US"/>
                        </w:rPr>
                        <w:t>0</w:t>
                      </w:r>
                      <w:r w:rsidR="00C47CE4" w:rsidRPr="00AD1492">
                        <w:rPr>
                          <w:lang w:val="en-US"/>
                        </w:rPr>
                        <w:t>.</w:t>
                      </w:r>
                      <w:r w:rsidR="00E04DF2">
                        <w:rPr>
                          <w:lang w:val="en-US"/>
                        </w:rPr>
                        <w:t>7</w:t>
                      </w:r>
                      <w:r w:rsidR="00C47CE4" w:rsidRPr="00AD1492">
                        <w:rPr>
                          <w:lang w:val="en-US"/>
                        </w:rPr>
                        <w:t xml:space="preserve">% y/y in </w:t>
                      </w:r>
                      <w:r w:rsidR="00E04DF2">
                        <w:rPr>
                          <w:lang w:val="en-US"/>
                        </w:rPr>
                        <w:t>January</w:t>
                      </w:r>
                      <w:r w:rsidR="00BC514E">
                        <w:rPr>
                          <w:lang w:val="en-US"/>
                        </w:rPr>
                        <w:t xml:space="preserve"> 2019</w:t>
                      </w:r>
                      <w:r w:rsidR="00C47CE4"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1D77" w:rsidRPr="00BD1D77">
        <w:rPr>
          <w:szCs w:val="19"/>
          <w:shd w:val="clear" w:color="auto" w:fill="FFFFFF"/>
          <w:lang w:val="en-GB"/>
        </w:rPr>
        <w:t>I</w:t>
      </w:r>
      <w:r w:rsidR="00BD1D77" w:rsidRPr="00425FE5">
        <w:rPr>
          <w:szCs w:val="19"/>
          <w:shd w:val="clear" w:color="auto" w:fill="FFFFFF"/>
          <w:lang w:val="en-GB"/>
        </w:rPr>
        <w:t xml:space="preserve">n </w:t>
      </w:r>
      <w:r>
        <w:rPr>
          <w:szCs w:val="19"/>
          <w:shd w:val="clear" w:color="auto" w:fill="FFFFFF"/>
          <w:lang w:val="en-GB"/>
        </w:rPr>
        <w:t>January 2019</w:t>
      </w:r>
      <w:r w:rsidR="00BD1D77" w:rsidRPr="00425FE5">
        <w:rPr>
          <w:szCs w:val="19"/>
          <w:shd w:val="clear" w:color="auto" w:fill="FFFFFF"/>
          <w:lang w:val="en-GB"/>
        </w:rPr>
        <w:t xml:space="preserve"> </w:t>
      </w:r>
      <w:r w:rsidR="00C47CE4">
        <w:rPr>
          <w:shd w:val="clear" w:color="auto" w:fill="FFFFFF"/>
          <w:lang w:val="en-US"/>
        </w:rPr>
        <w:t>permits and registrations</w:t>
      </w:r>
      <w:r w:rsidR="00C47CE4" w:rsidRPr="00361E3E">
        <w:rPr>
          <w:shd w:val="clear" w:color="auto" w:fill="FFFFFF"/>
          <w:lang w:val="en-US"/>
        </w:rPr>
        <w:t xml:space="preserve"> </w:t>
      </w:r>
      <w:r w:rsidR="00C47CE4">
        <w:rPr>
          <w:shd w:val="clear" w:color="auto" w:fill="FFFFFF"/>
          <w:lang w:val="en-US"/>
        </w:rPr>
        <w:t xml:space="preserve">with a construction project have been granted for construction of </w:t>
      </w:r>
      <w:r>
        <w:rPr>
          <w:shd w:val="clear" w:color="auto" w:fill="FFFFFF"/>
          <w:lang w:val="en-US"/>
        </w:rPr>
        <w:t>20.6</w:t>
      </w:r>
      <w:r w:rsidR="00086F9F">
        <w:rPr>
          <w:shd w:val="clear" w:color="auto" w:fill="FFFFFF"/>
          <w:lang w:val="en-US"/>
        </w:rPr>
        <w:t xml:space="preserve"> thous.</w:t>
      </w:r>
      <w:r w:rsidR="00FD0C2F">
        <w:rPr>
          <w:shd w:val="clear" w:color="auto" w:fill="FFFFFF"/>
          <w:lang w:val="en-US"/>
        </w:rPr>
        <w:t xml:space="preserve"> dwellings, </w:t>
      </w:r>
      <w:r w:rsidR="00C47CE4">
        <w:rPr>
          <w:shd w:val="clear" w:color="auto" w:fill="FFFFFF"/>
          <w:lang w:val="en-US"/>
        </w:rPr>
        <w:t xml:space="preserve">i.e. by </w:t>
      </w:r>
      <w:r>
        <w:rPr>
          <w:shd w:val="clear" w:color="auto" w:fill="FFFFFF"/>
          <w:lang w:val="en-US"/>
        </w:rPr>
        <w:t>0</w:t>
      </w:r>
      <w:r w:rsidR="00E245E1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>7</w:t>
      </w:r>
      <w:r w:rsidR="00C47CE4">
        <w:rPr>
          <w:shd w:val="clear" w:color="auto" w:fill="FFFFFF"/>
          <w:lang w:val="en-US"/>
        </w:rPr>
        <w:t xml:space="preserve">% </w:t>
      </w:r>
      <w:r>
        <w:rPr>
          <w:shd w:val="clear" w:color="auto" w:fill="FFFFFF"/>
          <w:lang w:val="en-US"/>
        </w:rPr>
        <w:t>less</w:t>
      </w:r>
      <w:r w:rsidR="00C47CE4">
        <w:rPr>
          <w:shd w:val="clear" w:color="auto" w:fill="FFFFFF"/>
          <w:lang w:val="en-US"/>
        </w:rPr>
        <w:t xml:space="preserve"> than in </w:t>
      </w:r>
      <w:r w:rsidR="00C47CE4" w:rsidRPr="00A02ED8">
        <w:rPr>
          <w:shd w:val="clear" w:color="auto" w:fill="FFFFFF"/>
          <w:lang w:val="en-US"/>
        </w:rPr>
        <w:t>the corres</w:t>
      </w:r>
      <w:r w:rsidR="00856FE3">
        <w:rPr>
          <w:shd w:val="clear" w:color="auto" w:fill="FFFFFF"/>
          <w:lang w:val="en-US"/>
        </w:rPr>
        <w:t xml:space="preserve">ponding </w:t>
      </w:r>
      <w:r>
        <w:rPr>
          <w:shd w:val="clear" w:color="auto" w:fill="FFFFFF"/>
          <w:lang w:val="en-US"/>
        </w:rPr>
        <w:t>month</w:t>
      </w:r>
      <w:r w:rsidR="00856FE3">
        <w:rPr>
          <w:shd w:val="clear" w:color="auto" w:fill="FFFFFF"/>
          <w:lang w:val="en-US"/>
        </w:rPr>
        <w:t xml:space="preserve"> of</w:t>
      </w:r>
      <w:r w:rsidR="003F19F4">
        <w:rPr>
          <w:shd w:val="clear" w:color="auto" w:fill="FFFFFF"/>
          <w:lang w:val="en-US"/>
        </w:rPr>
        <w:t xml:space="preserve"> </w:t>
      </w:r>
      <w:r w:rsidR="00856FE3">
        <w:rPr>
          <w:shd w:val="clear" w:color="auto" w:fill="FFFFFF"/>
          <w:lang w:val="en-US"/>
        </w:rPr>
        <w:t xml:space="preserve">previous year. </w:t>
      </w:r>
      <w:r w:rsidR="00C47CE4">
        <w:rPr>
          <w:shd w:val="clear" w:color="auto" w:fill="FFFFFF"/>
          <w:lang w:val="en-US"/>
        </w:rPr>
        <w:t xml:space="preserve">Permits for construction of the biggest number of dwellings were given to investors </w:t>
      </w:r>
      <w:r w:rsidR="00C47CE4" w:rsidRPr="003B5AC1">
        <w:rPr>
          <w:shd w:val="clear" w:color="auto" w:fill="FFFFFF"/>
          <w:lang w:val="en-US"/>
        </w:rPr>
        <w:t xml:space="preserve">in the form </w:t>
      </w:r>
      <w:r w:rsidR="00C47CE4" w:rsidRPr="00A02ED8">
        <w:rPr>
          <w:shd w:val="clear" w:color="auto" w:fill="FFFFFF"/>
          <w:lang w:val="en-US"/>
        </w:rPr>
        <w:t xml:space="preserve">of </w:t>
      </w:r>
      <w:r w:rsidR="00C47CE4" w:rsidRPr="0062187C">
        <w:rPr>
          <w:shd w:val="clear" w:color="auto" w:fill="FFFFFF"/>
          <w:lang w:val="en-US"/>
        </w:rPr>
        <w:t>construction</w:t>
      </w:r>
      <w:r w:rsidR="00C47CE4" w:rsidRPr="003B5AC1">
        <w:rPr>
          <w:b/>
          <w:shd w:val="clear" w:color="auto" w:fill="FFFFFF"/>
          <w:lang w:val="en-US"/>
        </w:rPr>
        <w:t xml:space="preserve"> </w:t>
      </w:r>
      <w:r w:rsidR="00C47CE4" w:rsidRPr="004F2B55">
        <w:rPr>
          <w:b/>
          <w:shd w:val="clear" w:color="auto" w:fill="FFFFFF"/>
          <w:lang w:val="en-US"/>
        </w:rPr>
        <w:t>for sale or rent</w:t>
      </w:r>
      <w:r w:rsidR="00BD1D77">
        <w:rPr>
          <w:shd w:val="clear" w:color="auto" w:fill="FFFFFF"/>
          <w:lang w:val="en-US"/>
        </w:rPr>
        <w:t xml:space="preserve"> (</w:t>
      </w:r>
      <w:r w:rsidR="007573AD">
        <w:rPr>
          <w:shd w:val="clear" w:color="auto" w:fill="FFFFFF"/>
          <w:lang w:val="en-US"/>
        </w:rPr>
        <w:t>1</w:t>
      </w:r>
      <w:r>
        <w:rPr>
          <w:shd w:val="clear" w:color="auto" w:fill="FFFFFF"/>
          <w:lang w:val="en-US"/>
        </w:rPr>
        <w:t>3</w:t>
      </w:r>
      <w:r w:rsidR="00612A93">
        <w:rPr>
          <w:shd w:val="clear" w:color="auto" w:fill="FFFFFF"/>
          <w:lang w:val="en-US"/>
        </w:rPr>
        <w:t>.9</w:t>
      </w:r>
      <w:r w:rsidR="00086F9F">
        <w:rPr>
          <w:shd w:val="clear" w:color="auto" w:fill="FFFFFF"/>
          <w:lang w:val="en-US"/>
        </w:rPr>
        <w:t xml:space="preserve"> thous.</w:t>
      </w:r>
      <w:r w:rsidR="00BD1D77">
        <w:rPr>
          <w:shd w:val="clear" w:color="auto" w:fill="FFFFFF"/>
          <w:lang w:val="en-US"/>
        </w:rPr>
        <w:t>)</w:t>
      </w:r>
      <w:r w:rsidR="00C47CE4">
        <w:rPr>
          <w:shd w:val="clear" w:color="auto" w:fill="FFFFFF"/>
          <w:lang w:val="en-US"/>
        </w:rPr>
        <w:t xml:space="preserve"> and to </w:t>
      </w:r>
      <w:r w:rsidR="00C47CE4" w:rsidRPr="004F2B55">
        <w:rPr>
          <w:b/>
          <w:shd w:val="clear" w:color="auto" w:fill="FFFFFF"/>
          <w:lang w:val="en-US"/>
        </w:rPr>
        <w:t>private investors</w:t>
      </w:r>
      <w:r w:rsidR="00BD1D77">
        <w:rPr>
          <w:shd w:val="clear" w:color="auto" w:fill="FFFFFF"/>
          <w:lang w:val="en-US"/>
        </w:rPr>
        <w:t xml:space="preserve"> (</w:t>
      </w:r>
      <w:r>
        <w:rPr>
          <w:shd w:val="clear" w:color="auto" w:fill="FFFFFF"/>
          <w:lang w:val="en-US"/>
        </w:rPr>
        <w:t>6.0</w:t>
      </w:r>
      <w:r w:rsidR="00086F9F">
        <w:rPr>
          <w:shd w:val="clear" w:color="auto" w:fill="FFFFFF"/>
          <w:lang w:val="en-US"/>
        </w:rPr>
        <w:t xml:space="preserve"> thous.</w:t>
      </w:r>
      <w:r w:rsidR="00BD1D77">
        <w:rPr>
          <w:shd w:val="clear" w:color="auto" w:fill="FFFFFF"/>
          <w:lang w:val="en-US"/>
        </w:rPr>
        <w:t>)</w:t>
      </w:r>
      <w:r w:rsidR="003A358E">
        <w:rPr>
          <w:shd w:val="clear" w:color="auto" w:fill="FFFFFF"/>
          <w:lang w:val="en-US"/>
        </w:rPr>
        <w:t>, i.e. respectively by 3.3% and 0</w:t>
      </w:r>
      <w:r w:rsidR="00C47CE4">
        <w:rPr>
          <w:shd w:val="clear" w:color="auto" w:fill="FFFFFF"/>
          <w:lang w:val="en-US"/>
        </w:rPr>
        <w:t>.</w:t>
      </w:r>
      <w:r w:rsidR="003A358E">
        <w:rPr>
          <w:shd w:val="clear" w:color="auto" w:fill="FFFFFF"/>
          <w:lang w:val="en-US"/>
        </w:rPr>
        <w:t>2% less than in January 2018</w:t>
      </w:r>
      <w:r w:rsidR="00CF36C5">
        <w:rPr>
          <w:shd w:val="clear" w:color="auto" w:fill="FFFFFF"/>
          <w:lang w:val="en-US"/>
        </w:rPr>
        <w:t xml:space="preserve">. </w:t>
      </w:r>
      <w:r w:rsidR="00C47CE4">
        <w:rPr>
          <w:shd w:val="clear" w:color="auto" w:fill="FFFFFF"/>
          <w:lang w:val="en-US"/>
        </w:rPr>
        <w:t xml:space="preserve"> </w:t>
      </w:r>
      <w:r w:rsidR="000A7C88" w:rsidRPr="00485E73">
        <w:rPr>
          <w:shd w:val="clear" w:color="auto" w:fill="FFFFFF"/>
          <w:lang w:val="en-US"/>
        </w:rPr>
        <w:t xml:space="preserve">Altogether </w:t>
      </w:r>
      <w:r w:rsidR="00507D43" w:rsidRPr="00485E73">
        <w:rPr>
          <w:shd w:val="clear" w:color="auto" w:fill="FFFFFF"/>
          <w:lang w:val="en-US"/>
        </w:rPr>
        <w:t xml:space="preserve">the share for </w:t>
      </w:r>
      <w:r w:rsidR="000A7C88" w:rsidRPr="000A7C88">
        <w:rPr>
          <w:shd w:val="clear" w:color="auto" w:fill="FFFFFF"/>
          <w:lang w:val="en-US"/>
        </w:rPr>
        <w:t xml:space="preserve">these forms </w:t>
      </w:r>
      <w:r>
        <w:rPr>
          <w:shd w:val="clear" w:color="auto" w:fill="FFFFFF"/>
          <w:lang w:val="en-US"/>
        </w:rPr>
        <w:t>of construction amounted to 96.8</w:t>
      </w:r>
      <w:r w:rsidR="000A7C88" w:rsidRPr="000A7C88">
        <w:rPr>
          <w:shd w:val="clear" w:color="auto" w:fill="FFFFFF"/>
          <w:lang w:val="en-US"/>
        </w:rPr>
        <w:t>% of the total number of dwellings</w:t>
      </w:r>
      <w:r w:rsidR="00507D43">
        <w:rPr>
          <w:shd w:val="clear" w:color="auto" w:fill="FFFFFF"/>
          <w:lang w:val="en-US"/>
        </w:rPr>
        <w:t xml:space="preserve">. </w:t>
      </w:r>
      <w:r>
        <w:rPr>
          <w:shd w:val="clear" w:color="auto" w:fill="FFFFFF"/>
          <w:lang w:val="en-US"/>
        </w:rPr>
        <w:t>Less</w:t>
      </w:r>
      <w:r w:rsidR="00507D43">
        <w:rPr>
          <w:shd w:val="clear" w:color="auto" w:fill="FFFFFF"/>
          <w:lang w:val="en-US"/>
        </w:rPr>
        <w:t xml:space="preserve"> dwellings</w:t>
      </w:r>
      <w:r w:rsidR="00507D43" w:rsidRPr="00612A93">
        <w:rPr>
          <w:lang w:val="en-GB"/>
        </w:rPr>
        <w:t xml:space="preserve"> </w:t>
      </w:r>
      <w:r w:rsidR="00507D43" w:rsidRPr="00507D43">
        <w:rPr>
          <w:shd w:val="clear" w:color="auto" w:fill="FFFFFF"/>
          <w:lang w:val="en-US"/>
        </w:rPr>
        <w:t>for which permits have been grante</w:t>
      </w:r>
      <w:r w:rsidR="00507D43">
        <w:rPr>
          <w:shd w:val="clear" w:color="auto" w:fill="FFFFFF"/>
          <w:lang w:val="en-US"/>
        </w:rPr>
        <w:t xml:space="preserve">d or which have been registered </w:t>
      </w:r>
      <w:r w:rsidR="00507D43" w:rsidRPr="00507D43">
        <w:rPr>
          <w:shd w:val="clear" w:color="auto" w:fill="FFFFFF"/>
          <w:lang w:val="en-US"/>
        </w:rPr>
        <w:t xml:space="preserve">with a construction project </w:t>
      </w:r>
      <w:r w:rsidR="00C47CE4" w:rsidRPr="006A0E22">
        <w:rPr>
          <w:shd w:val="clear" w:color="auto" w:fill="FFFFFF"/>
          <w:lang w:val="en-US"/>
        </w:rPr>
        <w:t xml:space="preserve">were </w:t>
      </w:r>
      <w:r w:rsidR="00507D43" w:rsidRPr="006A0E22">
        <w:rPr>
          <w:shd w:val="clear" w:color="auto" w:fill="FFFFFF"/>
          <w:lang w:val="en-US"/>
        </w:rPr>
        <w:t xml:space="preserve">noticed </w:t>
      </w:r>
      <w:r w:rsidR="006A0E22" w:rsidRPr="006A0E22">
        <w:rPr>
          <w:shd w:val="clear" w:color="auto" w:fill="FFFFFF"/>
          <w:lang w:val="en-US"/>
        </w:rPr>
        <w:t xml:space="preserve">in </w:t>
      </w:r>
      <w:r w:rsidR="00BD601A" w:rsidRPr="006A0E22">
        <w:rPr>
          <w:shd w:val="clear" w:color="auto" w:fill="FFFFFF"/>
          <w:lang w:val="en-US"/>
        </w:rPr>
        <w:t>the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BD601A" w:rsidRPr="006A0E22">
        <w:rPr>
          <w:b/>
          <w:shd w:val="clear" w:color="auto" w:fill="FFFFFF"/>
          <w:lang w:val="en-US"/>
        </w:rPr>
        <w:t xml:space="preserve">cooperative </w:t>
      </w:r>
      <w:r w:rsidR="00BD601A" w:rsidRPr="00D536C0">
        <w:rPr>
          <w:shd w:val="clear" w:color="auto" w:fill="FFFFFF"/>
          <w:lang w:val="en-US"/>
        </w:rPr>
        <w:t>construction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983BE8">
        <w:rPr>
          <w:shd w:val="clear" w:color="auto" w:fill="FFFFFF"/>
          <w:lang w:val="en-US"/>
        </w:rPr>
        <w:t>(</w:t>
      </w:r>
      <w:r w:rsidR="00BC514E">
        <w:rPr>
          <w:shd w:val="clear" w:color="auto" w:fill="FFFFFF"/>
          <w:lang w:val="en-US"/>
        </w:rPr>
        <w:t>40</w:t>
      </w:r>
      <w:r w:rsidR="00507D43">
        <w:rPr>
          <w:shd w:val="clear" w:color="auto" w:fill="FFFFFF"/>
          <w:lang w:val="en-US"/>
        </w:rPr>
        <w:t xml:space="preserve"> dwellings </w:t>
      </w:r>
      <w:r w:rsidR="00C47CE4">
        <w:rPr>
          <w:shd w:val="clear" w:color="auto" w:fill="FFFFFF"/>
          <w:lang w:val="en-US"/>
        </w:rPr>
        <w:t xml:space="preserve">against </w:t>
      </w:r>
      <w:r w:rsidR="00BC514E">
        <w:rPr>
          <w:shd w:val="clear" w:color="auto" w:fill="FFFFFF"/>
          <w:lang w:val="en-US"/>
        </w:rPr>
        <w:t>176),</w:t>
      </w:r>
      <w:r w:rsidR="00C47CE4" w:rsidRPr="00485E73">
        <w:rPr>
          <w:shd w:val="clear" w:color="auto" w:fill="FFFFFF"/>
          <w:lang w:val="en-US"/>
        </w:rPr>
        <w:t xml:space="preserve"> while </w:t>
      </w:r>
      <w:r w:rsidR="00B77EC9" w:rsidRPr="00485E73">
        <w:rPr>
          <w:shd w:val="clear" w:color="auto" w:fill="FFFFFF"/>
          <w:lang w:val="en-US"/>
        </w:rPr>
        <w:t xml:space="preserve">for </w:t>
      </w:r>
      <w:r w:rsidR="00C47CE4" w:rsidRPr="00485E73">
        <w:rPr>
          <w:b/>
          <w:shd w:val="clear" w:color="auto" w:fill="FFFFFF"/>
          <w:lang w:val="en-US"/>
        </w:rPr>
        <w:t xml:space="preserve">other </w:t>
      </w:r>
      <w:r w:rsidR="00B77EC9" w:rsidRPr="00485E73">
        <w:rPr>
          <w:b/>
          <w:shd w:val="clear" w:color="auto" w:fill="FFFFFF"/>
          <w:lang w:val="en-US"/>
        </w:rPr>
        <w:t xml:space="preserve">forms </w:t>
      </w:r>
      <w:r w:rsidR="00B77EC9" w:rsidRPr="00485E73">
        <w:rPr>
          <w:shd w:val="clear" w:color="auto" w:fill="FFFFFF"/>
          <w:lang w:val="en-US"/>
        </w:rPr>
        <w:t>of</w:t>
      </w:r>
      <w:r w:rsidR="00B77EC9" w:rsidRPr="00485E73">
        <w:rPr>
          <w:b/>
          <w:shd w:val="clear" w:color="auto" w:fill="FFFFFF"/>
          <w:lang w:val="en-US"/>
        </w:rPr>
        <w:t xml:space="preserve"> </w:t>
      </w:r>
      <w:r w:rsidR="00B77EC9" w:rsidRPr="00485E73">
        <w:rPr>
          <w:shd w:val="clear" w:color="auto" w:fill="FFFFFF"/>
          <w:lang w:val="en-US"/>
        </w:rPr>
        <w:t>construction</w:t>
      </w:r>
      <w:r w:rsidR="00713DD1" w:rsidRPr="00485E73">
        <w:rPr>
          <w:shd w:val="clear" w:color="auto" w:fill="FFFFFF"/>
          <w:lang w:val="en-US"/>
        </w:rPr>
        <w:t xml:space="preserve"> </w:t>
      </w:r>
      <w:r w:rsidR="00BC514E">
        <w:rPr>
          <w:shd w:val="clear" w:color="auto" w:fill="FFFFFF"/>
          <w:lang w:val="en-US"/>
        </w:rPr>
        <w:t xml:space="preserve">4- fold </w:t>
      </w:r>
      <w:r w:rsidR="009A61DB">
        <w:rPr>
          <w:shd w:val="clear" w:color="auto" w:fill="FFFFFF"/>
          <w:lang w:val="en-US"/>
        </w:rPr>
        <w:t xml:space="preserve">more </w:t>
      </w:r>
      <w:r w:rsidR="00B6523B" w:rsidRPr="00485E73">
        <w:rPr>
          <w:shd w:val="clear" w:color="auto" w:fill="FFFFFF"/>
          <w:lang w:val="en-US"/>
        </w:rPr>
        <w:t>than the year before (</w:t>
      </w:r>
      <w:r w:rsidR="00BC514E">
        <w:rPr>
          <w:shd w:val="clear" w:color="auto" w:fill="FFFFFF"/>
          <w:lang w:val="en-US"/>
        </w:rPr>
        <w:t>628</w:t>
      </w:r>
      <w:r w:rsidR="00C47CE4" w:rsidRPr="00485E73">
        <w:rPr>
          <w:shd w:val="clear" w:color="auto" w:fill="FFFFFF"/>
          <w:lang w:val="en-US"/>
        </w:rPr>
        <w:t xml:space="preserve"> </w:t>
      </w:r>
      <w:r w:rsidR="00B6523B" w:rsidRPr="00485E73">
        <w:rPr>
          <w:shd w:val="clear" w:color="auto" w:fill="FFFFFF"/>
          <w:lang w:val="en-US"/>
        </w:rPr>
        <w:t>d</w:t>
      </w:r>
      <w:r w:rsidR="00C47CE4" w:rsidRPr="00485E73">
        <w:rPr>
          <w:shd w:val="clear" w:color="auto" w:fill="FFFFFF"/>
          <w:lang w:val="en-US"/>
        </w:rPr>
        <w:t>wellings</w:t>
      </w:r>
      <w:r w:rsidR="00BC514E">
        <w:rPr>
          <w:shd w:val="clear" w:color="auto" w:fill="FFFFFF"/>
          <w:lang w:val="en-US"/>
        </w:rPr>
        <w:t xml:space="preserve"> against 156</w:t>
      </w:r>
      <w:r w:rsidR="00B6523B" w:rsidRPr="00485E73">
        <w:rPr>
          <w:shd w:val="clear" w:color="auto" w:fill="FFFFFF"/>
          <w:lang w:val="en-US"/>
        </w:rPr>
        <w:t>)</w:t>
      </w:r>
      <w:r w:rsidR="00BC514E">
        <w:rPr>
          <w:shd w:val="clear" w:color="auto" w:fill="FFFFFF"/>
          <w:lang w:val="en-US"/>
        </w:rPr>
        <w:t xml:space="preserve">, of which the biggest increase </w:t>
      </w:r>
      <w:r w:rsidR="00254D71">
        <w:rPr>
          <w:shd w:val="clear" w:color="auto" w:fill="FFFFFF"/>
          <w:lang w:val="en-US"/>
        </w:rPr>
        <w:t xml:space="preserve">compared to previous year </w:t>
      </w:r>
      <w:r w:rsidR="00BC514E">
        <w:rPr>
          <w:shd w:val="clear" w:color="auto" w:fill="FFFFFF"/>
          <w:lang w:val="en-US"/>
        </w:rPr>
        <w:t xml:space="preserve">was noticed for </w:t>
      </w:r>
      <w:r w:rsidR="00BC514E" w:rsidRPr="00BC514E">
        <w:rPr>
          <w:shd w:val="clear" w:color="auto" w:fill="FFFFFF"/>
          <w:lang w:val="en-US"/>
        </w:rPr>
        <w:t>municipal</w:t>
      </w:r>
      <w:r w:rsidR="00BC514E">
        <w:rPr>
          <w:shd w:val="clear" w:color="auto" w:fill="FFFFFF"/>
          <w:lang w:val="en-US"/>
        </w:rPr>
        <w:t xml:space="preserve"> construction.</w:t>
      </w:r>
    </w:p>
    <w:p w:rsidR="00896EB9" w:rsidRPr="00896EB9" w:rsidRDefault="00896EB9" w:rsidP="00896EB9">
      <w:pPr>
        <w:pStyle w:val="tytuwykresu"/>
        <w:jc w:val="both"/>
        <w:rPr>
          <w:szCs w:val="19"/>
          <w:shd w:val="clear" w:color="auto" w:fill="FFFFFF"/>
          <w:lang w:val="en-GB"/>
        </w:rPr>
      </w:pPr>
      <w:r>
        <w:rPr>
          <w:sz w:val="19"/>
          <w:szCs w:val="19"/>
          <w:shd w:val="clear" w:color="auto" w:fill="FFFFFF"/>
          <w:lang w:val="en-GB"/>
        </w:rPr>
        <w:t>Table 2</w:t>
      </w:r>
      <w:r w:rsidRPr="00896EB9">
        <w:rPr>
          <w:sz w:val="19"/>
          <w:szCs w:val="19"/>
          <w:shd w:val="clear" w:color="auto" w:fill="FFFFFF"/>
          <w:lang w:val="en-GB"/>
        </w:rPr>
        <w:t xml:space="preserve">. </w:t>
      </w:r>
      <w:r w:rsidRPr="00896E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896E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"/>
        <w:tblpPr w:leftFromText="141" w:rightFromText="141" w:vertAnchor="text" w:horzAnchor="margin" w:tblpY="400"/>
        <w:tblW w:w="7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273"/>
        <w:gridCol w:w="1974"/>
        <w:gridCol w:w="1887"/>
        <w:gridCol w:w="1730"/>
      </w:tblGrid>
      <w:tr w:rsidR="00896EB9" w:rsidRPr="00833D4E" w:rsidTr="00154AC9">
        <w:trPr>
          <w:trHeight w:val="461"/>
        </w:trPr>
        <w:tc>
          <w:tcPr>
            <w:tcW w:w="2273" w:type="dxa"/>
            <w:vMerge w:val="restart"/>
            <w:tcBorders>
              <w:top w:val="nil"/>
              <w:left w:val="nil"/>
              <w:bottom w:val="single" w:sz="12" w:space="0" w:color="212492"/>
            </w:tcBorders>
            <w:vAlign w:val="center"/>
          </w:tcPr>
          <w:p w:rsidR="00896EB9" w:rsidRPr="00833D4E" w:rsidRDefault="00896EB9" w:rsidP="00B23B98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proofErr w:type="spellStart"/>
            <w:r w:rsidRPr="009046F6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Forms</w:t>
            </w:r>
            <w:proofErr w:type="spellEnd"/>
            <w:r w:rsidRPr="009046F6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9046F6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construction</w:t>
            </w:r>
            <w:proofErr w:type="spellEnd"/>
          </w:p>
        </w:tc>
        <w:tc>
          <w:tcPr>
            <w:tcW w:w="5591" w:type="dxa"/>
            <w:gridSpan w:val="3"/>
            <w:tcBorders>
              <w:top w:val="nil"/>
              <w:right w:val="nil"/>
            </w:tcBorders>
            <w:vAlign w:val="center"/>
          </w:tcPr>
          <w:p w:rsidR="00896EB9" w:rsidRPr="00833D4E" w:rsidRDefault="00896EB9" w:rsidP="00B23B9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 xml:space="preserve"> I 2019</w:t>
            </w:r>
          </w:p>
        </w:tc>
      </w:tr>
      <w:tr w:rsidR="00896EB9" w:rsidRPr="00833D4E" w:rsidTr="00154AC9">
        <w:trPr>
          <w:trHeight w:val="20"/>
        </w:trPr>
        <w:tc>
          <w:tcPr>
            <w:tcW w:w="2273" w:type="dxa"/>
            <w:vMerge/>
            <w:tcBorders>
              <w:left w:val="nil"/>
              <w:bottom w:val="single" w:sz="12" w:space="0" w:color="212492"/>
            </w:tcBorders>
            <w:vAlign w:val="center"/>
          </w:tcPr>
          <w:p w:rsidR="00896EB9" w:rsidRPr="00833D4E" w:rsidRDefault="00896EB9" w:rsidP="00B23B98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74" w:type="dxa"/>
            <w:tcBorders>
              <w:bottom w:val="single" w:sz="12" w:space="0" w:color="212492"/>
            </w:tcBorders>
            <w:vAlign w:val="center"/>
          </w:tcPr>
          <w:p w:rsidR="00896EB9" w:rsidRPr="00833D4E" w:rsidRDefault="00896EB9" w:rsidP="00B23B9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887" w:type="dxa"/>
            <w:tcBorders>
              <w:bottom w:val="single" w:sz="12" w:space="0" w:color="212492"/>
            </w:tcBorders>
            <w:vAlign w:val="center"/>
          </w:tcPr>
          <w:p w:rsidR="00896EB9" w:rsidRPr="00833D4E" w:rsidRDefault="00896EB9" w:rsidP="00B23B9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</w:p>
          <w:p w:rsidR="00896EB9" w:rsidRPr="00833D4E" w:rsidRDefault="00896EB9" w:rsidP="00B23B9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729" w:type="dxa"/>
            <w:tcBorders>
              <w:bottom w:val="single" w:sz="12" w:space="0" w:color="212492"/>
              <w:right w:val="nil"/>
            </w:tcBorders>
            <w:vAlign w:val="center"/>
          </w:tcPr>
          <w:p w:rsidR="00896EB9" w:rsidRPr="00833D4E" w:rsidRDefault="00896EB9" w:rsidP="00B23B9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XI</w:t>
            </w:r>
            <w:r w:rsidRPr="00833D4E">
              <w:rPr>
                <w:color w:val="000000" w:themeColor="text1"/>
                <w:sz w:val="16"/>
                <w:szCs w:val="16"/>
              </w:rPr>
              <w:t>I</w:t>
            </w:r>
          </w:p>
          <w:p w:rsidR="00896EB9" w:rsidRPr="00833D4E" w:rsidRDefault="00896EB9" w:rsidP="00B23B9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33D4E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896EB9" w:rsidRPr="00833D4E" w:rsidTr="00154AC9">
        <w:trPr>
          <w:trHeight w:val="58"/>
        </w:trPr>
        <w:tc>
          <w:tcPr>
            <w:tcW w:w="2273" w:type="dxa"/>
            <w:tcBorders>
              <w:top w:val="single" w:sz="4" w:space="0" w:color="212492"/>
              <w:left w:val="nil"/>
            </w:tcBorders>
            <w:vAlign w:val="center"/>
          </w:tcPr>
          <w:p w:rsidR="00896EB9" w:rsidRPr="00833D4E" w:rsidRDefault="00896EB9" w:rsidP="00896EB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33D4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974" w:type="dxa"/>
            <w:tcBorders>
              <w:top w:val="single" w:sz="4" w:space="0" w:color="212492"/>
            </w:tcBorders>
            <w:vAlign w:val="center"/>
          </w:tcPr>
          <w:p w:rsidR="00896EB9" w:rsidRPr="00833D4E" w:rsidRDefault="00896EB9" w:rsidP="00896EB9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15F1D">
              <w:rPr>
                <w:b/>
                <w:color w:val="000000" w:themeColor="text1"/>
                <w:sz w:val="16"/>
                <w:szCs w:val="16"/>
              </w:rPr>
              <w:t>20630</w:t>
            </w:r>
          </w:p>
        </w:tc>
        <w:tc>
          <w:tcPr>
            <w:tcW w:w="1887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896EB9" w:rsidRPr="00833D4E" w:rsidRDefault="00896EB9" w:rsidP="00896EB9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99.</w:t>
            </w:r>
            <w:r w:rsidRPr="00E15F1D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29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896EB9" w:rsidRPr="00833D4E" w:rsidRDefault="00896EB9" w:rsidP="00896EB9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106.</w:t>
            </w:r>
            <w:r w:rsidRPr="00E15F1D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896EB9" w:rsidRPr="00833D4E" w:rsidTr="00154AC9">
        <w:trPr>
          <w:trHeight w:val="58"/>
        </w:trPr>
        <w:tc>
          <w:tcPr>
            <w:tcW w:w="2273" w:type="dxa"/>
            <w:tcBorders>
              <w:left w:val="nil"/>
            </w:tcBorders>
            <w:vAlign w:val="center"/>
          </w:tcPr>
          <w:p w:rsidR="00896EB9" w:rsidRPr="00833D4E" w:rsidRDefault="00896EB9" w:rsidP="00896EB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Private</w:t>
            </w:r>
          </w:p>
        </w:tc>
        <w:tc>
          <w:tcPr>
            <w:tcW w:w="1974" w:type="dxa"/>
            <w:vAlign w:val="center"/>
          </w:tcPr>
          <w:p w:rsidR="00896EB9" w:rsidRPr="00833D4E" w:rsidRDefault="00896EB9" w:rsidP="00896EB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15F1D">
              <w:rPr>
                <w:color w:val="000000" w:themeColor="text1"/>
                <w:sz w:val="16"/>
                <w:szCs w:val="16"/>
              </w:rPr>
              <w:t>6028</w:t>
            </w:r>
          </w:p>
        </w:tc>
        <w:tc>
          <w:tcPr>
            <w:tcW w:w="1887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896EB9" w:rsidRPr="00833D4E" w:rsidRDefault="00896EB9" w:rsidP="00896EB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99.</w:t>
            </w:r>
            <w:r w:rsidRPr="00E15F1D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29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896EB9" w:rsidRPr="00833D4E" w:rsidRDefault="00896EB9" w:rsidP="00896EB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</w:t>
            </w:r>
            <w:r w:rsidRPr="00E15F1D">
              <w:rPr>
                <w:rFonts w:cs="Arial"/>
                <w:color w:val="000000" w:themeColor="text1"/>
                <w:sz w:val="16"/>
                <w:szCs w:val="16"/>
              </w:rPr>
              <w:t xml:space="preserve">7 </w:t>
            </w:r>
          </w:p>
        </w:tc>
      </w:tr>
      <w:tr w:rsidR="00896EB9" w:rsidRPr="00833D4E" w:rsidTr="00154AC9">
        <w:trPr>
          <w:trHeight w:val="58"/>
        </w:trPr>
        <w:tc>
          <w:tcPr>
            <w:tcW w:w="2273" w:type="dxa"/>
            <w:tcBorders>
              <w:left w:val="nil"/>
            </w:tcBorders>
            <w:vAlign w:val="center"/>
          </w:tcPr>
          <w:p w:rsidR="00896EB9" w:rsidRPr="00833D4E" w:rsidRDefault="00896EB9" w:rsidP="00896EB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For sale </w:t>
            </w:r>
            <w:proofErr w:type="spellStart"/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or</w:t>
            </w:r>
            <w:proofErr w:type="spellEnd"/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rent</w:t>
            </w:r>
            <w:r w:rsidRPr="00833D4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vAlign w:val="center"/>
          </w:tcPr>
          <w:p w:rsidR="00896EB9" w:rsidRPr="00833D4E" w:rsidRDefault="00896EB9" w:rsidP="00896EB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15F1D">
              <w:rPr>
                <w:color w:val="000000" w:themeColor="text1"/>
                <w:sz w:val="16"/>
                <w:szCs w:val="16"/>
              </w:rPr>
              <w:t>13934</w:t>
            </w:r>
          </w:p>
        </w:tc>
        <w:tc>
          <w:tcPr>
            <w:tcW w:w="1887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896EB9" w:rsidRPr="00833D4E" w:rsidRDefault="00896EB9" w:rsidP="00896EB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96.</w:t>
            </w:r>
            <w:r w:rsidRPr="00E15F1D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29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896EB9" w:rsidRPr="00833D4E" w:rsidRDefault="00896EB9" w:rsidP="00896EB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</w:t>
            </w:r>
            <w:r w:rsidRPr="00E15F1D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896EB9" w:rsidRPr="00833D4E" w:rsidTr="00154AC9">
        <w:trPr>
          <w:trHeight w:val="58"/>
        </w:trPr>
        <w:tc>
          <w:tcPr>
            <w:tcW w:w="2273" w:type="dxa"/>
            <w:tcBorders>
              <w:left w:val="nil"/>
            </w:tcBorders>
            <w:vAlign w:val="center"/>
          </w:tcPr>
          <w:p w:rsidR="00896EB9" w:rsidRPr="00833D4E" w:rsidRDefault="00896EB9" w:rsidP="00896EB9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ajorBidi"/>
                <w:color w:val="000000" w:themeColor="text1"/>
                <w:sz w:val="16"/>
                <w:szCs w:val="16"/>
              </w:rPr>
              <w:t>Cooperative</w:t>
            </w:r>
            <w:proofErr w:type="spellEnd"/>
          </w:p>
        </w:tc>
        <w:tc>
          <w:tcPr>
            <w:tcW w:w="1974" w:type="dxa"/>
            <w:vAlign w:val="center"/>
          </w:tcPr>
          <w:p w:rsidR="00896EB9" w:rsidRPr="00833D4E" w:rsidRDefault="00896EB9" w:rsidP="00896EB9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E15F1D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887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896EB9" w:rsidRPr="00833D4E" w:rsidRDefault="00896EB9" w:rsidP="00896EB9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22.</w:t>
            </w:r>
            <w:r w:rsidRPr="00E15F1D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29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896EB9" w:rsidRPr="00833D4E" w:rsidRDefault="00896EB9" w:rsidP="00896EB9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16.</w:t>
            </w:r>
            <w:r w:rsidRPr="00E15F1D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896EB9" w:rsidRPr="00833D4E" w:rsidTr="00154AC9">
        <w:trPr>
          <w:trHeight w:val="58"/>
        </w:trPr>
        <w:tc>
          <w:tcPr>
            <w:tcW w:w="2273" w:type="dxa"/>
            <w:tcBorders>
              <w:left w:val="nil"/>
              <w:bottom w:val="single" w:sz="4" w:space="0" w:color="212492"/>
            </w:tcBorders>
            <w:vAlign w:val="center"/>
          </w:tcPr>
          <w:p w:rsidR="00896EB9" w:rsidRPr="00833D4E" w:rsidRDefault="00896EB9" w:rsidP="00896EB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M</w:t>
            </w:r>
            <w:r w:rsidRPr="009046F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unicipal</w:t>
            </w:r>
            <w:proofErr w:type="spellEnd"/>
          </w:p>
        </w:tc>
        <w:tc>
          <w:tcPr>
            <w:tcW w:w="1974" w:type="dxa"/>
            <w:tcBorders>
              <w:bottom w:val="single" w:sz="4" w:space="0" w:color="212492"/>
            </w:tcBorders>
            <w:vAlign w:val="center"/>
          </w:tcPr>
          <w:p w:rsidR="00896EB9" w:rsidRPr="00833D4E" w:rsidRDefault="00896EB9" w:rsidP="00896EB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15F1D">
              <w:rPr>
                <w:color w:val="000000" w:themeColor="text1"/>
                <w:sz w:val="16"/>
                <w:szCs w:val="16"/>
              </w:rPr>
              <w:t>388</w:t>
            </w:r>
          </w:p>
        </w:tc>
        <w:tc>
          <w:tcPr>
            <w:tcW w:w="1887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896EB9" w:rsidRPr="00833D4E" w:rsidRDefault="00896EB9" w:rsidP="00896EB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more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than</w:t>
            </w:r>
            <w:proofErr w:type="spellEnd"/>
            <w:r w:rsidRPr="00E15F1D">
              <w:rPr>
                <w:color w:val="000000" w:themeColor="text1"/>
                <w:sz w:val="16"/>
                <w:szCs w:val="16"/>
              </w:rPr>
              <w:t xml:space="preserve"> 16-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fold</w:t>
            </w:r>
            <w:proofErr w:type="spellEnd"/>
          </w:p>
        </w:tc>
        <w:tc>
          <w:tcPr>
            <w:tcW w:w="1729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896EB9" w:rsidRPr="00833D4E" w:rsidRDefault="00896EB9" w:rsidP="00896EB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96EB9">
              <w:rPr>
                <w:color w:val="000000" w:themeColor="text1"/>
                <w:sz w:val="16"/>
                <w:szCs w:val="16"/>
              </w:rPr>
              <w:t xml:space="preserve">more </w:t>
            </w:r>
            <w:proofErr w:type="spellStart"/>
            <w:r w:rsidRPr="00896EB9">
              <w:rPr>
                <w:color w:val="000000" w:themeColor="text1"/>
                <w:sz w:val="16"/>
                <w:szCs w:val="16"/>
              </w:rPr>
              <w:t>than</w:t>
            </w:r>
            <w:proofErr w:type="spellEnd"/>
            <w:r w:rsidRPr="00896EB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15F1D">
              <w:rPr>
                <w:color w:val="000000" w:themeColor="text1"/>
                <w:sz w:val="16"/>
                <w:szCs w:val="16"/>
              </w:rPr>
              <w:t>2-</w:t>
            </w:r>
            <w:r>
              <w:rPr>
                <w:color w:val="000000" w:themeColor="text1"/>
                <w:sz w:val="16"/>
                <w:szCs w:val="16"/>
              </w:rPr>
              <w:t>fold</w:t>
            </w:r>
          </w:p>
        </w:tc>
      </w:tr>
      <w:tr w:rsidR="00896EB9" w:rsidRPr="00833D4E" w:rsidTr="00154AC9">
        <w:trPr>
          <w:trHeight w:val="58"/>
        </w:trPr>
        <w:tc>
          <w:tcPr>
            <w:tcW w:w="2273" w:type="dxa"/>
            <w:tcBorders>
              <w:left w:val="nil"/>
              <w:bottom w:val="single" w:sz="4" w:space="0" w:color="212492"/>
            </w:tcBorders>
            <w:vAlign w:val="center"/>
          </w:tcPr>
          <w:p w:rsidR="00896EB9" w:rsidRPr="00833D4E" w:rsidRDefault="00896EB9" w:rsidP="00896EB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P</w:t>
            </w:r>
            <w:r w:rsidRPr="009046F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ublic </w:t>
            </w:r>
            <w:proofErr w:type="spellStart"/>
            <w:r w:rsidRPr="009046F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building</w:t>
            </w:r>
            <w:proofErr w:type="spellEnd"/>
            <w:r w:rsidRPr="009046F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46F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society</w:t>
            </w:r>
            <w:proofErr w:type="spellEnd"/>
          </w:p>
        </w:tc>
        <w:tc>
          <w:tcPr>
            <w:tcW w:w="1974" w:type="dxa"/>
            <w:tcBorders>
              <w:bottom w:val="single" w:sz="4" w:space="0" w:color="212492"/>
            </w:tcBorders>
            <w:vAlign w:val="center"/>
          </w:tcPr>
          <w:p w:rsidR="00896EB9" w:rsidRPr="00833D4E" w:rsidRDefault="00896EB9" w:rsidP="00896EB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15F1D">
              <w:rPr>
                <w:color w:val="000000" w:themeColor="text1"/>
                <w:sz w:val="16"/>
                <w:szCs w:val="16"/>
              </w:rPr>
              <w:t>239</w:t>
            </w:r>
          </w:p>
        </w:tc>
        <w:tc>
          <w:tcPr>
            <w:tcW w:w="1887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896EB9" w:rsidRPr="00833D4E" w:rsidRDefault="00896EB9" w:rsidP="00896EB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183.</w:t>
            </w:r>
            <w:r w:rsidRPr="00E15F1D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29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896EB9" w:rsidRPr="00833D4E" w:rsidRDefault="00896EB9" w:rsidP="00896EB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113.</w:t>
            </w:r>
            <w:r w:rsidRPr="00E15F1D">
              <w:rPr>
                <w:color w:val="000000" w:themeColor="text1"/>
                <w:sz w:val="16"/>
                <w:szCs w:val="16"/>
              </w:rPr>
              <w:t>8</w:t>
            </w:r>
          </w:p>
        </w:tc>
      </w:tr>
      <w:tr w:rsidR="00896EB9" w:rsidRPr="00833D4E" w:rsidTr="00154AC9">
        <w:trPr>
          <w:trHeight w:val="58"/>
        </w:trPr>
        <w:tc>
          <w:tcPr>
            <w:tcW w:w="2273" w:type="dxa"/>
            <w:tcBorders>
              <w:left w:val="nil"/>
              <w:bottom w:val="nil"/>
            </w:tcBorders>
            <w:vAlign w:val="center"/>
          </w:tcPr>
          <w:p w:rsidR="00896EB9" w:rsidRPr="00833D4E" w:rsidRDefault="00896EB9" w:rsidP="00896EB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</w:t>
            </w:r>
            <w:r w:rsidRPr="009046F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ompany</w:t>
            </w:r>
          </w:p>
        </w:tc>
        <w:tc>
          <w:tcPr>
            <w:tcW w:w="1974" w:type="dxa"/>
            <w:tcBorders>
              <w:top w:val="single" w:sz="4" w:space="0" w:color="212492"/>
              <w:bottom w:val="nil"/>
            </w:tcBorders>
            <w:vAlign w:val="center"/>
          </w:tcPr>
          <w:p w:rsidR="00896EB9" w:rsidRPr="00833D4E" w:rsidRDefault="00896EB9" w:rsidP="00896EB9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E15F1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87" w:type="dxa"/>
            <w:tcBorders>
              <w:top w:val="single" w:sz="4" w:space="0" w:color="212492"/>
              <w:bottom w:val="nil"/>
              <w:right w:val="single" w:sz="4" w:space="0" w:color="auto"/>
            </w:tcBorders>
            <w:vAlign w:val="center"/>
          </w:tcPr>
          <w:p w:rsidR="00896EB9" w:rsidRPr="00833D4E" w:rsidRDefault="00896EB9" w:rsidP="00896EB9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50.</w:t>
            </w:r>
            <w:r w:rsidRPr="00E15F1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29" w:type="dxa"/>
            <w:tcBorders>
              <w:top w:val="single" w:sz="4" w:space="0" w:color="212492"/>
              <w:bottom w:val="nil"/>
              <w:right w:val="nil"/>
            </w:tcBorders>
            <w:vAlign w:val="center"/>
          </w:tcPr>
          <w:p w:rsidR="00896EB9" w:rsidRPr="00833D4E" w:rsidRDefault="00896EB9" w:rsidP="00896EB9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100.</w:t>
            </w:r>
            <w:r w:rsidRPr="00E15F1D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</w:tbl>
    <w:p w:rsidR="00896EB9" w:rsidRPr="00896EB9" w:rsidRDefault="00896EB9" w:rsidP="00095A18">
      <w:pPr>
        <w:pStyle w:val="tytuwykresu"/>
        <w:jc w:val="both"/>
        <w:rPr>
          <w:sz w:val="19"/>
          <w:szCs w:val="19"/>
          <w:shd w:val="clear" w:color="auto" w:fill="FFFFFF"/>
          <w:lang w:val="en-GB"/>
        </w:rPr>
      </w:pPr>
    </w:p>
    <w:p w:rsidR="00896E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="00896E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="00896EB9" w:rsidRPr="00896EB9" w:rsidRDefault="00154AC9" w:rsidP="00095A18">
      <w:pPr>
        <w:pStyle w:val="tytuwykresu"/>
        <w:jc w:val="both"/>
        <w:rPr>
          <w:sz w:val="19"/>
          <w:szCs w:val="19"/>
          <w:shd w:val="clear" w:color="auto" w:fill="FFFFFF"/>
          <w:lang w:val="en-GB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6F79F852" wp14:editId="35385208">
                <wp:simplePos x="0" y="0"/>
                <wp:positionH relativeFrom="column">
                  <wp:posOffset>5261072</wp:posOffset>
                </wp:positionH>
                <wp:positionV relativeFrom="paragraph">
                  <wp:posOffset>238125</wp:posOffset>
                </wp:positionV>
                <wp:extent cx="1645285" cy="832485"/>
                <wp:effectExtent l="0" t="0" r="0" b="5715"/>
                <wp:wrapTight wrapText="bothSides">
                  <wp:wrapPolygon edited="0">
                    <wp:start x="750" y="0"/>
                    <wp:lineTo x="750" y="21254"/>
                    <wp:lineTo x="20758" y="21254"/>
                    <wp:lineTo x="20758" y="0"/>
                    <wp:lineTo x="750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832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A18" w:rsidRPr="00612A93" w:rsidRDefault="000E1F4F" w:rsidP="00095A18">
                            <w:pPr>
                              <w:pStyle w:val="tekstzboku"/>
                              <w:rPr>
                                <w:bCs w:val="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="00095A18" w:rsidRPr="00AD1492">
                              <w:rPr>
                                <w:lang w:val="en-US"/>
                              </w:rPr>
                              <w:t>umber of dwellings in</w:t>
                            </w:r>
                            <w:r w:rsidR="00111FD5">
                              <w:rPr>
                                <w:lang w:val="en-US"/>
                              </w:rPr>
                              <w:t xml:space="preserve"> which construction has begun de</w:t>
                            </w:r>
                            <w:r w:rsidR="00095A18" w:rsidRPr="00AD1492">
                              <w:rPr>
                                <w:lang w:val="en-US"/>
                              </w:rPr>
                              <w:t xml:space="preserve">creased by </w:t>
                            </w:r>
                            <w:r w:rsidR="00111FD5">
                              <w:rPr>
                                <w:lang w:val="en-US"/>
                              </w:rPr>
                              <w:t>3</w:t>
                            </w:r>
                            <w:r w:rsidR="00095A18" w:rsidRPr="00AD1492">
                              <w:rPr>
                                <w:lang w:val="en-US"/>
                              </w:rPr>
                              <w:t>.</w:t>
                            </w:r>
                            <w:r w:rsidR="00111FD5">
                              <w:rPr>
                                <w:lang w:val="en-US"/>
                              </w:rPr>
                              <w:t>6</w:t>
                            </w:r>
                            <w:r w:rsidR="00095A18" w:rsidRPr="00AD1492">
                              <w:rPr>
                                <w:lang w:val="en-US"/>
                              </w:rPr>
                              <w:t xml:space="preserve">% y/y in </w:t>
                            </w:r>
                            <w:r w:rsidR="00111FD5">
                              <w:rPr>
                                <w:lang w:val="en-US"/>
                              </w:rPr>
                              <w:t>January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9F852" id="Pole tekstowe 16" o:spid="_x0000_s1032" type="#_x0000_t202" style="position:absolute;left:0;text-align:left;margin-left:414.25pt;margin-top:18.75pt;width:129.55pt;height:65.5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" filled="f" stroked="f">
                <v:textbox>
                  <w:txbxContent>
                    <w:p w:rsidR="00095A18" w:rsidRPr="00612A93" w:rsidRDefault="000E1F4F" w:rsidP="00095A18">
                      <w:pPr>
                        <w:pStyle w:val="tekstzboku"/>
                        <w:rPr>
                          <w:bCs w:val="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  <w:r w:rsidR="00095A18" w:rsidRPr="00AD1492">
                        <w:rPr>
                          <w:lang w:val="en-US"/>
                        </w:rPr>
                        <w:t>umber of dwellings in</w:t>
                      </w:r>
                      <w:r w:rsidR="00111FD5">
                        <w:rPr>
                          <w:lang w:val="en-US"/>
                        </w:rPr>
                        <w:t xml:space="preserve"> which construction has begun de</w:t>
                      </w:r>
                      <w:r w:rsidR="00095A18" w:rsidRPr="00AD1492">
                        <w:rPr>
                          <w:lang w:val="en-US"/>
                        </w:rPr>
                        <w:t xml:space="preserve">creased by </w:t>
                      </w:r>
                      <w:r w:rsidR="00111FD5">
                        <w:rPr>
                          <w:lang w:val="en-US"/>
                        </w:rPr>
                        <w:t>3</w:t>
                      </w:r>
                      <w:r w:rsidR="00095A18" w:rsidRPr="00AD1492">
                        <w:rPr>
                          <w:lang w:val="en-US"/>
                        </w:rPr>
                        <w:t>.</w:t>
                      </w:r>
                      <w:r w:rsidR="00111FD5">
                        <w:rPr>
                          <w:lang w:val="en-US"/>
                        </w:rPr>
                        <w:t>6</w:t>
                      </w:r>
                      <w:r w:rsidR="00095A18" w:rsidRPr="00AD1492">
                        <w:rPr>
                          <w:lang w:val="en-US"/>
                        </w:rPr>
                        <w:t xml:space="preserve">% y/y in </w:t>
                      </w:r>
                      <w:r w:rsidR="00111FD5">
                        <w:rPr>
                          <w:lang w:val="en-US"/>
                        </w:rPr>
                        <w:t>January 2019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96EB9" w:rsidRPr="00896EB9">
        <w:rPr>
          <w:sz w:val="19"/>
          <w:szCs w:val="19"/>
          <w:shd w:val="clear" w:color="auto" w:fill="FFFFFF"/>
          <w:lang w:val="en-GB"/>
        </w:rPr>
        <w:t>Dwellings in which construction has begun</w:t>
      </w:r>
    </w:p>
    <w:p w:rsidR="00095A18" w:rsidRPr="00612A93" w:rsidRDefault="00896EB9" w:rsidP="00CF36C5">
      <w:pPr>
        <w:pStyle w:val="tytuwykresu"/>
        <w:rPr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In January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2019</w:t>
      </w:r>
      <w:r w:rsidR="00BD1D77" w:rsidRPr="00BD1D7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D1D77">
        <w:rPr>
          <w:b w:val="0"/>
          <w:sz w:val="19"/>
          <w:szCs w:val="19"/>
          <w:shd w:val="clear" w:color="auto" w:fill="FFFFFF"/>
          <w:lang w:val="en-GB"/>
        </w:rPr>
        <w:t>t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>13.4</w:t>
      </w:r>
      <w:r w:rsidR="00A3375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>thous.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>3.6</w:t>
      </w:r>
      <w:r w:rsidR="00856FE3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D76E73" w:rsidRPr="00612A93">
        <w:rPr>
          <w:lang w:val="en-GB"/>
        </w:rPr>
        <w:t xml:space="preserve">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135FC7">
        <w:rPr>
          <w:b w:val="0"/>
          <w:sz w:val="19"/>
          <w:szCs w:val="19"/>
          <w:shd w:val="clear" w:color="auto" w:fill="FFFFFF"/>
          <w:lang w:val="en-GB"/>
        </w:rPr>
        <w:t>month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 of previous year</w:t>
      </w:r>
      <w:r w:rsidR="00B2646D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B2646D">
        <w:rPr>
          <w:sz w:val="19"/>
          <w:szCs w:val="19"/>
          <w:shd w:val="clear" w:color="auto" w:fill="FFFFFF"/>
          <w:lang w:val="en-GB"/>
        </w:rPr>
        <w:t>D</w:t>
      </w:r>
      <w:r w:rsidR="00095A18" w:rsidRPr="00B2646D">
        <w:rPr>
          <w:sz w:val="19"/>
          <w:szCs w:val="19"/>
          <w:shd w:val="clear" w:color="auto" w:fill="FFFFFF"/>
          <w:lang w:val="en-GB"/>
        </w:rPr>
        <w:t>evelopers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ha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>ve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started construction of 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>9.8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thous.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dwellings, </w:t>
      </w:r>
      <w:r w:rsidR="00095A18" w:rsidRPr="00425FE5">
        <w:rPr>
          <w:sz w:val="19"/>
          <w:szCs w:val="19"/>
          <w:shd w:val="clear" w:color="auto" w:fill="FFFFFF"/>
          <w:lang w:val="en-GB"/>
        </w:rPr>
        <w:t>private investors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>3.3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thous.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dwellings,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983BE8">
        <w:rPr>
          <w:b w:val="0"/>
          <w:sz w:val="19"/>
          <w:szCs w:val="19"/>
          <w:shd w:val="clear" w:color="auto" w:fill="FFFFFF"/>
          <w:lang w:val="en-GB"/>
        </w:rPr>
        <w:t>i.e. altogether 97.</w:t>
      </w:r>
      <w:r w:rsidR="000A672D">
        <w:rPr>
          <w:b w:val="0"/>
          <w:sz w:val="19"/>
          <w:szCs w:val="19"/>
          <w:shd w:val="clear" w:color="auto" w:fill="FFFFFF"/>
          <w:lang w:val="en-GB"/>
        </w:rPr>
        <w:t>8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 xml:space="preserve"> of total number of dwellings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>, although both for construction for sale or rent and private construction decrease was noticed by respectively 3.2% and 7.1% compared to January 2018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(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>compared to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corresponding 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>month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of previous year) were noticed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D536C0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>219</w:t>
      </w:r>
      <w:r w:rsidR="00095A18" w:rsidRPr="004C57EC">
        <w:rPr>
          <w:b w:val="0"/>
          <w:color w:val="FF000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>111), while less 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71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>106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).</w:t>
      </w:r>
    </w:p>
    <w:p w:rsidR="009609A1" w:rsidRPr="00612A93" w:rsidRDefault="009609A1" w:rsidP="00467EFF">
      <w:pPr>
        <w:rPr>
          <w:shd w:val="clear" w:color="auto" w:fill="FFFFFF"/>
          <w:lang w:val="en-GB"/>
        </w:rPr>
      </w:pPr>
    </w:p>
    <w:p w:rsidR="00C41764" w:rsidRPr="00612A93" w:rsidRDefault="00C41764">
      <w:pPr>
        <w:spacing w:before="0" w:after="160" w:line="259" w:lineRule="auto"/>
        <w:rPr>
          <w:shd w:val="clear" w:color="auto" w:fill="FFFFFF"/>
          <w:lang w:val="en-GB"/>
        </w:rPr>
      </w:pPr>
      <w:r w:rsidRPr="00612A93">
        <w:rPr>
          <w:shd w:val="clear" w:color="auto" w:fill="FFFFFF"/>
          <w:lang w:val="en-GB"/>
        </w:rPr>
        <w:br w:type="page"/>
      </w:r>
    </w:p>
    <w:p w:rsidR="00154AC9" w:rsidRDefault="00154AC9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</w:t>
      </w:r>
      <w:r w:rsidR="00224A0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 3</w:t>
      </w: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Dwellings in</w:t>
      </w: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 which construction has begun</w:t>
      </w:r>
    </w:p>
    <w:tbl>
      <w:tblPr>
        <w:tblStyle w:val="Siatkatabelijasna2"/>
        <w:tblpPr w:leftFromText="141" w:rightFromText="141" w:vertAnchor="text" w:horzAnchor="margin" w:tblpY="569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325"/>
        <w:gridCol w:w="2019"/>
        <w:gridCol w:w="1930"/>
        <w:gridCol w:w="1770"/>
      </w:tblGrid>
      <w:tr w:rsidR="00154AC9" w:rsidRPr="00154AC9" w:rsidTr="00154AC9">
        <w:trPr>
          <w:trHeight w:val="464"/>
        </w:trPr>
        <w:tc>
          <w:tcPr>
            <w:tcW w:w="2325" w:type="dxa"/>
            <w:vMerge w:val="restart"/>
            <w:tcBorders>
              <w:top w:val="nil"/>
              <w:left w:val="nil"/>
              <w:bottom w:val="single" w:sz="12" w:space="0" w:color="212492"/>
            </w:tcBorders>
            <w:vAlign w:val="center"/>
          </w:tcPr>
          <w:p w:rsidR="00154AC9" w:rsidRPr="00154AC9" w:rsidRDefault="00154AC9" w:rsidP="00154AC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proofErr w:type="spellStart"/>
            <w:r w:rsidRPr="00154AC9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Forms</w:t>
            </w:r>
            <w:proofErr w:type="spellEnd"/>
            <w:r w:rsidRPr="00154AC9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54AC9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construction</w:t>
            </w:r>
            <w:proofErr w:type="spellEnd"/>
          </w:p>
        </w:tc>
        <w:tc>
          <w:tcPr>
            <w:tcW w:w="5719" w:type="dxa"/>
            <w:gridSpan w:val="3"/>
            <w:tcBorders>
              <w:top w:val="nil"/>
              <w:bottom w:val="single" w:sz="4" w:space="0" w:color="212492"/>
              <w:right w:val="nil"/>
            </w:tcBorders>
            <w:vAlign w:val="center"/>
          </w:tcPr>
          <w:p w:rsidR="00154AC9" w:rsidRPr="00154AC9" w:rsidRDefault="00154AC9" w:rsidP="00154AC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54AC9">
              <w:rPr>
                <w:color w:val="000000" w:themeColor="text1"/>
                <w:sz w:val="16"/>
                <w:szCs w:val="16"/>
              </w:rPr>
              <w:t xml:space="preserve"> I 2019</w:t>
            </w:r>
          </w:p>
        </w:tc>
      </w:tr>
      <w:tr w:rsidR="00154AC9" w:rsidRPr="00154AC9" w:rsidTr="00154AC9">
        <w:trPr>
          <w:trHeight w:val="20"/>
        </w:trPr>
        <w:tc>
          <w:tcPr>
            <w:tcW w:w="2325" w:type="dxa"/>
            <w:vMerge/>
            <w:tcBorders>
              <w:top w:val="single" w:sz="12" w:space="0" w:color="212492"/>
              <w:left w:val="nil"/>
              <w:bottom w:val="single" w:sz="12" w:space="0" w:color="212492"/>
            </w:tcBorders>
            <w:vAlign w:val="center"/>
          </w:tcPr>
          <w:p w:rsidR="00154AC9" w:rsidRPr="00154AC9" w:rsidRDefault="00154AC9" w:rsidP="00154AC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01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154AC9" w:rsidRPr="00154AC9" w:rsidRDefault="00154AC9" w:rsidP="00154AC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54AC9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154AC9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154AC9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930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154AC9" w:rsidRPr="00154AC9" w:rsidRDefault="00154AC9" w:rsidP="00154AC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54AC9">
              <w:rPr>
                <w:color w:val="000000" w:themeColor="text1"/>
                <w:sz w:val="16"/>
                <w:szCs w:val="16"/>
              </w:rPr>
              <w:t>I</w:t>
            </w:r>
          </w:p>
          <w:p w:rsidR="00154AC9" w:rsidRPr="00154AC9" w:rsidRDefault="00154AC9" w:rsidP="00154AC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54AC9"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770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154AC9" w:rsidRPr="00154AC9" w:rsidRDefault="00154AC9" w:rsidP="00154AC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54AC9">
              <w:rPr>
                <w:color w:val="000000" w:themeColor="text1"/>
                <w:sz w:val="16"/>
                <w:szCs w:val="16"/>
              </w:rPr>
              <w:t>XII</w:t>
            </w:r>
          </w:p>
          <w:p w:rsidR="00154AC9" w:rsidRPr="00154AC9" w:rsidRDefault="00154AC9" w:rsidP="00154AC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54AC9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0271FB" w:rsidRPr="00154AC9" w:rsidTr="0056678B">
        <w:trPr>
          <w:trHeight w:val="58"/>
        </w:trPr>
        <w:tc>
          <w:tcPr>
            <w:tcW w:w="2325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:rsidR="000271FB" w:rsidRPr="00154AC9" w:rsidRDefault="000271FB" w:rsidP="000271FB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2019" w:type="dxa"/>
            <w:tcBorders>
              <w:top w:val="single" w:sz="4" w:space="0" w:color="212492"/>
            </w:tcBorders>
            <w:vAlign w:val="center"/>
          </w:tcPr>
          <w:p w:rsidR="000271FB" w:rsidRPr="00833D4E" w:rsidRDefault="000271FB" w:rsidP="000271F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13444</w:t>
            </w:r>
          </w:p>
        </w:tc>
        <w:tc>
          <w:tcPr>
            <w:tcW w:w="193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0271FB" w:rsidRPr="00833D4E" w:rsidRDefault="000271FB" w:rsidP="000271F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96.4</w:t>
            </w:r>
          </w:p>
        </w:tc>
        <w:tc>
          <w:tcPr>
            <w:tcW w:w="1770" w:type="dxa"/>
            <w:tcBorders>
              <w:top w:val="single" w:sz="12" w:space="0" w:color="212492"/>
              <w:right w:val="nil"/>
            </w:tcBorders>
            <w:vAlign w:val="center"/>
          </w:tcPr>
          <w:p w:rsidR="000271FB" w:rsidRPr="00833D4E" w:rsidRDefault="000271FB" w:rsidP="000271F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121.2</w:t>
            </w:r>
          </w:p>
        </w:tc>
      </w:tr>
      <w:tr w:rsidR="000271FB" w:rsidRPr="00154AC9" w:rsidTr="0056678B">
        <w:trPr>
          <w:trHeight w:val="58"/>
        </w:trPr>
        <w:tc>
          <w:tcPr>
            <w:tcW w:w="2325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271FB" w:rsidRPr="00154AC9" w:rsidRDefault="000271FB" w:rsidP="000271F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Private</w:t>
            </w:r>
          </w:p>
        </w:tc>
        <w:tc>
          <w:tcPr>
            <w:tcW w:w="2019" w:type="dxa"/>
            <w:vAlign w:val="center"/>
          </w:tcPr>
          <w:p w:rsidR="000271FB" w:rsidRPr="00833D4E" w:rsidRDefault="000271FB" w:rsidP="000271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3333</w:t>
            </w:r>
          </w:p>
        </w:tc>
        <w:tc>
          <w:tcPr>
            <w:tcW w:w="193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0271FB" w:rsidRPr="00833D4E" w:rsidRDefault="000271FB" w:rsidP="000271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92.9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:rsidR="000271FB" w:rsidRPr="00833D4E" w:rsidRDefault="000271FB" w:rsidP="000271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113.1</w:t>
            </w:r>
          </w:p>
        </w:tc>
      </w:tr>
      <w:tr w:rsidR="000271FB" w:rsidRPr="00154AC9" w:rsidTr="0056678B">
        <w:trPr>
          <w:trHeight w:val="58"/>
        </w:trPr>
        <w:tc>
          <w:tcPr>
            <w:tcW w:w="2325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271FB" w:rsidRPr="00154AC9" w:rsidRDefault="000271FB" w:rsidP="000271F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For sale </w:t>
            </w:r>
            <w:proofErr w:type="spellStart"/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or</w:t>
            </w:r>
            <w:proofErr w:type="spellEnd"/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rent </w:t>
            </w:r>
          </w:p>
        </w:tc>
        <w:tc>
          <w:tcPr>
            <w:tcW w:w="2019" w:type="dxa"/>
            <w:tcBorders>
              <w:bottom w:val="single" w:sz="4" w:space="0" w:color="212492"/>
            </w:tcBorders>
            <w:vAlign w:val="center"/>
          </w:tcPr>
          <w:p w:rsidR="000271FB" w:rsidRPr="00833D4E" w:rsidRDefault="000271FB" w:rsidP="000271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9821</w:t>
            </w:r>
          </w:p>
        </w:tc>
        <w:tc>
          <w:tcPr>
            <w:tcW w:w="193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0271FB" w:rsidRPr="00833D4E" w:rsidRDefault="000271FB" w:rsidP="000271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96.8</w:t>
            </w:r>
          </w:p>
        </w:tc>
        <w:tc>
          <w:tcPr>
            <w:tcW w:w="1770" w:type="dxa"/>
            <w:tcBorders>
              <w:bottom w:val="single" w:sz="4" w:space="0" w:color="212492"/>
              <w:right w:val="nil"/>
            </w:tcBorders>
            <w:vAlign w:val="center"/>
          </w:tcPr>
          <w:p w:rsidR="000271FB" w:rsidRPr="00833D4E" w:rsidRDefault="000271FB" w:rsidP="000271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123.2</w:t>
            </w:r>
          </w:p>
        </w:tc>
      </w:tr>
      <w:tr w:rsidR="000271FB" w:rsidRPr="00154AC9" w:rsidTr="0056678B">
        <w:trPr>
          <w:trHeight w:val="58"/>
        </w:trPr>
        <w:tc>
          <w:tcPr>
            <w:tcW w:w="2325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271FB" w:rsidRPr="00154AC9" w:rsidRDefault="000271FB" w:rsidP="003A358E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which</w:t>
            </w:r>
            <w:proofErr w:type="spellEnd"/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for </w:t>
            </w:r>
            <w:proofErr w:type="spellStart"/>
            <w:r w:rsidRPr="00154AC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rent</w:t>
            </w:r>
            <w:r w:rsidR="003A358E"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2019" w:type="dxa"/>
            <w:tcBorders>
              <w:top w:val="single" w:sz="4" w:space="0" w:color="212492"/>
              <w:bottom w:val="single" w:sz="4" w:space="0" w:color="auto"/>
            </w:tcBorders>
            <w:vAlign w:val="center"/>
          </w:tcPr>
          <w:p w:rsidR="000271FB" w:rsidRPr="00833D4E" w:rsidRDefault="000271FB" w:rsidP="000271FB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93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0271FB" w:rsidRPr="00833D4E" w:rsidRDefault="000271FB" w:rsidP="000271FB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770" w:type="dxa"/>
            <w:tcBorders>
              <w:top w:val="single" w:sz="4" w:space="0" w:color="212492"/>
              <w:bottom w:val="single" w:sz="4" w:space="0" w:color="auto"/>
              <w:right w:val="nil"/>
            </w:tcBorders>
            <w:vAlign w:val="center"/>
          </w:tcPr>
          <w:p w:rsidR="000271FB" w:rsidRPr="00833D4E" w:rsidRDefault="000271FB" w:rsidP="000271FB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0271FB" w:rsidRPr="00154AC9" w:rsidTr="0056678B">
        <w:trPr>
          <w:trHeight w:val="58"/>
        </w:trPr>
        <w:tc>
          <w:tcPr>
            <w:tcW w:w="2325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271FB" w:rsidRPr="00154AC9" w:rsidRDefault="000271FB" w:rsidP="000271F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54AC9">
              <w:rPr>
                <w:rFonts w:cstheme="majorBidi"/>
                <w:color w:val="000000" w:themeColor="text1"/>
                <w:sz w:val="16"/>
                <w:szCs w:val="16"/>
              </w:rPr>
              <w:t>Cooperative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212492"/>
            </w:tcBorders>
            <w:vAlign w:val="center"/>
          </w:tcPr>
          <w:p w:rsidR="000271FB" w:rsidRPr="00833D4E" w:rsidRDefault="000271FB" w:rsidP="000271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219</w:t>
            </w:r>
          </w:p>
        </w:tc>
        <w:tc>
          <w:tcPr>
            <w:tcW w:w="193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0271FB" w:rsidRPr="00833D4E" w:rsidRDefault="000271FB" w:rsidP="000271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197.3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212492"/>
              <w:right w:val="nil"/>
            </w:tcBorders>
            <w:vAlign w:val="center"/>
          </w:tcPr>
          <w:p w:rsidR="000271FB" w:rsidRPr="00833D4E" w:rsidRDefault="000271FB" w:rsidP="000271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more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than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3-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fold</w:t>
            </w:r>
            <w:proofErr w:type="spellEnd"/>
          </w:p>
        </w:tc>
      </w:tr>
      <w:tr w:rsidR="000271FB" w:rsidRPr="00154AC9" w:rsidTr="00D43B73">
        <w:trPr>
          <w:trHeight w:val="58"/>
        </w:trPr>
        <w:tc>
          <w:tcPr>
            <w:tcW w:w="2325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271FB" w:rsidRPr="00154AC9" w:rsidRDefault="000271FB" w:rsidP="000271F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Municipal</w:t>
            </w:r>
            <w:proofErr w:type="spellEnd"/>
          </w:p>
        </w:tc>
        <w:tc>
          <w:tcPr>
            <w:tcW w:w="201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271FB" w:rsidRPr="00833D4E" w:rsidRDefault="000271FB" w:rsidP="000271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93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0271FB" w:rsidRPr="00833D4E" w:rsidRDefault="000271FB" w:rsidP="000271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18.0</w:t>
            </w:r>
          </w:p>
        </w:tc>
        <w:tc>
          <w:tcPr>
            <w:tcW w:w="1770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0271FB" w:rsidRPr="00833D4E" w:rsidRDefault="000271FB" w:rsidP="000271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2-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fold</w:t>
            </w:r>
            <w:proofErr w:type="spellEnd"/>
          </w:p>
        </w:tc>
      </w:tr>
      <w:tr w:rsidR="000271FB" w:rsidRPr="00154AC9" w:rsidTr="0056678B">
        <w:trPr>
          <w:trHeight w:val="58"/>
        </w:trPr>
        <w:tc>
          <w:tcPr>
            <w:tcW w:w="2325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0271FB" w:rsidRPr="00154AC9" w:rsidRDefault="000271FB" w:rsidP="000271F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Public </w:t>
            </w: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building</w:t>
            </w:r>
            <w:proofErr w:type="spellEnd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society</w:t>
            </w:r>
            <w:proofErr w:type="spellEnd"/>
          </w:p>
        </w:tc>
        <w:tc>
          <w:tcPr>
            <w:tcW w:w="2019" w:type="dxa"/>
            <w:tcBorders>
              <w:top w:val="single" w:sz="4" w:space="0" w:color="212492"/>
              <w:bottom w:val="single" w:sz="4" w:space="0" w:color="auto"/>
            </w:tcBorders>
            <w:vAlign w:val="center"/>
          </w:tcPr>
          <w:p w:rsidR="000271FB" w:rsidRPr="00833D4E" w:rsidRDefault="000271FB" w:rsidP="000271FB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930" w:type="dxa"/>
            <w:tcBorders>
              <w:top w:val="single" w:sz="4" w:space="0" w:color="212492"/>
              <w:bottom w:val="single" w:sz="4" w:space="0" w:color="auto"/>
              <w:right w:val="single" w:sz="4" w:space="0" w:color="auto"/>
            </w:tcBorders>
            <w:vAlign w:val="center"/>
          </w:tcPr>
          <w:p w:rsidR="000271FB" w:rsidRPr="00833D4E" w:rsidRDefault="000271FB" w:rsidP="000271FB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770" w:type="dxa"/>
            <w:tcBorders>
              <w:top w:val="single" w:sz="4" w:space="0" w:color="212492"/>
              <w:bottom w:val="single" w:sz="4" w:space="0" w:color="auto"/>
              <w:right w:val="nil"/>
            </w:tcBorders>
            <w:vAlign w:val="center"/>
          </w:tcPr>
          <w:p w:rsidR="000271FB" w:rsidRPr="00833D4E" w:rsidRDefault="000271FB" w:rsidP="000271FB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60,9</w:t>
            </w:r>
          </w:p>
        </w:tc>
      </w:tr>
      <w:tr w:rsidR="000271FB" w:rsidRPr="00154AC9" w:rsidTr="000271FB">
        <w:trPr>
          <w:trHeight w:val="58"/>
        </w:trPr>
        <w:tc>
          <w:tcPr>
            <w:tcW w:w="2325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0271FB" w:rsidRPr="00154AC9" w:rsidRDefault="000271FB" w:rsidP="000271F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2019" w:type="dxa"/>
            <w:tcBorders>
              <w:top w:val="single" w:sz="4" w:space="0" w:color="212492"/>
              <w:bottom w:val="nil"/>
            </w:tcBorders>
            <w:vAlign w:val="center"/>
          </w:tcPr>
          <w:p w:rsidR="000271FB" w:rsidRPr="00833D4E" w:rsidRDefault="000271FB" w:rsidP="000271FB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A3D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30" w:type="dxa"/>
            <w:tcBorders>
              <w:top w:val="single" w:sz="4" w:space="0" w:color="212492"/>
              <w:bottom w:val="nil"/>
              <w:right w:val="single" w:sz="4" w:space="0" w:color="auto"/>
            </w:tcBorders>
            <w:vAlign w:val="center"/>
          </w:tcPr>
          <w:p w:rsidR="000271FB" w:rsidRPr="00833D4E" w:rsidRDefault="000271FB" w:rsidP="000271FB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A3DAD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770" w:type="dxa"/>
            <w:tcBorders>
              <w:top w:val="single" w:sz="4" w:space="0" w:color="212492"/>
              <w:bottom w:val="nil"/>
              <w:right w:val="nil"/>
            </w:tcBorders>
            <w:vAlign w:val="center"/>
          </w:tcPr>
          <w:p w:rsidR="000271FB" w:rsidRPr="00833D4E" w:rsidRDefault="000271FB" w:rsidP="000271FB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A3DAD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</w:tbl>
    <w:p w:rsidR="00154AC9" w:rsidRDefault="00154AC9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7207E6">
      <w:pPr>
        <w:pStyle w:val="tytuwykresu"/>
        <w:rPr>
          <w:lang w:val="en-GB"/>
        </w:rPr>
      </w:pPr>
    </w:p>
    <w:p w:rsidR="00154AC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It is estimated that in the end of January 2019 there were 793.1 thous. dwellings under construction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>
        <w:rPr>
          <w:b w:val="0"/>
          <w:sz w:val="19"/>
          <w:szCs w:val="19"/>
          <w:shd w:val="clear" w:color="auto" w:fill="FFFFFF"/>
          <w:lang w:val="en-GB"/>
        </w:rPr>
        <w:t>4.7% more</w:t>
      </w:r>
      <w:r w:rsidRPr="00612A93">
        <w:rPr>
          <w:lang w:val="en-GB"/>
        </w:rPr>
        <w:t xml:space="preserve"> 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>
        <w:rPr>
          <w:b w:val="0"/>
          <w:sz w:val="19"/>
          <w:szCs w:val="19"/>
          <w:shd w:val="clear" w:color="auto" w:fill="FFFFFF"/>
          <w:lang w:val="en-GB"/>
        </w:rPr>
        <w:t>month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 of previous year</w:t>
      </w:r>
      <w:r>
        <w:rPr>
          <w:b w:val="0"/>
          <w:sz w:val="19"/>
          <w:szCs w:val="19"/>
          <w:shd w:val="clear" w:color="auto" w:fill="FFFFFF"/>
          <w:lang w:val="en-GB"/>
        </w:rPr>
        <w:t>.</w:t>
      </w:r>
    </w:p>
    <w:p w:rsidR="005D23AA" w:rsidRDefault="005D23AA" w:rsidP="007207E6">
      <w:pPr>
        <w:pStyle w:val="tytuwykresu"/>
        <w:rPr>
          <w:lang w:val="en-GB"/>
        </w:rPr>
      </w:pPr>
    </w:p>
    <w:p w:rsidR="007207E6" w:rsidRDefault="005D23AA" w:rsidP="007207E6">
      <w:pPr>
        <w:pStyle w:val="tytuwykresu"/>
        <w:rPr>
          <w:lang w:val="en-US"/>
        </w:rPr>
      </w:pPr>
      <w:r w:rsidRPr="00C733A3">
        <w:rPr>
          <w:b w:val="0"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663AF7C" wp14:editId="49500C00">
                <wp:simplePos x="0" y="0"/>
                <wp:positionH relativeFrom="page">
                  <wp:posOffset>5741035</wp:posOffset>
                </wp:positionH>
                <wp:positionV relativeFrom="paragraph">
                  <wp:posOffset>716915</wp:posOffset>
                </wp:positionV>
                <wp:extent cx="1760855" cy="1740535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74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3AA" w:rsidRPr="00736952" w:rsidRDefault="005D23AA" w:rsidP="005D23AA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736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Number of dwellings for which permits have been granted or which have been registered with a construction project</w:t>
                            </w:r>
                            <w:r w:rsidR="00980EA5" w:rsidRPr="00736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in which construction has begun increased (respectively by 6.8% and 21.2%), whereas number of dwellings completed decreased (by 22.1%) compared to December 2018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AF7C" id="_x0000_s1033" type="#_x0000_t202" style="position:absolute;margin-left:452.05pt;margin-top:56.45pt;width:138.65pt;height:137.0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" filled="f" stroked="f">
                <v:textbox>
                  <w:txbxContent>
                    <w:p w:rsidR="005D23AA" w:rsidRPr="00736952" w:rsidRDefault="005D23AA" w:rsidP="005D23AA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736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Number of dwellings for which permits have been granted or which have been registered with a construction project</w:t>
                      </w:r>
                      <w:r w:rsidR="00980EA5" w:rsidRPr="00736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in which construction has begun increased (respectively by 6.8% and 21.2%), whereas number of dwellings completed decreased (by 22.1%) compared to December 2018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>
        <w:rPr>
          <w:lang w:val="en-US"/>
        </w:rPr>
        <w:t>C</w:t>
      </w:r>
      <w:r w:rsidR="00AD1492" w:rsidRPr="005F5714">
        <w:rPr>
          <w:lang w:val="en-US"/>
        </w:rPr>
        <w:t>hart 1. Construction activity in the scope of construction of dwellings</w:t>
      </w:r>
      <w:r>
        <w:rPr>
          <w:lang w:val="en-US"/>
        </w:rPr>
        <w:t xml:space="preserve"> in Poland</w:t>
      </w:r>
    </w:p>
    <w:p w:rsidR="00632DF8" w:rsidRPr="00612A93" w:rsidRDefault="000271FB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72928" behindDoc="0" locked="0" layoutInCell="1" allowOverlap="1" wp14:anchorId="50C530B1" wp14:editId="2A393CCA">
            <wp:simplePos x="0" y="0"/>
            <wp:positionH relativeFrom="margin">
              <wp:align>right</wp:align>
            </wp:positionH>
            <wp:positionV relativeFrom="paragraph">
              <wp:posOffset>75320</wp:posOffset>
            </wp:positionV>
            <wp:extent cx="5122545" cy="3209192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07E6" w:rsidRPr="00612A93" w:rsidRDefault="007207E6" w:rsidP="00673BE0">
      <w:pPr>
        <w:pStyle w:val="Nagwek1"/>
        <w:rPr>
          <w:color w:val="auto"/>
          <w:sz w:val="18"/>
          <w:szCs w:val="18"/>
          <w:lang w:val="en-GB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3A358E" w:rsidRDefault="003A358E" w:rsidP="00CB6084">
      <w:pPr>
        <w:rPr>
          <w:szCs w:val="19"/>
          <w:shd w:val="clear" w:color="auto" w:fill="FFFFFF"/>
          <w:lang w:val="en-GB"/>
        </w:rPr>
      </w:pPr>
    </w:p>
    <w:p w:rsidR="003A358E" w:rsidRDefault="003A358E" w:rsidP="00CB6084">
      <w:pPr>
        <w:rPr>
          <w:szCs w:val="19"/>
          <w:shd w:val="clear" w:color="auto" w:fill="FFFFFF"/>
          <w:lang w:val="en-GB"/>
        </w:rPr>
      </w:pPr>
    </w:p>
    <w:p w:rsidR="00CF36C5" w:rsidRDefault="00CF36C5" w:rsidP="00CB6084">
      <w:pPr>
        <w:rPr>
          <w:szCs w:val="19"/>
          <w:shd w:val="clear" w:color="auto" w:fill="FFFFFF"/>
          <w:lang w:val="en-GB"/>
        </w:rPr>
      </w:pPr>
    </w:p>
    <w:p w:rsidR="00CF36C5" w:rsidRDefault="00CF36C5" w:rsidP="00CB6084">
      <w:pPr>
        <w:rPr>
          <w:szCs w:val="19"/>
          <w:shd w:val="clear" w:color="auto" w:fill="FFFFFF"/>
          <w:lang w:val="en-GB"/>
        </w:rPr>
      </w:pPr>
    </w:p>
    <w:p w:rsidR="00CF36C5" w:rsidRDefault="00CF36C5" w:rsidP="00CB6084">
      <w:pPr>
        <w:rPr>
          <w:szCs w:val="19"/>
          <w:shd w:val="clear" w:color="auto" w:fill="FFFFFF"/>
          <w:lang w:val="en-GB"/>
        </w:rPr>
      </w:pPr>
    </w:p>
    <w:p w:rsidR="00CB6084" w:rsidRPr="00CB6084" w:rsidRDefault="00980EA5" w:rsidP="00CB6084">
      <w:pPr>
        <w:rPr>
          <w:szCs w:val="19"/>
          <w:shd w:val="clear" w:color="auto" w:fill="FFFFFF"/>
          <w:lang w:val="en-GB"/>
        </w:rPr>
      </w:pPr>
      <w:r w:rsidRPr="00CB6084">
        <w:rPr>
          <w:szCs w:val="19"/>
          <w:shd w:val="clear" w:color="auto" w:fill="FFFFFF"/>
          <w:lang w:val="en-GB"/>
        </w:rPr>
        <w:t xml:space="preserve">The biggest number </w:t>
      </w:r>
      <w:r w:rsidR="00CB6084" w:rsidRPr="00CB6084">
        <w:rPr>
          <w:szCs w:val="19"/>
          <w:shd w:val="clear" w:color="auto" w:fill="FFFFFF"/>
          <w:lang w:val="en-GB"/>
        </w:rPr>
        <w:t xml:space="preserve">of </w:t>
      </w:r>
      <w:r w:rsidR="00CB6084">
        <w:rPr>
          <w:szCs w:val="19"/>
          <w:shd w:val="clear" w:color="auto" w:fill="FFFFFF"/>
          <w:lang w:val="en-GB"/>
        </w:rPr>
        <w:t>d</w:t>
      </w:r>
      <w:r w:rsidR="00CB6084" w:rsidRPr="00CB6084">
        <w:rPr>
          <w:szCs w:val="19"/>
          <w:shd w:val="clear" w:color="auto" w:fill="FFFFFF"/>
          <w:lang w:val="en-GB"/>
        </w:rPr>
        <w:t xml:space="preserve">wellings for which permits have been granted or which have been registered with </w:t>
      </w:r>
      <w:r w:rsidR="00CB6084">
        <w:rPr>
          <w:szCs w:val="19"/>
          <w:shd w:val="clear" w:color="auto" w:fill="FFFFFF"/>
          <w:lang w:val="en-GB"/>
        </w:rPr>
        <w:t xml:space="preserve">a construction project and </w:t>
      </w:r>
      <w:r w:rsidR="00CB6084" w:rsidRPr="00CB6084">
        <w:rPr>
          <w:szCs w:val="19"/>
          <w:shd w:val="clear" w:color="auto" w:fill="FFFFFF"/>
          <w:lang w:val="en-GB"/>
        </w:rPr>
        <w:t>in which construction has begun</w:t>
      </w:r>
      <w:r w:rsidR="00CB6084">
        <w:rPr>
          <w:szCs w:val="19"/>
          <w:shd w:val="clear" w:color="auto" w:fill="FFFFFF"/>
          <w:lang w:val="en-GB"/>
        </w:rPr>
        <w:t xml:space="preserve"> in January 2019 was recorded </w:t>
      </w:r>
      <w:r w:rsidR="003A358E">
        <w:rPr>
          <w:szCs w:val="19"/>
          <w:shd w:val="clear" w:color="auto" w:fill="FFFFFF"/>
          <w:lang w:val="en-GB"/>
        </w:rPr>
        <w:t xml:space="preserve">in </w:t>
      </w:r>
      <w:proofErr w:type="spellStart"/>
      <w:r w:rsidR="003A358E">
        <w:rPr>
          <w:szCs w:val="19"/>
          <w:shd w:val="clear" w:color="auto" w:fill="FFFFFF"/>
          <w:lang w:val="en-GB"/>
        </w:rPr>
        <w:t>M</w:t>
      </w:r>
      <w:r w:rsidR="00CB6084">
        <w:rPr>
          <w:szCs w:val="19"/>
          <w:shd w:val="clear" w:color="auto" w:fill="FFFFFF"/>
          <w:lang w:val="en-GB"/>
        </w:rPr>
        <w:t>azowieckie</w:t>
      </w:r>
      <w:proofErr w:type="spellEnd"/>
      <w:r w:rsidR="00CB6084">
        <w:rPr>
          <w:szCs w:val="19"/>
          <w:shd w:val="clear" w:color="auto" w:fill="FFFFFF"/>
          <w:lang w:val="en-GB"/>
        </w:rPr>
        <w:t xml:space="preserve"> voivodship (respectively 3.5 thous. and 3.1 thous.) a</w:t>
      </w:r>
      <w:r w:rsidR="003A358E">
        <w:rPr>
          <w:szCs w:val="19"/>
          <w:shd w:val="clear" w:color="auto" w:fill="FFFFFF"/>
          <w:lang w:val="en-GB"/>
        </w:rPr>
        <w:t xml:space="preserve">nd in </w:t>
      </w:r>
      <w:proofErr w:type="spellStart"/>
      <w:r w:rsidR="003A358E">
        <w:rPr>
          <w:szCs w:val="19"/>
          <w:shd w:val="clear" w:color="auto" w:fill="FFFFFF"/>
          <w:lang w:val="en-GB"/>
        </w:rPr>
        <w:t>D</w:t>
      </w:r>
      <w:r w:rsidR="00CB6084">
        <w:rPr>
          <w:szCs w:val="19"/>
          <w:shd w:val="clear" w:color="auto" w:fill="FFFFFF"/>
          <w:lang w:val="en-GB"/>
        </w:rPr>
        <w:t>olnośląskie</w:t>
      </w:r>
      <w:proofErr w:type="spellEnd"/>
      <w:r w:rsidR="00CB6084">
        <w:rPr>
          <w:szCs w:val="19"/>
          <w:shd w:val="clear" w:color="auto" w:fill="FFFFFF"/>
          <w:lang w:val="en-GB"/>
        </w:rPr>
        <w:t xml:space="preserve"> voivodship (respectively 3.2 thous. and 1.7</w:t>
      </w:r>
      <w:r w:rsidR="00CB6084" w:rsidRPr="00CB6084">
        <w:rPr>
          <w:szCs w:val="19"/>
          <w:shd w:val="clear" w:color="auto" w:fill="FFFFFF"/>
          <w:lang w:val="en-GB"/>
        </w:rPr>
        <w:t xml:space="preserve"> thous</w:t>
      </w:r>
      <w:r w:rsidR="00CB6084">
        <w:rPr>
          <w:szCs w:val="19"/>
          <w:shd w:val="clear" w:color="auto" w:fill="FFFFFF"/>
          <w:lang w:val="en-GB"/>
        </w:rPr>
        <w:t xml:space="preserve">.). </w:t>
      </w:r>
      <w:r w:rsidR="00CB6084" w:rsidRPr="00CB6084">
        <w:rPr>
          <w:szCs w:val="19"/>
          <w:shd w:val="clear" w:color="auto" w:fill="FFFFFF"/>
          <w:lang w:val="en-GB"/>
        </w:rPr>
        <w:t>Voivodships with the largest number of dwellings completed are</w:t>
      </w:r>
      <w:r w:rsidR="009664CD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9664CD">
        <w:rPr>
          <w:szCs w:val="19"/>
          <w:shd w:val="clear" w:color="auto" w:fill="FFFFFF"/>
          <w:lang w:val="en-GB"/>
        </w:rPr>
        <w:t>Mazowieckie</w:t>
      </w:r>
      <w:proofErr w:type="spellEnd"/>
      <w:r w:rsidR="009664CD">
        <w:rPr>
          <w:szCs w:val="19"/>
          <w:shd w:val="clear" w:color="auto" w:fill="FFFFFF"/>
          <w:lang w:val="en-GB"/>
        </w:rPr>
        <w:t xml:space="preserve"> (3.4 thous. dwellings</w:t>
      </w:r>
      <w:r w:rsidR="00CB6084" w:rsidRPr="00CB6084">
        <w:rPr>
          <w:szCs w:val="19"/>
          <w:shd w:val="clear" w:color="auto" w:fill="FFFFFF"/>
          <w:lang w:val="en-GB"/>
        </w:rPr>
        <w:t>)</w:t>
      </w:r>
      <w:r w:rsidR="009664CD">
        <w:rPr>
          <w:szCs w:val="19"/>
          <w:shd w:val="clear" w:color="auto" w:fill="FFFFFF"/>
          <w:lang w:val="en-GB"/>
        </w:rPr>
        <w:t xml:space="preserve"> and </w:t>
      </w:r>
      <w:proofErr w:type="spellStart"/>
      <w:r w:rsidR="009664CD">
        <w:rPr>
          <w:szCs w:val="19"/>
          <w:shd w:val="clear" w:color="auto" w:fill="FFFFFF"/>
          <w:lang w:val="en-GB"/>
        </w:rPr>
        <w:t>Wielkopolskie</w:t>
      </w:r>
      <w:proofErr w:type="spellEnd"/>
      <w:r w:rsidR="009664CD">
        <w:rPr>
          <w:szCs w:val="19"/>
          <w:shd w:val="clear" w:color="auto" w:fill="FFFFFF"/>
          <w:lang w:val="en-GB"/>
        </w:rPr>
        <w:t xml:space="preserve"> </w:t>
      </w:r>
      <w:r w:rsidR="008843BB">
        <w:rPr>
          <w:szCs w:val="19"/>
          <w:shd w:val="clear" w:color="auto" w:fill="FFFFFF"/>
          <w:lang w:val="en-GB"/>
        </w:rPr>
        <w:br/>
      </w:r>
      <w:r w:rsidR="009664CD">
        <w:rPr>
          <w:szCs w:val="19"/>
          <w:shd w:val="clear" w:color="auto" w:fill="FFFFFF"/>
          <w:lang w:val="en-GB"/>
        </w:rPr>
        <w:t>(1.9 thous.</w:t>
      </w:r>
      <w:r w:rsidR="00CB6084" w:rsidRPr="00CB6084">
        <w:rPr>
          <w:szCs w:val="19"/>
          <w:shd w:val="clear" w:color="auto" w:fill="FFFFFF"/>
          <w:lang w:val="en-GB"/>
        </w:rPr>
        <w:t>).</w:t>
      </w:r>
    </w:p>
    <w:p w:rsidR="00C60835" w:rsidRPr="00CB6084" w:rsidRDefault="001C1808" w:rsidP="009A61DB">
      <w:pPr>
        <w:pStyle w:val="Nagwek1"/>
        <w:rPr>
          <w:color w:val="auto"/>
          <w:sz w:val="18"/>
          <w:szCs w:val="18"/>
          <w:lang w:val="en-GB"/>
        </w:rPr>
      </w:pPr>
      <w:r>
        <w:rPr>
          <w:color w:val="auto"/>
          <w:sz w:val="18"/>
          <w:szCs w:val="18"/>
          <w:lang w:val="en-GB"/>
        </w:rPr>
        <w:t>Chart 2</w:t>
      </w:r>
      <w:r w:rsidRPr="001C1808">
        <w:rPr>
          <w:color w:val="auto"/>
          <w:sz w:val="18"/>
          <w:szCs w:val="18"/>
          <w:lang w:val="en-GB"/>
        </w:rPr>
        <w:t xml:space="preserve">. Construction activity in the scope of construction of dwellings </w:t>
      </w:r>
      <w:r>
        <w:rPr>
          <w:color w:val="auto"/>
          <w:sz w:val="18"/>
          <w:szCs w:val="18"/>
          <w:lang w:val="en-GB"/>
        </w:rPr>
        <w:t xml:space="preserve">by voivodships </w:t>
      </w:r>
      <w:r>
        <w:rPr>
          <w:color w:val="auto"/>
          <w:sz w:val="18"/>
          <w:szCs w:val="18"/>
          <w:lang w:val="en-GB"/>
        </w:rPr>
        <w:br/>
      </w:r>
      <w:r w:rsidR="009A61DB">
        <w:rPr>
          <w:color w:val="auto"/>
          <w:sz w:val="18"/>
          <w:szCs w:val="18"/>
          <w:lang w:val="en-GB"/>
        </w:rPr>
        <w:t xml:space="preserve">                                                              </w:t>
      </w:r>
      <w:r>
        <w:rPr>
          <w:color w:val="auto"/>
          <w:sz w:val="18"/>
          <w:szCs w:val="18"/>
          <w:lang w:val="en-GB"/>
        </w:rPr>
        <w:t>(January 2019)</w:t>
      </w:r>
    </w:p>
    <w:p w:rsidR="00C60835" w:rsidRPr="00CB6084" w:rsidRDefault="004652C2" w:rsidP="00673BE0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anchor distT="0" distB="0" distL="114300" distR="114300" simplePos="0" relativeHeight="251774976" behindDoc="0" locked="0" layoutInCell="1" allowOverlap="1" wp14:anchorId="2B616B4F" wp14:editId="1515C9E6">
            <wp:simplePos x="0" y="0"/>
            <wp:positionH relativeFrom="margin">
              <wp:align>right</wp:align>
            </wp:positionH>
            <wp:positionV relativeFrom="paragraph">
              <wp:posOffset>195</wp:posOffset>
            </wp:positionV>
            <wp:extent cx="5122545" cy="3771900"/>
            <wp:effectExtent l="0" t="0" r="0" b="0"/>
            <wp:wrapNone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1A6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Pr="00CB6084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694AF0" w:rsidRPr="00CB6084" w:rsidRDefault="00694AF0" w:rsidP="0046503D">
      <w:pPr>
        <w:rPr>
          <w:sz w:val="12"/>
          <w:szCs w:val="12"/>
          <w:lang w:val="en-GB"/>
        </w:rPr>
        <w:sectPr w:rsidR="00694AF0" w:rsidRPr="00CB6084" w:rsidSect="00A05A3A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:rsidR="000470AA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B34C4C" w:rsidRPr="00B34C4C" w:rsidTr="00C06448">
        <w:trPr>
          <w:trHeight w:val="1912"/>
        </w:trPr>
        <w:tc>
          <w:tcPr>
            <w:tcW w:w="4379" w:type="dxa"/>
          </w:tcPr>
          <w:p w:rsidR="00B34C4C" w:rsidRPr="00612A93" w:rsidRDefault="00B34C4C" w:rsidP="00C0644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612A9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B34C4C" w:rsidRPr="00612A93" w:rsidRDefault="00B34C4C" w:rsidP="00C0644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612A93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:rsidR="00B34C4C" w:rsidRPr="00A02ED8" w:rsidRDefault="00B34C4C" w:rsidP="00C0644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02ED8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:rsidR="00B34C4C" w:rsidRPr="00A02ED8" w:rsidRDefault="00B34C4C" w:rsidP="00C0644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+ 48 </w:t>
            </w: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>81 533 2301</w:t>
            </w:r>
          </w:p>
          <w:p w:rsidR="00B34C4C" w:rsidRPr="00B34C4C" w:rsidRDefault="00B34C4C" w:rsidP="00C0644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  <w:r w:rsidRPr="00B34C4C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18" w:history="1">
              <w:r w:rsidRPr="00B34C4C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Z.Kurlej@stat.gov.pl</w:t>
              </w:r>
            </w:hyperlink>
          </w:p>
        </w:tc>
        <w:tc>
          <w:tcPr>
            <w:tcW w:w="3942" w:type="dxa"/>
          </w:tcPr>
          <w:p w:rsidR="00B34C4C" w:rsidRPr="00612A93" w:rsidRDefault="00B34C4C" w:rsidP="00C06448">
            <w:pPr>
              <w:pStyle w:val="Default"/>
              <w:rPr>
                <w:sz w:val="20"/>
                <w:szCs w:val="20"/>
                <w:lang w:val="en-GB"/>
              </w:rPr>
            </w:pPr>
            <w:r w:rsidRPr="00612A93">
              <w:rPr>
                <w:sz w:val="20"/>
                <w:szCs w:val="20"/>
                <w:lang w:val="en-GB"/>
              </w:rPr>
              <w:t xml:space="preserve">Dissemination: </w:t>
            </w:r>
            <w:r w:rsidRPr="001C110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for the President </w:t>
            </w:r>
          </w:p>
          <w:p w:rsidR="00B34C4C" w:rsidRDefault="00B34C4C" w:rsidP="00C0644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 Poland</w:t>
            </w:r>
          </w:p>
          <w:p w:rsidR="00B34C4C" w:rsidRPr="001C110A" w:rsidRDefault="00B34C4C" w:rsidP="00C0644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Karolina Dawidziuk</w:t>
            </w:r>
          </w:p>
          <w:p w:rsidR="00B34C4C" w:rsidRPr="008F3638" w:rsidRDefault="00B34C4C" w:rsidP="00C0644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22 608 3475,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22 608 3009</w:t>
            </w:r>
          </w:p>
          <w:p w:rsidR="00B34C4C" w:rsidRPr="008F3638" w:rsidRDefault="00B34C4C" w:rsidP="00C0644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8F3638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Tr="00C06448">
        <w:trPr>
          <w:trHeight w:val="610"/>
        </w:trPr>
        <w:tc>
          <w:tcPr>
            <w:tcW w:w="2721" w:type="pct"/>
            <w:vMerge w:val="restart"/>
            <w:vAlign w:val="center"/>
          </w:tcPr>
          <w:p w:rsidR="00B34C4C" w:rsidRPr="00FC6E4C" w:rsidRDefault="00B34C4C" w:rsidP="00C06448">
            <w:pPr>
              <w:rPr>
                <w:b/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>Press Office</w:t>
            </w:r>
          </w:p>
          <w:p w:rsidR="00B34C4C" w:rsidRPr="00FC6E4C" w:rsidRDefault="00B34C4C" w:rsidP="00C06448">
            <w:pPr>
              <w:rPr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 xml:space="preserve">tel.: </w:t>
            </w:r>
            <w:r w:rsidRPr="00B34C4C">
              <w:rPr>
                <w:sz w:val="20"/>
                <w:lang w:val="en-GB"/>
              </w:rPr>
              <w:t>+ 48</w:t>
            </w:r>
            <w:r>
              <w:rPr>
                <w:b/>
                <w:sz w:val="20"/>
                <w:lang w:val="en-GB"/>
              </w:rPr>
              <w:t xml:space="preserve"> </w:t>
            </w:r>
            <w:r w:rsidRPr="00FC6E4C">
              <w:rPr>
                <w:sz w:val="20"/>
                <w:lang w:val="en-GB"/>
              </w:rPr>
              <w:t xml:space="preserve">22 608 34 91, +48 22 608 38 04 </w:t>
            </w:r>
          </w:p>
          <w:p w:rsidR="00B34C4C" w:rsidRPr="00B34C4C" w:rsidRDefault="00B34C4C" w:rsidP="00C06448">
            <w:pPr>
              <w:rPr>
                <w:b/>
                <w:sz w:val="18"/>
                <w:lang w:val="en-US"/>
              </w:rPr>
            </w:pPr>
            <w:r w:rsidRPr="00B34C4C">
              <w:rPr>
                <w:b/>
                <w:sz w:val="20"/>
                <w:lang w:val="en-US"/>
              </w:rPr>
              <w:t xml:space="preserve">e-mail: </w:t>
            </w:r>
            <w:hyperlink r:id="rId20" w:history="1">
              <w:r w:rsidRPr="00B34C4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B34C4C" w:rsidRPr="00F64AC1" w:rsidRDefault="00B34C4C" w:rsidP="00C0644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685B0E8F" wp14:editId="084A61B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B34C4C" w:rsidRDefault="00B34C4C" w:rsidP="00C06448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B34C4C" w:rsidTr="00C06448">
        <w:trPr>
          <w:trHeight w:val="436"/>
        </w:trPr>
        <w:tc>
          <w:tcPr>
            <w:tcW w:w="2721" w:type="pct"/>
            <w:vMerge/>
            <w:vAlign w:val="center"/>
          </w:tcPr>
          <w:p w:rsidR="00B34C4C" w:rsidRDefault="00B34C4C" w:rsidP="00C06448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B34C4C" w:rsidRDefault="00B34C4C" w:rsidP="00C06448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28925955" wp14:editId="1179D4C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B34C4C" w:rsidP="00C06448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B34C4C" w:rsidTr="00C06448">
        <w:trPr>
          <w:trHeight w:val="436"/>
        </w:trPr>
        <w:tc>
          <w:tcPr>
            <w:tcW w:w="2721" w:type="pct"/>
            <w:vMerge/>
            <w:vAlign w:val="center"/>
          </w:tcPr>
          <w:p w:rsidR="00B34C4C" w:rsidRDefault="00B34C4C" w:rsidP="00C06448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B34C4C" w:rsidRDefault="00B34C4C" w:rsidP="00C06448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09E52B18" wp14:editId="37B2E5C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B34C4C" w:rsidP="00C06448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B34C4C" w:rsidRPr="00B34C4C" w:rsidRDefault="00B34C4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361315</wp:posOffset>
                </wp:positionV>
                <wp:extent cx="5243830" cy="4535170"/>
                <wp:effectExtent l="0" t="0" r="1397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83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Default="004862B6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000009" w:rsidRDefault="00000009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000009" w:rsidRPr="006D7F1E" w:rsidRDefault="00FE705C" w:rsidP="00000009">
                            <w:pPr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D7F1E">
                              <w:rPr>
                                <w:b/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 w:rsidR="00211FA7">
                              <w:rPr>
                                <w:b/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"http://stat.gov.pl/en/topics/other-studies/informations-on-socio-economic-situation/statistical-bulletin-no-102018,4,93.html"</w:instrText>
                            </w:r>
                            <w:r w:rsidRPr="006D7F1E">
                              <w:rPr>
                                <w:b/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6D7F1E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Statistical Bulletin No </w:t>
                            </w:r>
                            <w:r w:rsidR="00211FA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>10</w:t>
                            </w:r>
                            <w:r w:rsidR="00000009" w:rsidRPr="006D7F1E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>/2018</w:t>
                            </w:r>
                          </w:p>
                          <w:p w:rsidR="006D7F1E" w:rsidRPr="00612A93" w:rsidRDefault="00FE705C" w:rsidP="006D7F1E">
                            <w:pPr>
                              <w:pStyle w:val="Nagwek2"/>
                              <w:rPr>
                                <w:rFonts w:ascii="Fira Sans" w:hAnsi="Fira Sans"/>
                                <w:b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r w:rsidRPr="006D7F1E">
                              <w:rPr>
                                <w:rFonts w:ascii="Fira Sans" w:hAnsi="Fira Sans"/>
                                <w:b/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4" w:history="1">
                              <w:r w:rsidR="006D7F1E" w:rsidRPr="00612A93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 xml:space="preserve">Socio-economic situation </w:t>
                              </w:r>
                              <w:r w:rsidR="00BA6BF5" w:rsidRPr="00612A93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>of the countr</w:t>
                              </w:r>
                              <w:r w:rsidR="00211FA7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>y in October</w:t>
                              </w:r>
                              <w:r w:rsidR="00D536C0" w:rsidRPr="00612A93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  <w:r w:rsidR="006D7F1E" w:rsidRPr="00612A93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>2018</w:t>
                              </w:r>
                            </w:hyperlink>
                          </w:p>
                          <w:p w:rsidR="00000009" w:rsidRPr="003A42AA" w:rsidRDefault="00000009" w:rsidP="00000009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3A42AA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>Co</w:t>
                            </w:r>
                            <w:r w:rsidR="003A42AA" w:rsidRPr="003A42AA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>nstruction results in</w:t>
                            </w:r>
                            <w:r w:rsidRPr="003A42AA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hyperlink r:id="rId25" w:history="1">
                              <w:r w:rsidRPr="003A42AA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>201</w:t>
                              </w:r>
                              <w:r w:rsidR="003A42AA" w:rsidRPr="003A42AA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>7</w:t>
                              </w:r>
                            </w:hyperlink>
                          </w:p>
                          <w:p w:rsidR="00000009" w:rsidRPr="007F1D43" w:rsidRDefault="003C08F9" w:rsidP="00000009">
                            <w:pP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6" w:history="1">
                              <w:r w:rsidR="00000009" w:rsidRPr="006D7F1E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Housing construction I</w:t>
                              </w:r>
                              <w:r w:rsidR="00BA6BF5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-II</w:t>
                              </w:r>
                              <w:r w:rsidR="00211FA7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r w:rsidR="00000009" w:rsidRPr="006D7F1E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 quarter 2018</w:t>
                              </w:r>
                            </w:hyperlink>
                            <w:r w:rsidR="00000009" w:rsidRPr="007F1D43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000009" w:rsidRDefault="00000009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000009" w:rsidRPr="001A33FC" w:rsidRDefault="003C08F9" w:rsidP="0000000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7" w:history="1">
                              <w:r w:rsidR="00000009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:rsidR="00000009" w:rsidRPr="001A33FC" w:rsidRDefault="003C08F9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="00000009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000009" w:rsidRDefault="00000009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000009" w:rsidRPr="007F1D43" w:rsidRDefault="003C08F9" w:rsidP="0000000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9" w:history="1">
                              <w:r w:rsidR="00000009" w:rsidRPr="007F1D43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</w:t>
                              </w:r>
                            </w:hyperlink>
                          </w:p>
                          <w:p w:rsidR="00000009" w:rsidRPr="007F1D43" w:rsidRDefault="003C08F9" w:rsidP="00000009">
                            <w:pPr>
                              <w:rPr>
                                <w:lang w:val="en-US"/>
                              </w:rPr>
                            </w:pPr>
                            <w:hyperlink r:id="rId30" w:history="1">
                              <w:r w:rsidR="00000009" w:rsidRPr="007F1D43">
                                <w:rPr>
                                  <w:rStyle w:val="Hipercze"/>
                                  <w:rFonts w:cstheme="majorBidi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31" w:history="1"/>
                          </w:p>
                          <w:p w:rsidR="00000009" w:rsidRPr="007F1D43" w:rsidRDefault="003C08F9" w:rsidP="00000009">
                            <w:pPr>
                              <w:rPr>
                                <w:lang w:val="en-US"/>
                              </w:rPr>
                            </w:pPr>
                            <w:hyperlink r:id="rId32" w:history="1">
                              <w:r w:rsidR="00000009" w:rsidRPr="007F1D43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Dwelling</w:t>
                              </w:r>
                              <w:r w:rsidR="000E1F4F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s</w:t>
                              </w:r>
                              <w:r w:rsidR="00000009" w:rsidRPr="007F1D43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 xml:space="preserve"> completed</w:t>
                              </w:r>
                            </w:hyperlink>
                          </w:p>
                          <w:p w:rsidR="00000009" w:rsidRDefault="00000009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.35pt;margin-top:28.45pt;width:412.9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" fillcolor="#f2f2f2 [3052]" strokecolor="white [3212]">
                <v:textbox>
                  <w:txbxContent>
                    <w:p w:rsidR="004862B6" w:rsidRDefault="004862B6" w:rsidP="00AB6D25">
                      <w:pPr>
                        <w:rPr>
                          <w:b/>
                        </w:rPr>
                      </w:pPr>
                    </w:p>
                    <w:p w:rsidR="00000009" w:rsidRDefault="00000009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000009" w:rsidRPr="006D7F1E" w:rsidRDefault="00FE705C" w:rsidP="00000009">
                      <w:pPr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</w:pPr>
                      <w:r w:rsidRPr="006D7F1E">
                        <w:rPr>
                          <w:b/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 w:rsidR="00211FA7">
                        <w:rPr>
                          <w:b/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"http://stat.gov.pl/en/topics/other-studies/informations-on-socio-economic-situation/statistical-bulletin-no-102018,4,93.html"</w:instrText>
                      </w:r>
                      <w:r w:rsidRPr="006D7F1E">
                        <w:rPr>
                          <w:b/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6D7F1E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 xml:space="preserve">Statistical Bulletin No </w:t>
                      </w:r>
                      <w:r w:rsidR="00211FA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>10</w:t>
                      </w:r>
                      <w:r w:rsidR="00000009" w:rsidRPr="006D7F1E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>/2018</w:t>
                      </w:r>
                    </w:p>
                    <w:p w:rsidR="006D7F1E" w:rsidRPr="00612A93" w:rsidRDefault="00FE705C" w:rsidP="006D7F1E">
                      <w:pPr>
                        <w:pStyle w:val="Nagwek2"/>
                        <w:rPr>
                          <w:rFonts w:ascii="Fira Sans" w:hAnsi="Fira Sans"/>
                          <w:b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r w:rsidRPr="006D7F1E">
                        <w:rPr>
                          <w:rFonts w:ascii="Fira Sans" w:hAnsi="Fira Sans"/>
                          <w:b/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3" w:history="1">
                        <w:r w:rsidR="006D7F1E" w:rsidRPr="00612A93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  <w:lang w:val="en-GB"/>
                          </w:rPr>
                          <w:t xml:space="preserve">Socio-economic situation </w:t>
                        </w:r>
                        <w:r w:rsidR="00BA6BF5" w:rsidRPr="00612A93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  <w:lang w:val="en-GB"/>
                          </w:rPr>
                          <w:t>of the countr</w:t>
                        </w:r>
                        <w:r w:rsidR="00211FA7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  <w:lang w:val="en-GB"/>
                          </w:rPr>
                          <w:t>y in October</w:t>
                        </w:r>
                        <w:r w:rsidR="00D536C0" w:rsidRPr="00612A93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="006D7F1E" w:rsidRPr="00612A93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  <w:lang w:val="en-GB"/>
                          </w:rPr>
                          <w:t>2018</w:t>
                        </w:r>
                      </w:hyperlink>
                    </w:p>
                    <w:p w:rsidR="00000009" w:rsidRPr="003A42AA" w:rsidRDefault="00000009" w:rsidP="00000009">
                      <w:pPr>
                        <w:rPr>
                          <w:b/>
                          <w:lang w:val="en-US"/>
                        </w:rPr>
                      </w:pPr>
                      <w:r w:rsidRPr="003A42AA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>Co</w:t>
                      </w:r>
                      <w:r w:rsidR="003A42AA" w:rsidRPr="003A42AA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>nstruction results in</w:t>
                      </w:r>
                      <w:r w:rsidRPr="003A42AA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hyperlink r:id="rId34" w:history="1">
                        <w:r w:rsidRPr="003A42AA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GB"/>
                          </w:rPr>
                          <w:t>201</w:t>
                        </w:r>
                        <w:r w:rsidR="003A42AA" w:rsidRPr="003A42AA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GB"/>
                          </w:rPr>
                          <w:t>7</w:t>
                        </w:r>
                      </w:hyperlink>
                    </w:p>
                    <w:p w:rsidR="00000009" w:rsidRPr="007F1D43" w:rsidRDefault="00F844D3" w:rsidP="00000009">
                      <w:pPr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hyperlink r:id="rId35" w:history="1">
                        <w:r w:rsidR="00000009" w:rsidRPr="006D7F1E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US"/>
                          </w:rPr>
                          <w:t>Housing construction I</w:t>
                        </w:r>
                        <w:r w:rsidR="00BA6BF5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US"/>
                          </w:rPr>
                          <w:t>-II</w:t>
                        </w:r>
                        <w:r w:rsidR="00211FA7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r w:rsidR="00000009" w:rsidRPr="006D7F1E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US"/>
                          </w:rPr>
                          <w:t xml:space="preserve"> quarter 2018</w:t>
                        </w:r>
                      </w:hyperlink>
                      <w:r w:rsidR="00000009" w:rsidRPr="007F1D43"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000009" w:rsidRDefault="00000009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000009" w:rsidRPr="001A33FC" w:rsidRDefault="00F844D3" w:rsidP="00000009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  <w:hyperlink r:id="rId36" w:history="1">
                        <w:r w:rsidR="00000009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:rsidR="00000009" w:rsidRPr="001A33FC" w:rsidRDefault="00F844D3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hyperlink r:id="rId37" w:history="1">
                        <w:r w:rsidR="00000009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:rsidR="00000009" w:rsidRDefault="00000009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000009" w:rsidRPr="007F1D43" w:rsidRDefault="00F844D3" w:rsidP="00000009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  <w:hyperlink r:id="rId38" w:history="1">
                        <w:r w:rsidR="00000009" w:rsidRPr="007F1D43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Dwellings for which permits have been granted</w:t>
                        </w:r>
                      </w:hyperlink>
                    </w:p>
                    <w:p w:rsidR="00000009" w:rsidRPr="007F1D43" w:rsidRDefault="00F844D3" w:rsidP="00000009">
                      <w:pPr>
                        <w:rPr>
                          <w:lang w:val="en-US"/>
                        </w:rPr>
                      </w:pPr>
                      <w:hyperlink r:id="rId39" w:history="1">
                        <w:r w:rsidR="00000009" w:rsidRPr="007F1D43">
                          <w:rPr>
                            <w:rStyle w:val="Hipercze"/>
                            <w:rFonts w:cstheme="majorBidi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40" w:history="1"/>
                    </w:p>
                    <w:p w:rsidR="00000009" w:rsidRPr="007F1D43" w:rsidRDefault="00F844D3" w:rsidP="00000009">
                      <w:pPr>
                        <w:rPr>
                          <w:lang w:val="en-US"/>
                        </w:rPr>
                      </w:pPr>
                      <w:hyperlink r:id="rId41" w:history="1">
                        <w:r w:rsidR="00000009" w:rsidRPr="007F1D43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Dwelling</w:t>
                        </w:r>
                        <w:r w:rsidR="000E1F4F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s</w:t>
                        </w:r>
                        <w:r w:rsidR="00000009" w:rsidRPr="007F1D43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 xml:space="preserve"> completed</w:t>
                        </w:r>
                      </w:hyperlink>
                    </w:p>
                    <w:p w:rsidR="00000009" w:rsidRDefault="00000009" w:rsidP="00000009">
                      <w:pPr>
                        <w:rPr>
                          <w:lang w:val="en-GB"/>
                        </w:rPr>
                      </w:pPr>
                    </w:p>
                    <w:p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70AA" w:rsidRPr="00F64AC1" w:rsidRDefault="000470AA" w:rsidP="0046503D">
      <w:pPr>
        <w:rPr>
          <w:sz w:val="20"/>
          <w:lang w:val="en-US"/>
        </w:rPr>
      </w:pPr>
    </w:p>
    <w:p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B34C4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64AC1" w:rsidRDefault="000470AA" w:rsidP="0000000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F64AC1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20"/>
                <w:lang w:val="en-US"/>
              </w:rPr>
            </w:pPr>
          </w:p>
        </w:tc>
      </w:tr>
    </w:tbl>
    <w:p w:rsidR="00D261A2" w:rsidRPr="00B34C4C" w:rsidRDefault="00D261A2" w:rsidP="0046503D">
      <w:pPr>
        <w:rPr>
          <w:sz w:val="18"/>
          <w:lang w:val="en-US"/>
        </w:rPr>
      </w:pPr>
    </w:p>
    <w:sectPr w:rsidR="00D261A2" w:rsidRPr="00B34C4C" w:rsidSect="00AE4F99">
      <w:headerReference w:type="default" r:id="rId4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8F9" w:rsidRDefault="003C08F9" w:rsidP="000662E2">
      <w:pPr>
        <w:spacing w:after="0" w:line="240" w:lineRule="auto"/>
      </w:pPr>
      <w:r>
        <w:separator/>
      </w:r>
    </w:p>
  </w:endnote>
  <w:endnote w:type="continuationSeparator" w:id="0">
    <w:p w:rsidR="003C08F9" w:rsidRDefault="003C08F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altName w:val="DejaVu Sans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53786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05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4876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0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8F9" w:rsidRDefault="003C08F9" w:rsidP="000662E2">
      <w:pPr>
        <w:spacing w:after="0" w:line="240" w:lineRule="auto"/>
      </w:pPr>
      <w:r>
        <w:separator/>
      </w:r>
    </w:p>
  </w:footnote>
  <w:footnote w:type="continuationSeparator" w:id="0">
    <w:p w:rsidR="003C08F9" w:rsidRDefault="003C08F9" w:rsidP="000662E2">
      <w:pPr>
        <w:spacing w:after="0" w:line="240" w:lineRule="auto"/>
      </w:pPr>
      <w:r>
        <w:continuationSeparator/>
      </w:r>
    </w:p>
  </w:footnote>
  <w:footnote w:id="1">
    <w:p w:rsidR="00A05A3A" w:rsidRPr="00A05A3A" w:rsidRDefault="00A05A3A">
      <w:pPr>
        <w:pStyle w:val="Tekstprzypisudolnego"/>
        <w:rPr>
          <w:sz w:val="14"/>
          <w:szCs w:val="14"/>
          <w:lang w:val="en-US"/>
        </w:rPr>
      </w:pPr>
      <w:r w:rsidRPr="00A05A3A">
        <w:rPr>
          <w:rStyle w:val="Odwoanieprzypisudolnego"/>
          <w:sz w:val="16"/>
          <w:szCs w:val="16"/>
        </w:rPr>
        <w:footnoteRef/>
      </w:r>
      <w:r w:rsidRPr="00A05A3A">
        <w:rPr>
          <w:sz w:val="16"/>
          <w:szCs w:val="16"/>
          <w:lang w:val="en-US"/>
        </w:rPr>
        <w:t xml:space="preserve"> </w:t>
      </w:r>
      <w:r w:rsidRPr="00A05A3A">
        <w:rPr>
          <w:sz w:val="14"/>
          <w:szCs w:val="14"/>
          <w:shd w:val="clear" w:color="auto" w:fill="FFFFFF"/>
          <w:lang w:val="en-GB"/>
        </w:rPr>
        <w:t>Reported data – subject to change upon developing quarterly reports</w:t>
      </w:r>
    </w:p>
  </w:footnote>
  <w:footnote w:id="2">
    <w:p w:rsidR="00C733A3" w:rsidRPr="009046F6" w:rsidRDefault="00C733A3" w:rsidP="009046F6">
      <w:pPr>
        <w:rPr>
          <w:rFonts w:ascii="Fira Sans Light" w:hAnsi="Fira Sans Light"/>
          <w:b/>
          <w:bCs/>
          <w:sz w:val="14"/>
          <w:szCs w:val="14"/>
          <w:lang w:val="en-GB"/>
        </w:rPr>
      </w:pPr>
      <w:r>
        <w:rPr>
          <w:rStyle w:val="Odwoanieprzypisudolnego"/>
        </w:rPr>
        <w:footnoteRef/>
      </w:r>
      <w:r w:rsidRPr="00C733A3">
        <w:rPr>
          <w:lang w:val="en-GB"/>
        </w:rPr>
        <w:t xml:space="preserve"> </w:t>
      </w:r>
      <w:r w:rsidRPr="00C733A3">
        <w:rPr>
          <w:bCs/>
          <w:sz w:val="14"/>
          <w:szCs w:val="14"/>
          <w:lang w:val="en-GB"/>
        </w:rPr>
        <w:t>Every time developers are mentioned in the news release, it means construction intended for sale or rent, that is realised by various investors with the purpose of making a profit, whereas if private investors are mentioned, it means private construction, that is realised for the use of the investor</w:t>
      </w:r>
    </w:p>
  </w:footnote>
  <w:footnote w:id="3">
    <w:p w:rsidR="00054314" w:rsidRPr="009046F6" w:rsidRDefault="00054314" w:rsidP="00054314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9046F6">
        <w:rPr>
          <w:lang w:val="en-GB"/>
        </w:rPr>
        <w:t xml:space="preserve"> </w:t>
      </w:r>
      <w:r w:rsidR="009046F6">
        <w:rPr>
          <w:sz w:val="14"/>
          <w:szCs w:val="14"/>
          <w:lang w:val="en-GB"/>
        </w:rPr>
        <w:t>R</w:t>
      </w:r>
      <w:r w:rsidR="009046F6" w:rsidRPr="009046F6">
        <w:rPr>
          <w:sz w:val="14"/>
          <w:szCs w:val="14"/>
          <w:lang w:val="en-GB"/>
        </w:rPr>
        <w:t xml:space="preserve">ealised by various investors with the purpose of short and long term rent of dwellings, also based on the institutional lease </w:t>
      </w:r>
      <w:r w:rsidR="009046F6">
        <w:rPr>
          <w:sz w:val="14"/>
          <w:szCs w:val="14"/>
          <w:lang w:val="en-GB"/>
        </w:rPr>
        <w:t>agreements leading to ownership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AE005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5219497</wp:posOffset>
              </wp:positionH>
              <wp:positionV relativeFrom="paragraph">
                <wp:posOffset>868856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2B6" w:rsidRPr="00C97596" w:rsidRDefault="00C733A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21.02</w:t>
                          </w:r>
                          <w:r w:rsidR="00AE005F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.2019 </w:t>
                          </w:r>
                          <w:r w:rsidR="00632D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68.4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" filled="f" stroked="f">
              <v:textbox>
                <w:txbxContent>
                  <w:p w:rsidR="004862B6" w:rsidRPr="00C97596" w:rsidRDefault="00C733A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21.02</w:t>
                    </w:r>
                    <w:r w:rsidR="00AE005F">
                      <w:rPr>
                        <w:rFonts w:ascii="Fira Sans SemiBold" w:hAnsi="Fira Sans SemiBold"/>
                        <w:color w:val="001D77"/>
                      </w:rPr>
                      <w:t xml:space="preserve">.2019 </w:t>
                    </w:r>
                    <w:r w:rsidR="00632D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</w:t>
                          </w:r>
                          <w:r w:rsidR="001F1170">
                            <w:rPr>
                              <w:rFonts w:ascii="Fira Sans SemiBold" w:hAnsi="Fira Sans SemiBold"/>
                            </w:rPr>
                            <w:t>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6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</w:t>
                    </w:r>
                    <w:r w:rsidR="001F1170">
                      <w:rPr>
                        <w:rFonts w:ascii="Fira Sans SemiBold" w:hAnsi="Fira Sans SemiBold"/>
                      </w:rPr>
                      <w:t>EWS RELEASES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6F212552" wp14:editId="65A1A676">
          <wp:extent cx="1866900" cy="704850"/>
          <wp:effectExtent l="0" t="0" r="0" b="0"/>
          <wp:docPr id="7" name="Obraz 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4862B6">
    <w:pPr>
      <w:pStyle w:val="Nagwek"/>
    </w:pPr>
  </w:p>
  <w:p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3.3pt;height:127.15pt;visibility:visible;mso-wrap-style:square" o:bullet="t">
        <v:imagedata r:id="rId1" o:title=""/>
      </v:shape>
    </w:pict>
  </w:numPicBullet>
  <w:numPicBullet w:numPicBulletId="1">
    <w:pict>
      <v:shape id="_x0000_i1041" type="#_x0000_t75" style="width:126.4pt;height:127.1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C5B"/>
    <w:rsid w:val="0000301D"/>
    <w:rsid w:val="00003437"/>
    <w:rsid w:val="0000709F"/>
    <w:rsid w:val="00007996"/>
    <w:rsid w:val="00007BF9"/>
    <w:rsid w:val="00010800"/>
    <w:rsid w:val="000108B8"/>
    <w:rsid w:val="000111EC"/>
    <w:rsid w:val="00013599"/>
    <w:rsid w:val="000152F5"/>
    <w:rsid w:val="000169EB"/>
    <w:rsid w:val="00024626"/>
    <w:rsid w:val="000271FB"/>
    <w:rsid w:val="0003236F"/>
    <w:rsid w:val="000411F6"/>
    <w:rsid w:val="000441C0"/>
    <w:rsid w:val="0004582E"/>
    <w:rsid w:val="000470AA"/>
    <w:rsid w:val="0005122F"/>
    <w:rsid w:val="00052F03"/>
    <w:rsid w:val="00053190"/>
    <w:rsid w:val="0005394E"/>
    <w:rsid w:val="00054314"/>
    <w:rsid w:val="00057CA1"/>
    <w:rsid w:val="000657FC"/>
    <w:rsid w:val="000662E2"/>
    <w:rsid w:val="00066883"/>
    <w:rsid w:val="000717DD"/>
    <w:rsid w:val="00073311"/>
    <w:rsid w:val="00074DD8"/>
    <w:rsid w:val="000761AC"/>
    <w:rsid w:val="00076D95"/>
    <w:rsid w:val="000806F7"/>
    <w:rsid w:val="000809C8"/>
    <w:rsid w:val="00084531"/>
    <w:rsid w:val="00086B7D"/>
    <w:rsid w:val="00086F9F"/>
    <w:rsid w:val="00087CEB"/>
    <w:rsid w:val="00091E35"/>
    <w:rsid w:val="00095A18"/>
    <w:rsid w:val="000A39FD"/>
    <w:rsid w:val="000A3AC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70E"/>
    <w:rsid w:val="000D1427"/>
    <w:rsid w:val="000D1D43"/>
    <w:rsid w:val="000D225C"/>
    <w:rsid w:val="000D2A5C"/>
    <w:rsid w:val="000D2E0B"/>
    <w:rsid w:val="000E0918"/>
    <w:rsid w:val="000E1F4F"/>
    <w:rsid w:val="000F1626"/>
    <w:rsid w:val="000F435D"/>
    <w:rsid w:val="000F445C"/>
    <w:rsid w:val="001011C3"/>
    <w:rsid w:val="001070E5"/>
    <w:rsid w:val="00110D87"/>
    <w:rsid w:val="001113A6"/>
    <w:rsid w:val="00111FD5"/>
    <w:rsid w:val="00112607"/>
    <w:rsid w:val="00113070"/>
    <w:rsid w:val="00114DB9"/>
    <w:rsid w:val="00116087"/>
    <w:rsid w:val="00127C74"/>
    <w:rsid w:val="00130296"/>
    <w:rsid w:val="00135FC7"/>
    <w:rsid w:val="00136D24"/>
    <w:rsid w:val="001409E1"/>
    <w:rsid w:val="00140E7D"/>
    <w:rsid w:val="001423B6"/>
    <w:rsid w:val="001448A7"/>
    <w:rsid w:val="00146621"/>
    <w:rsid w:val="00152273"/>
    <w:rsid w:val="00154AC9"/>
    <w:rsid w:val="00162325"/>
    <w:rsid w:val="00175380"/>
    <w:rsid w:val="0017779B"/>
    <w:rsid w:val="00177DD6"/>
    <w:rsid w:val="001850EA"/>
    <w:rsid w:val="00193519"/>
    <w:rsid w:val="00194103"/>
    <w:rsid w:val="001945FA"/>
    <w:rsid w:val="001951DA"/>
    <w:rsid w:val="001952F2"/>
    <w:rsid w:val="00195767"/>
    <w:rsid w:val="001A4380"/>
    <w:rsid w:val="001A6EC1"/>
    <w:rsid w:val="001B1CE5"/>
    <w:rsid w:val="001C1808"/>
    <w:rsid w:val="001C3269"/>
    <w:rsid w:val="001C3694"/>
    <w:rsid w:val="001D03B4"/>
    <w:rsid w:val="001D087B"/>
    <w:rsid w:val="001D1DB4"/>
    <w:rsid w:val="001D270F"/>
    <w:rsid w:val="001D2AD6"/>
    <w:rsid w:val="001D508C"/>
    <w:rsid w:val="001E307A"/>
    <w:rsid w:val="001E475A"/>
    <w:rsid w:val="001F1170"/>
    <w:rsid w:val="001F31BD"/>
    <w:rsid w:val="001F3686"/>
    <w:rsid w:val="001F649C"/>
    <w:rsid w:val="00202E71"/>
    <w:rsid w:val="00211FA7"/>
    <w:rsid w:val="00216F21"/>
    <w:rsid w:val="00217D5E"/>
    <w:rsid w:val="00224A09"/>
    <w:rsid w:val="00224D54"/>
    <w:rsid w:val="00237220"/>
    <w:rsid w:val="002452B8"/>
    <w:rsid w:val="00246441"/>
    <w:rsid w:val="00254D71"/>
    <w:rsid w:val="002574F9"/>
    <w:rsid w:val="00257AA4"/>
    <w:rsid w:val="002615C6"/>
    <w:rsid w:val="00261B24"/>
    <w:rsid w:val="0026524A"/>
    <w:rsid w:val="00270874"/>
    <w:rsid w:val="0027193F"/>
    <w:rsid w:val="002722B3"/>
    <w:rsid w:val="0027483D"/>
    <w:rsid w:val="00276811"/>
    <w:rsid w:val="00282699"/>
    <w:rsid w:val="00291BB9"/>
    <w:rsid w:val="002926DF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6B12"/>
    <w:rsid w:val="002B6B7B"/>
    <w:rsid w:val="002C2695"/>
    <w:rsid w:val="002C424B"/>
    <w:rsid w:val="002D2ECD"/>
    <w:rsid w:val="002D6990"/>
    <w:rsid w:val="002E13A8"/>
    <w:rsid w:val="002E3590"/>
    <w:rsid w:val="002E6140"/>
    <w:rsid w:val="002E6985"/>
    <w:rsid w:val="002E71B6"/>
    <w:rsid w:val="002F1F42"/>
    <w:rsid w:val="002F77C8"/>
    <w:rsid w:val="0030115B"/>
    <w:rsid w:val="00304F22"/>
    <w:rsid w:val="00306C7C"/>
    <w:rsid w:val="00313E16"/>
    <w:rsid w:val="00315805"/>
    <w:rsid w:val="00317C29"/>
    <w:rsid w:val="00320924"/>
    <w:rsid w:val="00322EDD"/>
    <w:rsid w:val="003231A1"/>
    <w:rsid w:val="00332263"/>
    <w:rsid w:val="00332320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5F22"/>
    <w:rsid w:val="00367237"/>
    <w:rsid w:val="0037077F"/>
    <w:rsid w:val="00371C7E"/>
    <w:rsid w:val="0037385E"/>
    <w:rsid w:val="00373882"/>
    <w:rsid w:val="00375215"/>
    <w:rsid w:val="003843DB"/>
    <w:rsid w:val="003854ED"/>
    <w:rsid w:val="00386D02"/>
    <w:rsid w:val="003931C0"/>
    <w:rsid w:val="0039373A"/>
    <w:rsid w:val="00393761"/>
    <w:rsid w:val="00394C33"/>
    <w:rsid w:val="00397D18"/>
    <w:rsid w:val="003A09C1"/>
    <w:rsid w:val="003A18A4"/>
    <w:rsid w:val="003A1B36"/>
    <w:rsid w:val="003A2F3A"/>
    <w:rsid w:val="003A358E"/>
    <w:rsid w:val="003A42AA"/>
    <w:rsid w:val="003A716C"/>
    <w:rsid w:val="003B1454"/>
    <w:rsid w:val="003B24CF"/>
    <w:rsid w:val="003B5AC1"/>
    <w:rsid w:val="003B6350"/>
    <w:rsid w:val="003B7573"/>
    <w:rsid w:val="003C08F9"/>
    <w:rsid w:val="003C1BFD"/>
    <w:rsid w:val="003C34BC"/>
    <w:rsid w:val="003C59E0"/>
    <w:rsid w:val="003C6C8D"/>
    <w:rsid w:val="003D4F95"/>
    <w:rsid w:val="003D5F42"/>
    <w:rsid w:val="003D60A9"/>
    <w:rsid w:val="003D795B"/>
    <w:rsid w:val="003E0F23"/>
    <w:rsid w:val="003F13A9"/>
    <w:rsid w:val="003F19F4"/>
    <w:rsid w:val="003F4C97"/>
    <w:rsid w:val="003F53CA"/>
    <w:rsid w:val="003F68D3"/>
    <w:rsid w:val="003F7ED6"/>
    <w:rsid w:val="003F7FE6"/>
    <w:rsid w:val="00400193"/>
    <w:rsid w:val="00401DB3"/>
    <w:rsid w:val="004045B4"/>
    <w:rsid w:val="004130BC"/>
    <w:rsid w:val="004212E7"/>
    <w:rsid w:val="004231A6"/>
    <w:rsid w:val="0042446D"/>
    <w:rsid w:val="00427281"/>
    <w:rsid w:val="00427BF8"/>
    <w:rsid w:val="00431C02"/>
    <w:rsid w:val="0043307C"/>
    <w:rsid w:val="004347B4"/>
    <w:rsid w:val="0043577A"/>
    <w:rsid w:val="00435BD0"/>
    <w:rsid w:val="00437395"/>
    <w:rsid w:val="00440E30"/>
    <w:rsid w:val="00443D4F"/>
    <w:rsid w:val="00444B75"/>
    <w:rsid w:val="00445047"/>
    <w:rsid w:val="004466B1"/>
    <w:rsid w:val="00450A42"/>
    <w:rsid w:val="00450E62"/>
    <w:rsid w:val="00454004"/>
    <w:rsid w:val="00463E39"/>
    <w:rsid w:val="00464D4F"/>
    <w:rsid w:val="0046503D"/>
    <w:rsid w:val="004652C2"/>
    <w:rsid w:val="004657FC"/>
    <w:rsid w:val="00467EFF"/>
    <w:rsid w:val="00471D34"/>
    <w:rsid w:val="004733F6"/>
    <w:rsid w:val="00474753"/>
    <w:rsid w:val="00474E69"/>
    <w:rsid w:val="00477DD8"/>
    <w:rsid w:val="00485619"/>
    <w:rsid w:val="00485E73"/>
    <w:rsid w:val="004862B6"/>
    <w:rsid w:val="0049056D"/>
    <w:rsid w:val="0049115E"/>
    <w:rsid w:val="004949CA"/>
    <w:rsid w:val="0049621B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F0C3C"/>
    <w:rsid w:val="004F4FCA"/>
    <w:rsid w:val="004F63FC"/>
    <w:rsid w:val="004F6903"/>
    <w:rsid w:val="00505A92"/>
    <w:rsid w:val="00507D43"/>
    <w:rsid w:val="005203F1"/>
    <w:rsid w:val="00521BC3"/>
    <w:rsid w:val="00522606"/>
    <w:rsid w:val="0052510F"/>
    <w:rsid w:val="00525CAC"/>
    <w:rsid w:val="00533632"/>
    <w:rsid w:val="005378A0"/>
    <w:rsid w:val="0054251F"/>
    <w:rsid w:val="00542771"/>
    <w:rsid w:val="00546790"/>
    <w:rsid w:val="005501C7"/>
    <w:rsid w:val="00550618"/>
    <w:rsid w:val="005520D8"/>
    <w:rsid w:val="0055460F"/>
    <w:rsid w:val="00556A1B"/>
    <w:rsid w:val="00556CF1"/>
    <w:rsid w:val="0055770D"/>
    <w:rsid w:val="00561AEB"/>
    <w:rsid w:val="005762A7"/>
    <w:rsid w:val="00577BDE"/>
    <w:rsid w:val="00582224"/>
    <w:rsid w:val="00582ED4"/>
    <w:rsid w:val="005916D7"/>
    <w:rsid w:val="005A30AB"/>
    <w:rsid w:val="005A698C"/>
    <w:rsid w:val="005B2080"/>
    <w:rsid w:val="005C16BE"/>
    <w:rsid w:val="005C4A86"/>
    <w:rsid w:val="005C4E91"/>
    <w:rsid w:val="005D01B4"/>
    <w:rsid w:val="005D23AA"/>
    <w:rsid w:val="005D2FB0"/>
    <w:rsid w:val="005D7D25"/>
    <w:rsid w:val="005E0799"/>
    <w:rsid w:val="005E3825"/>
    <w:rsid w:val="005E48B2"/>
    <w:rsid w:val="005E4E00"/>
    <w:rsid w:val="005F302D"/>
    <w:rsid w:val="005F5A80"/>
    <w:rsid w:val="005F6FE0"/>
    <w:rsid w:val="006030DD"/>
    <w:rsid w:val="006044FF"/>
    <w:rsid w:val="00607CC5"/>
    <w:rsid w:val="006102AA"/>
    <w:rsid w:val="00610B5E"/>
    <w:rsid w:val="00612A93"/>
    <w:rsid w:val="0061398F"/>
    <w:rsid w:val="0062187C"/>
    <w:rsid w:val="00621F5F"/>
    <w:rsid w:val="006263DA"/>
    <w:rsid w:val="00626952"/>
    <w:rsid w:val="00626D87"/>
    <w:rsid w:val="00627CBE"/>
    <w:rsid w:val="006318DA"/>
    <w:rsid w:val="00632DF8"/>
    <w:rsid w:val="00633014"/>
    <w:rsid w:val="0063437B"/>
    <w:rsid w:val="00646D6F"/>
    <w:rsid w:val="0065707D"/>
    <w:rsid w:val="00664589"/>
    <w:rsid w:val="00665C38"/>
    <w:rsid w:val="006673CA"/>
    <w:rsid w:val="00667D6F"/>
    <w:rsid w:val="00673BE0"/>
    <w:rsid w:val="00673C26"/>
    <w:rsid w:val="00674ABE"/>
    <w:rsid w:val="0067794E"/>
    <w:rsid w:val="006812AF"/>
    <w:rsid w:val="0068327D"/>
    <w:rsid w:val="0068790E"/>
    <w:rsid w:val="00690C38"/>
    <w:rsid w:val="00694AF0"/>
    <w:rsid w:val="006A0E22"/>
    <w:rsid w:val="006A1938"/>
    <w:rsid w:val="006A37E8"/>
    <w:rsid w:val="006B0E9E"/>
    <w:rsid w:val="006B5AE4"/>
    <w:rsid w:val="006B6187"/>
    <w:rsid w:val="006C645A"/>
    <w:rsid w:val="006D4054"/>
    <w:rsid w:val="006D5ABB"/>
    <w:rsid w:val="006D7F1E"/>
    <w:rsid w:val="006E02EC"/>
    <w:rsid w:val="006E4D66"/>
    <w:rsid w:val="006E5888"/>
    <w:rsid w:val="006E6053"/>
    <w:rsid w:val="006E6C7B"/>
    <w:rsid w:val="006F5EF5"/>
    <w:rsid w:val="00707935"/>
    <w:rsid w:val="00713DD1"/>
    <w:rsid w:val="0071467D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4924"/>
    <w:rsid w:val="00736952"/>
    <w:rsid w:val="00741554"/>
    <w:rsid w:val="00746187"/>
    <w:rsid w:val="0075636C"/>
    <w:rsid w:val="007573AD"/>
    <w:rsid w:val="0076254F"/>
    <w:rsid w:val="00763711"/>
    <w:rsid w:val="007702BD"/>
    <w:rsid w:val="00770725"/>
    <w:rsid w:val="0077078E"/>
    <w:rsid w:val="00773B09"/>
    <w:rsid w:val="007801F5"/>
    <w:rsid w:val="00780316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DC1"/>
    <w:rsid w:val="007B0E35"/>
    <w:rsid w:val="007B3DB7"/>
    <w:rsid w:val="007B4E2B"/>
    <w:rsid w:val="007B4F73"/>
    <w:rsid w:val="007C2C9F"/>
    <w:rsid w:val="007C792E"/>
    <w:rsid w:val="007D3319"/>
    <w:rsid w:val="007D335D"/>
    <w:rsid w:val="007E3314"/>
    <w:rsid w:val="007E4B03"/>
    <w:rsid w:val="007E58A2"/>
    <w:rsid w:val="007E7CE3"/>
    <w:rsid w:val="007F0C1A"/>
    <w:rsid w:val="007F1D43"/>
    <w:rsid w:val="007F324B"/>
    <w:rsid w:val="007F6B07"/>
    <w:rsid w:val="007F7483"/>
    <w:rsid w:val="00802022"/>
    <w:rsid w:val="00804C08"/>
    <w:rsid w:val="0080553C"/>
    <w:rsid w:val="00805B46"/>
    <w:rsid w:val="00813014"/>
    <w:rsid w:val="00820D18"/>
    <w:rsid w:val="00825DC2"/>
    <w:rsid w:val="00834AD3"/>
    <w:rsid w:val="00836CD7"/>
    <w:rsid w:val="008433EE"/>
    <w:rsid w:val="00843795"/>
    <w:rsid w:val="00846DBD"/>
    <w:rsid w:val="00846E9E"/>
    <w:rsid w:val="00847F0F"/>
    <w:rsid w:val="008500B1"/>
    <w:rsid w:val="00852448"/>
    <w:rsid w:val="00853635"/>
    <w:rsid w:val="00856FE3"/>
    <w:rsid w:val="00860F7B"/>
    <w:rsid w:val="00863E09"/>
    <w:rsid w:val="008646DA"/>
    <w:rsid w:val="00866416"/>
    <w:rsid w:val="0087438B"/>
    <w:rsid w:val="0088258A"/>
    <w:rsid w:val="00882FBF"/>
    <w:rsid w:val="0088355D"/>
    <w:rsid w:val="008843BB"/>
    <w:rsid w:val="00886332"/>
    <w:rsid w:val="00887F70"/>
    <w:rsid w:val="008948E4"/>
    <w:rsid w:val="00896EB9"/>
    <w:rsid w:val="008A1C80"/>
    <w:rsid w:val="008A26D9"/>
    <w:rsid w:val="008A58C2"/>
    <w:rsid w:val="008B3CA0"/>
    <w:rsid w:val="008C0C29"/>
    <w:rsid w:val="008C4E2B"/>
    <w:rsid w:val="008D2074"/>
    <w:rsid w:val="008D3F85"/>
    <w:rsid w:val="008D5496"/>
    <w:rsid w:val="008D561B"/>
    <w:rsid w:val="008E0933"/>
    <w:rsid w:val="008F2D53"/>
    <w:rsid w:val="008F3638"/>
    <w:rsid w:val="008F5556"/>
    <w:rsid w:val="008F6F31"/>
    <w:rsid w:val="008F74DF"/>
    <w:rsid w:val="00901350"/>
    <w:rsid w:val="009046F6"/>
    <w:rsid w:val="00905A67"/>
    <w:rsid w:val="00906857"/>
    <w:rsid w:val="00907546"/>
    <w:rsid w:val="009127BA"/>
    <w:rsid w:val="009168D8"/>
    <w:rsid w:val="009227A6"/>
    <w:rsid w:val="00926B44"/>
    <w:rsid w:val="0092750D"/>
    <w:rsid w:val="0092758B"/>
    <w:rsid w:val="00927755"/>
    <w:rsid w:val="009301B3"/>
    <w:rsid w:val="00931AE5"/>
    <w:rsid w:val="00933EC1"/>
    <w:rsid w:val="00944262"/>
    <w:rsid w:val="009510F1"/>
    <w:rsid w:val="009530DB"/>
    <w:rsid w:val="00953676"/>
    <w:rsid w:val="00956313"/>
    <w:rsid w:val="009609A1"/>
    <w:rsid w:val="00960A1C"/>
    <w:rsid w:val="00960A9C"/>
    <w:rsid w:val="00960BE4"/>
    <w:rsid w:val="009664CD"/>
    <w:rsid w:val="0096740A"/>
    <w:rsid w:val="009705EE"/>
    <w:rsid w:val="00972B83"/>
    <w:rsid w:val="00975A71"/>
    <w:rsid w:val="00977927"/>
    <w:rsid w:val="00980EA5"/>
    <w:rsid w:val="0098135C"/>
    <w:rsid w:val="0098156A"/>
    <w:rsid w:val="00983BE8"/>
    <w:rsid w:val="0098487F"/>
    <w:rsid w:val="009918AB"/>
    <w:rsid w:val="00991BAC"/>
    <w:rsid w:val="00996309"/>
    <w:rsid w:val="009A61DB"/>
    <w:rsid w:val="009A6EA0"/>
    <w:rsid w:val="009A7910"/>
    <w:rsid w:val="009B0217"/>
    <w:rsid w:val="009B0770"/>
    <w:rsid w:val="009B382F"/>
    <w:rsid w:val="009B7341"/>
    <w:rsid w:val="009B7D46"/>
    <w:rsid w:val="009C0CCF"/>
    <w:rsid w:val="009C1335"/>
    <w:rsid w:val="009C1AB2"/>
    <w:rsid w:val="009C7251"/>
    <w:rsid w:val="009D2F59"/>
    <w:rsid w:val="009E13F6"/>
    <w:rsid w:val="009E2E91"/>
    <w:rsid w:val="009E3371"/>
    <w:rsid w:val="009E6202"/>
    <w:rsid w:val="009F0127"/>
    <w:rsid w:val="009F16E7"/>
    <w:rsid w:val="009F1C77"/>
    <w:rsid w:val="009F1CDB"/>
    <w:rsid w:val="009F686F"/>
    <w:rsid w:val="00A02ED8"/>
    <w:rsid w:val="00A05A3A"/>
    <w:rsid w:val="00A05EE7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F52"/>
    <w:rsid w:val="00A33759"/>
    <w:rsid w:val="00A365F4"/>
    <w:rsid w:val="00A40D16"/>
    <w:rsid w:val="00A4219B"/>
    <w:rsid w:val="00A4223C"/>
    <w:rsid w:val="00A4333F"/>
    <w:rsid w:val="00A45EB1"/>
    <w:rsid w:val="00A47D80"/>
    <w:rsid w:val="00A51E03"/>
    <w:rsid w:val="00A53132"/>
    <w:rsid w:val="00A563F2"/>
    <w:rsid w:val="00A566E8"/>
    <w:rsid w:val="00A63CAF"/>
    <w:rsid w:val="00A66E7E"/>
    <w:rsid w:val="00A810F9"/>
    <w:rsid w:val="00A846D6"/>
    <w:rsid w:val="00A86ECC"/>
    <w:rsid w:val="00A86FCC"/>
    <w:rsid w:val="00A87DC7"/>
    <w:rsid w:val="00A91D74"/>
    <w:rsid w:val="00AA05AC"/>
    <w:rsid w:val="00AA087A"/>
    <w:rsid w:val="00AA298E"/>
    <w:rsid w:val="00AA3EB6"/>
    <w:rsid w:val="00AA5069"/>
    <w:rsid w:val="00AA710D"/>
    <w:rsid w:val="00AB0FC8"/>
    <w:rsid w:val="00AB6D25"/>
    <w:rsid w:val="00AB788D"/>
    <w:rsid w:val="00AB7943"/>
    <w:rsid w:val="00AB7945"/>
    <w:rsid w:val="00AC37B3"/>
    <w:rsid w:val="00AC658C"/>
    <w:rsid w:val="00AC7ADB"/>
    <w:rsid w:val="00AD0A03"/>
    <w:rsid w:val="00AD1492"/>
    <w:rsid w:val="00AD2EA0"/>
    <w:rsid w:val="00AD4A4E"/>
    <w:rsid w:val="00AD5C65"/>
    <w:rsid w:val="00AE005F"/>
    <w:rsid w:val="00AE19DE"/>
    <w:rsid w:val="00AE2D4B"/>
    <w:rsid w:val="00AE3772"/>
    <w:rsid w:val="00AE3FB3"/>
    <w:rsid w:val="00AE4F99"/>
    <w:rsid w:val="00AF19C9"/>
    <w:rsid w:val="00B0456F"/>
    <w:rsid w:val="00B11740"/>
    <w:rsid w:val="00B130CA"/>
    <w:rsid w:val="00B14952"/>
    <w:rsid w:val="00B1769B"/>
    <w:rsid w:val="00B21BA7"/>
    <w:rsid w:val="00B21C01"/>
    <w:rsid w:val="00B2646D"/>
    <w:rsid w:val="00B30CCF"/>
    <w:rsid w:val="00B31E5A"/>
    <w:rsid w:val="00B34C4C"/>
    <w:rsid w:val="00B407D3"/>
    <w:rsid w:val="00B42455"/>
    <w:rsid w:val="00B44C5A"/>
    <w:rsid w:val="00B465A7"/>
    <w:rsid w:val="00B55F47"/>
    <w:rsid w:val="00B6240E"/>
    <w:rsid w:val="00B6523B"/>
    <w:rsid w:val="00B653AB"/>
    <w:rsid w:val="00B65F9E"/>
    <w:rsid w:val="00B668FA"/>
    <w:rsid w:val="00B66B19"/>
    <w:rsid w:val="00B70D87"/>
    <w:rsid w:val="00B76621"/>
    <w:rsid w:val="00B77EC9"/>
    <w:rsid w:val="00B82E2D"/>
    <w:rsid w:val="00B847C4"/>
    <w:rsid w:val="00B86655"/>
    <w:rsid w:val="00B914E9"/>
    <w:rsid w:val="00B956EE"/>
    <w:rsid w:val="00B95FA8"/>
    <w:rsid w:val="00B96AD0"/>
    <w:rsid w:val="00BA14B6"/>
    <w:rsid w:val="00BA2BA1"/>
    <w:rsid w:val="00BA3D02"/>
    <w:rsid w:val="00BA44CD"/>
    <w:rsid w:val="00BA6BF5"/>
    <w:rsid w:val="00BB4F09"/>
    <w:rsid w:val="00BC514E"/>
    <w:rsid w:val="00BD1D77"/>
    <w:rsid w:val="00BD2577"/>
    <w:rsid w:val="00BD4E33"/>
    <w:rsid w:val="00BD5F7F"/>
    <w:rsid w:val="00BD601A"/>
    <w:rsid w:val="00BD6924"/>
    <w:rsid w:val="00BE7969"/>
    <w:rsid w:val="00BF01CB"/>
    <w:rsid w:val="00BF0335"/>
    <w:rsid w:val="00BF36AA"/>
    <w:rsid w:val="00C021FE"/>
    <w:rsid w:val="00C030DE"/>
    <w:rsid w:val="00C05C8B"/>
    <w:rsid w:val="00C16ABB"/>
    <w:rsid w:val="00C202E0"/>
    <w:rsid w:val="00C21FA8"/>
    <w:rsid w:val="00C22105"/>
    <w:rsid w:val="00C22EA2"/>
    <w:rsid w:val="00C230EE"/>
    <w:rsid w:val="00C244B6"/>
    <w:rsid w:val="00C35DEE"/>
    <w:rsid w:val="00C3702F"/>
    <w:rsid w:val="00C41764"/>
    <w:rsid w:val="00C45997"/>
    <w:rsid w:val="00C47820"/>
    <w:rsid w:val="00C47CE4"/>
    <w:rsid w:val="00C52C74"/>
    <w:rsid w:val="00C5434F"/>
    <w:rsid w:val="00C60835"/>
    <w:rsid w:val="00C64A37"/>
    <w:rsid w:val="00C7158E"/>
    <w:rsid w:val="00C7250B"/>
    <w:rsid w:val="00C733A3"/>
    <w:rsid w:val="00C7346B"/>
    <w:rsid w:val="00C769E6"/>
    <w:rsid w:val="00C77C0E"/>
    <w:rsid w:val="00C8094E"/>
    <w:rsid w:val="00C82362"/>
    <w:rsid w:val="00C84740"/>
    <w:rsid w:val="00C84D08"/>
    <w:rsid w:val="00C91687"/>
    <w:rsid w:val="00C924A8"/>
    <w:rsid w:val="00C945FE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0BB2"/>
    <w:rsid w:val="00CB3F80"/>
    <w:rsid w:val="00CB5FF0"/>
    <w:rsid w:val="00CB6084"/>
    <w:rsid w:val="00CB6E0A"/>
    <w:rsid w:val="00CC008F"/>
    <w:rsid w:val="00CC0A96"/>
    <w:rsid w:val="00CC1C7C"/>
    <w:rsid w:val="00CC739E"/>
    <w:rsid w:val="00CD07B6"/>
    <w:rsid w:val="00CD1C2A"/>
    <w:rsid w:val="00CD26C7"/>
    <w:rsid w:val="00CD5580"/>
    <w:rsid w:val="00CD58B7"/>
    <w:rsid w:val="00CF0172"/>
    <w:rsid w:val="00CF36C5"/>
    <w:rsid w:val="00CF4099"/>
    <w:rsid w:val="00D00796"/>
    <w:rsid w:val="00D10E44"/>
    <w:rsid w:val="00D110E3"/>
    <w:rsid w:val="00D21D71"/>
    <w:rsid w:val="00D242EC"/>
    <w:rsid w:val="00D261A2"/>
    <w:rsid w:val="00D30D5C"/>
    <w:rsid w:val="00D30EF4"/>
    <w:rsid w:val="00D45A80"/>
    <w:rsid w:val="00D47F69"/>
    <w:rsid w:val="00D504E4"/>
    <w:rsid w:val="00D536C0"/>
    <w:rsid w:val="00D54994"/>
    <w:rsid w:val="00D569E3"/>
    <w:rsid w:val="00D616D2"/>
    <w:rsid w:val="00D631C8"/>
    <w:rsid w:val="00D63B5F"/>
    <w:rsid w:val="00D67B34"/>
    <w:rsid w:val="00D70EF7"/>
    <w:rsid w:val="00D76E73"/>
    <w:rsid w:val="00D8018C"/>
    <w:rsid w:val="00D8211E"/>
    <w:rsid w:val="00D8397C"/>
    <w:rsid w:val="00D83D00"/>
    <w:rsid w:val="00D923F1"/>
    <w:rsid w:val="00D934F6"/>
    <w:rsid w:val="00D94EED"/>
    <w:rsid w:val="00D96026"/>
    <w:rsid w:val="00DA5A02"/>
    <w:rsid w:val="00DA7C1C"/>
    <w:rsid w:val="00DB147A"/>
    <w:rsid w:val="00DB1B7A"/>
    <w:rsid w:val="00DB562E"/>
    <w:rsid w:val="00DC3774"/>
    <w:rsid w:val="00DC6708"/>
    <w:rsid w:val="00DD1D64"/>
    <w:rsid w:val="00DD20E2"/>
    <w:rsid w:val="00DD21A2"/>
    <w:rsid w:val="00DE4176"/>
    <w:rsid w:val="00DE6865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15A67"/>
    <w:rsid w:val="00E16266"/>
    <w:rsid w:val="00E176B4"/>
    <w:rsid w:val="00E17B77"/>
    <w:rsid w:val="00E23337"/>
    <w:rsid w:val="00E245E1"/>
    <w:rsid w:val="00E24F07"/>
    <w:rsid w:val="00E259EA"/>
    <w:rsid w:val="00E31232"/>
    <w:rsid w:val="00E32061"/>
    <w:rsid w:val="00E322C8"/>
    <w:rsid w:val="00E34610"/>
    <w:rsid w:val="00E3705B"/>
    <w:rsid w:val="00E42FF9"/>
    <w:rsid w:val="00E457ED"/>
    <w:rsid w:val="00E4714C"/>
    <w:rsid w:val="00E51AEB"/>
    <w:rsid w:val="00E522A7"/>
    <w:rsid w:val="00E54452"/>
    <w:rsid w:val="00E57D4D"/>
    <w:rsid w:val="00E641D0"/>
    <w:rsid w:val="00E661E4"/>
    <w:rsid w:val="00E664C5"/>
    <w:rsid w:val="00E671A2"/>
    <w:rsid w:val="00E67A9D"/>
    <w:rsid w:val="00E7580A"/>
    <w:rsid w:val="00E75F97"/>
    <w:rsid w:val="00E76D26"/>
    <w:rsid w:val="00E82DBC"/>
    <w:rsid w:val="00E90AC0"/>
    <w:rsid w:val="00E928D6"/>
    <w:rsid w:val="00E94640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D04D0"/>
    <w:rsid w:val="00ED55C0"/>
    <w:rsid w:val="00ED682B"/>
    <w:rsid w:val="00ED7983"/>
    <w:rsid w:val="00EE373E"/>
    <w:rsid w:val="00EE41D5"/>
    <w:rsid w:val="00EF767E"/>
    <w:rsid w:val="00F037A4"/>
    <w:rsid w:val="00F11509"/>
    <w:rsid w:val="00F137F7"/>
    <w:rsid w:val="00F17D27"/>
    <w:rsid w:val="00F245D9"/>
    <w:rsid w:val="00F26991"/>
    <w:rsid w:val="00F27C8F"/>
    <w:rsid w:val="00F32749"/>
    <w:rsid w:val="00F35AD5"/>
    <w:rsid w:val="00F37172"/>
    <w:rsid w:val="00F374DC"/>
    <w:rsid w:val="00F4477E"/>
    <w:rsid w:val="00F46B76"/>
    <w:rsid w:val="00F52D79"/>
    <w:rsid w:val="00F55F41"/>
    <w:rsid w:val="00F56F73"/>
    <w:rsid w:val="00F57745"/>
    <w:rsid w:val="00F6158E"/>
    <w:rsid w:val="00F64AC1"/>
    <w:rsid w:val="00F67D8F"/>
    <w:rsid w:val="00F802BE"/>
    <w:rsid w:val="00F844D3"/>
    <w:rsid w:val="00F84FEA"/>
    <w:rsid w:val="00F86024"/>
    <w:rsid w:val="00F8611A"/>
    <w:rsid w:val="00F9379A"/>
    <w:rsid w:val="00FA3953"/>
    <w:rsid w:val="00FA5128"/>
    <w:rsid w:val="00FA544B"/>
    <w:rsid w:val="00FA6239"/>
    <w:rsid w:val="00FA68FD"/>
    <w:rsid w:val="00FB0592"/>
    <w:rsid w:val="00FB42D4"/>
    <w:rsid w:val="00FB58A3"/>
    <w:rsid w:val="00FB5906"/>
    <w:rsid w:val="00FB762F"/>
    <w:rsid w:val="00FC2AED"/>
    <w:rsid w:val="00FD0C2F"/>
    <w:rsid w:val="00FD5EA7"/>
    <w:rsid w:val="00FE6CB4"/>
    <w:rsid w:val="00FE705C"/>
    <w:rsid w:val="00FF4E3F"/>
    <w:rsid w:val="00FF5E10"/>
    <w:rsid w:val="00FF61AB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2.xml"/><Relationship Id="rId18" Type="http://schemas.openxmlformats.org/officeDocument/2006/relationships/hyperlink" Target="mailto:Z.Kurlej@stat.gov.pl" TargetMode="External"/><Relationship Id="rId26" Type="http://schemas.openxmlformats.org/officeDocument/2006/relationships/hyperlink" Target="http://stat.gov.pl/en/topics/industry-construction-fixed-assets/construction/housing-construction-i-iii-quarter-2018,2,29.html" TargetMode="External"/><Relationship Id="rId39" Type="http://schemas.openxmlformats.org/officeDocument/2006/relationships/hyperlink" Target="http://stat.gov.pl/en/metainformations/glossary/terms-used-in-official-statistics/945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yperlink" Target="http://stat.gov.pl/en/topics/industry-construction-fixed-assets/construction/construction-results-in-2017,1,11.html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stat.gov.pl/en/topics/industry-construction-fixed-assets/construction/construction-results-in-2017,1,11.html" TargetMode="External"/><Relationship Id="rId33" Type="http://schemas.openxmlformats.org/officeDocument/2006/relationships/hyperlink" Target="http://stat.gov.pl/en/topics/other-studies/informations-on-socio-economic-situation/socio-economic-situation-of-the-country-in-october-2018,1,90.html" TargetMode="External"/><Relationship Id="rId38" Type="http://schemas.openxmlformats.org/officeDocument/2006/relationships/hyperlink" Target="http://stat.gov.pl/en/metainformations/glossary/terms-used-in-official-statistics/3763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3763,term.html" TargetMode="External"/><Relationship Id="rId41" Type="http://schemas.openxmlformats.org/officeDocument/2006/relationships/hyperlink" Target="http://stat.gov.pl/en/metainformations/glossary/terms-used-in-official-statistics/201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topics/other-studies/informations-on-socio-economic-situation/socio-economic-situation-of-the-country-in-october-2018,1,90.html" TargetMode="External"/><Relationship Id="rId32" Type="http://schemas.openxmlformats.org/officeDocument/2006/relationships/hyperlink" Target="http://stat.gov.pl/en/metainformations/glossary/terms-used-in-official-statistics/201,term.html" TargetMode="External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en/metainformations/glossary/terms-used-in-official-statistics/945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swaid.stat.gov.pl/EN/SitePagesDBW/Budownictwo.aspx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en/metainformations/glossary/terms-used-in-official-statistics/945,term.html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EN/SitePagesDBW/Budownictwo.aspx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35" Type="http://schemas.openxmlformats.org/officeDocument/2006/relationships/hyperlink" Target="http://stat.gov.pl/en/topics/industry-construction-fixed-assets/construction/housing-construction-i-iii-quarter-2018,2,29.html" TargetMode="Externa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4875324090270827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Arkusz1!$B$2:$AL$3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Arkusz1!$B$4:$AL$4</c:f>
              <c:numCache>
                <c:formatCode>General</c:formatCode>
                <c:ptCount val="37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15024</c:v>
                </c:pt>
                <c:pt idx="25">
                  <c:v>14935</c:v>
                </c:pt>
                <c:pt idx="26">
                  <c:v>14838</c:v>
                </c:pt>
                <c:pt idx="27">
                  <c:v>13869</c:v>
                </c:pt>
                <c:pt idx="28">
                  <c:v>11971</c:v>
                </c:pt>
                <c:pt idx="29">
                  <c:v>12320</c:v>
                </c:pt>
                <c:pt idx="30" formatCode="#,##0">
                  <c:v>16640</c:v>
                </c:pt>
                <c:pt idx="31" formatCode="#,##0">
                  <c:v>16426</c:v>
                </c:pt>
                <c:pt idx="32" formatCode="#,##0">
                  <c:v>13810</c:v>
                </c:pt>
                <c:pt idx="33" formatCode="#,##0">
                  <c:v>16344</c:v>
                </c:pt>
                <c:pt idx="34" formatCode="#,##0">
                  <c:v>17668</c:v>
                </c:pt>
                <c:pt idx="35" formatCode="#,##0">
                  <c:v>20938</c:v>
                </c:pt>
                <c:pt idx="36" formatCode="#,##0">
                  <c:v>16312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Arkusz1!$B$2:$AL$3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Arkusz1!$B$16:$AL$16</c:f>
              <c:numCache>
                <c:formatCode>General</c:formatCode>
                <c:ptCount val="37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7AC9"/>
                </a:solidFill>
              </a:ln>
              <a:effectLst/>
            </c:spPr>
          </c:marker>
          <c:cat>
            <c:multiLvlStrRef>
              <c:f>Arkusz1!$B$2:$AL$3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Arkusz1!$B$10:$AL$10</c:f>
              <c:numCache>
                <c:formatCode>General</c:formatCode>
                <c:ptCount val="37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1774984"/>
        <c:axId val="231773416"/>
      </c:lineChart>
      <c:catAx>
        <c:axId val="231774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3177341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231773416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31774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1191331652528194E-2"/>
          <c:y val="0.8237392303005463"/>
          <c:w val="0.93376612601743858"/>
          <c:h val="0.175796712329620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391554393372825"/>
          <c:y val="7.901597995616122E-2"/>
          <c:w val="0.74429058212275345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Łódzkie</c:v>
                </c:pt>
                <c:pt idx="9">
                  <c:v>Zachodniopomorskie</c:v>
                </c:pt>
                <c:pt idx="10">
                  <c:v>Śląskie</c:v>
                </c:pt>
                <c:pt idx="11">
                  <c:v>Dolnośląskie</c:v>
                </c:pt>
                <c:pt idx="12">
                  <c:v>Małopolskie</c:v>
                </c:pt>
                <c:pt idx="13">
                  <c:v>Pomorskie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170</c:v>
                </c:pt>
                <c:pt idx="1">
                  <c:v>169</c:v>
                </c:pt>
                <c:pt idx="2">
                  <c:v>211</c:v>
                </c:pt>
                <c:pt idx="3">
                  <c:v>69</c:v>
                </c:pt>
                <c:pt idx="4">
                  <c:v>1286</c:v>
                </c:pt>
                <c:pt idx="5">
                  <c:v>608</c:v>
                </c:pt>
                <c:pt idx="6">
                  <c:v>376</c:v>
                </c:pt>
                <c:pt idx="7">
                  <c:v>469</c:v>
                </c:pt>
                <c:pt idx="8">
                  <c:v>874</c:v>
                </c:pt>
                <c:pt idx="9">
                  <c:v>442</c:v>
                </c:pt>
                <c:pt idx="10">
                  <c:v>575</c:v>
                </c:pt>
                <c:pt idx="11">
                  <c:v>1727</c:v>
                </c:pt>
                <c:pt idx="12">
                  <c:v>856</c:v>
                </c:pt>
                <c:pt idx="13">
                  <c:v>1008</c:v>
                </c:pt>
                <c:pt idx="14">
                  <c:v>1519</c:v>
                </c:pt>
                <c:pt idx="15">
                  <c:v>3085</c:v>
                </c:pt>
              </c:numCache>
            </c:numRef>
          </c:val>
        </c:ser>
        <c:ser>
          <c:idx val="1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Łódzkie</c:v>
                </c:pt>
                <c:pt idx="9">
                  <c:v>Zachodniopomorskie</c:v>
                </c:pt>
                <c:pt idx="10">
                  <c:v>Śląskie</c:v>
                </c:pt>
                <c:pt idx="11">
                  <c:v>Dolnośląskie</c:v>
                </c:pt>
                <c:pt idx="12">
                  <c:v>Małopolskie</c:v>
                </c:pt>
                <c:pt idx="13">
                  <c:v>Pomorskie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351</c:v>
                </c:pt>
                <c:pt idx="1">
                  <c:v>210</c:v>
                </c:pt>
                <c:pt idx="2">
                  <c:v>533</c:v>
                </c:pt>
                <c:pt idx="3">
                  <c:v>660</c:v>
                </c:pt>
                <c:pt idx="4">
                  <c:v>716</c:v>
                </c:pt>
                <c:pt idx="5">
                  <c:v>956</c:v>
                </c:pt>
                <c:pt idx="6">
                  <c:v>810</c:v>
                </c:pt>
                <c:pt idx="7">
                  <c:v>635</c:v>
                </c:pt>
                <c:pt idx="8">
                  <c:v>1223</c:v>
                </c:pt>
                <c:pt idx="9">
                  <c:v>1182</c:v>
                </c:pt>
                <c:pt idx="10">
                  <c:v>1372</c:v>
                </c:pt>
                <c:pt idx="11">
                  <c:v>3177</c:v>
                </c:pt>
                <c:pt idx="12">
                  <c:v>1737</c:v>
                </c:pt>
                <c:pt idx="13">
                  <c:v>1836</c:v>
                </c:pt>
                <c:pt idx="14">
                  <c:v>1686</c:v>
                </c:pt>
                <c:pt idx="15">
                  <c:v>3546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Łódzkie</c:v>
                </c:pt>
                <c:pt idx="9">
                  <c:v>Zachodniopomorskie</c:v>
                </c:pt>
                <c:pt idx="10">
                  <c:v>Śląskie</c:v>
                </c:pt>
                <c:pt idx="11">
                  <c:v>Dolnośląskie</c:v>
                </c:pt>
                <c:pt idx="12">
                  <c:v>Małopolskie</c:v>
                </c:pt>
                <c:pt idx="13">
                  <c:v>Pomorskie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194</c:v>
                </c:pt>
                <c:pt idx="1">
                  <c:v>345</c:v>
                </c:pt>
                <c:pt idx="2">
                  <c:v>444</c:v>
                </c:pt>
                <c:pt idx="3">
                  <c:v>450</c:v>
                </c:pt>
                <c:pt idx="4">
                  <c:v>464</c:v>
                </c:pt>
                <c:pt idx="5">
                  <c:v>576</c:v>
                </c:pt>
                <c:pt idx="6">
                  <c:v>686</c:v>
                </c:pt>
                <c:pt idx="7">
                  <c:v>692</c:v>
                </c:pt>
                <c:pt idx="8">
                  <c:v>902</c:v>
                </c:pt>
                <c:pt idx="9">
                  <c:v>944</c:v>
                </c:pt>
                <c:pt idx="10">
                  <c:v>1050</c:v>
                </c:pt>
                <c:pt idx="11">
                  <c:v>1243</c:v>
                </c:pt>
                <c:pt idx="12">
                  <c:v>1484</c:v>
                </c:pt>
                <c:pt idx="13">
                  <c:v>1530</c:v>
                </c:pt>
                <c:pt idx="14">
                  <c:v>1881</c:v>
                </c:pt>
                <c:pt idx="15">
                  <c:v>3427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31774592"/>
        <c:axId val="231203760"/>
      </c:barChart>
      <c:catAx>
        <c:axId val="2317745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31203760"/>
        <c:crosses val="autoZero"/>
        <c:auto val="1"/>
        <c:lblAlgn val="ctr"/>
        <c:lblOffset val="100"/>
        <c:noMultiLvlLbl val="0"/>
      </c:catAx>
      <c:valAx>
        <c:axId val="231203760"/>
        <c:scaling>
          <c:orientation val="minMax"/>
          <c:max val="4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1774592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786849115039499"/>
          <c:y val="0.82916938413001406"/>
          <c:w val="0.83688211129506873"/>
          <c:h val="0.161375376023202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BF2852-99ED-43C6-ADC1-B5C99689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835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January-June 2018</vt:lpstr>
    </vt:vector>
  </TitlesOfParts>
  <Company>Statistics Poland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January 2019</dc:title>
  <dc:creator>Powęska Anna</dc:creator>
  <cp:keywords>dwellings completed; dwellings under construction; dwellings started; building permit; useful floor area</cp:keywords>
  <cp:lastModifiedBy>Powęska Anna</cp:lastModifiedBy>
  <cp:revision>3</cp:revision>
  <cp:lastPrinted>2019-02-20T11:23:00Z</cp:lastPrinted>
  <dcterms:created xsi:type="dcterms:W3CDTF">2019-05-23T11:39:00Z</dcterms:created>
  <dcterms:modified xsi:type="dcterms:W3CDTF">2019-05-23T12:11:00Z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