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2B49BA" w14:textId="59A2382B" w:rsidR="00690129" w:rsidRPr="00040EA2" w:rsidRDefault="00600D19" w:rsidP="00690129">
      <w:pPr>
        <w:pStyle w:val="Nagwek2"/>
        <w:spacing w:before="120" w:line="240" w:lineRule="auto"/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</w:pPr>
      <w:r w:rsidRPr="00040EA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Foreign trade turnover of goods in total and by countries</w:t>
      </w:r>
      <w:r w:rsidR="00690129" w:rsidRPr="00040EA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 xml:space="preserve"> </w:t>
      </w:r>
      <w:r w:rsidRPr="00040EA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 xml:space="preserve">in </w:t>
      </w:r>
      <w:r w:rsidR="00690129" w:rsidRPr="00040EA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201</w:t>
      </w:r>
      <w:r w:rsidR="0060703A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8</w:t>
      </w:r>
      <w:r w:rsidR="00690129" w:rsidRPr="00040EA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 xml:space="preserve"> </w:t>
      </w:r>
    </w:p>
    <w:p w14:paraId="5F87F154" w14:textId="77777777" w:rsidR="00393761" w:rsidRPr="00070820" w:rsidRDefault="00393761" w:rsidP="00074DD8">
      <w:pPr>
        <w:pStyle w:val="tytuinformacji"/>
        <w:rPr>
          <w:sz w:val="32"/>
          <w:lang w:val="en-US"/>
        </w:rPr>
      </w:pPr>
      <w:r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F87F1F4" wp14:editId="5F87F1F5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1AE3EC" w14:textId="1692D1E4" w:rsidR="00C85300" w:rsidRPr="00D77C42" w:rsidRDefault="00C85300" w:rsidP="00AF164D">
                            <w:pPr>
                              <w:rPr>
                                <w:color w:val="001D77"/>
                                <w:lang w:val="en-US"/>
                              </w:rPr>
                            </w:pPr>
                            <w:r w:rsidRPr="00D77C42">
                              <w:rPr>
                                <w:color w:val="001D77"/>
                                <w:lang w:val="en-US"/>
                              </w:rPr>
                              <w:t>Ind</w:t>
                            </w:r>
                            <w:r w:rsidR="00943071">
                              <w:rPr>
                                <w:color w:val="001D77"/>
                                <w:lang w:val="en-US"/>
                              </w:rPr>
                              <w:t>ex</w:t>
                            </w:r>
                            <w:r w:rsidRPr="00D77C42">
                              <w:rPr>
                                <w:color w:val="001D77"/>
                                <w:lang w:val="en-US"/>
                              </w:rPr>
                              <w:t xml:space="preserve"> of imports </w:t>
                            </w:r>
                            <w:r w:rsidR="00943071">
                              <w:rPr>
                                <w:color w:val="001D77"/>
                                <w:lang w:val="en-US"/>
                              </w:rPr>
                              <w:t>(</w:t>
                            </w:r>
                            <w:r w:rsidRPr="00D77C42">
                              <w:rPr>
                                <w:color w:val="001D77"/>
                                <w:lang w:val="en-US"/>
                              </w:rPr>
                              <w:t>in PLN</w:t>
                            </w:r>
                            <w:r w:rsidR="00943071">
                              <w:rPr>
                                <w:color w:val="001D77"/>
                                <w:lang w:val="en-US"/>
                              </w:rPr>
                              <w:t xml:space="preserve">) </w:t>
                            </w:r>
                            <w:r w:rsidR="00943071" w:rsidRPr="00943071">
                              <w:rPr>
                                <w:color w:val="001D77"/>
                                <w:lang w:val="en-US"/>
                              </w:rPr>
                              <w:t>amounted</w:t>
                            </w:r>
                            <w:r w:rsidR="00943071">
                              <w:rPr>
                                <w:color w:val="001D77"/>
                                <w:lang w:val="en-US"/>
                              </w:rPr>
                              <w:t xml:space="preserve"> to 110.3 </w:t>
                            </w:r>
                            <w:r w:rsidRPr="00D77C42">
                              <w:rPr>
                                <w:color w:val="001D77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7F1F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6XaFp98AAAALAQAADwAAAAAAAAAAAAAAAABqBAAAZHJzL2Rvd25yZXYueG1sUEsFBgAAAAAEAAQA&#10;8wAAAHYFAAAAAA==&#10;" filled="f" stroked="f">
                <v:textbox>
                  <w:txbxContent>
                    <w:p w14:paraId="741AE3EC" w14:textId="1692D1E4" w:rsidR="00C85300" w:rsidRPr="00D77C42" w:rsidRDefault="00C85300" w:rsidP="00AF164D">
                      <w:pPr>
                        <w:rPr>
                          <w:color w:val="001D77"/>
                          <w:lang w:val="en-US"/>
                        </w:rPr>
                      </w:pPr>
                      <w:r w:rsidRPr="00D77C42">
                        <w:rPr>
                          <w:color w:val="001D77"/>
                          <w:lang w:val="en-US"/>
                        </w:rPr>
                        <w:t>Ind</w:t>
                      </w:r>
                      <w:r w:rsidR="00943071">
                        <w:rPr>
                          <w:color w:val="001D77"/>
                          <w:lang w:val="en-US"/>
                        </w:rPr>
                        <w:t>ex</w:t>
                      </w:r>
                      <w:r w:rsidRPr="00D77C42">
                        <w:rPr>
                          <w:color w:val="001D77"/>
                          <w:lang w:val="en-US"/>
                        </w:rPr>
                        <w:t xml:space="preserve"> of imports </w:t>
                      </w:r>
                      <w:r w:rsidR="00943071">
                        <w:rPr>
                          <w:color w:val="001D77"/>
                          <w:lang w:val="en-US"/>
                        </w:rPr>
                        <w:t>(</w:t>
                      </w:r>
                      <w:r w:rsidRPr="00D77C42">
                        <w:rPr>
                          <w:color w:val="001D77"/>
                          <w:lang w:val="en-US"/>
                        </w:rPr>
                        <w:t>in PLN</w:t>
                      </w:r>
                      <w:r w:rsidR="00943071">
                        <w:rPr>
                          <w:color w:val="001D77"/>
                          <w:lang w:val="en-US"/>
                        </w:rPr>
                        <w:t xml:space="preserve">) </w:t>
                      </w:r>
                      <w:r w:rsidR="00943071" w:rsidRPr="00943071">
                        <w:rPr>
                          <w:color w:val="001D77"/>
                          <w:lang w:val="en-US"/>
                        </w:rPr>
                        <w:t>amounted</w:t>
                      </w:r>
                      <w:r w:rsidR="00943071">
                        <w:rPr>
                          <w:color w:val="001D77"/>
                          <w:lang w:val="en-US"/>
                        </w:rPr>
                        <w:t xml:space="preserve"> to 110.3 </w:t>
                      </w:r>
                      <w:r w:rsidRPr="00D77C42">
                        <w:rPr>
                          <w:color w:val="001D77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F87F155" w14:textId="52545A90" w:rsidR="005916D7" w:rsidRPr="00070820" w:rsidRDefault="00003437" w:rsidP="00633014">
      <w:pPr>
        <w:pStyle w:val="LID"/>
        <w:rPr>
          <w:lang w:val="en-US"/>
        </w:rPr>
      </w:pPr>
      <w:r w:rsidRPr="00690129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F87F1F6" wp14:editId="5F87F1F7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045845"/>
                <wp:effectExtent l="0" t="0" r="0" b="190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7F21B" w14:textId="2AC29E9D" w:rsidR="00C85300" w:rsidRPr="00B66B19" w:rsidRDefault="00B2747A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001D77"/>
                                <w:sz w:val="22"/>
                              </w:rPr>
                              <w:pict w14:anchorId="5F87F230">
                                <v:shape id="Obraz 33" o:spid="_x0000_i1025" type="#_x0000_t75" style="width:27.1pt;height:26.45pt;visibility:visible;mso-wrap-style:square" o:bullet="t">
                                  <v:imagedata r:id="rId11" o:title=""/>
                                </v:shape>
                              </w:pict>
                            </w:r>
                            <w:r w:rsidR="00C85300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C8530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107.8</w:t>
                            </w:r>
                          </w:p>
                          <w:p w14:paraId="5F87F21C" w14:textId="0146FC89" w:rsidR="00C85300" w:rsidRPr="00690129" w:rsidRDefault="00C85300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Ind</w:t>
                            </w:r>
                            <w:r w:rsidR="00943071">
                              <w:rPr>
                                <w:lang w:val="en-US"/>
                              </w:rPr>
                              <w:t>ex</w:t>
                            </w:r>
                            <w:r>
                              <w:rPr>
                                <w:lang w:val="en-US"/>
                              </w:rPr>
                              <w:t xml:space="preserve"> of exports in PLN – previous year = 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6" id="_x0000_s1027" type="#_x0000_t202" style="position:absolute;margin-left:0;margin-top:6.55pt;width:2in;height:82.3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pL7KgIAACo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" fillcolor="#001d77" stroked="f">
                <v:textbox>
                  <w:txbxContent>
                    <w:p w14:paraId="5F87F21B" w14:textId="2AC29E9D" w:rsidR="00C85300" w:rsidRPr="00B66B19" w:rsidRDefault="00711844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001D77"/>
                          <w:sz w:val="22"/>
                        </w:rPr>
                        <w:pict w14:anchorId="5F87F230">
                          <v:shape id="Obraz 33" o:spid="_x0000_i1025" type="#_x0000_t75" style="width:27.05pt;height:26.15pt;visibility:visible;mso-wrap-style:square" o:bullet="t">
                            <v:imagedata r:id="rId12" o:title=""/>
                          </v:shape>
                        </w:pict>
                      </w:r>
                      <w:r w:rsidR="00C85300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C8530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107.8</w:t>
                      </w:r>
                    </w:p>
                    <w:p w14:paraId="5F87F21C" w14:textId="0146FC89" w:rsidR="00C85300" w:rsidRPr="00690129" w:rsidRDefault="00C85300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Ind</w:t>
                      </w:r>
                      <w:r w:rsidR="00943071">
                        <w:rPr>
                          <w:lang w:val="en-US"/>
                        </w:rPr>
                        <w:t>ex</w:t>
                      </w:r>
                      <w:r>
                        <w:rPr>
                          <w:lang w:val="en-US"/>
                        </w:rPr>
                        <w:t xml:space="preserve"> of exports in PLN – previous year = 100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046FE" w:rsidRPr="00070820">
        <w:rPr>
          <w:lang w:val="en-US"/>
        </w:rPr>
        <w:t xml:space="preserve">Foreign trade turnover </w:t>
      </w:r>
      <w:r w:rsidR="00D77C42">
        <w:rPr>
          <w:lang w:val="en-US"/>
        </w:rPr>
        <w:t>in</w:t>
      </w:r>
      <w:r w:rsidR="00E046FE" w:rsidRPr="00070820">
        <w:rPr>
          <w:lang w:val="en-US"/>
        </w:rPr>
        <w:t xml:space="preserve"> 201</w:t>
      </w:r>
      <w:r w:rsidR="0060703A">
        <w:rPr>
          <w:lang w:val="en-US"/>
        </w:rPr>
        <w:t>8</w:t>
      </w:r>
      <w:r w:rsidR="00E046FE" w:rsidRPr="00070820">
        <w:rPr>
          <w:lang w:val="en-US"/>
        </w:rPr>
        <w:t xml:space="preserve"> according to </w:t>
      </w:r>
      <w:r w:rsidR="00D77C42">
        <w:rPr>
          <w:lang w:val="en-US"/>
        </w:rPr>
        <w:t>final</w:t>
      </w:r>
      <w:r w:rsidR="00E046FE" w:rsidRPr="00070820">
        <w:rPr>
          <w:lang w:val="en-US"/>
        </w:rPr>
        <w:t xml:space="preserve"> data, exports at current prices amounted to PLN</w:t>
      </w:r>
      <w:r w:rsidR="009A5C86" w:rsidRPr="00070820">
        <w:rPr>
          <w:rFonts w:cs="Arial"/>
          <w:lang w:val="en-US"/>
        </w:rPr>
        <w:t xml:space="preserve"> </w:t>
      </w:r>
      <w:r w:rsidR="00D77C42">
        <w:rPr>
          <w:rFonts w:cs="Arial"/>
          <w:bCs/>
          <w:color w:val="000000"/>
          <w:lang w:val="en-US"/>
        </w:rPr>
        <w:t>951.3</w:t>
      </w:r>
      <w:r w:rsidR="00690129" w:rsidRPr="00070820">
        <w:rPr>
          <w:rFonts w:cs="Arial"/>
          <w:bCs/>
          <w:color w:val="000000"/>
          <w:lang w:val="en-US"/>
        </w:rPr>
        <w:t> </w:t>
      </w:r>
      <w:r w:rsidR="00070820">
        <w:rPr>
          <w:rFonts w:cs="Arial"/>
          <w:bCs/>
          <w:color w:val="000000"/>
          <w:lang w:val="en-US"/>
        </w:rPr>
        <w:t>bn</w:t>
      </w:r>
      <w:r w:rsidR="00E046FE" w:rsidRPr="00070820">
        <w:rPr>
          <w:rFonts w:cs="Arial"/>
          <w:lang w:val="en-US"/>
        </w:rPr>
        <w:t xml:space="preserve">, while imports amounted to PLN </w:t>
      </w:r>
      <w:r w:rsidR="0060703A">
        <w:rPr>
          <w:rFonts w:cs="Arial"/>
          <w:bCs/>
          <w:color w:val="000000"/>
          <w:lang w:val="en-US"/>
        </w:rPr>
        <w:t>9</w:t>
      </w:r>
      <w:r w:rsidR="00D77C42">
        <w:rPr>
          <w:rFonts w:cs="Arial"/>
          <w:bCs/>
          <w:color w:val="000000"/>
          <w:lang w:val="en-US"/>
        </w:rPr>
        <w:t>70</w:t>
      </w:r>
      <w:r w:rsidR="0060703A">
        <w:rPr>
          <w:rFonts w:cs="Arial"/>
          <w:bCs/>
          <w:color w:val="000000"/>
          <w:lang w:val="en-US"/>
        </w:rPr>
        <w:t>.8</w:t>
      </w:r>
      <w:r w:rsidR="00690129" w:rsidRPr="00070820">
        <w:rPr>
          <w:rFonts w:cs="Arial"/>
          <w:bCs/>
          <w:color w:val="000000"/>
          <w:lang w:val="en-US"/>
        </w:rPr>
        <w:t xml:space="preserve"> </w:t>
      </w:r>
      <w:r w:rsidR="00070820">
        <w:rPr>
          <w:rFonts w:cs="Arial"/>
          <w:lang w:val="en-US"/>
        </w:rPr>
        <w:t>bn</w:t>
      </w:r>
      <w:r w:rsidR="00690129" w:rsidRPr="00070820">
        <w:rPr>
          <w:rFonts w:cs="Arial"/>
          <w:lang w:val="en-US"/>
        </w:rPr>
        <w:t xml:space="preserve">. </w:t>
      </w:r>
      <w:r w:rsidR="0060703A" w:rsidRPr="00070820">
        <w:rPr>
          <w:rFonts w:cs="Arial"/>
          <w:spacing w:val="-3"/>
          <w:lang w:val="en-US"/>
        </w:rPr>
        <w:t xml:space="preserve">The </w:t>
      </w:r>
      <w:r w:rsidR="0060703A">
        <w:rPr>
          <w:rFonts w:cs="Arial"/>
          <w:spacing w:val="-3"/>
          <w:lang w:val="en-US"/>
        </w:rPr>
        <w:t>negative</w:t>
      </w:r>
      <w:r w:rsidR="0060703A" w:rsidRPr="00070820">
        <w:rPr>
          <w:rFonts w:cs="Arial"/>
          <w:spacing w:val="-3"/>
          <w:lang w:val="en-US"/>
        </w:rPr>
        <w:t xml:space="preserve"> balance reached the level of PLN </w:t>
      </w:r>
      <w:r w:rsidR="00D77C42">
        <w:rPr>
          <w:rFonts w:cs="Arial"/>
          <w:spacing w:val="-3"/>
          <w:lang w:val="en-US"/>
        </w:rPr>
        <w:t>19.5</w:t>
      </w:r>
      <w:r w:rsidR="0060703A" w:rsidRPr="00070820">
        <w:rPr>
          <w:rFonts w:cs="Arial"/>
          <w:spacing w:val="-3"/>
          <w:lang w:val="en-US"/>
        </w:rPr>
        <w:t xml:space="preserve"> </w:t>
      </w:r>
      <w:r w:rsidR="0060703A">
        <w:rPr>
          <w:rFonts w:cs="Arial"/>
          <w:spacing w:val="-3"/>
          <w:lang w:val="en-US"/>
        </w:rPr>
        <w:t>bn</w:t>
      </w:r>
      <w:r w:rsidR="0060703A" w:rsidRPr="00070820">
        <w:rPr>
          <w:rFonts w:cs="Arial"/>
          <w:spacing w:val="-3"/>
          <w:lang w:val="en-US"/>
        </w:rPr>
        <w:t xml:space="preserve">, while </w:t>
      </w:r>
      <w:r w:rsidR="0060703A">
        <w:rPr>
          <w:rFonts w:cs="Arial"/>
          <w:spacing w:val="-3"/>
          <w:lang w:val="en-US"/>
        </w:rPr>
        <w:t xml:space="preserve">in 2017 it was positive and </w:t>
      </w:r>
      <w:r w:rsidR="0060703A" w:rsidRPr="00070820">
        <w:rPr>
          <w:rFonts w:cs="Arial"/>
          <w:lang w:val="en-US"/>
        </w:rPr>
        <w:t>amounted to</w:t>
      </w:r>
      <w:r w:rsidR="0060703A" w:rsidRPr="00070820">
        <w:rPr>
          <w:rFonts w:cs="Arial"/>
          <w:spacing w:val="-3"/>
          <w:lang w:val="en-US"/>
        </w:rPr>
        <w:t xml:space="preserve"> PLN </w:t>
      </w:r>
      <w:r w:rsidR="0060703A">
        <w:rPr>
          <w:rFonts w:cs="Arial"/>
          <w:spacing w:val="-3"/>
          <w:lang w:val="en-US"/>
        </w:rPr>
        <w:t>2.5</w:t>
      </w:r>
      <w:r w:rsidR="0060703A" w:rsidRPr="00070820">
        <w:rPr>
          <w:rFonts w:cs="Arial"/>
          <w:spacing w:val="-3"/>
          <w:lang w:val="en-US"/>
        </w:rPr>
        <w:t xml:space="preserve"> </w:t>
      </w:r>
      <w:r w:rsidR="0060703A">
        <w:rPr>
          <w:rFonts w:cs="Arial"/>
          <w:spacing w:val="-3"/>
          <w:lang w:val="en-US"/>
        </w:rPr>
        <w:t>bn.</w:t>
      </w:r>
      <w:r w:rsidR="004B64A7" w:rsidRPr="00070820">
        <w:rPr>
          <w:rFonts w:cs="Arial"/>
          <w:spacing w:val="-3"/>
          <w:lang w:val="en-US"/>
        </w:rPr>
        <w:t xml:space="preserve"> </w:t>
      </w:r>
      <w:r w:rsidR="00E046FE" w:rsidRPr="00070820">
        <w:rPr>
          <w:rFonts w:cs="Arial"/>
          <w:lang w:val="en-US"/>
        </w:rPr>
        <w:t>In comparison to the corresponding period of the 201</w:t>
      </w:r>
      <w:r w:rsidR="0060703A">
        <w:rPr>
          <w:rFonts w:cs="Arial"/>
          <w:lang w:val="en-US"/>
        </w:rPr>
        <w:t>7</w:t>
      </w:r>
      <w:r w:rsidR="00E046FE" w:rsidRPr="00070820">
        <w:rPr>
          <w:rFonts w:cs="Arial"/>
          <w:lang w:val="en-US"/>
        </w:rPr>
        <w:t>, exports incteased</w:t>
      </w:r>
      <w:r w:rsidR="00F70DA2" w:rsidRPr="00070820">
        <w:rPr>
          <w:lang w:val="en-US"/>
        </w:rPr>
        <w:t xml:space="preserve"> </w:t>
      </w:r>
      <w:r w:rsidR="00E046FE" w:rsidRPr="00070820">
        <w:rPr>
          <w:lang w:val="en-US"/>
        </w:rPr>
        <w:t xml:space="preserve">by </w:t>
      </w:r>
      <w:r w:rsidR="00D77C42">
        <w:rPr>
          <w:lang w:val="en-US"/>
        </w:rPr>
        <w:t>7.8</w:t>
      </w:r>
      <w:r w:rsidR="004B64A7" w:rsidRPr="00070820">
        <w:rPr>
          <w:rFonts w:cs="Arial"/>
          <w:lang w:val="en-US"/>
        </w:rPr>
        <w:t xml:space="preserve">%, </w:t>
      </w:r>
      <w:r w:rsidR="00E046FE" w:rsidRPr="00070820">
        <w:rPr>
          <w:rFonts w:cs="Arial"/>
          <w:lang w:val="en-US"/>
        </w:rPr>
        <w:t>and</w:t>
      </w:r>
      <w:r w:rsidR="004B64A7" w:rsidRPr="00070820">
        <w:rPr>
          <w:rFonts w:cs="Arial"/>
          <w:lang w:val="en-US"/>
        </w:rPr>
        <w:t> import</w:t>
      </w:r>
      <w:r w:rsidR="00E046FE" w:rsidRPr="00070820">
        <w:rPr>
          <w:rFonts w:cs="Arial"/>
          <w:lang w:val="en-US"/>
        </w:rPr>
        <w:t>s by</w:t>
      </w:r>
      <w:r w:rsidR="004B64A7" w:rsidRPr="00070820">
        <w:rPr>
          <w:rFonts w:cs="Arial"/>
          <w:lang w:val="en-US"/>
        </w:rPr>
        <w:t> </w:t>
      </w:r>
      <w:r w:rsidR="00D77C42">
        <w:rPr>
          <w:rFonts w:cs="Arial"/>
          <w:lang w:val="en-US"/>
        </w:rPr>
        <w:t>10</w:t>
      </w:r>
      <w:r w:rsidR="0060703A">
        <w:rPr>
          <w:rFonts w:cs="Arial"/>
          <w:lang w:val="en-US"/>
        </w:rPr>
        <w:t>.3</w:t>
      </w:r>
      <w:r w:rsidR="004B64A7" w:rsidRPr="00070820">
        <w:rPr>
          <w:rFonts w:cs="Arial"/>
          <w:lang w:val="en-US"/>
        </w:rPr>
        <w:t>%.</w:t>
      </w:r>
    </w:p>
    <w:p w14:paraId="5F87F157" w14:textId="25C0FB75" w:rsidR="00C22105" w:rsidRPr="00070820" w:rsidRDefault="009227A6" w:rsidP="00074DD8">
      <w:pPr>
        <w:pStyle w:val="Nagwek1"/>
        <w:rPr>
          <w:lang w:val="en-US"/>
        </w:rPr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F87F1F8" wp14:editId="5F87F1F9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7F21D" w14:textId="2EF5F296" w:rsidR="00C85300" w:rsidRPr="00070820" w:rsidRDefault="00C85300" w:rsidP="00074DD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19"/>
                                <w:szCs w:val="19"/>
                                <w:lang w:val="en-US"/>
                              </w:rPr>
                              <w:t>In the whole 2018 w</w:t>
                            </w:r>
                            <w:r w:rsidRPr="006A1323">
                              <w:rPr>
                                <w:rFonts w:cs="Arial"/>
                                <w:sz w:val="19"/>
                                <w:szCs w:val="19"/>
                                <w:lang w:val="en-US"/>
                              </w:rPr>
                              <w:t xml:space="preserve">e have the </w:t>
                            </w:r>
                            <w:r>
                              <w:rPr>
                                <w:rFonts w:cs="Arial"/>
                                <w:sz w:val="19"/>
                                <w:szCs w:val="19"/>
                                <w:lang w:val="en-US"/>
                              </w:rPr>
                              <w:t>negative</w:t>
                            </w:r>
                            <w:r w:rsidRPr="006A1323">
                              <w:rPr>
                                <w:rFonts w:cs="Arial"/>
                                <w:sz w:val="19"/>
                                <w:szCs w:val="19"/>
                                <w:lang w:val="en-US"/>
                              </w:rPr>
                              <w:t xml:space="preserve"> balance in foreign trade </w:t>
                            </w:r>
                          </w:p>
                          <w:p w14:paraId="5F87F21E" w14:textId="77777777" w:rsidR="00C85300" w:rsidRPr="00070820" w:rsidRDefault="00C85300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8" id="_x0000_s1028" type="#_x0000_t202" style="position:absolute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14:paraId="5F87F21D" w14:textId="2EF5F296" w:rsidR="00C85300" w:rsidRPr="00070820" w:rsidRDefault="00C85300" w:rsidP="00074DD8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rFonts w:cs="Arial"/>
                          <w:sz w:val="19"/>
                          <w:szCs w:val="19"/>
                          <w:lang w:val="en-US"/>
                        </w:rPr>
                        <w:t>In the whole 2018 w</w:t>
                      </w:r>
                      <w:r w:rsidRPr="006A1323">
                        <w:rPr>
                          <w:rFonts w:cs="Arial"/>
                          <w:sz w:val="19"/>
                          <w:szCs w:val="19"/>
                          <w:lang w:val="en-US"/>
                        </w:rPr>
                        <w:t xml:space="preserve">e have the </w:t>
                      </w:r>
                      <w:r>
                        <w:rPr>
                          <w:rFonts w:cs="Arial"/>
                          <w:sz w:val="19"/>
                          <w:szCs w:val="19"/>
                          <w:lang w:val="en-US"/>
                        </w:rPr>
                        <w:t>negative</w:t>
                      </w:r>
                      <w:r w:rsidRPr="006A1323">
                        <w:rPr>
                          <w:rFonts w:cs="Arial"/>
                          <w:sz w:val="19"/>
                          <w:szCs w:val="19"/>
                          <w:lang w:val="en-US"/>
                        </w:rPr>
                        <w:t xml:space="preserve"> balance in foreign trade </w:t>
                      </w:r>
                    </w:p>
                    <w:p w14:paraId="5F87F21E" w14:textId="77777777" w:rsidR="00C85300" w:rsidRPr="00070820" w:rsidRDefault="00C85300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0A6A65" w:rsidRPr="00070820">
        <w:rPr>
          <w:rFonts w:ascii="Fira Sans" w:hAnsi="Fira Sans"/>
          <w:b/>
          <w:noProof/>
          <w:spacing w:val="-2"/>
          <w:szCs w:val="19"/>
          <w:lang w:val="en-US"/>
        </w:rPr>
        <w:t>Foreign trade turnover expressed in US dollars and in EUR</w:t>
      </w:r>
    </w:p>
    <w:p w14:paraId="29630076" w14:textId="1193309F" w:rsidR="0084092E" w:rsidRPr="00070820" w:rsidRDefault="000A6A65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pacing w:val="-3"/>
          <w:szCs w:val="19"/>
          <w:lang w:val="en-US"/>
        </w:rPr>
      </w:pPr>
      <w:r w:rsidRPr="00070820">
        <w:rPr>
          <w:rFonts w:cs="Arial"/>
          <w:spacing w:val="-3"/>
          <w:szCs w:val="19"/>
          <w:lang w:val="en-US"/>
        </w:rPr>
        <w:t>Exports expressed in USD amounted to</w:t>
      </w:r>
      <w:r w:rsidR="00277A82" w:rsidRPr="00070820">
        <w:rPr>
          <w:rFonts w:cs="Arial"/>
          <w:spacing w:val="-3"/>
          <w:szCs w:val="19"/>
          <w:lang w:val="en-US"/>
        </w:rPr>
        <w:t xml:space="preserve"> </w:t>
      </w:r>
      <w:r w:rsidR="0060703A" w:rsidRPr="0060703A">
        <w:rPr>
          <w:rFonts w:cs="Arial"/>
          <w:bCs/>
          <w:color w:val="000000"/>
          <w:szCs w:val="19"/>
          <w:lang w:val="en-US"/>
        </w:rPr>
        <w:t>26</w:t>
      </w:r>
      <w:r w:rsidR="00D77C42">
        <w:rPr>
          <w:rFonts w:cs="Arial"/>
          <w:bCs/>
          <w:color w:val="000000"/>
          <w:szCs w:val="19"/>
          <w:lang w:val="en-US"/>
        </w:rPr>
        <w:t>4</w:t>
      </w:r>
      <w:r w:rsidR="0060703A" w:rsidRPr="0060703A">
        <w:rPr>
          <w:rFonts w:cs="Arial"/>
          <w:bCs/>
          <w:color w:val="000000"/>
          <w:szCs w:val="19"/>
          <w:lang w:val="en-US"/>
        </w:rPr>
        <w:t xml:space="preserve">.8 </w:t>
      </w:r>
      <w:proofErr w:type="spellStart"/>
      <w:r w:rsidR="00070820">
        <w:rPr>
          <w:rFonts w:cs="Arial"/>
          <w:spacing w:val="-3"/>
          <w:szCs w:val="19"/>
          <w:lang w:val="en-US"/>
        </w:rPr>
        <w:t>bn</w:t>
      </w:r>
      <w:proofErr w:type="spellEnd"/>
      <w:r w:rsidR="00102D3E" w:rsidRPr="00070820">
        <w:rPr>
          <w:rFonts w:cs="Arial"/>
          <w:spacing w:val="-3"/>
          <w:szCs w:val="19"/>
          <w:lang w:val="en-US"/>
        </w:rPr>
        <w:t xml:space="preserve"> USD while imports</w:t>
      </w:r>
      <w:r w:rsidR="00277A82" w:rsidRPr="00070820">
        <w:rPr>
          <w:rFonts w:cs="Arial"/>
          <w:spacing w:val="-3"/>
          <w:szCs w:val="19"/>
          <w:lang w:val="en-US"/>
        </w:rPr>
        <w:t xml:space="preserve"> a</w:t>
      </w:r>
      <w:r w:rsidR="00102D3E" w:rsidRPr="00070820">
        <w:rPr>
          <w:rFonts w:cs="Arial"/>
          <w:spacing w:val="-3"/>
          <w:szCs w:val="19"/>
          <w:lang w:val="en-US"/>
        </w:rPr>
        <w:t xml:space="preserve">mounted to USD </w:t>
      </w:r>
      <w:r w:rsidR="0060703A" w:rsidRPr="0060703A">
        <w:rPr>
          <w:rFonts w:cs="Arial"/>
          <w:bCs/>
          <w:color w:val="000000"/>
          <w:szCs w:val="19"/>
          <w:lang w:val="en-US"/>
        </w:rPr>
        <w:t>27</w:t>
      </w:r>
      <w:r w:rsidR="00D77C42">
        <w:rPr>
          <w:rFonts w:cs="Arial"/>
          <w:bCs/>
          <w:color w:val="000000"/>
          <w:szCs w:val="19"/>
          <w:lang w:val="en-US"/>
        </w:rPr>
        <w:t>0</w:t>
      </w:r>
      <w:r w:rsidR="0060703A" w:rsidRPr="0060703A">
        <w:rPr>
          <w:rFonts w:cs="Arial"/>
          <w:bCs/>
          <w:color w:val="000000"/>
          <w:szCs w:val="19"/>
          <w:lang w:val="en-US"/>
        </w:rPr>
        <w:t>.</w:t>
      </w:r>
      <w:r w:rsidR="00D77C42">
        <w:rPr>
          <w:rFonts w:cs="Arial"/>
          <w:bCs/>
          <w:color w:val="000000"/>
          <w:szCs w:val="19"/>
          <w:lang w:val="en-US"/>
        </w:rPr>
        <w:t>2</w:t>
      </w:r>
      <w:r w:rsidR="00277A82" w:rsidRPr="00070820">
        <w:rPr>
          <w:rFonts w:cs="Arial"/>
          <w:spacing w:val="-3"/>
          <w:szCs w:val="19"/>
          <w:lang w:val="en-US"/>
        </w:rPr>
        <w:t xml:space="preserve"> </w:t>
      </w:r>
      <w:proofErr w:type="spellStart"/>
      <w:r w:rsidR="00070820">
        <w:rPr>
          <w:rFonts w:cs="Arial"/>
          <w:spacing w:val="-3"/>
          <w:szCs w:val="19"/>
          <w:lang w:val="en-US"/>
        </w:rPr>
        <w:t>bn</w:t>
      </w:r>
      <w:proofErr w:type="spellEnd"/>
      <w:r w:rsidR="00277A82" w:rsidRPr="00070820">
        <w:rPr>
          <w:rFonts w:cs="Arial"/>
          <w:spacing w:val="-3"/>
          <w:szCs w:val="19"/>
          <w:lang w:val="en-US"/>
        </w:rPr>
        <w:t> (</w:t>
      </w:r>
      <w:r w:rsidR="00102D3E" w:rsidRPr="00070820">
        <w:rPr>
          <w:rFonts w:cs="Arial"/>
          <w:spacing w:val="-3"/>
          <w:szCs w:val="19"/>
          <w:lang w:val="en-US"/>
        </w:rPr>
        <w:t>an increase in exports of</w:t>
      </w:r>
      <w:r w:rsidR="00277A82" w:rsidRPr="00070820">
        <w:rPr>
          <w:rFonts w:cs="Arial"/>
          <w:spacing w:val="-3"/>
          <w:szCs w:val="19"/>
          <w:lang w:val="en-US"/>
        </w:rPr>
        <w:t xml:space="preserve"> </w:t>
      </w:r>
      <w:r w:rsidR="00102D3E" w:rsidRPr="00070820">
        <w:rPr>
          <w:rFonts w:cs="Arial"/>
          <w:spacing w:val="-3"/>
          <w:szCs w:val="19"/>
          <w:lang w:val="en-US"/>
        </w:rPr>
        <w:t>1</w:t>
      </w:r>
      <w:r w:rsidR="00D77C42">
        <w:rPr>
          <w:rFonts w:cs="Arial"/>
          <w:spacing w:val="-3"/>
          <w:szCs w:val="19"/>
          <w:lang w:val="en-US"/>
        </w:rPr>
        <w:t>4</w:t>
      </w:r>
      <w:r w:rsidR="00102D3E" w:rsidRPr="00070820">
        <w:rPr>
          <w:rFonts w:cs="Arial"/>
          <w:spacing w:val="-3"/>
          <w:szCs w:val="19"/>
          <w:lang w:val="en-US"/>
        </w:rPr>
        <w:t>.</w:t>
      </w:r>
      <w:r w:rsidR="00D77C42">
        <w:rPr>
          <w:rFonts w:cs="Arial"/>
          <w:spacing w:val="-3"/>
          <w:szCs w:val="19"/>
          <w:lang w:val="en-US"/>
        </w:rPr>
        <w:t>3</w:t>
      </w:r>
      <w:r w:rsidR="00277A82" w:rsidRPr="00070820">
        <w:rPr>
          <w:rFonts w:cs="Arial"/>
          <w:spacing w:val="-3"/>
          <w:szCs w:val="19"/>
          <w:lang w:val="en-US"/>
        </w:rPr>
        <w:t xml:space="preserve">% </w:t>
      </w:r>
      <w:r w:rsidR="00102D3E" w:rsidRPr="00070820">
        <w:rPr>
          <w:rFonts w:cs="Arial"/>
          <w:spacing w:val="-3"/>
          <w:szCs w:val="19"/>
          <w:lang w:val="en-US"/>
        </w:rPr>
        <w:t>and in imports of</w:t>
      </w:r>
      <w:r w:rsidR="00277A82" w:rsidRPr="00070820">
        <w:rPr>
          <w:rFonts w:cs="Arial"/>
          <w:spacing w:val="-3"/>
          <w:szCs w:val="19"/>
          <w:lang w:val="en-US"/>
        </w:rPr>
        <w:t> </w:t>
      </w:r>
      <w:r w:rsidR="00102D3E" w:rsidRPr="00070820">
        <w:rPr>
          <w:rFonts w:cs="Arial"/>
          <w:spacing w:val="-3"/>
          <w:szCs w:val="19"/>
          <w:lang w:val="en-US"/>
        </w:rPr>
        <w:t>1</w:t>
      </w:r>
      <w:r w:rsidR="00D77C42">
        <w:rPr>
          <w:rFonts w:cs="Arial"/>
          <w:spacing w:val="-3"/>
          <w:szCs w:val="19"/>
          <w:lang w:val="en-US"/>
        </w:rPr>
        <w:t>6</w:t>
      </w:r>
      <w:r w:rsidR="0060703A">
        <w:rPr>
          <w:rFonts w:cs="Arial"/>
          <w:spacing w:val="-3"/>
          <w:szCs w:val="19"/>
          <w:lang w:val="en-US"/>
        </w:rPr>
        <w:t>.9</w:t>
      </w:r>
      <w:r w:rsidR="00277A82" w:rsidRPr="00070820">
        <w:rPr>
          <w:rFonts w:cs="Arial"/>
          <w:spacing w:val="-3"/>
          <w:szCs w:val="19"/>
          <w:lang w:val="en-US"/>
        </w:rPr>
        <w:t xml:space="preserve">%). </w:t>
      </w:r>
      <w:r w:rsidR="00102D3E" w:rsidRPr="00070820">
        <w:rPr>
          <w:rFonts w:cs="Arial"/>
          <w:spacing w:val="-3"/>
          <w:szCs w:val="19"/>
          <w:lang w:val="en-US"/>
        </w:rPr>
        <w:t xml:space="preserve">The </w:t>
      </w:r>
      <w:r w:rsidR="0060703A">
        <w:rPr>
          <w:rFonts w:cs="Arial"/>
          <w:spacing w:val="-3"/>
          <w:szCs w:val="19"/>
          <w:lang w:val="en-US"/>
        </w:rPr>
        <w:t>negative</w:t>
      </w:r>
      <w:r w:rsidR="00102D3E" w:rsidRPr="00070820">
        <w:rPr>
          <w:rFonts w:cs="Arial"/>
          <w:spacing w:val="-3"/>
          <w:szCs w:val="19"/>
          <w:lang w:val="en-US"/>
        </w:rPr>
        <w:t xml:space="preserve"> balance reached the level of USD </w:t>
      </w:r>
      <w:r w:rsidR="0060703A">
        <w:rPr>
          <w:rFonts w:cs="Arial"/>
          <w:bCs/>
          <w:color w:val="000000"/>
          <w:szCs w:val="19"/>
          <w:lang w:val="en-US"/>
        </w:rPr>
        <w:t>5.</w:t>
      </w:r>
      <w:r w:rsidR="00D77C42">
        <w:rPr>
          <w:rFonts w:cs="Arial"/>
          <w:bCs/>
          <w:color w:val="000000"/>
          <w:szCs w:val="19"/>
          <w:lang w:val="en-US"/>
        </w:rPr>
        <w:t>4</w:t>
      </w:r>
      <w:r w:rsidR="00277A82" w:rsidRPr="00070820">
        <w:rPr>
          <w:rFonts w:cs="Arial"/>
          <w:bCs/>
          <w:color w:val="000000"/>
          <w:szCs w:val="19"/>
          <w:lang w:val="en-US"/>
        </w:rPr>
        <w:t xml:space="preserve"> </w:t>
      </w:r>
      <w:proofErr w:type="spellStart"/>
      <w:r w:rsidR="00070820">
        <w:rPr>
          <w:rFonts w:cs="Arial"/>
          <w:spacing w:val="-3"/>
          <w:szCs w:val="19"/>
          <w:lang w:val="en-US"/>
        </w:rPr>
        <w:t>bn</w:t>
      </w:r>
      <w:proofErr w:type="spellEnd"/>
      <w:r w:rsidR="00277A82" w:rsidRPr="00070820">
        <w:rPr>
          <w:rFonts w:cs="Arial"/>
          <w:spacing w:val="-3"/>
          <w:szCs w:val="19"/>
          <w:lang w:val="en-US"/>
        </w:rPr>
        <w:t xml:space="preserve"> (</w:t>
      </w:r>
      <w:r w:rsidR="0060703A">
        <w:rPr>
          <w:rFonts w:cs="Arial"/>
          <w:spacing w:val="-3"/>
          <w:szCs w:val="19"/>
          <w:lang w:val="en-US"/>
        </w:rPr>
        <w:t xml:space="preserve">in </w:t>
      </w:r>
      <w:r w:rsidR="0060703A" w:rsidRPr="00070820">
        <w:rPr>
          <w:rFonts w:cs="Arial"/>
          <w:lang w:val="en-US"/>
        </w:rPr>
        <w:t>the corresponding period of the</w:t>
      </w:r>
      <w:r w:rsidR="0060703A" w:rsidRPr="00070820">
        <w:rPr>
          <w:rFonts w:cs="Arial"/>
          <w:spacing w:val="-3"/>
          <w:szCs w:val="19"/>
          <w:lang w:val="en-US"/>
        </w:rPr>
        <w:t xml:space="preserve"> 201</w:t>
      </w:r>
      <w:r w:rsidR="0060703A">
        <w:rPr>
          <w:rFonts w:cs="Arial"/>
          <w:spacing w:val="-3"/>
          <w:szCs w:val="19"/>
          <w:lang w:val="en-US"/>
        </w:rPr>
        <w:t xml:space="preserve">7, the positive balance </w:t>
      </w:r>
      <w:r w:rsidR="0060703A" w:rsidRPr="00070820">
        <w:rPr>
          <w:rFonts w:cs="Arial"/>
          <w:spacing w:val="-3"/>
          <w:szCs w:val="19"/>
          <w:lang w:val="en-US"/>
        </w:rPr>
        <w:t xml:space="preserve">amounted </w:t>
      </w:r>
      <w:r w:rsidR="0060703A">
        <w:rPr>
          <w:rFonts w:cs="Arial"/>
          <w:spacing w:val="-3"/>
          <w:szCs w:val="19"/>
          <w:lang w:val="en-US"/>
        </w:rPr>
        <w:t xml:space="preserve">to </w:t>
      </w:r>
      <w:r w:rsidR="0060703A" w:rsidRPr="00070820">
        <w:rPr>
          <w:rFonts w:cs="Arial"/>
          <w:spacing w:val="-3"/>
          <w:szCs w:val="19"/>
          <w:lang w:val="en-US"/>
        </w:rPr>
        <w:t>USD</w:t>
      </w:r>
      <w:r w:rsidR="0060703A">
        <w:rPr>
          <w:rFonts w:cs="Arial"/>
          <w:spacing w:val="-3"/>
          <w:szCs w:val="19"/>
          <w:lang w:val="en-US"/>
        </w:rPr>
        <w:t xml:space="preserve"> 0.6 </w:t>
      </w:r>
      <w:proofErr w:type="spellStart"/>
      <w:r w:rsidR="0060703A">
        <w:rPr>
          <w:rFonts w:cs="Arial"/>
          <w:spacing w:val="-3"/>
          <w:szCs w:val="19"/>
          <w:lang w:val="en-US"/>
        </w:rPr>
        <w:t>bn</w:t>
      </w:r>
      <w:proofErr w:type="spellEnd"/>
      <w:r w:rsidR="00277A82" w:rsidRPr="00070820">
        <w:rPr>
          <w:rFonts w:cs="Arial"/>
          <w:spacing w:val="-3"/>
          <w:szCs w:val="19"/>
          <w:lang w:val="en-US"/>
        </w:rPr>
        <w:t>).</w:t>
      </w:r>
      <w:r w:rsidR="0084092E" w:rsidRPr="00070820">
        <w:rPr>
          <w:rFonts w:cs="Arial"/>
          <w:spacing w:val="-3"/>
          <w:szCs w:val="19"/>
          <w:lang w:val="en-US"/>
        </w:rPr>
        <w:t xml:space="preserve"> </w:t>
      </w:r>
    </w:p>
    <w:p w14:paraId="4DC49B92" w14:textId="618D5574" w:rsidR="00277A82" w:rsidRPr="00070820" w:rsidRDefault="0042571C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  <w:lang w:val="en-US"/>
        </w:rPr>
      </w:pPr>
      <w:r w:rsidRPr="00070820">
        <w:rPr>
          <w:rFonts w:cs="Arial"/>
          <w:spacing w:val="-3"/>
          <w:szCs w:val="19"/>
          <w:lang w:val="en-US"/>
        </w:rPr>
        <w:t>Exports expressed in EUR amounted to</w:t>
      </w:r>
      <w:r w:rsidR="00277A82" w:rsidRPr="00070820">
        <w:rPr>
          <w:rFonts w:cs="Arial"/>
          <w:szCs w:val="19"/>
          <w:lang w:val="en-US"/>
        </w:rPr>
        <w:t xml:space="preserve"> </w:t>
      </w:r>
      <w:r w:rsidR="00B27EA1">
        <w:rPr>
          <w:rFonts w:cs="Arial"/>
          <w:bCs/>
          <w:color w:val="000000"/>
          <w:szCs w:val="19"/>
          <w:lang w:val="en-US"/>
        </w:rPr>
        <w:t>22</w:t>
      </w:r>
      <w:r w:rsidR="00D77C42">
        <w:rPr>
          <w:rFonts w:cs="Arial"/>
          <w:bCs/>
          <w:color w:val="000000"/>
          <w:szCs w:val="19"/>
          <w:lang w:val="en-US"/>
        </w:rPr>
        <w:t>3</w:t>
      </w:r>
      <w:r w:rsidR="00B27EA1">
        <w:rPr>
          <w:rFonts w:cs="Arial"/>
          <w:bCs/>
          <w:color w:val="000000"/>
          <w:szCs w:val="19"/>
          <w:lang w:val="en-US"/>
        </w:rPr>
        <w:t>.</w:t>
      </w:r>
      <w:r w:rsidR="00D77C42">
        <w:rPr>
          <w:rFonts w:cs="Arial"/>
          <w:bCs/>
          <w:color w:val="000000"/>
          <w:szCs w:val="19"/>
          <w:lang w:val="en-US"/>
        </w:rPr>
        <w:t>6</w:t>
      </w:r>
      <w:r w:rsidR="00277A82" w:rsidRPr="00070820">
        <w:rPr>
          <w:rFonts w:cs="Arial"/>
          <w:bCs/>
          <w:color w:val="000000"/>
          <w:szCs w:val="19"/>
          <w:lang w:val="en-US"/>
        </w:rPr>
        <w:t xml:space="preserve"> </w:t>
      </w:r>
      <w:proofErr w:type="spellStart"/>
      <w:r w:rsidR="00070820">
        <w:rPr>
          <w:rFonts w:cs="Arial"/>
          <w:szCs w:val="19"/>
          <w:lang w:val="en-US"/>
        </w:rPr>
        <w:t>bn</w:t>
      </w:r>
      <w:proofErr w:type="spellEnd"/>
      <w:r w:rsidRPr="00070820">
        <w:rPr>
          <w:rFonts w:cs="Arial"/>
          <w:szCs w:val="19"/>
          <w:lang w:val="en-US"/>
        </w:rPr>
        <w:t xml:space="preserve"> while imports</w:t>
      </w:r>
      <w:r w:rsidR="00277A82" w:rsidRPr="00070820">
        <w:rPr>
          <w:rFonts w:cs="Arial"/>
          <w:szCs w:val="19"/>
          <w:lang w:val="en-US"/>
        </w:rPr>
        <w:t xml:space="preserve"> </w:t>
      </w:r>
      <w:r w:rsidRPr="00070820">
        <w:rPr>
          <w:rFonts w:cs="Arial"/>
          <w:szCs w:val="19"/>
          <w:lang w:val="en-US"/>
        </w:rPr>
        <w:t xml:space="preserve">amounted to EUR </w:t>
      </w:r>
      <w:r w:rsidR="00B27EA1">
        <w:rPr>
          <w:rFonts w:cs="Arial"/>
          <w:bCs/>
          <w:color w:val="000000"/>
          <w:szCs w:val="19"/>
          <w:lang w:val="en-US"/>
        </w:rPr>
        <w:t>22</w:t>
      </w:r>
      <w:r w:rsidR="00D77C42">
        <w:rPr>
          <w:rFonts w:cs="Arial"/>
          <w:bCs/>
          <w:color w:val="000000"/>
          <w:szCs w:val="19"/>
          <w:lang w:val="en-US"/>
        </w:rPr>
        <w:t>8.2</w:t>
      </w:r>
      <w:r w:rsidR="00277A82" w:rsidRPr="00070820">
        <w:rPr>
          <w:rFonts w:cs="Arial"/>
          <w:bCs/>
          <w:color w:val="000000"/>
          <w:szCs w:val="19"/>
          <w:lang w:val="en-US"/>
        </w:rPr>
        <w:t xml:space="preserve"> </w:t>
      </w:r>
      <w:proofErr w:type="spellStart"/>
      <w:r w:rsidR="00070820">
        <w:rPr>
          <w:rFonts w:cs="Arial"/>
          <w:szCs w:val="19"/>
          <w:lang w:val="en-US"/>
        </w:rPr>
        <w:t>bn</w:t>
      </w:r>
      <w:proofErr w:type="spellEnd"/>
      <w:r w:rsidR="00277A82" w:rsidRPr="00070820">
        <w:rPr>
          <w:rFonts w:cs="Arial"/>
          <w:szCs w:val="19"/>
          <w:lang w:val="en-US"/>
        </w:rPr>
        <w:t xml:space="preserve"> </w:t>
      </w:r>
      <w:r w:rsidRPr="00070820">
        <w:rPr>
          <w:rFonts w:cs="Arial"/>
          <w:szCs w:val="19"/>
          <w:lang w:val="en-US"/>
        </w:rPr>
        <w:t xml:space="preserve">         </w:t>
      </w:r>
      <w:r w:rsidR="00277A82" w:rsidRPr="00070820">
        <w:rPr>
          <w:rFonts w:cs="Arial"/>
          <w:szCs w:val="19"/>
          <w:lang w:val="en-US"/>
        </w:rPr>
        <w:t>(</w:t>
      </w:r>
      <w:r w:rsidRPr="00070820">
        <w:rPr>
          <w:rFonts w:cs="Arial"/>
          <w:szCs w:val="19"/>
          <w:lang w:val="en-US"/>
        </w:rPr>
        <w:t>an increase in exports of</w:t>
      </w:r>
      <w:r w:rsidR="00277A82" w:rsidRPr="00070820">
        <w:rPr>
          <w:rFonts w:cs="Arial"/>
          <w:szCs w:val="19"/>
          <w:lang w:val="en-US"/>
        </w:rPr>
        <w:t xml:space="preserve"> </w:t>
      </w:r>
      <w:r w:rsidR="00E466D4">
        <w:rPr>
          <w:rFonts w:cs="Arial"/>
          <w:szCs w:val="19"/>
          <w:lang w:val="en-US"/>
        </w:rPr>
        <w:t>8.2</w:t>
      </w:r>
      <w:r w:rsidR="00277A82" w:rsidRPr="00070820">
        <w:rPr>
          <w:rFonts w:cs="Arial"/>
          <w:szCs w:val="19"/>
          <w:lang w:val="en-US"/>
        </w:rPr>
        <w:t>%</w:t>
      </w:r>
      <w:r w:rsidRPr="00070820">
        <w:rPr>
          <w:rFonts w:cs="Arial"/>
          <w:szCs w:val="19"/>
          <w:lang w:val="en-US"/>
        </w:rPr>
        <w:t xml:space="preserve"> </w:t>
      </w:r>
      <w:r w:rsidR="00277A82" w:rsidRPr="00070820">
        <w:rPr>
          <w:rFonts w:cs="Arial"/>
          <w:szCs w:val="19"/>
          <w:lang w:val="en-US"/>
        </w:rPr>
        <w:t>a</w:t>
      </w:r>
      <w:r w:rsidRPr="00070820">
        <w:rPr>
          <w:rFonts w:cs="Arial"/>
          <w:szCs w:val="19"/>
          <w:lang w:val="en-US"/>
        </w:rPr>
        <w:t>nd</w:t>
      </w:r>
      <w:r w:rsidR="00277A82" w:rsidRPr="00070820">
        <w:rPr>
          <w:rFonts w:cs="Arial"/>
          <w:szCs w:val="19"/>
          <w:lang w:val="en-US"/>
        </w:rPr>
        <w:t xml:space="preserve"> </w:t>
      </w:r>
      <w:r w:rsidRPr="00070820">
        <w:rPr>
          <w:rFonts w:cs="Arial"/>
          <w:szCs w:val="19"/>
          <w:lang w:val="en-US"/>
        </w:rPr>
        <w:t>in</w:t>
      </w:r>
      <w:r w:rsidR="00277A82" w:rsidRPr="00070820">
        <w:rPr>
          <w:rFonts w:cs="Arial"/>
          <w:szCs w:val="19"/>
          <w:lang w:val="en-US"/>
        </w:rPr>
        <w:t xml:space="preserve"> </w:t>
      </w:r>
      <w:r w:rsidR="00E11C96" w:rsidRPr="00070820">
        <w:rPr>
          <w:rFonts w:cs="Arial"/>
          <w:szCs w:val="19"/>
          <w:lang w:val="en-US"/>
        </w:rPr>
        <w:t xml:space="preserve">imports </w:t>
      </w:r>
      <w:r w:rsidR="00277A82" w:rsidRPr="00070820">
        <w:rPr>
          <w:rFonts w:cs="Arial"/>
          <w:szCs w:val="19"/>
          <w:lang w:val="en-US"/>
        </w:rPr>
        <w:t>o</w:t>
      </w:r>
      <w:r w:rsidR="00E11C96" w:rsidRPr="00070820">
        <w:rPr>
          <w:rFonts w:cs="Arial"/>
          <w:szCs w:val="19"/>
          <w:lang w:val="en-US"/>
        </w:rPr>
        <w:t>f</w:t>
      </w:r>
      <w:r w:rsidR="00277A82" w:rsidRPr="00070820">
        <w:rPr>
          <w:rFonts w:cs="Arial"/>
          <w:szCs w:val="19"/>
          <w:lang w:val="en-US"/>
        </w:rPr>
        <w:t xml:space="preserve"> </w:t>
      </w:r>
      <w:r w:rsidR="00E466D4">
        <w:rPr>
          <w:rFonts w:cs="Arial"/>
          <w:szCs w:val="19"/>
          <w:lang w:val="en-US"/>
        </w:rPr>
        <w:t>10</w:t>
      </w:r>
      <w:r w:rsidR="00B27EA1">
        <w:rPr>
          <w:rFonts w:cs="Arial"/>
          <w:szCs w:val="19"/>
          <w:lang w:val="en-US"/>
        </w:rPr>
        <w:t>.7</w:t>
      </w:r>
      <w:r w:rsidR="00277A82" w:rsidRPr="00070820">
        <w:rPr>
          <w:rFonts w:cs="Arial"/>
          <w:szCs w:val="19"/>
          <w:lang w:val="en-US"/>
        </w:rPr>
        <w:t xml:space="preserve">%). </w:t>
      </w:r>
      <w:r w:rsidR="00B27EA1" w:rsidRPr="00070820">
        <w:rPr>
          <w:rFonts w:cs="Arial"/>
          <w:szCs w:val="19"/>
          <w:lang w:val="en-US"/>
        </w:rPr>
        <w:t xml:space="preserve">The </w:t>
      </w:r>
      <w:r w:rsidR="00B27EA1">
        <w:rPr>
          <w:rFonts w:cs="Arial"/>
          <w:szCs w:val="19"/>
          <w:lang w:val="en-US"/>
        </w:rPr>
        <w:t>negative</w:t>
      </w:r>
      <w:r w:rsidR="00B27EA1" w:rsidRPr="00070820">
        <w:rPr>
          <w:rFonts w:cs="Arial"/>
          <w:szCs w:val="19"/>
          <w:lang w:val="en-US"/>
        </w:rPr>
        <w:t xml:space="preserve"> balance reached the level of EUR </w:t>
      </w:r>
      <w:r w:rsidR="00E466D4">
        <w:rPr>
          <w:rFonts w:cs="Arial"/>
          <w:bCs/>
          <w:color w:val="000000"/>
          <w:szCs w:val="19"/>
          <w:lang w:val="en-US"/>
        </w:rPr>
        <w:t>4</w:t>
      </w:r>
      <w:r w:rsidR="00B27EA1">
        <w:rPr>
          <w:rFonts w:cs="Arial"/>
          <w:bCs/>
          <w:color w:val="000000"/>
          <w:szCs w:val="19"/>
          <w:lang w:val="en-US"/>
        </w:rPr>
        <w:t>.</w:t>
      </w:r>
      <w:r w:rsidR="00E466D4">
        <w:rPr>
          <w:rFonts w:cs="Arial"/>
          <w:bCs/>
          <w:color w:val="000000"/>
          <w:szCs w:val="19"/>
          <w:lang w:val="en-US"/>
        </w:rPr>
        <w:t>6</w:t>
      </w:r>
      <w:r w:rsidR="00B27EA1">
        <w:rPr>
          <w:rFonts w:cs="Arial"/>
          <w:bCs/>
          <w:color w:val="000000"/>
          <w:szCs w:val="19"/>
          <w:lang w:val="en-US"/>
        </w:rPr>
        <w:t xml:space="preserve"> </w:t>
      </w:r>
      <w:proofErr w:type="spellStart"/>
      <w:r w:rsidR="00B27EA1">
        <w:rPr>
          <w:rFonts w:cs="Arial"/>
          <w:szCs w:val="19"/>
          <w:lang w:val="en-US"/>
        </w:rPr>
        <w:t>bn</w:t>
      </w:r>
      <w:proofErr w:type="spellEnd"/>
      <w:r w:rsidR="00B27EA1" w:rsidRPr="00070820">
        <w:rPr>
          <w:rFonts w:cs="Arial"/>
          <w:szCs w:val="19"/>
          <w:lang w:val="en-US"/>
        </w:rPr>
        <w:t xml:space="preserve"> compared to </w:t>
      </w:r>
      <w:r w:rsidR="00B27EA1">
        <w:rPr>
          <w:rFonts w:cs="Arial"/>
          <w:szCs w:val="19"/>
          <w:lang w:val="en-US"/>
        </w:rPr>
        <w:t xml:space="preserve">positive balance </w:t>
      </w:r>
      <w:r w:rsidR="00B27EA1" w:rsidRPr="00070820">
        <w:rPr>
          <w:rFonts w:cs="Arial"/>
          <w:szCs w:val="19"/>
          <w:lang w:val="en-US"/>
        </w:rPr>
        <w:t>EUR </w:t>
      </w:r>
      <w:r w:rsidR="00B27EA1">
        <w:rPr>
          <w:rFonts w:cs="Arial"/>
          <w:szCs w:val="19"/>
          <w:lang w:val="en-US"/>
        </w:rPr>
        <w:t>0.5</w:t>
      </w:r>
      <w:r w:rsidR="00B27EA1" w:rsidRPr="00070820">
        <w:rPr>
          <w:rFonts w:cs="Arial"/>
          <w:szCs w:val="19"/>
          <w:lang w:val="en-US"/>
        </w:rPr>
        <w:t xml:space="preserve"> </w:t>
      </w:r>
      <w:proofErr w:type="spellStart"/>
      <w:r w:rsidR="00B27EA1">
        <w:rPr>
          <w:rFonts w:cs="Arial"/>
          <w:szCs w:val="19"/>
          <w:lang w:val="en-US"/>
        </w:rPr>
        <w:t>bn</w:t>
      </w:r>
      <w:proofErr w:type="spellEnd"/>
      <w:r w:rsidR="00B27EA1" w:rsidRPr="00070820">
        <w:rPr>
          <w:rFonts w:cs="Arial"/>
          <w:szCs w:val="19"/>
          <w:lang w:val="en-US"/>
        </w:rPr>
        <w:t xml:space="preserve"> in 201</w:t>
      </w:r>
      <w:r w:rsidR="00B27EA1">
        <w:rPr>
          <w:rFonts w:cs="Arial"/>
          <w:szCs w:val="19"/>
          <w:lang w:val="en-US"/>
        </w:rPr>
        <w:t>7</w:t>
      </w:r>
      <w:r w:rsidR="00B27EA1" w:rsidRPr="00070820">
        <w:rPr>
          <w:rFonts w:cs="Arial"/>
          <w:szCs w:val="19"/>
          <w:lang w:val="en-US"/>
        </w:rPr>
        <w:t>.</w:t>
      </w:r>
    </w:p>
    <w:p w14:paraId="6F3E67A8" w14:textId="77777777" w:rsidR="00B34813" w:rsidRDefault="00B34813" w:rsidP="00074DD8">
      <w:pPr>
        <w:pStyle w:val="tytuwykresu"/>
        <w:rPr>
          <w:lang w:val="en-US"/>
        </w:rPr>
      </w:pPr>
    </w:p>
    <w:p w14:paraId="5F87F15A" w14:textId="0614370F" w:rsidR="00116087" w:rsidRPr="00070820" w:rsidRDefault="00683419" w:rsidP="00074DD8">
      <w:pPr>
        <w:pStyle w:val="tytuwykresu"/>
        <w:rPr>
          <w:lang w:val="en-US"/>
        </w:rPr>
      </w:pPr>
      <w:r w:rsidRPr="00070820">
        <w:rPr>
          <w:lang w:val="en-US"/>
        </w:rPr>
        <w:t>Chart</w:t>
      </w:r>
      <w:r w:rsidR="00FB5906" w:rsidRPr="00070820">
        <w:rPr>
          <w:lang w:val="en-US"/>
        </w:rPr>
        <w:t xml:space="preserve"> </w:t>
      </w:r>
      <w:r w:rsidR="00074DD8" w:rsidRPr="00070820">
        <w:rPr>
          <w:lang w:val="en-US"/>
        </w:rPr>
        <w:t>1</w:t>
      </w:r>
      <w:r w:rsidR="00585385" w:rsidRPr="00070820">
        <w:rPr>
          <w:lang w:val="en-US"/>
        </w:rPr>
        <w:t>.</w:t>
      </w:r>
      <w:r w:rsidR="00074DD8" w:rsidRPr="00070820">
        <w:rPr>
          <w:shd w:val="clear" w:color="auto" w:fill="FFFFFF"/>
          <w:lang w:val="en-US"/>
        </w:rPr>
        <w:t xml:space="preserve"> </w:t>
      </w:r>
      <w:r w:rsidRPr="00070820">
        <w:rPr>
          <w:shd w:val="clear" w:color="auto" w:fill="FFFFFF"/>
          <w:lang w:val="en-US"/>
        </w:rPr>
        <w:t xml:space="preserve">Turnover in the last three months </w:t>
      </w:r>
      <w:r w:rsidR="00E466D4">
        <w:rPr>
          <w:shd w:val="clear" w:color="auto" w:fill="FFFFFF"/>
          <w:lang w:val="en-US"/>
        </w:rPr>
        <w:t xml:space="preserve">2018 </w:t>
      </w:r>
      <w:r w:rsidRPr="00070820">
        <w:rPr>
          <w:shd w:val="clear" w:color="auto" w:fill="FFFFFF"/>
          <w:lang w:val="en-US"/>
        </w:rPr>
        <w:t>in PLN billion</w:t>
      </w:r>
    </w:p>
    <w:p w14:paraId="5F87F15B" w14:textId="0622523C" w:rsidR="00F802BE" w:rsidRDefault="00A9089D" w:rsidP="00F802BE">
      <w:pPr>
        <w:pStyle w:val="Nagwek1"/>
        <w:rPr>
          <w:noProof/>
        </w:rPr>
      </w:pPr>
      <w:r>
        <w:rPr>
          <w:noProof/>
        </w:rPr>
        <w:drawing>
          <wp:inline distT="0" distB="0" distL="0" distR="0" wp14:anchorId="1E2DFB07" wp14:editId="00A13539">
            <wp:extent cx="4921250" cy="1968253"/>
            <wp:effectExtent l="0" t="0" r="12700" b="13335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59AE5460" w14:textId="77777777" w:rsidR="00B34813" w:rsidRDefault="00B34813" w:rsidP="00F802BE">
      <w:pPr>
        <w:pStyle w:val="Nagwek1"/>
        <w:rPr>
          <w:color w:val="auto"/>
          <w:sz w:val="18"/>
          <w:szCs w:val="18"/>
          <w:lang w:val="en-US"/>
        </w:rPr>
      </w:pPr>
    </w:p>
    <w:p w14:paraId="1E5446E4" w14:textId="28B100D5" w:rsidR="00017EBA" w:rsidRPr="00070820" w:rsidRDefault="007E4E9B" w:rsidP="00F802BE">
      <w:pPr>
        <w:pStyle w:val="Nagwek1"/>
        <w:rPr>
          <w:color w:val="auto"/>
          <w:shd w:val="clear" w:color="auto" w:fill="FFFFFF"/>
          <w:lang w:val="en-US"/>
        </w:rPr>
      </w:pPr>
      <w:r w:rsidRPr="00070820">
        <w:rPr>
          <w:color w:val="auto"/>
          <w:sz w:val="18"/>
          <w:szCs w:val="18"/>
          <w:lang w:val="en-US"/>
        </w:rPr>
        <w:t>Chart</w:t>
      </w:r>
      <w:r w:rsidR="00017EBA" w:rsidRPr="00070820">
        <w:rPr>
          <w:color w:val="auto"/>
          <w:sz w:val="18"/>
          <w:szCs w:val="18"/>
          <w:lang w:val="en-US"/>
        </w:rPr>
        <w:t xml:space="preserve"> </w:t>
      </w:r>
      <w:r w:rsidR="00F70DA2" w:rsidRPr="00070820">
        <w:rPr>
          <w:color w:val="auto"/>
          <w:sz w:val="18"/>
          <w:szCs w:val="18"/>
          <w:lang w:val="en-US"/>
        </w:rPr>
        <w:t>2</w:t>
      </w:r>
      <w:r w:rsidR="00585385" w:rsidRPr="00070820">
        <w:rPr>
          <w:color w:val="auto"/>
          <w:sz w:val="18"/>
          <w:szCs w:val="18"/>
          <w:lang w:val="en-US"/>
        </w:rPr>
        <w:t>.</w:t>
      </w:r>
      <w:r w:rsidR="00017EBA" w:rsidRPr="00070820">
        <w:rPr>
          <w:color w:val="auto"/>
          <w:sz w:val="18"/>
          <w:szCs w:val="18"/>
          <w:shd w:val="clear" w:color="auto" w:fill="FFFFFF"/>
          <w:lang w:val="en-US"/>
        </w:rPr>
        <w:t xml:space="preserve"> </w:t>
      </w:r>
      <w:r w:rsidRPr="00070820">
        <w:rPr>
          <w:color w:val="auto"/>
          <w:sz w:val="18"/>
          <w:szCs w:val="18"/>
          <w:shd w:val="clear" w:color="auto" w:fill="FFFFFF"/>
          <w:lang w:val="en-US"/>
        </w:rPr>
        <w:t>Indices of value exports</w:t>
      </w:r>
      <w:r w:rsidR="00017EBA" w:rsidRPr="00070820">
        <w:rPr>
          <w:color w:val="auto"/>
          <w:sz w:val="18"/>
          <w:szCs w:val="18"/>
          <w:shd w:val="clear" w:color="auto" w:fill="FFFFFF"/>
          <w:lang w:val="en-US"/>
        </w:rPr>
        <w:t xml:space="preserve"> </w:t>
      </w:r>
      <w:r w:rsidR="00856331">
        <w:rPr>
          <w:color w:val="auto"/>
          <w:sz w:val="18"/>
          <w:szCs w:val="18"/>
          <w:shd w:val="clear" w:color="auto" w:fill="FFFFFF"/>
          <w:lang w:val="en-US"/>
        </w:rPr>
        <w:t xml:space="preserve">in PLN </w:t>
      </w:r>
      <w:r w:rsidRPr="00070820">
        <w:rPr>
          <w:color w:val="auto"/>
          <w:sz w:val="18"/>
          <w:szCs w:val="18"/>
          <w:shd w:val="clear" w:color="auto" w:fill="FFFFFF"/>
          <w:lang w:val="en-US"/>
        </w:rPr>
        <w:t>–</w:t>
      </w:r>
      <w:r w:rsidR="00017EBA" w:rsidRPr="00070820">
        <w:rPr>
          <w:color w:val="auto"/>
          <w:sz w:val="18"/>
          <w:szCs w:val="18"/>
          <w:shd w:val="clear" w:color="auto" w:fill="FFFFFF"/>
          <w:lang w:val="en-US"/>
        </w:rPr>
        <w:t xml:space="preserve"> </w:t>
      </w:r>
      <w:r w:rsidRPr="00070820">
        <w:rPr>
          <w:color w:val="auto"/>
          <w:sz w:val="18"/>
          <w:szCs w:val="18"/>
          <w:shd w:val="clear" w:color="auto" w:fill="FFFFFF"/>
          <w:lang w:val="en-US"/>
        </w:rPr>
        <w:t>previous year</w:t>
      </w:r>
      <w:r w:rsidR="00017EBA" w:rsidRPr="00070820">
        <w:rPr>
          <w:color w:val="auto"/>
          <w:sz w:val="18"/>
          <w:szCs w:val="18"/>
          <w:shd w:val="clear" w:color="auto" w:fill="FFFFFF"/>
          <w:lang w:val="en-US"/>
        </w:rPr>
        <w:t xml:space="preserve"> = 100</w:t>
      </w:r>
    </w:p>
    <w:p w14:paraId="32F2F7BC" w14:textId="6DB97F04" w:rsidR="00476D65" w:rsidRPr="00070820" w:rsidRDefault="00A9089D" w:rsidP="00017EBA">
      <w:pPr>
        <w:rPr>
          <w:lang w:val="en-US"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756544" behindDoc="1" locked="0" layoutInCell="1" allowOverlap="1" wp14:anchorId="6C01835B" wp14:editId="7216C988">
            <wp:simplePos x="0" y="0"/>
            <wp:positionH relativeFrom="column">
              <wp:posOffset>-54591</wp:posOffset>
            </wp:positionH>
            <wp:positionV relativeFrom="paragraph">
              <wp:posOffset>98416</wp:posOffset>
            </wp:positionV>
            <wp:extent cx="5273675" cy="1289713"/>
            <wp:effectExtent l="0" t="0" r="3175" b="5715"/>
            <wp:wrapNone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503421" w14:textId="582E5AFD" w:rsidR="00E53C35" w:rsidRPr="00070820" w:rsidRDefault="00AF0CDF" w:rsidP="00F802BE">
      <w:pPr>
        <w:pStyle w:val="Nagwek1"/>
        <w:rPr>
          <w:lang w:val="en-US"/>
        </w:rPr>
      </w:pPr>
      <w:r w:rsidRPr="00070820">
        <w:rPr>
          <w:color w:val="auto"/>
          <w:sz w:val="18"/>
          <w:szCs w:val="18"/>
          <w:lang w:val="en-US"/>
        </w:rPr>
        <w:lastRenderedPageBreak/>
        <w:t>Chart</w:t>
      </w:r>
      <w:r w:rsidR="004A29AD" w:rsidRPr="00070820">
        <w:rPr>
          <w:color w:val="auto"/>
          <w:sz w:val="18"/>
          <w:szCs w:val="18"/>
          <w:lang w:val="en-US"/>
        </w:rPr>
        <w:t xml:space="preserve"> 3</w:t>
      </w:r>
      <w:r w:rsidR="00371FC0" w:rsidRPr="00070820">
        <w:rPr>
          <w:color w:val="auto"/>
          <w:sz w:val="18"/>
          <w:szCs w:val="18"/>
          <w:lang w:val="en-US"/>
        </w:rPr>
        <w:t>.</w:t>
      </w:r>
      <w:r w:rsidR="004A29AD" w:rsidRPr="00070820">
        <w:rPr>
          <w:color w:val="auto"/>
          <w:sz w:val="18"/>
          <w:szCs w:val="18"/>
          <w:shd w:val="clear" w:color="auto" w:fill="FFFFFF"/>
          <w:lang w:val="en-US"/>
        </w:rPr>
        <w:t xml:space="preserve"> </w:t>
      </w:r>
      <w:r w:rsidRPr="00070820">
        <w:rPr>
          <w:color w:val="auto"/>
          <w:sz w:val="18"/>
          <w:szCs w:val="18"/>
          <w:shd w:val="clear" w:color="auto" w:fill="FFFFFF"/>
          <w:lang w:val="en-US"/>
        </w:rPr>
        <w:t>Indices of value imports</w:t>
      </w:r>
      <w:r w:rsidR="00856331">
        <w:rPr>
          <w:color w:val="auto"/>
          <w:sz w:val="18"/>
          <w:szCs w:val="18"/>
          <w:shd w:val="clear" w:color="auto" w:fill="FFFFFF"/>
          <w:lang w:val="en-US"/>
        </w:rPr>
        <w:t xml:space="preserve"> in PLN </w:t>
      </w:r>
      <w:r w:rsidRPr="00070820">
        <w:rPr>
          <w:color w:val="auto"/>
          <w:sz w:val="18"/>
          <w:szCs w:val="18"/>
          <w:shd w:val="clear" w:color="auto" w:fill="FFFFFF"/>
          <w:lang w:val="en-US"/>
        </w:rPr>
        <w:t xml:space="preserve"> – previous year = 100</w:t>
      </w:r>
    </w:p>
    <w:p w14:paraId="2327BE12" w14:textId="0D25E78F" w:rsidR="00E53C35" w:rsidRDefault="00A9089D" w:rsidP="00F802BE">
      <w:pPr>
        <w:pStyle w:val="Nagwek1"/>
      </w:pPr>
      <w:r>
        <w:rPr>
          <w:noProof/>
        </w:rPr>
        <w:drawing>
          <wp:inline distT="0" distB="0" distL="0" distR="0" wp14:anchorId="0230FE45" wp14:editId="070DA564">
            <wp:extent cx="5220269" cy="1166495"/>
            <wp:effectExtent l="0" t="0" r="0" b="14605"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5F87F15C" w14:textId="595BC8BB" w:rsidR="00F802BE" w:rsidRPr="00070820" w:rsidRDefault="00F802BE" w:rsidP="00F802BE">
      <w:pPr>
        <w:pStyle w:val="Nagwek1"/>
        <w:rPr>
          <w:lang w:val="en-US"/>
        </w:rPr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5F87F1FC" wp14:editId="5F87F1FD">
                <wp:simplePos x="0" y="0"/>
                <wp:positionH relativeFrom="column">
                  <wp:posOffset>5219700</wp:posOffset>
                </wp:positionH>
                <wp:positionV relativeFrom="paragraph">
                  <wp:posOffset>165100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7F21F" w14:textId="27708DDA" w:rsidR="00C85300" w:rsidRPr="00F63B71" w:rsidRDefault="00C85300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F63B71">
                              <w:rPr>
                                <w:lang w:val="en-US"/>
                              </w:rPr>
                              <w:t xml:space="preserve">The high share of developed countries in </w:t>
                            </w:r>
                            <w:r>
                              <w:rPr>
                                <w:lang w:val="en-US"/>
                              </w:rPr>
                              <w:t>trade</w:t>
                            </w:r>
                            <w:r w:rsidRPr="00F63B71">
                              <w:rPr>
                                <w:lang w:val="en-US"/>
                              </w:rPr>
                              <w:t xml:space="preserve"> in goods is affected by high </w:t>
                            </w:r>
                            <w:r>
                              <w:rPr>
                                <w:lang w:val="en-US"/>
                              </w:rPr>
                              <w:t xml:space="preserve">turnover with the </w:t>
                            </w:r>
                            <w:r w:rsidRPr="00F63B71">
                              <w:rPr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lang w:val="en-US"/>
                              </w:rPr>
                              <w:t>U</w:t>
                            </w:r>
                            <w:r w:rsidRPr="00F63B71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768CC2C3" w14:textId="77777777" w:rsidR="00C85300" w:rsidRPr="00F63B71" w:rsidRDefault="00C85300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7952F56" w14:textId="77777777" w:rsidR="00C85300" w:rsidRPr="00F63B71" w:rsidRDefault="00C85300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145CAFD" w14:textId="77777777" w:rsidR="00C85300" w:rsidRPr="00F63B71" w:rsidRDefault="00C85300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D891019" w14:textId="77777777" w:rsidR="00C85300" w:rsidRPr="00F63B71" w:rsidRDefault="00C85300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3B4DCC" w14:textId="77777777" w:rsidR="00C85300" w:rsidRPr="00F63B71" w:rsidRDefault="00C85300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4246639" w14:textId="77777777" w:rsidR="00C85300" w:rsidRPr="00F63B71" w:rsidRDefault="00C85300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3726DC1" w14:textId="77777777" w:rsidR="00C85300" w:rsidRPr="00F63B71" w:rsidRDefault="00C85300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7E93ECE" w14:textId="77777777" w:rsidR="00C85300" w:rsidRPr="00F63B71" w:rsidRDefault="00C85300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A1B5FCB" w14:textId="77777777" w:rsidR="00C85300" w:rsidRPr="00F63B71" w:rsidRDefault="00C85300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736CB6F" w14:textId="77777777" w:rsidR="00C85300" w:rsidRPr="00F63B71" w:rsidRDefault="00C85300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C272F40" w14:textId="77777777" w:rsidR="00C85300" w:rsidRPr="00F63B71" w:rsidRDefault="00C85300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64C807D" w14:textId="77777777" w:rsidR="00C85300" w:rsidRPr="00F63B71" w:rsidRDefault="00C85300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FEA3E3B" w14:textId="77777777" w:rsidR="00C85300" w:rsidRPr="00F63B71" w:rsidRDefault="00C85300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8626356" w14:textId="77777777" w:rsidR="00C85300" w:rsidRPr="00F63B71" w:rsidRDefault="00C85300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1897E22" w14:textId="77777777" w:rsidR="00C85300" w:rsidRPr="00F63B71" w:rsidRDefault="00C85300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118B0A6" w14:textId="77777777" w:rsidR="00C85300" w:rsidRPr="00F63B71" w:rsidRDefault="00C85300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B3D82E1" w14:textId="77777777" w:rsidR="00C85300" w:rsidRPr="00F63B71" w:rsidRDefault="00C85300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1D2E2E2" w14:textId="77777777" w:rsidR="00C85300" w:rsidRPr="00F63B71" w:rsidRDefault="00C85300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256B65F" w14:textId="77777777" w:rsidR="00C85300" w:rsidRPr="00F63B71" w:rsidRDefault="00C85300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39F0BD2" w14:textId="77777777" w:rsidR="00C85300" w:rsidRPr="00F63B71" w:rsidRDefault="00C85300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1D6DA2F" w14:textId="77777777" w:rsidR="00C85300" w:rsidRPr="00F63B71" w:rsidRDefault="00C85300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A7D2705" w14:textId="77777777" w:rsidR="00C85300" w:rsidRPr="00F63B71" w:rsidRDefault="00C85300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4EE4E0" w14:textId="77777777" w:rsidR="00C85300" w:rsidRPr="00F63B71" w:rsidRDefault="00C85300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3AF3B19" w14:textId="77777777" w:rsidR="00C85300" w:rsidRPr="00F63B71" w:rsidRDefault="00C85300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47AD9C4" w14:textId="77777777" w:rsidR="00C85300" w:rsidRPr="00F63B71" w:rsidRDefault="00C85300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8010A12" w14:textId="77777777" w:rsidR="00C85300" w:rsidRPr="00F63B71" w:rsidRDefault="00C85300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AEC3486" w14:textId="77777777" w:rsidR="00C85300" w:rsidRPr="00F63B71" w:rsidRDefault="00C85300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2A7C64D" w14:textId="77777777" w:rsidR="00C85300" w:rsidRPr="00F63B71" w:rsidRDefault="00C85300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F87F220" w14:textId="77777777" w:rsidR="00C85300" w:rsidRPr="00F63B71" w:rsidRDefault="00C85300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C" id="Pole tekstowe 16" o:spid="_x0000_s1029" type="#_x0000_t202" style="position:absolute;margin-left:411pt;margin-top:13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" filled="f" stroked="f">
                <v:textbox>
                  <w:txbxContent>
                    <w:p w14:paraId="5F87F21F" w14:textId="27708DDA" w:rsidR="00C85300" w:rsidRPr="00F63B71" w:rsidRDefault="00C85300" w:rsidP="00F802BE">
                      <w:pPr>
                        <w:pStyle w:val="tekstzboku"/>
                        <w:rPr>
                          <w:lang w:val="en-US"/>
                        </w:rPr>
                      </w:pPr>
                      <w:r w:rsidRPr="00F63B71">
                        <w:rPr>
                          <w:lang w:val="en-US"/>
                        </w:rPr>
                        <w:t xml:space="preserve">The high share of developed countries in </w:t>
                      </w:r>
                      <w:r>
                        <w:rPr>
                          <w:lang w:val="en-US"/>
                        </w:rPr>
                        <w:t>trade</w:t>
                      </w:r>
                      <w:r w:rsidRPr="00F63B71">
                        <w:rPr>
                          <w:lang w:val="en-US"/>
                        </w:rPr>
                        <w:t xml:space="preserve"> in goods is affected by high </w:t>
                      </w:r>
                      <w:r>
                        <w:rPr>
                          <w:lang w:val="en-US"/>
                        </w:rPr>
                        <w:t xml:space="preserve">turnover with the </w:t>
                      </w:r>
                      <w:r w:rsidRPr="00F63B71">
                        <w:rPr>
                          <w:lang w:val="en-US"/>
                        </w:rPr>
                        <w:t>E</w:t>
                      </w:r>
                      <w:r>
                        <w:rPr>
                          <w:lang w:val="en-US"/>
                        </w:rPr>
                        <w:t>U</w:t>
                      </w:r>
                      <w:r w:rsidRPr="00F63B71">
                        <w:rPr>
                          <w:lang w:val="en-US"/>
                        </w:rPr>
                        <w:t xml:space="preserve"> </w:t>
                      </w:r>
                    </w:p>
                    <w:p w14:paraId="768CC2C3" w14:textId="77777777" w:rsidR="00C85300" w:rsidRPr="00F63B71" w:rsidRDefault="00C85300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7952F56" w14:textId="77777777" w:rsidR="00C85300" w:rsidRPr="00F63B71" w:rsidRDefault="00C85300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145CAFD" w14:textId="77777777" w:rsidR="00C85300" w:rsidRPr="00F63B71" w:rsidRDefault="00C85300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D891019" w14:textId="77777777" w:rsidR="00C85300" w:rsidRPr="00F63B71" w:rsidRDefault="00C85300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3B4DCC" w14:textId="77777777" w:rsidR="00C85300" w:rsidRPr="00F63B71" w:rsidRDefault="00C85300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4246639" w14:textId="77777777" w:rsidR="00C85300" w:rsidRPr="00F63B71" w:rsidRDefault="00C85300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3726DC1" w14:textId="77777777" w:rsidR="00C85300" w:rsidRPr="00F63B71" w:rsidRDefault="00C85300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7E93ECE" w14:textId="77777777" w:rsidR="00C85300" w:rsidRPr="00F63B71" w:rsidRDefault="00C85300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A1B5FCB" w14:textId="77777777" w:rsidR="00C85300" w:rsidRPr="00F63B71" w:rsidRDefault="00C85300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736CB6F" w14:textId="77777777" w:rsidR="00C85300" w:rsidRPr="00F63B71" w:rsidRDefault="00C85300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C272F40" w14:textId="77777777" w:rsidR="00C85300" w:rsidRPr="00F63B71" w:rsidRDefault="00C85300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64C807D" w14:textId="77777777" w:rsidR="00C85300" w:rsidRPr="00F63B71" w:rsidRDefault="00C85300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FEA3E3B" w14:textId="77777777" w:rsidR="00C85300" w:rsidRPr="00F63B71" w:rsidRDefault="00C85300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8626356" w14:textId="77777777" w:rsidR="00C85300" w:rsidRPr="00F63B71" w:rsidRDefault="00C85300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1897E22" w14:textId="77777777" w:rsidR="00C85300" w:rsidRPr="00F63B71" w:rsidRDefault="00C85300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118B0A6" w14:textId="77777777" w:rsidR="00C85300" w:rsidRPr="00F63B71" w:rsidRDefault="00C85300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B3D82E1" w14:textId="77777777" w:rsidR="00C85300" w:rsidRPr="00F63B71" w:rsidRDefault="00C85300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1D2E2E2" w14:textId="77777777" w:rsidR="00C85300" w:rsidRPr="00F63B71" w:rsidRDefault="00C85300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256B65F" w14:textId="77777777" w:rsidR="00C85300" w:rsidRPr="00F63B71" w:rsidRDefault="00C85300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39F0BD2" w14:textId="77777777" w:rsidR="00C85300" w:rsidRPr="00F63B71" w:rsidRDefault="00C85300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1D6DA2F" w14:textId="77777777" w:rsidR="00C85300" w:rsidRPr="00F63B71" w:rsidRDefault="00C85300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A7D2705" w14:textId="77777777" w:rsidR="00C85300" w:rsidRPr="00F63B71" w:rsidRDefault="00C85300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4EE4E0" w14:textId="77777777" w:rsidR="00C85300" w:rsidRPr="00F63B71" w:rsidRDefault="00C85300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3AF3B19" w14:textId="77777777" w:rsidR="00C85300" w:rsidRPr="00F63B71" w:rsidRDefault="00C85300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47AD9C4" w14:textId="77777777" w:rsidR="00C85300" w:rsidRPr="00F63B71" w:rsidRDefault="00C85300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8010A12" w14:textId="77777777" w:rsidR="00C85300" w:rsidRPr="00F63B71" w:rsidRDefault="00C85300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AEC3486" w14:textId="77777777" w:rsidR="00C85300" w:rsidRPr="00F63B71" w:rsidRDefault="00C85300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2A7C64D" w14:textId="77777777" w:rsidR="00C85300" w:rsidRPr="00F63B71" w:rsidRDefault="00C85300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F87F220" w14:textId="77777777" w:rsidR="00C85300" w:rsidRPr="00F63B71" w:rsidRDefault="00C85300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F0CDF" w:rsidRPr="00070820">
        <w:rPr>
          <w:lang w:val="en-US"/>
        </w:rPr>
        <w:t>Foreign trade turnover of goods in total and by</w:t>
      </w:r>
      <w:r w:rsidR="00717D5C" w:rsidRPr="00070820">
        <w:rPr>
          <w:lang w:val="en-US"/>
        </w:rPr>
        <w:t xml:space="preserve"> groups of</w:t>
      </w:r>
      <w:r w:rsidR="00AF0CDF" w:rsidRPr="00070820">
        <w:rPr>
          <w:lang w:val="en-US"/>
        </w:rPr>
        <w:t xml:space="preserve"> countries</w:t>
      </w:r>
    </w:p>
    <w:p w14:paraId="5F87F15D" w14:textId="0A240863" w:rsidR="00F802BE" w:rsidRPr="00A76F14" w:rsidRDefault="00C45082" w:rsidP="00F802BE">
      <w:pPr>
        <w:rPr>
          <w:shd w:val="clear" w:color="auto" w:fill="FFFFFF"/>
          <w:lang w:val="en-US"/>
        </w:rPr>
      </w:pPr>
      <w:r w:rsidRPr="00936029">
        <w:rPr>
          <w:rFonts w:cs="Arial"/>
          <w:color w:val="222222"/>
          <w:szCs w:val="19"/>
          <w:lang w:val="en"/>
        </w:rPr>
        <w:t>Poland has the largest share in total exports wit</w:t>
      </w:r>
      <w:r>
        <w:rPr>
          <w:rFonts w:cs="Arial"/>
          <w:color w:val="222222"/>
          <w:szCs w:val="19"/>
          <w:lang w:val="en"/>
        </w:rPr>
        <w:t xml:space="preserve">h developed countries </w:t>
      </w:r>
      <w:r w:rsidR="003E0AA8">
        <w:rPr>
          <w:rFonts w:cs="Arial"/>
          <w:color w:val="222222"/>
          <w:szCs w:val="19"/>
          <w:lang w:val="en"/>
        </w:rPr>
        <w:t>–</w:t>
      </w:r>
      <w:r>
        <w:rPr>
          <w:rFonts w:cs="Arial"/>
          <w:color w:val="222222"/>
          <w:szCs w:val="19"/>
          <w:lang w:val="en"/>
        </w:rPr>
        <w:t xml:space="preserve"> 8</w:t>
      </w:r>
      <w:r w:rsidR="003E0AA8">
        <w:rPr>
          <w:rFonts w:cs="Arial"/>
          <w:color w:val="222222"/>
          <w:szCs w:val="19"/>
          <w:lang w:val="en"/>
        </w:rPr>
        <w:t>7.</w:t>
      </w:r>
      <w:r w:rsidR="00CF3F40">
        <w:rPr>
          <w:rFonts w:cs="Arial"/>
          <w:color w:val="222222"/>
          <w:szCs w:val="19"/>
          <w:lang w:val="en"/>
        </w:rPr>
        <w:t>1</w:t>
      </w:r>
      <w:r>
        <w:rPr>
          <w:rFonts w:cs="Arial"/>
          <w:color w:val="222222"/>
          <w:szCs w:val="19"/>
          <w:lang w:val="en"/>
        </w:rPr>
        <w:t>% (of which</w:t>
      </w:r>
      <w:r w:rsidRPr="00936029">
        <w:rPr>
          <w:rFonts w:cs="Arial"/>
          <w:color w:val="222222"/>
          <w:szCs w:val="19"/>
          <w:lang w:val="en"/>
        </w:rPr>
        <w:t xml:space="preserve"> EU </w:t>
      </w:r>
      <w:r w:rsidR="00CF3F40">
        <w:rPr>
          <w:rFonts w:cs="Arial"/>
          <w:color w:val="222222"/>
          <w:szCs w:val="19"/>
          <w:lang w:val="en"/>
        </w:rPr>
        <w:t>80.6</w:t>
      </w:r>
      <w:r w:rsidRPr="00936029">
        <w:rPr>
          <w:rFonts w:cs="Arial"/>
          <w:color w:val="222222"/>
          <w:szCs w:val="19"/>
          <w:lang w:val="en"/>
        </w:rPr>
        <w:t xml:space="preserve">%), and imports </w:t>
      </w:r>
      <w:r w:rsidR="003E0AA8">
        <w:rPr>
          <w:rFonts w:cs="Arial"/>
          <w:color w:val="222222"/>
          <w:szCs w:val="19"/>
          <w:lang w:val="en"/>
        </w:rPr>
        <w:t>–</w:t>
      </w:r>
      <w:r w:rsidRPr="00936029">
        <w:rPr>
          <w:rFonts w:cs="Arial"/>
          <w:color w:val="222222"/>
          <w:szCs w:val="19"/>
          <w:lang w:val="en"/>
        </w:rPr>
        <w:t xml:space="preserve"> </w:t>
      </w:r>
      <w:r w:rsidR="003E0AA8">
        <w:rPr>
          <w:rFonts w:cs="Arial"/>
          <w:color w:val="222222"/>
          <w:szCs w:val="19"/>
          <w:lang w:val="en"/>
        </w:rPr>
        <w:t>65.</w:t>
      </w:r>
      <w:r w:rsidR="00CF3F40">
        <w:rPr>
          <w:rFonts w:cs="Arial"/>
          <w:color w:val="222222"/>
          <w:szCs w:val="19"/>
          <w:lang w:val="en"/>
        </w:rPr>
        <w:t>9</w:t>
      </w:r>
      <w:r w:rsidRPr="00936029">
        <w:rPr>
          <w:rFonts w:cs="Arial"/>
          <w:color w:val="222222"/>
          <w:szCs w:val="19"/>
          <w:lang w:val="en"/>
        </w:rPr>
        <w:t>% (</w:t>
      </w:r>
      <w:r>
        <w:rPr>
          <w:rFonts w:cs="Arial"/>
          <w:color w:val="222222"/>
          <w:szCs w:val="19"/>
          <w:lang w:val="en"/>
        </w:rPr>
        <w:t>of which EU</w:t>
      </w:r>
      <w:r w:rsidRPr="00936029">
        <w:rPr>
          <w:rFonts w:cs="Arial"/>
          <w:color w:val="222222"/>
          <w:szCs w:val="19"/>
          <w:lang w:val="en"/>
        </w:rPr>
        <w:t xml:space="preserve"> </w:t>
      </w:r>
      <w:r w:rsidR="003E0AA8">
        <w:rPr>
          <w:rFonts w:cs="Arial"/>
          <w:color w:val="222222"/>
          <w:szCs w:val="19"/>
          <w:lang w:val="en"/>
        </w:rPr>
        <w:t>58.</w:t>
      </w:r>
      <w:r w:rsidR="00CF3F40">
        <w:rPr>
          <w:rFonts w:cs="Arial"/>
          <w:color w:val="222222"/>
          <w:szCs w:val="19"/>
          <w:lang w:val="en"/>
        </w:rPr>
        <w:t>8</w:t>
      </w:r>
      <w:r w:rsidRPr="00936029">
        <w:rPr>
          <w:rFonts w:cs="Arial"/>
          <w:color w:val="222222"/>
          <w:szCs w:val="19"/>
          <w:lang w:val="en"/>
        </w:rPr>
        <w:t xml:space="preserve">%), </w:t>
      </w:r>
      <w:r>
        <w:rPr>
          <w:rFonts w:cs="Arial"/>
          <w:color w:val="222222"/>
          <w:szCs w:val="19"/>
          <w:lang w:val="en"/>
        </w:rPr>
        <w:t>as against</w:t>
      </w:r>
      <w:r w:rsidRPr="00936029">
        <w:rPr>
          <w:rFonts w:cs="Arial"/>
          <w:color w:val="222222"/>
          <w:szCs w:val="19"/>
          <w:lang w:val="en"/>
        </w:rPr>
        <w:t xml:space="preserve"> 86.</w:t>
      </w:r>
      <w:r w:rsidR="003E0AA8">
        <w:rPr>
          <w:rFonts w:cs="Arial"/>
          <w:color w:val="222222"/>
          <w:szCs w:val="19"/>
          <w:lang w:val="en"/>
        </w:rPr>
        <w:t>6</w:t>
      </w:r>
      <w:r w:rsidRPr="00936029">
        <w:rPr>
          <w:rFonts w:cs="Arial"/>
          <w:color w:val="222222"/>
          <w:szCs w:val="19"/>
          <w:lang w:val="en"/>
        </w:rPr>
        <w:t>% (</w:t>
      </w:r>
      <w:r>
        <w:rPr>
          <w:rFonts w:cs="Arial"/>
          <w:color w:val="222222"/>
          <w:szCs w:val="19"/>
          <w:lang w:val="en"/>
        </w:rPr>
        <w:t xml:space="preserve">of which </w:t>
      </w:r>
      <w:r w:rsidRPr="00936029">
        <w:rPr>
          <w:rFonts w:cs="Arial"/>
          <w:color w:val="222222"/>
          <w:szCs w:val="19"/>
          <w:lang w:val="en"/>
        </w:rPr>
        <w:t>EU 8</w:t>
      </w:r>
      <w:r w:rsidR="003E0AA8">
        <w:rPr>
          <w:rFonts w:cs="Arial"/>
          <w:color w:val="222222"/>
          <w:szCs w:val="19"/>
          <w:lang w:val="en"/>
        </w:rPr>
        <w:t>0.0</w:t>
      </w:r>
      <w:r w:rsidRPr="00936029">
        <w:rPr>
          <w:rFonts w:cs="Arial"/>
          <w:color w:val="222222"/>
          <w:szCs w:val="19"/>
          <w:lang w:val="en"/>
        </w:rPr>
        <w:t xml:space="preserve">%) and </w:t>
      </w:r>
      <w:r w:rsidR="003E0AA8">
        <w:rPr>
          <w:rFonts w:cs="Arial"/>
          <w:color w:val="222222"/>
          <w:szCs w:val="19"/>
          <w:lang w:val="en"/>
        </w:rPr>
        <w:t>67.7</w:t>
      </w:r>
      <w:r w:rsidRPr="00936029">
        <w:rPr>
          <w:rFonts w:cs="Arial"/>
          <w:color w:val="222222"/>
          <w:szCs w:val="19"/>
          <w:lang w:val="en"/>
        </w:rPr>
        <w:t>% (</w:t>
      </w:r>
      <w:r>
        <w:rPr>
          <w:rFonts w:cs="Arial"/>
          <w:color w:val="222222"/>
          <w:szCs w:val="19"/>
          <w:lang w:val="en"/>
        </w:rPr>
        <w:t xml:space="preserve">of which </w:t>
      </w:r>
      <w:r w:rsidRPr="00936029">
        <w:rPr>
          <w:rFonts w:cs="Arial"/>
          <w:color w:val="222222"/>
          <w:szCs w:val="19"/>
          <w:lang w:val="en"/>
        </w:rPr>
        <w:t>EU 6</w:t>
      </w:r>
      <w:r w:rsidR="003E0AA8">
        <w:rPr>
          <w:rFonts w:cs="Arial"/>
          <w:color w:val="222222"/>
          <w:szCs w:val="19"/>
          <w:lang w:val="en"/>
        </w:rPr>
        <w:t>0.4</w:t>
      </w:r>
      <w:r w:rsidRPr="00936029">
        <w:rPr>
          <w:rFonts w:cs="Arial"/>
          <w:color w:val="222222"/>
          <w:szCs w:val="19"/>
          <w:lang w:val="en"/>
        </w:rPr>
        <w:t xml:space="preserve">%) in the corresponding period of </w:t>
      </w:r>
      <w:r>
        <w:rPr>
          <w:rFonts w:cs="Arial"/>
          <w:color w:val="222222"/>
          <w:szCs w:val="19"/>
          <w:lang w:val="en"/>
        </w:rPr>
        <w:t xml:space="preserve">the </w:t>
      </w:r>
      <w:r w:rsidRPr="00936029">
        <w:rPr>
          <w:rFonts w:cs="Arial"/>
          <w:color w:val="222222"/>
          <w:szCs w:val="19"/>
          <w:lang w:val="en"/>
        </w:rPr>
        <w:t>201</w:t>
      </w:r>
      <w:r w:rsidR="003E0AA8">
        <w:rPr>
          <w:rFonts w:cs="Arial"/>
          <w:color w:val="222222"/>
          <w:szCs w:val="19"/>
          <w:lang w:val="en"/>
        </w:rPr>
        <w:t>7</w:t>
      </w:r>
      <w:r w:rsidRPr="00936029">
        <w:rPr>
          <w:rFonts w:cs="Arial"/>
          <w:color w:val="222222"/>
          <w:szCs w:val="19"/>
          <w:lang w:val="en"/>
        </w:rPr>
        <w:t>.</w:t>
      </w:r>
      <w:r>
        <w:rPr>
          <w:rFonts w:cs="Arial"/>
          <w:color w:val="222222"/>
          <w:szCs w:val="19"/>
          <w:lang w:val="en"/>
        </w:rPr>
        <w:t xml:space="preserve"> </w:t>
      </w:r>
      <w:r w:rsidR="00A76F14" w:rsidRPr="00A76F14">
        <w:rPr>
          <w:shd w:val="clear" w:color="auto" w:fill="FFFFFF"/>
          <w:lang w:val="en-US"/>
        </w:rPr>
        <w:t xml:space="preserve">However, the smallest share </w:t>
      </w:r>
      <w:r w:rsidR="00856331">
        <w:rPr>
          <w:shd w:val="clear" w:color="auto" w:fill="FFFFFF"/>
          <w:lang w:val="en-US"/>
        </w:rPr>
        <w:t>was observed in</w:t>
      </w:r>
      <w:r w:rsidR="00A76F14" w:rsidRPr="00A76F14">
        <w:rPr>
          <w:shd w:val="clear" w:color="auto" w:fill="FFFFFF"/>
          <w:lang w:val="en-US"/>
        </w:rPr>
        <w:t xml:space="preserve"> the countries of Central and Eastern Europe</w:t>
      </w:r>
      <w:r w:rsidR="006A1323">
        <w:rPr>
          <w:shd w:val="clear" w:color="auto" w:fill="FFFFFF"/>
          <w:lang w:val="en-US"/>
        </w:rPr>
        <w:t>, which</w:t>
      </w:r>
      <w:r w:rsidR="00A76F14" w:rsidRPr="00A76F14">
        <w:rPr>
          <w:shd w:val="clear" w:color="auto" w:fill="FFFFFF"/>
          <w:lang w:val="en-US"/>
        </w:rPr>
        <w:t xml:space="preserve"> in total </w:t>
      </w:r>
      <w:r w:rsidR="006A1323">
        <w:rPr>
          <w:shd w:val="clear" w:color="auto" w:fill="FFFFFF"/>
          <w:lang w:val="en-US"/>
        </w:rPr>
        <w:t>e</w:t>
      </w:r>
      <w:r w:rsidR="00A76F14" w:rsidRPr="00A76F14">
        <w:rPr>
          <w:shd w:val="clear" w:color="auto" w:fill="FFFFFF"/>
          <w:lang w:val="en-US"/>
        </w:rPr>
        <w:t>xports amounted to 5.</w:t>
      </w:r>
      <w:r w:rsidR="003E0AA8">
        <w:rPr>
          <w:shd w:val="clear" w:color="auto" w:fill="FFFFFF"/>
          <w:lang w:val="en-US"/>
        </w:rPr>
        <w:t>8</w:t>
      </w:r>
      <w:r w:rsidR="00A76F14" w:rsidRPr="00A76F14">
        <w:rPr>
          <w:shd w:val="clear" w:color="auto" w:fill="FFFFFF"/>
          <w:lang w:val="en-US"/>
        </w:rPr>
        <w:t xml:space="preserve">%, and in imports – </w:t>
      </w:r>
      <w:r w:rsidR="00CF3F40">
        <w:rPr>
          <w:shd w:val="clear" w:color="auto" w:fill="FFFFFF"/>
          <w:lang w:val="en-US"/>
        </w:rPr>
        <w:t>8.9</w:t>
      </w:r>
      <w:r w:rsidR="00A76F14" w:rsidRPr="00A76F14">
        <w:rPr>
          <w:shd w:val="clear" w:color="auto" w:fill="FFFFFF"/>
          <w:lang w:val="en-US"/>
        </w:rPr>
        <w:t>%, as against 5.</w:t>
      </w:r>
      <w:r w:rsidR="003E0AA8">
        <w:rPr>
          <w:shd w:val="clear" w:color="auto" w:fill="FFFFFF"/>
          <w:lang w:val="en-US"/>
        </w:rPr>
        <w:t>8</w:t>
      </w:r>
      <w:r w:rsidR="00A76F14" w:rsidRPr="00A76F14">
        <w:rPr>
          <w:shd w:val="clear" w:color="auto" w:fill="FFFFFF"/>
          <w:lang w:val="en-US"/>
        </w:rPr>
        <w:t>% and 7.</w:t>
      </w:r>
      <w:r w:rsidR="007C325E">
        <w:rPr>
          <w:shd w:val="clear" w:color="auto" w:fill="FFFFFF"/>
          <w:lang w:val="en-US"/>
        </w:rPr>
        <w:t>9</w:t>
      </w:r>
      <w:r w:rsidR="00A76F14">
        <w:rPr>
          <w:shd w:val="clear" w:color="auto" w:fill="FFFFFF"/>
          <w:lang w:val="en-US"/>
        </w:rPr>
        <w:t xml:space="preserve">% </w:t>
      </w:r>
      <w:r w:rsidR="00CF3F40">
        <w:rPr>
          <w:shd w:val="clear" w:color="auto" w:fill="FFFFFF"/>
          <w:lang w:val="en-US"/>
        </w:rPr>
        <w:t>in</w:t>
      </w:r>
      <w:r w:rsidR="00A76F14">
        <w:rPr>
          <w:shd w:val="clear" w:color="auto" w:fill="FFFFFF"/>
          <w:lang w:val="en-US"/>
        </w:rPr>
        <w:t xml:space="preserve"> the 201</w:t>
      </w:r>
      <w:r w:rsidR="007C325E">
        <w:rPr>
          <w:shd w:val="clear" w:color="auto" w:fill="FFFFFF"/>
          <w:lang w:val="en-US"/>
        </w:rPr>
        <w:t>7</w:t>
      </w:r>
      <w:r w:rsidR="00A76F14">
        <w:rPr>
          <w:shd w:val="clear" w:color="auto" w:fill="FFFFFF"/>
          <w:lang w:val="en-US"/>
        </w:rPr>
        <w:t>.</w:t>
      </w:r>
    </w:p>
    <w:p w14:paraId="3AD26E30" w14:textId="6205F7BB" w:rsidR="00345F7C" w:rsidRPr="00AB3053" w:rsidRDefault="00AB3053" w:rsidP="002D45CF">
      <w:pPr>
        <w:rPr>
          <w:rFonts w:cs="Arial"/>
          <w:spacing w:val="-3"/>
          <w:lang w:val="en-US"/>
        </w:rPr>
      </w:pPr>
      <w:r>
        <w:rPr>
          <w:rFonts w:cs="Arial"/>
          <w:spacing w:val="-3"/>
          <w:lang w:val="en-US"/>
        </w:rPr>
        <w:t>The n</w:t>
      </w:r>
      <w:r w:rsidR="00C667D5" w:rsidRPr="00C667D5">
        <w:rPr>
          <w:rFonts w:cs="Arial"/>
          <w:spacing w:val="-3"/>
          <w:lang w:val="en-US"/>
        </w:rPr>
        <w:t xml:space="preserve">egative balances were recorded with developing countries – minus PLN </w:t>
      </w:r>
      <w:r w:rsidR="007C325E">
        <w:rPr>
          <w:rFonts w:cs="Arial"/>
          <w:spacing w:val="-3"/>
          <w:lang w:val="en-US"/>
        </w:rPr>
        <w:t>17</w:t>
      </w:r>
      <w:r w:rsidR="00CF3F40">
        <w:rPr>
          <w:rFonts w:cs="Arial"/>
          <w:spacing w:val="-3"/>
          <w:lang w:val="en-US"/>
        </w:rPr>
        <w:t>7</w:t>
      </w:r>
      <w:r w:rsidR="007C325E">
        <w:rPr>
          <w:rFonts w:cs="Arial"/>
          <w:spacing w:val="-3"/>
          <w:lang w:val="en-US"/>
        </w:rPr>
        <w:t>.</w:t>
      </w:r>
      <w:r w:rsidR="00CF3F40">
        <w:rPr>
          <w:rFonts w:cs="Arial"/>
          <w:spacing w:val="-3"/>
          <w:lang w:val="en-US"/>
        </w:rPr>
        <w:t>3</w:t>
      </w:r>
      <w:r w:rsidR="00C667D5" w:rsidRPr="00C667D5">
        <w:rPr>
          <w:rFonts w:cs="Arial"/>
          <w:spacing w:val="-3"/>
          <w:lang w:val="en-US"/>
        </w:rPr>
        <w:t xml:space="preserve"> </w:t>
      </w:r>
      <w:proofErr w:type="spellStart"/>
      <w:r w:rsidR="00C667D5" w:rsidRPr="00C667D5">
        <w:rPr>
          <w:rFonts w:cs="Arial"/>
          <w:spacing w:val="-3"/>
          <w:lang w:val="en-US"/>
        </w:rPr>
        <w:t>bn</w:t>
      </w:r>
      <w:proofErr w:type="spellEnd"/>
      <w:r w:rsidR="00C667D5" w:rsidRPr="00C667D5">
        <w:rPr>
          <w:rFonts w:cs="Arial"/>
          <w:spacing w:val="-3"/>
          <w:lang w:val="en-US"/>
        </w:rPr>
        <w:t xml:space="preserve"> (minus USD </w:t>
      </w:r>
      <w:r w:rsidR="007C325E">
        <w:rPr>
          <w:rFonts w:cs="Arial"/>
          <w:spacing w:val="-3"/>
          <w:lang w:val="en-US"/>
        </w:rPr>
        <w:t>49</w:t>
      </w:r>
      <w:r w:rsidR="00C667D5" w:rsidRPr="00C667D5">
        <w:rPr>
          <w:rFonts w:cs="Arial"/>
          <w:spacing w:val="-3"/>
          <w:lang w:val="en-US"/>
        </w:rPr>
        <w:t>.</w:t>
      </w:r>
      <w:r w:rsidR="00CF3F40">
        <w:rPr>
          <w:rFonts w:cs="Arial"/>
          <w:spacing w:val="-3"/>
          <w:lang w:val="en-US"/>
        </w:rPr>
        <w:t>2</w:t>
      </w:r>
      <w:r w:rsidR="00C667D5" w:rsidRPr="00C667D5">
        <w:rPr>
          <w:rFonts w:cs="Arial"/>
          <w:spacing w:val="-3"/>
          <w:lang w:val="en-US"/>
        </w:rPr>
        <w:t xml:space="preserve"> </w:t>
      </w:r>
      <w:proofErr w:type="spellStart"/>
      <w:r w:rsidR="00C667D5" w:rsidRPr="00C667D5">
        <w:rPr>
          <w:rFonts w:cs="Arial"/>
          <w:spacing w:val="-3"/>
          <w:lang w:val="en-US"/>
        </w:rPr>
        <w:t>bn</w:t>
      </w:r>
      <w:proofErr w:type="spellEnd"/>
      <w:r w:rsidR="00C667D5" w:rsidRPr="00C667D5">
        <w:rPr>
          <w:rFonts w:cs="Arial"/>
          <w:spacing w:val="-3"/>
          <w:lang w:val="en-US"/>
        </w:rPr>
        <w:t xml:space="preserve">, minus EUR </w:t>
      </w:r>
      <w:r w:rsidR="007C325E">
        <w:rPr>
          <w:rFonts w:cs="Arial"/>
          <w:spacing w:val="-3"/>
          <w:lang w:val="en-US"/>
        </w:rPr>
        <w:t>41.</w:t>
      </w:r>
      <w:r w:rsidR="00CF3F40">
        <w:rPr>
          <w:rFonts w:cs="Arial"/>
          <w:spacing w:val="-3"/>
          <w:lang w:val="en-US"/>
        </w:rPr>
        <w:t>6</w:t>
      </w:r>
      <w:r w:rsidR="00C667D5">
        <w:rPr>
          <w:rFonts w:cs="Arial"/>
          <w:spacing w:val="-3"/>
          <w:lang w:val="en-US"/>
        </w:rPr>
        <w:t xml:space="preserve"> </w:t>
      </w:r>
      <w:proofErr w:type="spellStart"/>
      <w:r w:rsidR="00C667D5">
        <w:rPr>
          <w:rFonts w:cs="Arial"/>
          <w:spacing w:val="-3"/>
          <w:lang w:val="en-US"/>
        </w:rPr>
        <w:t>bn</w:t>
      </w:r>
      <w:proofErr w:type="spellEnd"/>
      <w:r w:rsidR="00C667D5">
        <w:rPr>
          <w:rFonts w:cs="Arial"/>
          <w:spacing w:val="-3"/>
          <w:lang w:val="en-US"/>
        </w:rPr>
        <w:t xml:space="preserve">) and with countries Central and Eastern Europe – minus PLN </w:t>
      </w:r>
      <w:r w:rsidR="007C325E">
        <w:rPr>
          <w:rFonts w:cs="Arial"/>
          <w:spacing w:val="-3"/>
          <w:lang w:val="en-US"/>
        </w:rPr>
        <w:t>3</w:t>
      </w:r>
      <w:r w:rsidR="00CF3F40">
        <w:rPr>
          <w:rFonts w:cs="Arial"/>
          <w:spacing w:val="-3"/>
          <w:lang w:val="en-US"/>
        </w:rPr>
        <w:t>1</w:t>
      </w:r>
      <w:r w:rsidR="007C325E">
        <w:rPr>
          <w:rFonts w:cs="Arial"/>
          <w:spacing w:val="-3"/>
          <w:lang w:val="en-US"/>
        </w:rPr>
        <w:t>.</w:t>
      </w:r>
      <w:r w:rsidR="00CF3F40">
        <w:rPr>
          <w:rFonts w:cs="Arial"/>
          <w:spacing w:val="-3"/>
          <w:lang w:val="en-US"/>
        </w:rPr>
        <w:t>1</w:t>
      </w:r>
      <w:r w:rsidR="00C667D5">
        <w:rPr>
          <w:rFonts w:cs="Arial"/>
          <w:spacing w:val="-3"/>
          <w:lang w:val="en-US"/>
        </w:rPr>
        <w:t xml:space="preserve"> </w:t>
      </w:r>
      <w:proofErr w:type="spellStart"/>
      <w:r w:rsidR="00C667D5">
        <w:rPr>
          <w:rFonts w:cs="Arial"/>
          <w:spacing w:val="-3"/>
          <w:lang w:val="en-US"/>
        </w:rPr>
        <w:t>bn</w:t>
      </w:r>
      <w:proofErr w:type="spellEnd"/>
      <w:r w:rsidR="00C667D5">
        <w:rPr>
          <w:rFonts w:cs="Arial"/>
          <w:spacing w:val="-3"/>
          <w:lang w:val="en-US"/>
        </w:rPr>
        <w:t xml:space="preserve"> (minus USD </w:t>
      </w:r>
      <w:r w:rsidR="00CF3F40">
        <w:rPr>
          <w:rFonts w:cs="Arial"/>
          <w:spacing w:val="-3"/>
          <w:lang w:val="en-US"/>
        </w:rPr>
        <w:t>8.6</w:t>
      </w:r>
      <w:r w:rsidR="00C667D5">
        <w:rPr>
          <w:rFonts w:cs="Arial"/>
          <w:spacing w:val="-3"/>
          <w:lang w:val="en-US"/>
        </w:rPr>
        <w:t xml:space="preserve"> </w:t>
      </w:r>
      <w:proofErr w:type="spellStart"/>
      <w:r w:rsidR="00C667D5">
        <w:rPr>
          <w:rFonts w:cs="Arial"/>
          <w:spacing w:val="-3"/>
          <w:lang w:val="en-US"/>
        </w:rPr>
        <w:t>bn</w:t>
      </w:r>
      <w:proofErr w:type="spellEnd"/>
      <w:r w:rsidR="00C667D5">
        <w:rPr>
          <w:rFonts w:cs="Arial"/>
          <w:spacing w:val="-3"/>
          <w:lang w:val="en-US"/>
        </w:rPr>
        <w:t xml:space="preserve">, minus EUR </w:t>
      </w:r>
      <w:r w:rsidR="007C325E">
        <w:rPr>
          <w:rFonts w:cs="Arial"/>
          <w:spacing w:val="-3"/>
          <w:lang w:val="en-US"/>
        </w:rPr>
        <w:t>7.</w:t>
      </w:r>
      <w:r w:rsidR="00CF3F40">
        <w:rPr>
          <w:rFonts w:cs="Arial"/>
          <w:spacing w:val="-3"/>
          <w:lang w:val="en-US"/>
        </w:rPr>
        <w:t>3</w:t>
      </w:r>
      <w:r w:rsidR="00C667D5">
        <w:rPr>
          <w:rFonts w:cs="Arial"/>
          <w:spacing w:val="-3"/>
          <w:lang w:val="en-US"/>
        </w:rPr>
        <w:t xml:space="preserve"> </w:t>
      </w:r>
      <w:proofErr w:type="spellStart"/>
      <w:r w:rsidR="00C667D5">
        <w:rPr>
          <w:rFonts w:cs="Arial"/>
          <w:spacing w:val="-3"/>
          <w:lang w:val="en-US"/>
        </w:rPr>
        <w:t>bn</w:t>
      </w:r>
      <w:proofErr w:type="spellEnd"/>
      <w:r w:rsidR="00C667D5">
        <w:rPr>
          <w:rFonts w:cs="Arial"/>
          <w:spacing w:val="-3"/>
          <w:lang w:val="en-US"/>
        </w:rPr>
        <w:t xml:space="preserve">). </w:t>
      </w:r>
      <w:r w:rsidRPr="00AB3053">
        <w:rPr>
          <w:rFonts w:cs="Arial"/>
          <w:spacing w:val="-3"/>
          <w:lang w:val="en-US"/>
        </w:rPr>
        <w:t xml:space="preserve">The positive balances were obtained in turnover with </w:t>
      </w:r>
      <w:r>
        <w:rPr>
          <w:rFonts w:cs="Arial"/>
          <w:spacing w:val="-3"/>
          <w:lang w:val="en-US"/>
        </w:rPr>
        <w:t xml:space="preserve">developed countries PLN </w:t>
      </w:r>
      <w:r w:rsidR="007C325E">
        <w:rPr>
          <w:rFonts w:cs="Arial"/>
          <w:spacing w:val="-3"/>
          <w:lang w:val="en-US"/>
        </w:rPr>
        <w:t>18</w:t>
      </w:r>
      <w:r w:rsidR="00CF3F40">
        <w:rPr>
          <w:rFonts w:cs="Arial"/>
          <w:spacing w:val="-3"/>
          <w:lang w:val="en-US"/>
        </w:rPr>
        <w:t>8</w:t>
      </w:r>
      <w:r w:rsidR="007C325E">
        <w:rPr>
          <w:rFonts w:cs="Arial"/>
          <w:spacing w:val="-3"/>
          <w:lang w:val="en-US"/>
        </w:rPr>
        <w:t>.</w:t>
      </w:r>
      <w:r w:rsidR="00CF3F40">
        <w:rPr>
          <w:rFonts w:cs="Arial"/>
          <w:spacing w:val="-3"/>
          <w:lang w:val="en-US"/>
        </w:rPr>
        <w:t>8</w:t>
      </w:r>
      <w:r>
        <w:rPr>
          <w:rFonts w:cs="Arial"/>
          <w:spacing w:val="-3"/>
          <w:lang w:val="en-US"/>
        </w:rPr>
        <w:t xml:space="preserve"> </w:t>
      </w:r>
      <w:proofErr w:type="spellStart"/>
      <w:r>
        <w:rPr>
          <w:rFonts w:cs="Arial"/>
          <w:spacing w:val="-3"/>
          <w:lang w:val="en-US"/>
        </w:rPr>
        <w:t>bn</w:t>
      </w:r>
      <w:proofErr w:type="spellEnd"/>
      <w:r>
        <w:rPr>
          <w:rFonts w:cs="Arial"/>
          <w:spacing w:val="-3"/>
          <w:lang w:val="en-US"/>
        </w:rPr>
        <w:t xml:space="preserve"> (USD </w:t>
      </w:r>
      <w:r w:rsidR="007C325E">
        <w:rPr>
          <w:rFonts w:cs="Arial"/>
          <w:color w:val="000000"/>
          <w:lang w:val="en-US"/>
        </w:rPr>
        <w:t>52.</w:t>
      </w:r>
      <w:r w:rsidR="00CF3F40">
        <w:rPr>
          <w:rFonts w:cs="Arial"/>
          <w:color w:val="000000"/>
          <w:lang w:val="en-US"/>
        </w:rPr>
        <w:t>5</w:t>
      </w:r>
      <w:r w:rsidR="008720A0" w:rsidRPr="00AB3053">
        <w:rPr>
          <w:rFonts w:cs="Arial"/>
          <w:color w:val="000000"/>
          <w:lang w:val="en-US"/>
        </w:rPr>
        <w:t xml:space="preserve"> </w:t>
      </w:r>
      <w:proofErr w:type="spellStart"/>
      <w:r>
        <w:rPr>
          <w:rFonts w:cs="Arial"/>
          <w:color w:val="000000"/>
          <w:lang w:val="en-US"/>
        </w:rPr>
        <w:t>bn</w:t>
      </w:r>
      <w:proofErr w:type="spellEnd"/>
      <w:r w:rsidR="008720A0" w:rsidRPr="00AB3053">
        <w:rPr>
          <w:rFonts w:cs="Arial"/>
          <w:spacing w:val="-3"/>
          <w:lang w:val="en-US"/>
        </w:rPr>
        <w:t>,</w:t>
      </w:r>
      <w:r>
        <w:rPr>
          <w:rFonts w:cs="Arial"/>
          <w:spacing w:val="-3"/>
          <w:lang w:val="en-US"/>
        </w:rPr>
        <w:t xml:space="preserve"> EUR</w:t>
      </w:r>
      <w:r w:rsidR="008720A0" w:rsidRPr="00AB3053">
        <w:rPr>
          <w:rFonts w:cs="Arial"/>
          <w:spacing w:val="-3"/>
          <w:lang w:val="en-US"/>
        </w:rPr>
        <w:t xml:space="preserve"> </w:t>
      </w:r>
      <w:r w:rsidR="00CF3F40">
        <w:rPr>
          <w:rFonts w:cs="Arial"/>
          <w:color w:val="000000"/>
          <w:lang w:val="en-US"/>
        </w:rPr>
        <w:t>44.4</w:t>
      </w:r>
      <w:r w:rsidR="008720A0" w:rsidRPr="00AB3053">
        <w:rPr>
          <w:rFonts w:cs="Arial"/>
          <w:spacing w:val="-3"/>
          <w:lang w:val="en-US"/>
        </w:rPr>
        <w:t xml:space="preserve"> </w:t>
      </w:r>
      <w:proofErr w:type="spellStart"/>
      <w:r>
        <w:rPr>
          <w:rFonts w:cs="Arial"/>
          <w:spacing w:val="-3"/>
          <w:lang w:val="en-US"/>
        </w:rPr>
        <w:t>bn</w:t>
      </w:r>
      <w:proofErr w:type="spellEnd"/>
      <w:r>
        <w:rPr>
          <w:rFonts w:cs="Arial"/>
          <w:spacing w:val="-3"/>
          <w:lang w:val="en-US"/>
        </w:rPr>
        <w:t>)</w:t>
      </w:r>
      <w:r w:rsidR="008720A0" w:rsidRPr="00AB3053">
        <w:rPr>
          <w:rFonts w:cs="Arial"/>
          <w:spacing w:val="-3"/>
          <w:lang w:val="en-US"/>
        </w:rPr>
        <w:t xml:space="preserve">, </w:t>
      </w:r>
      <w:r>
        <w:rPr>
          <w:rFonts w:cs="Arial"/>
          <w:spacing w:val="-3"/>
          <w:lang w:val="en-US"/>
        </w:rPr>
        <w:t>of which EU countries a balance of PLN</w:t>
      </w:r>
      <w:r w:rsidR="008720A0" w:rsidRPr="00AB3053">
        <w:rPr>
          <w:rFonts w:cs="Arial"/>
          <w:spacing w:val="-3"/>
          <w:lang w:val="en-US"/>
        </w:rPr>
        <w:t xml:space="preserve"> </w:t>
      </w:r>
      <w:r w:rsidR="007C325E">
        <w:rPr>
          <w:rFonts w:cs="Arial"/>
          <w:color w:val="000000"/>
          <w:lang w:val="en-US"/>
        </w:rPr>
        <w:t>19</w:t>
      </w:r>
      <w:r w:rsidR="00CF3F40">
        <w:rPr>
          <w:rFonts w:cs="Arial"/>
          <w:color w:val="000000"/>
          <w:lang w:val="en-US"/>
        </w:rPr>
        <w:t>6</w:t>
      </w:r>
      <w:r w:rsidR="007C325E">
        <w:rPr>
          <w:rFonts w:cs="Arial"/>
          <w:color w:val="000000"/>
          <w:lang w:val="en-US"/>
        </w:rPr>
        <w:t>.</w:t>
      </w:r>
      <w:r w:rsidR="00CF3F40">
        <w:rPr>
          <w:rFonts w:cs="Arial"/>
          <w:color w:val="000000"/>
          <w:lang w:val="en-US"/>
        </w:rPr>
        <w:t>4</w:t>
      </w:r>
      <w:r w:rsidR="008720A0" w:rsidRPr="00AB3053">
        <w:rPr>
          <w:rFonts w:cs="Arial"/>
          <w:color w:val="000000"/>
          <w:lang w:val="en-US"/>
        </w:rPr>
        <w:t xml:space="preserve"> </w:t>
      </w:r>
      <w:proofErr w:type="spellStart"/>
      <w:r>
        <w:rPr>
          <w:rFonts w:cs="Arial"/>
          <w:color w:val="000000"/>
          <w:lang w:val="en-US"/>
        </w:rPr>
        <w:t>bn</w:t>
      </w:r>
      <w:proofErr w:type="spellEnd"/>
      <w:r w:rsidR="008720A0" w:rsidRPr="00AB3053">
        <w:rPr>
          <w:rFonts w:cs="Arial"/>
          <w:spacing w:val="-3"/>
          <w:lang w:val="en-US"/>
        </w:rPr>
        <w:t xml:space="preserve"> (</w:t>
      </w:r>
      <w:r>
        <w:rPr>
          <w:rFonts w:cs="Arial"/>
          <w:spacing w:val="-3"/>
          <w:lang w:val="en-US"/>
        </w:rPr>
        <w:t xml:space="preserve">USD </w:t>
      </w:r>
      <w:r w:rsidR="007C325E">
        <w:rPr>
          <w:rFonts w:cs="Arial"/>
          <w:color w:val="000000"/>
          <w:lang w:val="en-US"/>
        </w:rPr>
        <w:t>54</w:t>
      </w:r>
      <w:r>
        <w:rPr>
          <w:rFonts w:cs="Arial"/>
          <w:color w:val="000000"/>
          <w:lang w:val="en-US"/>
        </w:rPr>
        <w:t>.</w:t>
      </w:r>
      <w:r w:rsidR="00CF3F40">
        <w:rPr>
          <w:rFonts w:cs="Arial"/>
          <w:color w:val="000000"/>
          <w:lang w:val="en-US"/>
        </w:rPr>
        <w:t>6</w:t>
      </w:r>
      <w:r w:rsidR="008720A0" w:rsidRPr="00AB3053">
        <w:rPr>
          <w:rFonts w:cs="Arial"/>
          <w:color w:val="000000"/>
          <w:lang w:val="en-US"/>
        </w:rPr>
        <w:t xml:space="preserve"> </w:t>
      </w:r>
      <w:proofErr w:type="spellStart"/>
      <w:r>
        <w:rPr>
          <w:rFonts w:cs="Arial"/>
          <w:color w:val="000000"/>
          <w:lang w:val="en-US"/>
        </w:rPr>
        <w:t>bn</w:t>
      </w:r>
      <w:proofErr w:type="spellEnd"/>
      <w:r w:rsidR="008720A0" w:rsidRPr="00AB3053">
        <w:rPr>
          <w:rFonts w:cs="Arial"/>
          <w:spacing w:val="-3"/>
          <w:lang w:val="en-US"/>
        </w:rPr>
        <w:t xml:space="preserve">, </w:t>
      </w:r>
      <w:r>
        <w:rPr>
          <w:rFonts w:cs="Arial"/>
          <w:spacing w:val="-3"/>
          <w:lang w:val="en-US"/>
        </w:rPr>
        <w:t xml:space="preserve">EUR </w:t>
      </w:r>
      <w:r w:rsidR="007C325E">
        <w:rPr>
          <w:rFonts w:cs="Arial"/>
          <w:color w:val="000000"/>
          <w:lang w:val="en-US"/>
        </w:rPr>
        <w:t>4</w:t>
      </w:r>
      <w:r w:rsidR="00CF3F40">
        <w:rPr>
          <w:rFonts w:cs="Arial"/>
          <w:color w:val="000000"/>
          <w:lang w:val="en-US"/>
        </w:rPr>
        <w:t>6.2</w:t>
      </w:r>
      <w:r w:rsidR="008720A0" w:rsidRPr="00AB3053">
        <w:rPr>
          <w:rFonts w:cs="Arial"/>
          <w:color w:val="000000"/>
          <w:lang w:val="en-US"/>
        </w:rPr>
        <w:t> </w:t>
      </w:r>
      <w:proofErr w:type="spellStart"/>
      <w:r>
        <w:rPr>
          <w:rFonts w:cs="Arial"/>
          <w:color w:val="000000"/>
          <w:lang w:val="en-US"/>
        </w:rPr>
        <w:t>bn</w:t>
      </w:r>
      <w:proofErr w:type="spellEnd"/>
      <w:r w:rsidR="008720A0" w:rsidRPr="00AB3053">
        <w:rPr>
          <w:rFonts w:cs="Arial"/>
          <w:spacing w:val="-3"/>
          <w:lang w:val="en-US"/>
        </w:rPr>
        <w:t>).</w:t>
      </w:r>
    </w:p>
    <w:p w14:paraId="2C38C480" w14:textId="73E95481" w:rsidR="00585385" w:rsidRPr="00070820" w:rsidRDefault="00C30406" w:rsidP="002D45CF">
      <w:pPr>
        <w:rPr>
          <w:rFonts w:cs="Arial"/>
          <w:b/>
          <w:spacing w:val="-3"/>
          <w:sz w:val="18"/>
          <w:szCs w:val="18"/>
          <w:lang w:val="en-US"/>
        </w:rPr>
      </w:pPr>
      <w:r w:rsidRPr="00070820">
        <w:rPr>
          <w:rFonts w:cs="Arial"/>
          <w:b/>
          <w:spacing w:val="-3"/>
          <w:sz w:val="18"/>
          <w:szCs w:val="18"/>
          <w:lang w:val="en-US"/>
        </w:rPr>
        <w:t>Tabl</w:t>
      </w:r>
      <w:r w:rsidR="00A60BEF" w:rsidRPr="00070820">
        <w:rPr>
          <w:rFonts w:cs="Arial"/>
          <w:b/>
          <w:spacing w:val="-3"/>
          <w:sz w:val="18"/>
          <w:szCs w:val="18"/>
          <w:lang w:val="en-US"/>
        </w:rPr>
        <w:t>e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 1. </w:t>
      </w:r>
      <w:r w:rsidR="00A60BEF" w:rsidRPr="00070820">
        <w:rPr>
          <w:rFonts w:cs="Arial"/>
          <w:b/>
          <w:spacing w:val="-3"/>
          <w:sz w:val="18"/>
          <w:szCs w:val="18"/>
          <w:lang w:val="en-US"/>
        </w:rPr>
        <w:t xml:space="preserve">Foreign trade turnover of goods in total and by </w:t>
      </w:r>
      <w:r w:rsidR="00717D5C" w:rsidRPr="00070820">
        <w:rPr>
          <w:rFonts w:cs="Arial"/>
          <w:b/>
          <w:spacing w:val="-3"/>
          <w:sz w:val="18"/>
          <w:szCs w:val="18"/>
          <w:lang w:val="en-US"/>
        </w:rPr>
        <w:t>groups of c</w:t>
      </w:r>
      <w:r w:rsidR="00A60BEF" w:rsidRPr="00070820">
        <w:rPr>
          <w:rFonts w:cs="Arial"/>
          <w:b/>
          <w:spacing w:val="-3"/>
          <w:sz w:val="18"/>
          <w:szCs w:val="18"/>
          <w:lang w:val="en-US"/>
        </w:rPr>
        <w:t>ountries</w:t>
      </w:r>
    </w:p>
    <w:tbl>
      <w:tblPr>
        <w:tblW w:w="8108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18"/>
        <w:gridCol w:w="717"/>
        <w:gridCol w:w="717"/>
        <w:gridCol w:w="717"/>
        <w:gridCol w:w="717"/>
        <w:gridCol w:w="666"/>
        <w:gridCol w:w="656"/>
        <w:gridCol w:w="648"/>
      </w:tblGrid>
      <w:tr w:rsidR="00E33A76" w:rsidRPr="00E33A76" w14:paraId="3ABF5658" w14:textId="77777777" w:rsidTr="000C2149">
        <w:trPr>
          <w:trHeight w:val="352"/>
        </w:trPr>
        <w:tc>
          <w:tcPr>
            <w:tcW w:w="2552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14:paraId="6DBDF309" w14:textId="3096AAF4" w:rsidR="004B64A7" w:rsidRPr="000C2149" w:rsidRDefault="00A60BEF" w:rsidP="00E13512">
            <w:pPr>
              <w:spacing w:before="0" w:after="0" w:line="180" w:lineRule="exact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252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14:paraId="2B21A2DF" w14:textId="19FDB4B3" w:rsidR="004B64A7" w:rsidRPr="000C2149" w:rsidRDefault="004B64A7" w:rsidP="00E13512">
            <w:pPr>
              <w:spacing w:before="0" w:after="0" w:line="180" w:lineRule="exact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4577E9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56" w:type="dxa"/>
            <w:tcBorders>
              <w:top w:val="nil"/>
              <w:bottom w:val="single" w:sz="4" w:space="0" w:color="001D77"/>
            </w:tcBorders>
            <w:vAlign w:val="center"/>
          </w:tcPr>
          <w:p w14:paraId="44720F91" w14:textId="093D0378" w:rsidR="004B64A7" w:rsidRPr="000C2149" w:rsidRDefault="004B64A7" w:rsidP="00E13512">
            <w:pPr>
              <w:spacing w:before="0" w:after="0" w:line="180" w:lineRule="exact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4577E9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48" w:type="dxa"/>
            <w:tcBorders>
              <w:top w:val="nil"/>
              <w:bottom w:val="single" w:sz="4" w:space="0" w:color="001D77"/>
            </w:tcBorders>
            <w:vAlign w:val="center"/>
          </w:tcPr>
          <w:p w14:paraId="66CBFD3F" w14:textId="0EA35751" w:rsidR="004B64A7" w:rsidRPr="000C2149" w:rsidRDefault="004B64A7" w:rsidP="00E13512">
            <w:pPr>
              <w:spacing w:before="0" w:after="0" w:line="180" w:lineRule="exact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4577E9">
              <w:rPr>
                <w:rFonts w:cs="Arial"/>
                <w:sz w:val="16"/>
                <w:szCs w:val="16"/>
              </w:rPr>
              <w:t>8</w:t>
            </w:r>
          </w:p>
        </w:tc>
      </w:tr>
      <w:tr w:rsidR="00CF3F40" w:rsidRPr="00E33A76" w14:paraId="2D3FF326" w14:textId="77777777" w:rsidTr="00C85300">
        <w:trPr>
          <w:trHeight w:val="370"/>
        </w:trPr>
        <w:tc>
          <w:tcPr>
            <w:tcW w:w="2552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14:paraId="59603C7E" w14:textId="77777777" w:rsidR="00CF3F40" w:rsidRPr="000C2149" w:rsidRDefault="00CF3F40" w:rsidP="00CF3F40">
            <w:pPr>
              <w:spacing w:after="0" w:line="180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42440050" w14:textId="77777777" w:rsidR="00CF3F40" w:rsidRPr="000C2149" w:rsidRDefault="00CF3F40" w:rsidP="00CF3F40">
            <w:pPr>
              <w:spacing w:before="60" w:line="180" w:lineRule="exact"/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2A594BEA" w14:textId="45CCD2A1" w:rsidR="00CF3F40" w:rsidRPr="000C2149" w:rsidRDefault="00CF3F40" w:rsidP="00CF3F40">
            <w:pPr>
              <w:spacing w:before="60" w:line="180" w:lineRule="exact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374E0BE7" w14:textId="77777777" w:rsidR="00CF3F40" w:rsidRPr="000C2149" w:rsidRDefault="00CF3F40" w:rsidP="00CF3F40">
            <w:pPr>
              <w:spacing w:before="60" w:line="180" w:lineRule="exact"/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3EC20C07" w14:textId="482B8059" w:rsidR="00CF3F40" w:rsidRPr="000C2149" w:rsidRDefault="00CF3F40" w:rsidP="00CF3F40">
            <w:pPr>
              <w:spacing w:before="60" w:line="180" w:lineRule="exact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1E94F734" w14:textId="77777777" w:rsidR="00CF3F40" w:rsidRPr="000C2149" w:rsidRDefault="00CF3F40" w:rsidP="00CF3F40">
            <w:pPr>
              <w:spacing w:before="60" w:line="180" w:lineRule="exact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</w:p>
          <w:p w14:paraId="35542EFA" w14:textId="47E7B198" w:rsidR="00CF3F40" w:rsidRPr="000C2149" w:rsidRDefault="00CF3F40" w:rsidP="00CF3F40">
            <w:pPr>
              <w:spacing w:before="60" w:line="180" w:lineRule="exact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00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799AFCC4" w14:textId="350A02DB" w:rsidR="00CF3F40" w:rsidRPr="000C2149" w:rsidRDefault="00CF3F40" w:rsidP="00CF3F40">
            <w:pPr>
              <w:spacing w:before="60" w:after="0" w:line="180" w:lineRule="exact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>
              <w:rPr>
                <w:rFonts w:cs="Arial"/>
                <w:sz w:val="16"/>
                <w:szCs w:val="16"/>
              </w:rPr>
              <w:t>7</w:t>
            </w:r>
            <w:r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304" w:type="dxa"/>
            <w:gridSpan w:val="2"/>
            <w:vMerge w:val="restart"/>
            <w:tcBorders>
              <w:top w:val="single" w:sz="4" w:space="0" w:color="001D77"/>
            </w:tcBorders>
            <w:vAlign w:val="center"/>
          </w:tcPr>
          <w:p w14:paraId="49DFE423" w14:textId="29333DBD" w:rsidR="00CF3F40" w:rsidRPr="000C2149" w:rsidRDefault="00CF3F40" w:rsidP="00CF3F40">
            <w:pPr>
              <w:spacing w:before="60" w:line="180" w:lineRule="exact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CF3F40" w:rsidRPr="00E33A76" w14:paraId="241F1B00" w14:textId="77777777" w:rsidTr="00E13512">
        <w:trPr>
          <w:trHeight w:val="180"/>
        </w:trPr>
        <w:tc>
          <w:tcPr>
            <w:tcW w:w="255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095FC9E1" w14:textId="53DC3758" w:rsidR="00CF3F40" w:rsidRPr="000C2149" w:rsidRDefault="00CF3F40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3AD084BF" w14:textId="77777777" w:rsidR="00CF3F40" w:rsidRPr="000C2149" w:rsidRDefault="00CF3F40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6C815C37" w14:textId="77777777" w:rsidR="00CF3F40" w:rsidRPr="000C2149" w:rsidRDefault="00CF3F40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39BB991A" w14:textId="77777777" w:rsidR="00CF3F40" w:rsidRPr="000C2149" w:rsidRDefault="00CF3F40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6CED3C4E" w14:textId="29FD3F7B" w:rsidR="00CF3F40" w:rsidRPr="000C2149" w:rsidRDefault="00CF3F40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642F6F93" w14:textId="77777777" w:rsidR="00CF3F40" w:rsidRPr="000C2149" w:rsidRDefault="00CF3F40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0AD84255" w14:textId="77777777" w:rsidR="00CF3F40" w:rsidRPr="000C2149" w:rsidRDefault="00CF3F40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vMerge/>
            <w:tcBorders>
              <w:bottom w:val="single" w:sz="12" w:space="0" w:color="001D77"/>
            </w:tcBorders>
            <w:vAlign w:val="center"/>
          </w:tcPr>
          <w:p w14:paraId="257567E2" w14:textId="7787A0DD" w:rsidR="00CF3F40" w:rsidRPr="000C2149" w:rsidRDefault="00CF3F40" w:rsidP="0089034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CF3F40" w:rsidRPr="00E33A76" w14:paraId="06688809" w14:textId="77777777" w:rsidTr="000C2149">
        <w:trPr>
          <w:trHeight w:val="342"/>
        </w:trPr>
        <w:tc>
          <w:tcPr>
            <w:tcW w:w="2552" w:type="dxa"/>
            <w:tcBorders>
              <w:top w:val="single" w:sz="12" w:space="0" w:color="001D77"/>
            </w:tcBorders>
            <w:vAlign w:val="center"/>
          </w:tcPr>
          <w:p w14:paraId="585B96EE" w14:textId="08EA0461" w:rsidR="00CF3F40" w:rsidRPr="00E33A76" w:rsidRDefault="00CF3F40" w:rsidP="00B34813">
            <w:pPr>
              <w:tabs>
                <w:tab w:val="left" w:leader="dot" w:pos="3686"/>
              </w:tabs>
              <w:spacing w:before="60" w:after="0"/>
              <w:rPr>
                <w:rFonts w:cs="Arial"/>
                <w:b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>E</w:t>
            </w:r>
            <w:r>
              <w:rPr>
                <w:rFonts w:cs="Arial"/>
                <w:b/>
                <w:sz w:val="16"/>
                <w:szCs w:val="16"/>
              </w:rPr>
              <w:t>xports</w:t>
            </w:r>
          </w:p>
        </w:tc>
        <w:tc>
          <w:tcPr>
            <w:tcW w:w="718" w:type="dxa"/>
            <w:tcBorders>
              <w:top w:val="single" w:sz="12" w:space="0" w:color="001D77"/>
            </w:tcBorders>
            <w:vAlign w:val="bottom"/>
          </w:tcPr>
          <w:p w14:paraId="4CBA10B0" w14:textId="2FFA9ADE" w:rsidR="00CF3F40" w:rsidRPr="006B53C4" w:rsidRDefault="00CF3F40" w:rsidP="00B34813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951.3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14:paraId="191EFCD1" w14:textId="6792EB0C" w:rsidR="00CF3F40" w:rsidRPr="006B53C4" w:rsidRDefault="00CF3F40" w:rsidP="00B34813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264.8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14:paraId="54D59F56" w14:textId="3E486025" w:rsidR="00CF3F40" w:rsidRPr="006B53C4" w:rsidRDefault="00CF3F40" w:rsidP="00B34813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223.6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14:paraId="224E960A" w14:textId="1EDCCAD6" w:rsidR="00CF3F40" w:rsidRPr="006B53C4" w:rsidRDefault="00CF3F40" w:rsidP="00B34813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107.8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14:paraId="3BDEB169" w14:textId="1194E6B6" w:rsidR="00CF3F40" w:rsidRPr="00E33A76" w:rsidRDefault="00CF3F40" w:rsidP="00B34813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114.3</w:t>
            </w:r>
          </w:p>
        </w:tc>
        <w:tc>
          <w:tcPr>
            <w:tcW w:w="666" w:type="dxa"/>
            <w:tcBorders>
              <w:top w:val="single" w:sz="12" w:space="0" w:color="001D77"/>
            </w:tcBorders>
            <w:vAlign w:val="bottom"/>
          </w:tcPr>
          <w:p w14:paraId="6948D053" w14:textId="3BB1F6C6" w:rsidR="00CF3F40" w:rsidRPr="00E33A76" w:rsidRDefault="00CF3F40" w:rsidP="00B34813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108.2</w:t>
            </w:r>
          </w:p>
        </w:tc>
        <w:tc>
          <w:tcPr>
            <w:tcW w:w="656" w:type="dxa"/>
            <w:tcBorders>
              <w:top w:val="single" w:sz="12" w:space="0" w:color="001D77"/>
            </w:tcBorders>
            <w:vAlign w:val="center"/>
          </w:tcPr>
          <w:p w14:paraId="296CEF6C" w14:textId="12CFE3F8" w:rsidR="00CF3F40" w:rsidRPr="00E33A76" w:rsidRDefault="00CF3F40" w:rsidP="00B34813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E33A76">
              <w:rPr>
                <w:rFonts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single" w:sz="12" w:space="0" w:color="001D77"/>
            </w:tcBorders>
            <w:vAlign w:val="center"/>
          </w:tcPr>
          <w:p w14:paraId="5329D1F5" w14:textId="0011F463" w:rsidR="00CF3F40" w:rsidRPr="00E33A76" w:rsidRDefault="00CF3F40" w:rsidP="00B34813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E33A76">
              <w:rPr>
                <w:rFonts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CF3F40" w:rsidRPr="00E33A76" w14:paraId="6B89E630" w14:textId="77777777" w:rsidTr="000C2149">
        <w:trPr>
          <w:trHeight w:val="352"/>
        </w:trPr>
        <w:tc>
          <w:tcPr>
            <w:tcW w:w="2552" w:type="dxa"/>
            <w:vAlign w:val="center"/>
          </w:tcPr>
          <w:p w14:paraId="7337878D" w14:textId="3DA0C56E" w:rsidR="00CF3F40" w:rsidRPr="00E33A76" w:rsidRDefault="00CF3F40" w:rsidP="00B34813">
            <w:pPr>
              <w:tabs>
                <w:tab w:val="left" w:leader="dot" w:pos="3686"/>
              </w:tabs>
              <w:spacing w:before="60"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34581499" w14:textId="6601961A" w:rsidR="00CF3F40" w:rsidRPr="006B53C4" w:rsidRDefault="00CF3F40" w:rsidP="00B34813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829.1</w:t>
            </w:r>
          </w:p>
        </w:tc>
        <w:tc>
          <w:tcPr>
            <w:tcW w:w="717" w:type="dxa"/>
            <w:vAlign w:val="bottom"/>
          </w:tcPr>
          <w:p w14:paraId="321B0C79" w14:textId="1B7254F3" w:rsidR="00CF3F40" w:rsidRPr="006B53C4" w:rsidRDefault="00CF3F40" w:rsidP="00B34813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230.8</w:t>
            </w:r>
          </w:p>
        </w:tc>
        <w:tc>
          <w:tcPr>
            <w:tcW w:w="717" w:type="dxa"/>
            <w:vAlign w:val="bottom"/>
          </w:tcPr>
          <w:p w14:paraId="52BA3E18" w14:textId="6A0858E6" w:rsidR="00CF3F40" w:rsidRPr="006B53C4" w:rsidRDefault="00CF3F40" w:rsidP="00B34813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194.9</w:t>
            </w:r>
          </w:p>
        </w:tc>
        <w:tc>
          <w:tcPr>
            <w:tcW w:w="717" w:type="dxa"/>
            <w:vAlign w:val="bottom"/>
          </w:tcPr>
          <w:p w14:paraId="4DED0B24" w14:textId="17B1417F" w:rsidR="00CF3F40" w:rsidRPr="006B53C4" w:rsidRDefault="00CF3F40" w:rsidP="00B34813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108.4</w:t>
            </w:r>
          </w:p>
        </w:tc>
        <w:tc>
          <w:tcPr>
            <w:tcW w:w="717" w:type="dxa"/>
            <w:vAlign w:val="bottom"/>
          </w:tcPr>
          <w:p w14:paraId="19D1378D" w14:textId="24EEEA2B" w:rsidR="00CF3F40" w:rsidRPr="00E33A76" w:rsidRDefault="00CF3F40" w:rsidP="00B34813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115.1</w:t>
            </w:r>
          </w:p>
        </w:tc>
        <w:tc>
          <w:tcPr>
            <w:tcW w:w="666" w:type="dxa"/>
            <w:vAlign w:val="bottom"/>
          </w:tcPr>
          <w:p w14:paraId="0A4CDD0A" w14:textId="4677FB17" w:rsidR="00CF3F40" w:rsidRPr="00E33A76" w:rsidRDefault="00CF3F40" w:rsidP="00B34813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108.9</w:t>
            </w:r>
          </w:p>
        </w:tc>
        <w:tc>
          <w:tcPr>
            <w:tcW w:w="656" w:type="dxa"/>
            <w:vAlign w:val="bottom"/>
          </w:tcPr>
          <w:p w14:paraId="41C880AE" w14:textId="0A68EC37" w:rsidR="00CF3F40" w:rsidRPr="00E33A76" w:rsidRDefault="00CF3F40" w:rsidP="00B34813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86.6</w:t>
            </w:r>
          </w:p>
        </w:tc>
        <w:tc>
          <w:tcPr>
            <w:tcW w:w="648" w:type="dxa"/>
            <w:vAlign w:val="bottom"/>
          </w:tcPr>
          <w:p w14:paraId="43FD67F4" w14:textId="4719D0C6" w:rsidR="00CF3F40" w:rsidRPr="00E33A76" w:rsidRDefault="00CF3F40" w:rsidP="00B34813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87.1</w:t>
            </w:r>
          </w:p>
        </w:tc>
      </w:tr>
      <w:tr w:rsidR="00CF3F40" w:rsidRPr="00E33A76" w14:paraId="39EF0974" w14:textId="77777777" w:rsidTr="000C2149">
        <w:trPr>
          <w:trHeight w:val="342"/>
        </w:trPr>
        <w:tc>
          <w:tcPr>
            <w:tcW w:w="2552" w:type="dxa"/>
            <w:vAlign w:val="center"/>
          </w:tcPr>
          <w:p w14:paraId="2450A485" w14:textId="3034DB95" w:rsidR="00CF3F40" w:rsidRPr="00E33A76" w:rsidRDefault="00CF3F40" w:rsidP="00B34813">
            <w:pPr>
              <w:tabs>
                <w:tab w:val="left" w:leader="dot" w:pos="3686"/>
              </w:tabs>
              <w:spacing w:before="60"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44C43724" w14:textId="5D905CD2" w:rsidR="00CF3F40" w:rsidRPr="006B53C4" w:rsidRDefault="00CF3F40" w:rsidP="00B34813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767.0</w:t>
            </w:r>
          </w:p>
        </w:tc>
        <w:tc>
          <w:tcPr>
            <w:tcW w:w="717" w:type="dxa"/>
            <w:vAlign w:val="bottom"/>
          </w:tcPr>
          <w:p w14:paraId="36843C17" w14:textId="3DD7FB6F" w:rsidR="00CF3F40" w:rsidRPr="006B53C4" w:rsidRDefault="00CF3F40" w:rsidP="00B34813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213.5</w:t>
            </w:r>
          </w:p>
        </w:tc>
        <w:tc>
          <w:tcPr>
            <w:tcW w:w="717" w:type="dxa"/>
            <w:vAlign w:val="bottom"/>
          </w:tcPr>
          <w:p w14:paraId="0A021A4C" w14:textId="1E11308D" w:rsidR="00CF3F40" w:rsidRPr="006B53C4" w:rsidRDefault="00CF3F40" w:rsidP="00B34813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180.3</w:t>
            </w:r>
          </w:p>
        </w:tc>
        <w:tc>
          <w:tcPr>
            <w:tcW w:w="717" w:type="dxa"/>
            <w:vAlign w:val="bottom"/>
          </w:tcPr>
          <w:p w14:paraId="0DB78438" w14:textId="1AEBF544" w:rsidR="00CF3F40" w:rsidRPr="006B53C4" w:rsidRDefault="00CF3F40" w:rsidP="00B34813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108.6</w:t>
            </w:r>
          </w:p>
        </w:tc>
        <w:tc>
          <w:tcPr>
            <w:tcW w:w="717" w:type="dxa"/>
            <w:vAlign w:val="bottom"/>
          </w:tcPr>
          <w:p w14:paraId="54580B12" w14:textId="7D9142A7" w:rsidR="00CF3F40" w:rsidRPr="00E33A76" w:rsidRDefault="00CF3F40" w:rsidP="00B34813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115.2</w:t>
            </w:r>
          </w:p>
        </w:tc>
        <w:tc>
          <w:tcPr>
            <w:tcW w:w="666" w:type="dxa"/>
            <w:vAlign w:val="bottom"/>
          </w:tcPr>
          <w:p w14:paraId="50AD8A41" w14:textId="2CAC9F29" w:rsidR="00CF3F40" w:rsidRPr="00E33A76" w:rsidRDefault="00CF3F40" w:rsidP="00B34813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109.0</w:t>
            </w:r>
          </w:p>
        </w:tc>
        <w:tc>
          <w:tcPr>
            <w:tcW w:w="656" w:type="dxa"/>
            <w:vAlign w:val="bottom"/>
          </w:tcPr>
          <w:p w14:paraId="2C9DBBDA" w14:textId="67368BE9" w:rsidR="00CF3F40" w:rsidRPr="00E33A76" w:rsidRDefault="00CF3F40" w:rsidP="00B34813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80.0</w:t>
            </w:r>
          </w:p>
        </w:tc>
        <w:tc>
          <w:tcPr>
            <w:tcW w:w="648" w:type="dxa"/>
            <w:vAlign w:val="bottom"/>
          </w:tcPr>
          <w:p w14:paraId="3A3C64AD" w14:textId="165FB995" w:rsidR="00CF3F40" w:rsidRPr="00E33A76" w:rsidRDefault="00CF3F40" w:rsidP="00B34813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80.6</w:t>
            </w:r>
          </w:p>
        </w:tc>
      </w:tr>
      <w:tr w:rsidR="00CF3F40" w:rsidRPr="00E33A76" w14:paraId="066B357C" w14:textId="77777777" w:rsidTr="000C2149">
        <w:trPr>
          <w:trHeight w:val="352"/>
        </w:trPr>
        <w:tc>
          <w:tcPr>
            <w:tcW w:w="2552" w:type="dxa"/>
            <w:vAlign w:val="center"/>
          </w:tcPr>
          <w:p w14:paraId="224A815B" w14:textId="6797B5D3" w:rsidR="00CF3F40" w:rsidRPr="00E33A76" w:rsidRDefault="00CF3F40" w:rsidP="00B34813">
            <w:pPr>
              <w:tabs>
                <w:tab w:val="left" w:leader="dot" w:pos="3686"/>
              </w:tabs>
              <w:spacing w:before="60"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1F514E36" w14:textId="70CF7382" w:rsidR="00CF3F40" w:rsidRPr="006B53C4" w:rsidRDefault="00CF3F40" w:rsidP="00B34813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550.5</w:t>
            </w:r>
          </w:p>
        </w:tc>
        <w:tc>
          <w:tcPr>
            <w:tcW w:w="717" w:type="dxa"/>
            <w:vAlign w:val="bottom"/>
          </w:tcPr>
          <w:p w14:paraId="0D323268" w14:textId="4E33DBE2" w:rsidR="00CF3F40" w:rsidRPr="006B53C4" w:rsidRDefault="00CF3F40" w:rsidP="00B34813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153.2</w:t>
            </w:r>
          </w:p>
        </w:tc>
        <w:tc>
          <w:tcPr>
            <w:tcW w:w="717" w:type="dxa"/>
            <w:vAlign w:val="bottom"/>
          </w:tcPr>
          <w:p w14:paraId="59C46984" w14:textId="7E4F0201" w:rsidR="00CF3F40" w:rsidRPr="006B53C4" w:rsidRDefault="00CF3F40" w:rsidP="00B34813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129.4</w:t>
            </w:r>
          </w:p>
        </w:tc>
        <w:tc>
          <w:tcPr>
            <w:tcW w:w="717" w:type="dxa"/>
            <w:vAlign w:val="bottom"/>
          </w:tcPr>
          <w:p w14:paraId="5F10CD76" w14:textId="60D94ECE" w:rsidR="00CF3F40" w:rsidRPr="006B53C4" w:rsidRDefault="00CF3F40" w:rsidP="00B34813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109.3</w:t>
            </w:r>
          </w:p>
        </w:tc>
        <w:tc>
          <w:tcPr>
            <w:tcW w:w="717" w:type="dxa"/>
            <w:vAlign w:val="bottom"/>
          </w:tcPr>
          <w:p w14:paraId="22A6FFE9" w14:textId="22B7F295" w:rsidR="00CF3F40" w:rsidRPr="00E33A76" w:rsidRDefault="00CF3F40" w:rsidP="00B34813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116.0</w:t>
            </w:r>
          </w:p>
        </w:tc>
        <w:tc>
          <w:tcPr>
            <w:tcW w:w="666" w:type="dxa"/>
            <w:vAlign w:val="bottom"/>
          </w:tcPr>
          <w:p w14:paraId="7BB45187" w14:textId="4A296005" w:rsidR="00CF3F40" w:rsidRPr="00E33A76" w:rsidRDefault="00CF3F40" w:rsidP="00B34813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109.7</w:t>
            </w:r>
          </w:p>
        </w:tc>
        <w:tc>
          <w:tcPr>
            <w:tcW w:w="656" w:type="dxa"/>
            <w:vAlign w:val="bottom"/>
          </w:tcPr>
          <w:p w14:paraId="4FA8979C" w14:textId="5BA182C3" w:rsidR="00CF3F40" w:rsidRPr="00E33A76" w:rsidRDefault="00CF3F40" w:rsidP="00B34813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57.1</w:t>
            </w:r>
          </w:p>
        </w:tc>
        <w:tc>
          <w:tcPr>
            <w:tcW w:w="648" w:type="dxa"/>
            <w:vAlign w:val="bottom"/>
          </w:tcPr>
          <w:p w14:paraId="11CD2759" w14:textId="6468E671" w:rsidR="00CF3F40" w:rsidRPr="00E33A76" w:rsidRDefault="00CF3F40" w:rsidP="00B34813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57.9</w:t>
            </w:r>
          </w:p>
        </w:tc>
      </w:tr>
      <w:tr w:rsidR="00CF3F40" w:rsidRPr="00E33A76" w14:paraId="767291CB" w14:textId="77777777" w:rsidTr="000C2149">
        <w:trPr>
          <w:trHeight w:val="342"/>
        </w:trPr>
        <w:tc>
          <w:tcPr>
            <w:tcW w:w="2552" w:type="dxa"/>
            <w:vAlign w:val="center"/>
          </w:tcPr>
          <w:p w14:paraId="59EF99B5" w14:textId="78C9666E" w:rsidR="00CF3F40" w:rsidRPr="00E33A76" w:rsidRDefault="00CF3F40" w:rsidP="00B34813">
            <w:pPr>
              <w:tabs>
                <w:tab w:val="left" w:leader="dot" w:pos="3686"/>
              </w:tabs>
              <w:spacing w:before="6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Developing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57E88F6A" w14:textId="46593248" w:rsidR="00CF3F40" w:rsidRPr="006B53C4" w:rsidRDefault="00CF3F40" w:rsidP="00B34813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67.2</w:t>
            </w:r>
          </w:p>
        </w:tc>
        <w:tc>
          <w:tcPr>
            <w:tcW w:w="717" w:type="dxa"/>
            <w:vAlign w:val="bottom"/>
          </w:tcPr>
          <w:p w14:paraId="0FD2CD79" w14:textId="56837D1D" w:rsidR="00CF3F40" w:rsidRPr="006B53C4" w:rsidRDefault="00CF3F40" w:rsidP="00B34813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18.7</w:t>
            </w:r>
          </w:p>
        </w:tc>
        <w:tc>
          <w:tcPr>
            <w:tcW w:w="717" w:type="dxa"/>
            <w:vAlign w:val="bottom"/>
          </w:tcPr>
          <w:p w14:paraId="25214704" w14:textId="41C81DFC" w:rsidR="00CF3F40" w:rsidRPr="006B53C4" w:rsidRDefault="00CF3F40" w:rsidP="00B34813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15.8</w:t>
            </w:r>
          </w:p>
        </w:tc>
        <w:tc>
          <w:tcPr>
            <w:tcW w:w="717" w:type="dxa"/>
            <w:vAlign w:val="bottom"/>
          </w:tcPr>
          <w:p w14:paraId="08AE36CE" w14:textId="0873BD33" w:rsidR="00CF3F40" w:rsidRPr="006B53C4" w:rsidRDefault="00CF3F40" w:rsidP="00B34813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100.5</w:t>
            </w:r>
          </w:p>
        </w:tc>
        <w:tc>
          <w:tcPr>
            <w:tcW w:w="717" w:type="dxa"/>
            <w:vAlign w:val="bottom"/>
          </w:tcPr>
          <w:p w14:paraId="1E7921DA" w14:textId="0D1A89DC" w:rsidR="00CF3F40" w:rsidRPr="00E33A76" w:rsidRDefault="00CF3F40" w:rsidP="00B34813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106.5</w:t>
            </w:r>
          </w:p>
        </w:tc>
        <w:tc>
          <w:tcPr>
            <w:tcW w:w="666" w:type="dxa"/>
            <w:vAlign w:val="bottom"/>
          </w:tcPr>
          <w:p w14:paraId="281477B2" w14:textId="5BB097F9" w:rsidR="00CF3F40" w:rsidRPr="00E33A76" w:rsidRDefault="00CF3F40" w:rsidP="00B34813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100.9</w:t>
            </w:r>
          </w:p>
        </w:tc>
        <w:tc>
          <w:tcPr>
            <w:tcW w:w="656" w:type="dxa"/>
            <w:vAlign w:val="bottom"/>
          </w:tcPr>
          <w:p w14:paraId="3440B6CA" w14:textId="770D8AFE" w:rsidR="00CF3F40" w:rsidRPr="00E33A76" w:rsidRDefault="00CF3F40" w:rsidP="00B34813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7.6</w:t>
            </w:r>
          </w:p>
        </w:tc>
        <w:tc>
          <w:tcPr>
            <w:tcW w:w="648" w:type="dxa"/>
            <w:vAlign w:val="bottom"/>
          </w:tcPr>
          <w:p w14:paraId="31B13608" w14:textId="7BA9D0DD" w:rsidR="00CF3F40" w:rsidRPr="00E33A76" w:rsidRDefault="00CF3F40" w:rsidP="00B3481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7.1</w:t>
            </w:r>
          </w:p>
        </w:tc>
      </w:tr>
      <w:tr w:rsidR="00CF3F40" w:rsidRPr="00E33A76" w14:paraId="4EB8BF14" w14:textId="77777777" w:rsidTr="000C2149">
        <w:trPr>
          <w:trHeight w:val="308"/>
        </w:trPr>
        <w:tc>
          <w:tcPr>
            <w:tcW w:w="2552" w:type="dxa"/>
            <w:vAlign w:val="center"/>
          </w:tcPr>
          <w:p w14:paraId="244FFE20" w14:textId="05FB21B5" w:rsidR="00CF3F40" w:rsidRPr="00890348" w:rsidRDefault="00CF3F40" w:rsidP="00B34813">
            <w:pPr>
              <w:tabs>
                <w:tab w:val="left" w:leader="dot" w:pos="3686"/>
              </w:tabs>
              <w:spacing w:before="60" w:after="0"/>
              <w:rPr>
                <w:rFonts w:cs="Arial"/>
                <w:sz w:val="16"/>
                <w:szCs w:val="16"/>
                <w:lang w:val="en-US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890348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vAlign w:val="bottom"/>
          </w:tcPr>
          <w:p w14:paraId="2BD4E253" w14:textId="7BBCD1C5" w:rsidR="00CF3F40" w:rsidRPr="006B53C4" w:rsidRDefault="00CF3F40" w:rsidP="00B34813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55.0</w:t>
            </w:r>
          </w:p>
        </w:tc>
        <w:tc>
          <w:tcPr>
            <w:tcW w:w="717" w:type="dxa"/>
            <w:vAlign w:val="bottom"/>
          </w:tcPr>
          <w:p w14:paraId="20FB55AF" w14:textId="450A6B59" w:rsidR="00CF3F40" w:rsidRPr="006B53C4" w:rsidRDefault="00CF3F40" w:rsidP="00B34813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15.3</w:t>
            </w:r>
          </w:p>
        </w:tc>
        <w:tc>
          <w:tcPr>
            <w:tcW w:w="717" w:type="dxa"/>
            <w:vAlign w:val="bottom"/>
          </w:tcPr>
          <w:p w14:paraId="6512D1A5" w14:textId="0FB9159F" w:rsidR="00CF3F40" w:rsidRPr="006B53C4" w:rsidRDefault="00CF3F40" w:rsidP="00B34813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12.9</w:t>
            </w:r>
          </w:p>
        </w:tc>
        <w:tc>
          <w:tcPr>
            <w:tcW w:w="717" w:type="dxa"/>
            <w:vAlign w:val="bottom"/>
          </w:tcPr>
          <w:p w14:paraId="1E019430" w14:textId="099C7054" w:rsidR="00CF3F40" w:rsidRPr="006B53C4" w:rsidRDefault="00CF3F40" w:rsidP="00B34813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107.5</w:t>
            </w:r>
          </w:p>
        </w:tc>
        <w:tc>
          <w:tcPr>
            <w:tcW w:w="717" w:type="dxa"/>
            <w:vAlign w:val="bottom"/>
          </w:tcPr>
          <w:p w14:paraId="3D9EC8D5" w14:textId="50BEDFCC" w:rsidR="00CF3F40" w:rsidRPr="00E33A76" w:rsidRDefault="00CF3F40" w:rsidP="00B34813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113.5</w:t>
            </w:r>
          </w:p>
        </w:tc>
        <w:tc>
          <w:tcPr>
            <w:tcW w:w="666" w:type="dxa"/>
            <w:vAlign w:val="bottom"/>
          </w:tcPr>
          <w:p w14:paraId="0F8B7397" w14:textId="1BF7A1DC" w:rsidR="00CF3F40" w:rsidRPr="00E33A76" w:rsidRDefault="00CF3F40" w:rsidP="00B34813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107.7</w:t>
            </w:r>
          </w:p>
        </w:tc>
        <w:tc>
          <w:tcPr>
            <w:tcW w:w="656" w:type="dxa"/>
            <w:vAlign w:val="bottom"/>
          </w:tcPr>
          <w:p w14:paraId="73DE2405" w14:textId="2987B568" w:rsidR="00CF3F40" w:rsidRPr="00E33A76" w:rsidRDefault="00CF3F40" w:rsidP="00B34813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5.8</w:t>
            </w:r>
          </w:p>
        </w:tc>
        <w:tc>
          <w:tcPr>
            <w:tcW w:w="648" w:type="dxa"/>
            <w:vAlign w:val="bottom"/>
          </w:tcPr>
          <w:p w14:paraId="2C18CE8D" w14:textId="03B0FA7B" w:rsidR="00CF3F40" w:rsidRPr="00E33A76" w:rsidRDefault="00CF3F40" w:rsidP="00B34813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5.8</w:t>
            </w:r>
          </w:p>
        </w:tc>
      </w:tr>
      <w:tr w:rsidR="00CF3F40" w:rsidRPr="00E33A76" w14:paraId="36646F42" w14:textId="77777777" w:rsidTr="000C2149">
        <w:trPr>
          <w:trHeight w:val="342"/>
        </w:trPr>
        <w:tc>
          <w:tcPr>
            <w:tcW w:w="2552" w:type="dxa"/>
            <w:vAlign w:val="center"/>
          </w:tcPr>
          <w:p w14:paraId="20874386" w14:textId="1C559DA9" w:rsidR="00CF3F40" w:rsidRPr="00A00ADB" w:rsidRDefault="00CF3F40" w:rsidP="00B34813">
            <w:pPr>
              <w:tabs>
                <w:tab w:val="left" w:leader="dot" w:pos="3686"/>
              </w:tabs>
              <w:spacing w:before="60" w:after="0"/>
              <w:rPr>
                <w:rFonts w:cs="Arial"/>
                <w:sz w:val="16"/>
                <w:szCs w:val="16"/>
              </w:rPr>
            </w:pPr>
            <w:proofErr w:type="spellStart"/>
            <w:r w:rsidRPr="00E33A76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>s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(country of </w:t>
            </w:r>
            <w:proofErr w:type="spellStart"/>
            <w:r>
              <w:rPr>
                <w:rFonts w:cs="Arial"/>
                <w:sz w:val="16"/>
                <w:szCs w:val="16"/>
              </w:rPr>
              <w:t>origin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1"/>
            </w:r>
          </w:p>
        </w:tc>
        <w:tc>
          <w:tcPr>
            <w:tcW w:w="718" w:type="dxa"/>
            <w:vAlign w:val="bottom"/>
          </w:tcPr>
          <w:p w14:paraId="00363CAE" w14:textId="29FA2ECD" w:rsidR="00CF3F40" w:rsidRPr="00E33A76" w:rsidRDefault="00CF3F40" w:rsidP="00B34813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970.8</w:t>
            </w:r>
          </w:p>
        </w:tc>
        <w:tc>
          <w:tcPr>
            <w:tcW w:w="717" w:type="dxa"/>
            <w:vAlign w:val="bottom"/>
          </w:tcPr>
          <w:p w14:paraId="3BC2A040" w14:textId="68768ADA" w:rsidR="00CF3F40" w:rsidRPr="00E33A76" w:rsidRDefault="00CF3F40" w:rsidP="00B34813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270.2</w:t>
            </w:r>
          </w:p>
        </w:tc>
        <w:tc>
          <w:tcPr>
            <w:tcW w:w="717" w:type="dxa"/>
            <w:vAlign w:val="bottom"/>
          </w:tcPr>
          <w:p w14:paraId="348A8434" w14:textId="3CE7C352" w:rsidR="00CF3F40" w:rsidRPr="00E33A76" w:rsidRDefault="00CF3F40" w:rsidP="00B34813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228.2</w:t>
            </w:r>
          </w:p>
        </w:tc>
        <w:tc>
          <w:tcPr>
            <w:tcW w:w="717" w:type="dxa"/>
            <w:vAlign w:val="bottom"/>
          </w:tcPr>
          <w:p w14:paraId="40FE95A8" w14:textId="15A4A3FA" w:rsidR="00CF3F40" w:rsidRPr="00E33A76" w:rsidRDefault="00CF3F40" w:rsidP="00B34813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110.3</w:t>
            </w:r>
          </w:p>
        </w:tc>
        <w:tc>
          <w:tcPr>
            <w:tcW w:w="717" w:type="dxa"/>
            <w:vAlign w:val="bottom"/>
          </w:tcPr>
          <w:p w14:paraId="01C034E9" w14:textId="1889D6DE" w:rsidR="00CF3F40" w:rsidRPr="00E33A76" w:rsidRDefault="00CF3F40" w:rsidP="00B34813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116.9</w:t>
            </w:r>
          </w:p>
        </w:tc>
        <w:tc>
          <w:tcPr>
            <w:tcW w:w="666" w:type="dxa"/>
            <w:vAlign w:val="bottom"/>
          </w:tcPr>
          <w:p w14:paraId="45BA912E" w14:textId="0007ED13" w:rsidR="00CF3F40" w:rsidRPr="00E33A76" w:rsidRDefault="00CF3F40" w:rsidP="00B34813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110.7</w:t>
            </w:r>
          </w:p>
        </w:tc>
        <w:tc>
          <w:tcPr>
            <w:tcW w:w="656" w:type="dxa"/>
            <w:vAlign w:val="bottom"/>
          </w:tcPr>
          <w:p w14:paraId="216076F2" w14:textId="72B84087" w:rsidR="00CF3F40" w:rsidRPr="00E33A76" w:rsidRDefault="00CF3F40" w:rsidP="00B34813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E33A76">
              <w:rPr>
                <w:rFonts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vAlign w:val="bottom"/>
          </w:tcPr>
          <w:p w14:paraId="0CBFD53E" w14:textId="3E33F8E0" w:rsidR="00CF3F40" w:rsidRPr="00E33A76" w:rsidRDefault="00CF3F40" w:rsidP="00B34813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E33A76">
              <w:rPr>
                <w:rFonts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CF3F40" w:rsidRPr="00E33A76" w14:paraId="0F995433" w14:textId="77777777" w:rsidTr="000C2149">
        <w:trPr>
          <w:trHeight w:val="352"/>
        </w:trPr>
        <w:tc>
          <w:tcPr>
            <w:tcW w:w="2552" w:type="dxa"/>
            <w:vAlign w:val="center"/>
          </w:tcPr>
          <w:p w14:paraId="460D189C" w14:textId="748C9718" w:rsidR="00CF3F40" w:rsidRPr="00E33A76" w:rsidRDefault="00CF3F40" w:rsidP="00B34813">
            <w:pPr>
              <w:tabs>
                <w:tab w:val="left" w:leader="dot" w:pos="3686"/>
              </w:tabs>
              <w:spacing w:before="60"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7F75E625" w14:textId="1CCABA5E" w:rsidR="00CF3F40" w:rsidRPr="00E33A76" w:rsidRDefault="00CF3F40" w:rsidP="00B34813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640.3</w:t>
            </w:r>
          </w:p>
        </w:tc>
        <w:tc>
          <w:tcPr>
            <w:tcW w:w="717" w:type="dxa"/>
            <w:vAlign w:val="bottom"/>
          </w:tcPr>
          <w:p w14:paraId="690B1299" w14:textId="7EB766CE" w:rsidR="00CF3F40" w:rsidRPr="00E33A76" w:rsidRDefault="00CF3F40" w:rsidP="00B34813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178.3</w:t>
            </w:r>
          </w:p>
        </w:tc>
        <w:tc>
          <w:tcPr>
            <w:tcW w:w="717" w:type="dxa"/>
            <w:vAlign w:val="bottom"/>
          </w:tcPr>
          <w:p w14:paraId="68D56CD8" w14:textId="7A45F74F" w:rsidR="00CF3F40" w:rsidRPr="00E33A76" w:rsidRDefault="00CF3F40" w:rsidP="00B34813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150.5</w:t>
            </w:r>
          </w:p>
        </w:tc>
        <w:tc>
          <w:tcPr>
            <w:tcW w:w="717" w:type="dxa"/>
            <w:vAlign w:val="bottom"/>
          </w:tcPr>
          <w:p w14:paraId="5EBD7E92" w14:textId="13C1C290" w:rsidR="00CF3F40" w:rsidRPr="00E33A76" w:rsidRDefault="00CF3F40" w:rsidP="00B34813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107.4</w:t>
            </w:r>
          </w:p>
        </w:tc>
        <w:tc>
          <w:tcPr>
            <w:tcW w:w="717" w:type="dxa"/>
            <w:vAlign w:val="bottom"/>
          </w:tcPr>
          <w:p w14:paraId="26AD9AA8" w14:textId="5B9547C4" w:rsidR="00CF3F40" w:rsidRPr="00E33A76" w:rsidRDefault="00CF3F40" w:rsidP="00B34813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114.0</w:t>
            </w:r>
          </w:p>
        </w:tc>
        <w:tc>
          <w:tcPr>
            <w:tcW w:w="666" w:type="dxa"/>
            <w:vAlign w:val="bottom"/>
          </w:tcPr>
          <w:p w14:paraId="6D12DCEB" w14:textId="58FB97CF" w:rsidR="00CF3F40" w:rsidRPr="00E33A76" w:rsidRDefault="00CF3F40" w:rsidP="00B34813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107.8</w:t>
            </w:r>
          </w:p>
        </w:tc>
        <w:tc>
          <w:tcPr>
            <w:tcW w:w="656" w:type="dxa"/>
            <w:vAlign w:val="bottom"/>
          </w:tcPr>
          <w:p w14:paraId="07B224ED" w14:textId="419B8920" w:rsidR="00CF3F40" w:rsidRPr="00E33A76" w:rsidRDefault="00CF3F40" w:rsidP="00B34813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67.7</w:t>
            </w:r>
          </w:p>
        </w:tc>
        <w:tc>
          <w:tcPr>
            <w:tcW w:w="648" w:type="dxa"/>
            <w:vAlign w:val="bottom"/>
          </w:tcPr>
          <w:p w14:paraId="583F4DD2" w14:textId="1C4394AC" w:rsidR="00CF3F40" w:rsidRPr="00E33A76" w:rsidRDefault="00CF3F40" w:rsidP="00B34813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65.9</w:t>
            </w:r>
          </w:p>
        </w:tc>
      </w:tr>
      <w:tr w:rsidR="00CF3F40" w:rsidRPr="00E33A76" w14:paraId="7EB0801D" w14:textId="77777777" w:rsidTr="000C2149">
        <w:trPr>
          <w:trHeight w:val="342"/>
        </w:trPr>
        <w:tc>
          <w:tcPr>
            <w:tcW w:w="2552" w:type="dxa"/>
            <w:vAlign w:val="center"/>
          </w:tcPr>
          <w:p w14:paraId="083FD304" w14:textId="5C37E6D4" w:rsidR="00CF3F40" w:rsidRPr="00E33A76" w:rsidRDefault="00CF3F40" w:rsidP="00B34813">
            <w:pPr>
              <w:tabs>
                <w:tab w:val="left" w:leader="dot" w:pos="3686"/>
              </w:tabs>
              <w:spacing w:before="60"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138EF38F" w14:textId="33D8C579" w:rsidR="00CF3F40" w:rsidRPr="00E33A76" w:rsidRDefault="00CF3F40" w:rsidP="00B34813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570.6</w:t>
            </w:r>
          </w:p>
        </w:tc>
        <w:tc>
          <w:tcPr>
            <w:tcW w:w="717" w:type="dxa"/>
            <w:vAlign w:val="bottom"/>
          </w:tcPr>
          <w:p w14:paraId="6E2263C7" w14:textId="483E20B0" w:rsidR="00CF3F40" w:rsidRPr="00E33A76" w:rsidRDefault="00CF3F40" w:rsidP="00B34813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158.9</w:t>
            </w:r>
          </w:p>
        </w:tc>
        <w:tc>
          <w:tcPr>
            <w:tcW w:w="717" w:type="dxa"/>
            <w:vAlign w:val="bottom"/>
          </w:tcPr>
          <w:p w14:paraId="385AB74A" w14:textId="3FC92A2A" w:rsidR="00CF3F40" w:rsidRPr="00E33A76" w:rsidRDefault="00CF3F40" w:rsidP="00B34813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134.1</w:t>
            </w:r>
          </w:p>
        </w:tc>
        <w:tc>
          <w:tcPr>
            <w:tcW w:w="717" w:type="dxa"/>
            <w:vAlign w:val="bottom"/>
          </w:tcPr>
          <w:p w14:paraId="0B365E3D" w14:textId="390C4985" w:rsidR="00CF3F40" w:rsidRPr="00E33A76" w:rsidRDefault="00CF3F40" w:rsidP="00B34813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107.4</w:t>
            </w:r>
          </w:p>
        </w:tc>
        <w:tc>
          <w:tcPr>
            <w:tcW w:w="717" w:type="dxa"/>
            <w:vAlign w:val="bottom"/>
          </w:tcPr>
          <w:p w14:paraId="3FCA0128" w14:textId="264CF3AE" w:rsidR="00CF3F40" w:rsidRPr="00E33A76" w:rsidRDefault="00CF3F40" w:rsidP="00B34813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113.9</w:t>
            </w:r>
          </w:p>
        </w:tc>
        <w:tc>
          <w:tcPr>
            <w:tcW w:w="666" w:type="dxa"/>
            <w:vAlign w:val="bottom"/>
          </w:tcPr>
          <w:p w14:paraId="439B41CF" w14:textId="6C699CF4" w:rsidR="00CF3F40" w:rsidRPr="00E33A76" w:rsidRDefault="00CF3F40" w:rsidP="00B34813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107.8</w:t>
            </w:r>
          </w:p>
        </w:tc>
        <w:tc>
          <w:tcPr>
            <w:tcW w:w="656" w:type="dxa"/>
            <w:vAlign w:val="bottom"/>
          </w:tcPr>
          <w:p w14:paraId="363879B7" w14:textId="530D778F" w:rsidR="00CF3F40" w:rsidRPr="00E33A76" w:rsidRDefault="00CF3F40" w:rsidP="00B34813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60.4</w:t>
            </w:r>
          </w:p>
        </w:tc>
        <w:tc>
          <w:tcPr>
            <w:tcW w:w="648" w:type="dxa"/>
            <w:vAlign w:val="bottom"/>
          </w:tcPr>
          <w:p w14:paraId="2FA24151" w14:textId="7E53DD01" w:rsidR="00CF3F40" w:rsidRPr="00E33A76" w:rsidRDefault="00CF3F40" w:rsidP="00B34813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58.8</w:t>
            </w:r>
          </w:p>
        </w:tc>
      </w:tr>
      <w:tr w:rsidR="00CF3F40" w:rsidRPr="00E33A76" w14:paraId="513DAB61" w14:textId="77777777" w:rsidTr="000C2149">
        <w:trPr>
          <w:trHeight w:val="352"/>
        </w:trPr>
        <w:tc>
          <w:tcPr>
            <w:tcW w:w="2552" w:type="dxa"/>
            <w:vAlign w:val="center"/>
          </w:tcPr>
          <w:p w14:paraId="542FC182" w14:textId="64291575" w:rsidR="00CF3F40" w:rsidRPr="00E33A76" w:rsidRDefault="00CF3F40" w:rsidP="00B34813">
            <w:pPr>
              <w:tabs>
                <w:tab w:val="left" w:leader="dot" w:pos="3686"/>
              </w:tabs>
              <w:spacing w:before="60"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471F847F" w14:textId="618028F9" w:rsidR="00CF3F40" w:rsidRPr="00E33A76" w:rsidRDefault="00CF3F40" w:rsidP="00B34813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456.6</w:t>
            </w:r>
          </w:p>
        </w:tc>
        <w:tc>
          <w:tcPr>
            <w:tcW w:w="717" w:type="dxa"/>
            <w:vAlign w:val="bottom"/>
          </w:tcPr>
          <w:p w14:paraId="1F2AE809" w14:textId="740AC461" w:rsidR="00CF3F40" w:rsidRPr="00E33A76" w:rsidRDefault="00CF3F40" w:rsidP="00B34813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127.2</w:t>
            </w:r>
          </w:p>
        </w:tc>
        <w:tc>
          <w:tcPr>
            <w:tcW w:w="717" w:type="dxa"/>
            <w:vAlign w:val="bottom"/>
          </w:tcPr>
          <w:p w14:paraId="4C146A53" w14:textId="53914156" w:rsidR="00CF3F40" w:rsidRPr="00E33A76" w:rsidRDefault="00CF3F40" w:rsidP="00B34813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107.3</w:t>
            </w:r>
          </w:p>
        </w:tc>
        <w:tc>
          <w:tcPr>
            <w:tcW w:w="717" w:type="dxa"/>
            <w:vAlign w:val="bottom"/>
          </w:tcPr>
          <w:p w14:paraId="463FCFD0" w14:textId="1CE59BCC" w:rsidR="00CF3F40" w:rsidRPr="00E33A76" w:rsidRDefault="00CF3F40" w:rsidP="00B34813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107.5</w:t>
            </w:r>
          </w:p>
        </w:tc>
        <w:tc>
          <w:tcPr>
            <w:tcW w:w="717" w:type="dxa"/>
            <w:vAlign w:val="bottom"/>
          </w:tcPr>
          <w:p w14:paraId="19143A5A" w14:textId="40D19904" w:rsidR="00CF3F40" w:rsidRPr="00E33A76" w:rsidRDefault="00CF3F40" w:rsidP="00B34813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114.1</w:t>
            </w:r>
          </w:p>
        </w:tc>
        <w:tc>
          <w:tcPr>
            <w:tcW w:w="666" w:type="dxa"/>
            <w:vAlign w:val="bottom"/>
          </w:tcPr>
          <w:p w14:paraId="380F55BA" w14:textId="363166D3" w:rsidR="00CF3F40" w:rsidRPr="00E33A76" w:rsidRDefault="00CF3F40" w:rsidP="00B34813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107.9</w:t>
            </w:r>
          </w:p>
        </w:tc>
        <w:tc>
          <w:tcPr>
            <w:tcW w:w="656" w:type="dxa"/>
            <w:vAlign w:val="bottom"/>
          </w:tcPr>
          <w:p w14:paraId="3F58A1E7" w14:textId="34567420" w:rsidR="00CF3F40" w:rsidRPr="00E33A76" w:rsidRDefault="00CF3F40" w:rsidP="00B34813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48.3</w:t>
            </w:r>
          </w:p>
        </w:tc>
        <w:tc>
          <w:tcPr>
            <w:tcW w:w="648" w:type="dxa"/>
            <w:vAlign w:val="bottom"/>
          </w:tcPr>
          <w:p w14:paraId="4647F2E2" w14:textId="061A90F3" w:rsidR="00CF3F40" w:rsidRPr="00E33A76" w:rsidRDefault="00CF3F40" w:rsidP="00B34813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47.0</w:t>
            </w:r>
          </w:p>
        </w:tc>
      </w:tr>
      <w:tr w:rsidR="00CF3F40" w:rsidRPr="00E33A76" w14:paraId="2790172D" w14:textId="77777777" w:rsidTr="000C2149">
        <w:trPr>
          <w:trHeight w:val="342"/>
        </w:trPr>
        <w:tc>
          <w:tcPr>
            <w:tcW w:w="2552" w:type="dxa"/>
            <w:vAlign w:val="center"/>
          </w:tcPr>
          <w:p w14:paraId="45E49BED" w14:textId="1D1E6560" w:rsidR="00CF3F40" w:rsidRPr="00E33A76" w:rsidRDefault="00CF3F40" w:rsidP="00B34813">
            <w:pPr>
              <w:tabs>
                <w:tab w:val="left" w:leader="dot" w:pos="3686"/>
              </w:tabs>
              <w:spacing w:before="6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Developing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6E3EBE51" w14:textId="1E82CAE4" w:rsidR="00CF3F40" w:rsidRPr="00E33A76" w:rsidRDefault="00CF3F40" w:rsidP="00B34813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244.5</w:t>
            </w:r>
          </w:p>
        </w:tc>
        <w:tc>
          <w:tcPr>
            <w:tcW w:w="717" w:type="dxa"/>
            <w:vAlign w:val="bottom"/>
          </w:tcPr>
          <w:p w14:paraId="781826DA" w14:textId="2A80FB07" w:rsidR="00CF3F40" w:rsidRPr="00E33A76" w:rsidRDefault="00CF3F40" w:rsidP="00B34813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67.9</w:t>
            </w:r>
          </w:p>
        </w:tc>
        <w:tc>
          <w:tcPr>
            <w:tcW w:w="717" w:type="dxa"/>
            <w:vAlign w:val="bottom"/>
          </w:tcPr>
          <w:p w14:paraId="51977C18" w14:textId="58345812" w:rsidR="00CF3F40" w:rsidRPr="00E33A76" w:rsidRDefault="00CF3F40" w:rsidP="00B34813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57.4</w:t>
            </w:r>
          </w:p>
        </w:tc>
        <w:tc>
          <w:tcPr>
            <w:tcW w:w="717" w:type="dxa"/>
            <w:vAlign w:val="bottom"/>
          </w:tcPr>
          <w:p w14:paraId="3B808B25" w14:textId="507CE22A" w:rsidR="00CF3F40" w:rsidRPr="00E33A76" w:rsidRDefault="00CF3F40" w:rsidP="00B34813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114.0</w:t>
            </w:r>
          </w:p>
        </w:tc>
        <w:tc>
          <w:tcPr>
            <w:tcW w:w="717" w:type="dxa"/>
            <w:vAlign w:val="bottom"/>
          </w:tcPr>
          <w:p w14:paraId="4D66EFE5" w14:textId="4A61FFA7" w:rsidR="00CF3F40" w:rsidRPr="00E33A76" w:rsidRDefault="00CF3F40" w:rsidP="00B34813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120.7</w:t>
            </w:r>
          </w:p>
        </w:tc>
        <w:tc>
          <w:tcPr>
            <w:tcW w:w="666" w:type="dxa"/>
            <w:vAlign w:val="bottom"/>
          </w:tcPr>
          <w:p w14:paraId="010DFBC9" w14:textId="17992C70" w:rsidR="00CF3F40" w:rsidRPr="00E33A76" w:rsidRDefault="00CF3F40" w:rsidP="00B34813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114.4</w:t>
            </w:r>
          </w:p>
        </w:tc>
        <w:tc>
          <w:tcPr>
            <w:tcW w:w="656" w:type="dxa"/>
            <w:vAlign w:val="bottom"/>
          </w:tcPr>
          <w:p w14:paraId="10810E76" w14:textId="4663AFC2" w:rsidR="00CF3F40" w:rsidRPr="00E33A76" w:rsidRDefault="00CF3F40" w:rsidP="00B34813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24.4</w:t>
            </w:r>
          </w:p>
        </w:tc>
        <w:tc>
          <w:tcPr>
            <w:tcW w:w="648" w:type="dxa"/>
            <w:vAlign w:val="bottom"/>
          </w:tcPr>
          <w:p w14:paraId="42148070" w14:textId="1E0CEC89" w:rsidR="00CF3F40" w:rsidRPr="00E33A76" w:rsidRDefault="00CF3F40" w:rsidP="00B34813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25.2</w:t>
            </w:r>
          </w:p>
        </w:tc>
      </w:tr>
      <w:tr w:rsidR="00CF3F40" w:rsidRPr="00E33A76" w14:paraId="6749B596" w14:textId="77777777" w:rsidTr="000C2149">
        <w:trPr>
          <w:trHeight w:val="355"/>
        </w:trPr>
        <w:tc>
          <w:tcPr>
            <w:tcW w:w="2552" w:type="dxa"/>
            <w:vAlign w:val="center"/>
          </w:tcPr>
          <w:p w14:paraId="5DD5EA45" w14:textId="2189BA89" w:rsidR="00CF3F40" w:rsidRPr="00E33A76" w:rsidRDefault="00CF3F40" w:rsidP="00B34813">
            <w:pPr>
              <w:tabs>
                <w:tab w:val="left" w:leader="dot" w:pos="3686"/>
              </w:tabs>
              <w:spacing w:before="60" w:after="0"/>
              <w:rPr>
                <w:rFonts w:cs="Arial"/>
                <w:sz w:val="16"/>
                <w:szCs w:val="16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>
              <w:rPr>
                <w:rFonts w:cs="Arial"/>
                <w:sz w:val="16"/>
                <w:szCs w:val="16"/>
              </w:rPr>
              <w:t>Europe</w:t>
            </w:r>
          </w:p>
        </w:tc>
        <w:tc>
          <w:tcPr>
            <w:tcW w:w="718" w:type="dxa"/>
            <w:vAlign w:val="bottom"/>
          </w:tcPr>
          <w:p w14:paraId="7289397F" w14:textId="1B128026" w:rsidR="00CF3F40" w:rsidRPr="00E33A76" w:rsidRDefault="00CF3F40" w:rsidP="00B34813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86.1</w:t>
            </w:r>
          </w:p>
        </w:tc>
        <w:tc>
          <w:tcPr>
            <w:tcW w:w="717" w:type="dxa"/>
            <w:vAlign w:val="bottom"/>
          </w:tcPr>
          <w:p w14:paraId="156FB493" w14:textId="1699C385" w:rsidR="00CF3F40" w:rsidRPr="00E33A76" w:rsidRDefault="00CF3F40" w:rsidP="00B34813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23.9</w:t>
            </w:r>
          </w:p>
        </w:tc>
        <w:tc>
          <w:tcPr>
            <w:tcW w:w="717" w:type="dxa"/>
            <w:vAlign w:val="bottom"/>
          </w:tcPr>
          <w:p w14:paraId="796F338E" w14:textId="1012849C" w:rsidR="00CF3F40" w:rsidRPr="00E33A76" w:rsidRDefault="00CF3F40" w:rsidP="00B34813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20.2</w:t>
            </w:r>
          </w:p>
        </w:tc>
        <w:tc>
          <w:tcPr>
            <w:tcW w:w="717" w:type="dxa"/>
            <w:vAlign w:val="bottom"/>
          </w:tcPr>
          <w:p w14:paraId="3A19CBB8" w14:textId="1845E9ED" w:rsidR="00CF3F40" w:rsidRPr="00E33A76" w:rsidRDefault="00CF3F40" w:rsidP="00B34813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123.5</w:t>
            </w:r>
          </w:p>
        </w:tc>
        <w:tc>
          <w:tcPr>
            <w:tcW w:w="717" w:type="dxa"/>
            <w:vAlign w:val="bottom"/>
          </w:tcPr>
          <w:p w14:paraId="0AA91283" w14:textId="2ABED6C7" w:rsidR="00CF3F40" w:rsidRPr="00E33A76" w:rsidRDefault="00CF3F40" w:rsidP="00B34813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130.7</w:t>
            </w:r>
          </w:p>
        </w:tc>
        <w:tc>
          <w:tcPr>
            <w:tcW w:w="666" w:type="dxa"/>
            <w:vAlign w:val="bottom"/>
          </w:tcPr>
          <w:p w14:paraId="1337D5B4" w14:textId="6A3C8B0F" w:rsidR="00CF3F40" w:rsidRPr="00E33A76" w:rsidRDefault="00CF3F40" w:rsidP="00B34813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123.9</w:t>
            </w:r>
          </w:p>
        </w:tc>
        <w:tc>
          <w:tcPr>
            <w:tcW w:w="656" w:type="dxa"/>
            <w:vAlign w:val="bottom"/>
          </w:tcPr>
          <w:p w14:paraId="600E1103" w14:textId="02E46D58" w:rsidR="00CF3F40" w:rsidRPr="00E33A76" w:rsidRDefault="00CF3F40" w:rsidP="00B34813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7.9</w:t>
            </w:r>
          </w:p>
        </w:tc>
        <w:tc>
          <w:tcPr>
            <w:tcW w:w="648" w:type="dxa"/>
            <w:vAlign w:val="bottom"/>
          </w:tcPr>
          <w:p w14:paraId="16AF89E4" w14:textId="0A9F1559" w:rsidR="00CF3F40" w:rsidRPr="00E33A76" w:rsidRDefault="00CF3F40" w:rsidP="00B34813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8.9</w:t>
            </w:r>
          </w:p>
        </w:tc>
      </w:tr>
      <w:tr w:rsidR="00CF3F40" w:rsidRPr="00E33A76" w14:paraId="351B257A" w14:textId="77777777" w:rsidTr="000C2149">
        <w:trPr>
          <w:trHeight w:val="342"/>
        </w:trPr>
        <w:tc>
          <w:tcPr>
            <w:tcW w:w="2552" w:type="dxa"/>
            <w:vAlign w:val="center"/>
          </w:tcPr>
          <w:p w14:paraId="11C81975" w14:textId="28C55441" w:rsidR="00CF3F40" w:rsidRPr="00E33A76" w:rsidRDefault="00CF3F40" w:rsidP="00B34813">
            <w:pPr>
              <w:tabs>
                <w:tab w:val="left" w:leader="dot" w:pos="3686"/>
              </w:tabs>
              <w:spacing w:before="60" w:after="0"/>
              <w:rPr>
                <w:rFonts w:cs="Arial"/>
                <w:b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Balance</w:t>
            </w:r>
            <w:proofErr w:type="spellEnd"/>
            <w:r w:rsidRPr="00E33A76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44854870" w14:textId="44B040C3" w:rsidR="00CF3F40" w:rsidRPr="00E33A76" w:rsidRDefault="00CF3F40" w:rsidP="00B34813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-19.5</w:t>
            </w:r>
          </w:p>
        </w:tc>
        <w:tc>
          <w:tcPr>
            <w:tcW w:w="717" w:type="dxa"/>
            <w:vAlign w:val="bottom"/>
          </w:tcPr>
          <w:p w14:paraId="4838CD99" w14:textId="031A2D47" w:rsidR="00CF3F40" w:rsidRPr="00E33A76" w:rsidRDefault="00CF3F40" w:rsidP="00B34813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-5.4</w:t>
            </w:r>
          </w:p>
        </w:tc>
        <w:tc>
          <w:tcPr>
            <w:tcW w:w="717" w:type="dxa"/>
            <w:vAlign w:val="bottom"/>
          </w:tcPr>
          <w:p w14:paraId="4634496A" w14:textId="4098295A" w:rsidR="00CF3F40" w:rsidRPr="00E33A76" w:rsidRDefault="00CF3F40" w:rsidP="00B34813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-4.6</w:t>
            </w:r>
          </w:p>
        </w:tc>
        <w:tc>
          <w:tcPr>
            <w:tcW w:w="717" w:type="dxa"/>
            <w:vAlign w:val="bottom"/>
          </w:tcPr>
          <w:p w14:paraId="5EF13163" w14:textId="7A2C3DD9" w:rsidR="00CF3F40" w:rsidRPr="00E33A76" w:rsidRDefault="00CF3F40" w:rsidP="00B34813">
            <w:pPr>
              <w:spacing w:before="60"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14:paraId="6600808C" w14:textId="5193C9A0" w:rsidR="00CF3F40" w:rsidRPr="00E33A76" w:rsidRDefault="00CF3F40" w:rsidP="00B34813">
            <w:pPr>
              <w:spacing w:before="60"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66" w:type="dxa"/>
            <w:vAlign w:val="bottom"/>
          </w:tcPr>
          <w:p w14:paraId="3C50760B" w14:textId="0DBFB400" w:rsidR="00CF3F40" w:rsidRPr="00E33A76" w:rsidRDefault="00CF3F40" w:rsidP="00B34813">
            <w:pPr>
              <w:spacing w:before="60"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56" w:type="dxa"/>
            <w:vAlign w:val="bottom"/>
          </w:tcPr>
          <w:p w14:paraId="75CD4F25" w14:textId="73657615" w:rsidR="00CF3F40" w:rsidRPr="00E33A76" w:rsidRDefault="00CF3F40" w:rsidP="00B34813">
            <w:pPr>
              <w:spacing w:before="60"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48" w:type="dxa"/>
            <w:vAlign w:val="bottom"/>
          </w:tcPr>
          <w:p w14:paraId="606245C3" w14:textId="5E5EE171" w:rsidR="00CF3F40" w:rsidRPr="00E33A76" w:rsidRDefault="00CF3F40" w:rsidP="00B34813">
            <w:pPr>
              <w:spacing w:before="60"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</w:tr>
      <w:tr w:rsidR="00CF3F40" w:rsidRPr="00E33A76" w14:paraId="344E1F56" w14:textId="77777777" w:rsidTr="000C2149">
        <w:trPr>
          <w:trHeight w:val="352"/>
        </w:trPr>
        <w:tc>
          <w:tcPr>
            <w:tcW w:w="2552" w:type="dxa"/>
            <w:vAlign w:val="center"/>
          </w:tcPr>
          <w:p w14:paraId="6D7998C7" w14:textId="74D7397A" w:rsidR="00CF3F40" w:rsidRPr="00E33A76" w:rsidRDefault="00CF3F40" w:rsidP="00B34813">
            <w:pPr>
              <w:tabs>
                <w:tab w:val="left" w:leader="dot" w:pos="3686"/>
              </w:tabs>
              <w:spacing w:before="60"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6CE6F3DD" w14:textId="00145561" w:rsidR="00CF3F40" w:rsidRPr="00E33A76" w:rsidRDefault="00CF3F40" w:rsidP="00B34813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188.8</w:t>
            </w:r>
          </w:p>
        </w:tc>
        <w:tc>
          <w:tcPr>
            <w:tcW w:w="717" w:type="dxa"/>
            <w:vAlign w:val="bottom"/>
          </w:tcPr>
          <w:p w14:paraId="732662F0" w14:textId="7B2018FF" w:rsidR="00CF3F40" w:rsidRPr="00E33A76" w:rsidRDefault="00CF3F40" w:rsidP="00B34813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52.5</w:t>
            </w:r>
          </w:p>
        </w:tc>
        <w:tc>
          <w:tcPr>
            <w:tcW w:w="717" w:type="dxa"/>
            <w:vAlign w:val="bottom"/>
          </w:tcPr>
          <w:p w14:paraId="22AE828E" w14:textId="5DADB4BB" w:rsidR="00CF3F40" w:rsidRPr="00E33A76" w:rsidRDefault="00CF3F40" w:rsidP="00B34813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44.4</w:t>
            </w:r>
          </w:p>
        </w:tc>
        <w:tc>
          <w:tcPr>
            <w:tcW w:w="717" w:type="dxa"/>
            <w:vAlign w:val="bottom"/>
          </w:tcPr>
          <w:p w14:paraId="1BD354AF" w14:textId="3A0693B8" w:rsidR="00CF3F40" w:rsidRPr="00E33A76" w:rsidRDefault="00CF3F40" w:rsidP="00B3481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14:paraId="156481E9" w14:textId="0D164EB4" w:rsidR="00CF3F40" w:rsidRPr="00E33A76" w:rsidRDefault="00CF3F40" w:rsidP="00B3481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66" w:type="dxa"/>
            <w:vAlign w:val="bottom"/>
          </w:tcPr>
          <w:p w14:paraId="4BD8944C" w14:textId="4A0B2969" w:rsidR="00CF3F40" w:rsidRPr="00E33A76" w:rsidRDefault="00CF3F40" w:rsidP="00B3481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56" w:type="dxa"/>
            <w:vAlign w:val="bottom"/>
          </w:tcPr>
          <w:p w14:paraId="4EBDFA7B" w14:textId="28BDF29A" w:rsidR="00CF3F40" w:rsidRPr="00E33A76" w:rsidRDefault="00CF3F40" w:rsidP="00B3481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48" w:type="dxa"/>
            <w:vAlign w:val="bottom"/>
          </w:tcPr>
          <w:p w14:paraId="693F1679" w14:textId="0FFCF0AF" w:rsidR="00CF3F40" w:rsidRPr="00E33A76" w:rsidRDefault="00CF3F40" w:rsidP="00B3481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</w:tr>
      <w:tr w:rsidR="00CF3F40" w:rsidRPr="00E33A76" w14:paraId="37F96AF5" w14:textId="77777777" w:rsidTr="000C2149">
        <w:trPr>
          <w:trHeight w:val="342"/>
        </w:trPr>
        <w:tc>
          <w:tcPr>
            <w:tcW w:w="2552" w:type="dxa"/>
            <w:vAlign w:val="center"/>
          </w:tcPr>
          <w:p w14:paraId="3414F7FD" w14:textId="4397EB7E" w:rsidR="00CF3F40" w:rsidRPr="00E33A76" w:rsidRDefault="00CF3F40" w:rsidP="00B34813">
            <w:pPr>
              <w:tabs>
                <w:tab w:val="left" w:leader="dot" w:pos="3686"/>
              </w:tabs>
              <w:spacing w:before="60"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237A8545" w14:textId="20FF3921" w:rsidR="00CF3F40" w:rsidRPr="00E33A76" w:rsidRDefault="00CF3F40" w:rsidP="00B34813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196.4</w:t>
            </w:r>
          </w:p>
        </w:tc>
        <w:tc>
          <w:tcPr>
            <w:tcW w:w="717" w:type="dxa"/>
            <w:vAlign w:val="bottom"/>
          </w:tcPr>
          <w:p w14:paraId="2E57722C" w14:textId="6FCE273D" w:rsidR="00CF3F40" w:rsidRPr="00E33A76" w:rsidRDefault="00CF3F40" w:rsidP="00B34813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54.6</w:t>
            </w:r>
          </w:p>
        </w:tc>
        <w:tc>
          <w:tcPr>
            <w:tcW w:w="717" w:type="dxa"/>
            <w:vAlign w:val="bottom"/>
          </w:tcPr>
          <w:p w14:paraId="6BC3CE1C" w14:textId="4EAA059A" w:rsidR="00CF3F40" w:rsidRPr="00E33A76" w:rsidRDefault="00CF3F40" w:rsidP="00B34813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46.2</w:t>
            </w:r>
          </w:p>
        </w:tc>
        <w:tc>
          <w:tcPr>
            <w:tcW w:w="717" w:type="dxa"/>
            <w:vAlign w:val="bottom"/>
          </w:tcPr>
          <w:p w14:paraId="51C6F6FD" w14:textId="4DB0C025" w:rsidR="00CF3F40" w:rsidRPr="00E33A76" w:rsidRDefault="00CF3F40" w:rsidP="00B3481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14:paraId="58FE3AA0" w14:textId="6BDD4F36" w:rsidR="00CF3F40" w:rsidRPr="00E33A76" w:rsidRDefault="00CF3F40" w:rsidP="00B3481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66" w:type="dxa"/>
            <w:vAlign w:val="bottom"/>
          </w:tcPr>
          <w:p w14:paraId="2C1BE97D" w14:textId="14D1F498" w:rsidR="00CF3F40" w:rsidRPr="00E33A76" w:rsidRDefault="00CF3F40" w:rsidP="00B3481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56" w:type="dxa"/>
            <w:vAlign w:val="bottom"/>
          </w:tcPr>
          <w:p w14:paraId="45D92053" w14:textId="20FE0605" w:rsidR="00CF3F40" w:rsidRPr="00E33A76" w:rsidRDefault="00CF3F40" w:rsidP="00B3481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48" w:type="dxa"/>
            <w:vAlign w:val="bottom"/>
          </w:tcPr>
          <w:p w14:paraId="35B9E7AB" w14:textId="5C23D270" w:rsidR="00CF3F40" w:rsidRPr="00E33A76" w:rsidRDefault="00CF3F40" w:rsidP="00B3481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</w:tr>
      <w:tr w:rsidR="00CF3F40" w:rsidRPr="00E33A76" w14:paraId="624FC381" w14:textId="77777777" w:rsidTr="000C2149">
        <w:trPr>
          <w:trHeight w:val="352"/>
        </w:trPr>
        <w:tc>
          <w:tcPr>
            <w:tcW w:w="2552" w:type="dxa"/>
            <w:vAlign w:val="center"/>
          </w:tcPr>
          <w:p w14:paraId="7688F8B1" w14:textId="3B564928" w:rsidR="00CF3F40" w:rsidRPr="00E33A76" w:rsidRDefault="00CF3F40" w:rsidP="00B34813">
            <w:pPr>
              <w:tabs>
                <w:tab w:val="left" w:leader="dot" w:pos="3686"/>
              </w:tabs>
              <w:spacing w:before="60"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7FB98746" w14:textId="52977F8B" w:rsidR="00CF3F40" w:rsidRPr="00E33A76" w:rsidRDefault="00CF3F40" w:rsidP="00B34813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93.9</w:t>
            </w:r>
          </w:p>
        </w:tc>
        <w:tc>
          <w:tcPr>
            <w:tcW w:w="717" w:type="dxa"/>
            <w:vAlign w:val="bottom"/>
          </w:tcPr>
          <w:p w14:paraId="0B8774B4" w14:textId="6780F1B1" w:rsidR="00CF3F40" w:rsidRPr="00E33A76" w:rsidRDefault="00CF3F40" w:rsidP="00B34813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26.0</w:t>
            </w:r>
          </w:p>
        </w:tc>
        <w:tc>
          <w:tcPr>
            <w:tcW w:w="717" w:type="dxa"/>
            <w:vAlign w:val="bottom"/>
          </w:tcPr>
          <w:p w14:paraId="6694E2FF" w14:textId="1654498C" w:rsidR="00CF3F40" w:rsidRPr="00E33A76" w:rsidRDefault="00CF3F40" w:rsidP="00B34813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22.1</w:t>
            </w:r>
          </w:p>
        </w:tc>
        <w:tc>
          <w:tcPr>
            <w:tcW w:w="717" w:type="dxa"/>
            <w:vAlign w:val="bottom"/>
          </w:tcPr>
          <w:p w14:paraId="78D54705" w14:textId="52F04828" w:rsidR="00CF3F40" w:rsidRPr="00E33A76" w:rsidRDefault="00CF3F40" w:rsidP="00B3481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14:paraId="29128AB9" w14:textId="77C01A99" w:rsidR="00CF3F40" w:rsidRPr="00E33A76" w:rsidRDefault="00CF3F40" w:rsidP="00B3481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66" w:type="dxa"/>
            <w:vAlign w:val="bottom"/>
          </w:tcPr>
          <w:p w14:paraId="47609115" w14:textId="07676212" w:rsidR="00CF3F40" w:rsidRPr="00E33A76" w:rsidRDefault="00CF3F40" w:rsidP="00B3481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56" w:type="dxa"/>
            <w:vAlign w:val="bottom"/>
          </w:tcPr>
          <w:p w14:paraId="5EAA9D1B" w14:textId="782A63D3" w:rsidR="00CF3F40" w:rsidRPr="00E33A76" w:rsidRDefault="00CF3F40" w:rsidP="00B3481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48" w:type="dxa"/>
            <w:vAlign w:val="bottom"/>
          </w:tcPr>
          <w:p w14:paraId="525A03C7" w14:textId="185E851A" w:rsidR="00CF3F40" w:rsidRPr="00E33A76" w:rsidRDefault="00CF3F40" w:rsidP="00B3481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</w:tr>
      <w:tr w:rsidR="00CF3F40" w:rsidRPr="00E33A76" w14:paraId="420AD7C8" w14:textId="77777777" w:rsidTr="000C2149">
        <w:trPr>
          <w:trHeight w:val="342"/>
        </w:trPr>
        <w:tc>
          <w:tcPr>
            <w:tcW w:w="2552" w:type="dxa"/>
            <w:vAlign w:val="center"/>
          </w:tcPr>
          <w:p w14:paraId="290C2061" w14:textId="7CED2B19" w:rsidR="00CF3F40" w:rsidRPr="00E33A76" w:rsidRDefault="00CF3F40" w:rsidP="00B34813">
            <w:pPr>
              <w:tabs>
                <w:tab w:val="left" w:leader="dot" w:pos="3686"/>
              </w:tabs>
              <w:spacing w:before="6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Developing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5142EE06" w14:textId="2E45070A" w:rsidR="00CF3F40" w:rsidRPr="00E33A76" w:rsidRDefault="00CF3F40" w:rsidP="00B34813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-177.3</w:t>
            </w:r>
          </w:p>
        </w:tc>
        <w:tc>
          <w:tcPr>
            <w:tcW w:w="717" w:type="dxa"/>
            <w:vAlign w:val="bottom"/>
          </w:tcPr>
          <w:p w14:paraId="0FB22C48" w14:textId="0F767AD8" w:rsidR="00CF3F40" w:rsidRPr="00E33A76" w:rsidRDefault="00CF3F40" w:rsidP="00B34813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-49.2</w:t>
            </w:r>
          </w:p>
        </w:tc>
        <w:tc>
          <w:tcPr>
            <w:tcW w:w="717" w:type="dxa"/>
            <w:vAlign w:val="bottom"/>
          </w:tcPr>
          <w:p w14:paraId="4159804D" w14:textId="503629AB" w:rsidR="00CF3F40" w:rsidRPr="00E33A76" w:rsidRDefault="00CF3F40" w:rsidP="00B34813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-41.6</w:t>
            </w:r>
          </w:p>
        </w:tc>
        <w:tc>
          <w:tcPr>
            <w:tcW w:w="717" w:type="dxa"/>
            <w:vAlign w:val="bottom"/>
          </w:tcPr>
          <w:p w14:paraId="219BE204" w14:textId="706ECC97" w:rsidR="00CF3F40" w:rsidRPr="00E33A76" w:rsidRDefault="00CF3F40" w:rsidP="00B3481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14:paraId="743A7756" w14:textId="08D6F652" w:rsidR="00CF3F40" w:rsidRPr="00E33A76" w:rsidRDefault="00CF3F40" w:rsidP="00B3481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66" w:type="dxa"/>
            <w:vAlign w:val="bottom"/>
          </w:tcPr>
          <w:p w14:paraId="02010DD1" w14:textId="56D074DE" w:rsidR="00CF3F40" w:rsidRPr="00E33A76" w:rsidRDefault="00CF3F40" w:rsidP="00B3481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56" w:type="dxa"/>
            <w:vAlign w:val="bottom"/>
          </w:tcPr>
          <w:p w14:paraId="7D7BA9DE" w14:textId="6DFFAE73" w:rsidR="00CF3F40" w:rsidRPr="00E33A76" w:rsidRDefault="00CF3F40" w:rsidP="00B3481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48" w:type="dxa"/>
            <w:vAlign w:val="bottom"/>
          </w:tcPr>
          <w:p w14:paraId="0C30AA88" w14:textId="65C9547B" w:rsidR="00CF3F40" w:rsidRPr="00E33A76" w:rsidRDefault="00CF3F40" w:rsidP="00B3481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</w:tr>
      <w:tr w:rsidR="00CF3F40" w:rsidRPr="00E33A76" w14:paraId="6E52CC66" w14:textId="77777777" w:rsidTr="000C2149">
        <w:trPr>
          <w:trHeight w:val="258"/>
        </w:trPr>
        <w:tc>
          <w:tcPr>
            <w:tcW w:w="2552" w:type="dxa"/>
            <w:vAlign w:val="center"/>
          </w:tcPr>
          <w:p w14:paraId="3504EC39" w14:textId="2DCB074E" w:rsidR="00CF3F40" w:rsidRPr="00E33A76" w:rsidRDefault="00CF3F40" w:rsidP="00B34813">
            <w:pPr>
              <w:tabs>
                <w:tab w:val="left" w:leader="dot" w:pos="3686"/>
              </w:tabs>
              <w:spacing w:before="60" w:after="0"/>
              <w:rPr>
                <w:rFonts w:cs="Arial"/>
                <w:sz w:val="16"/>
                <w:szCs w:val="16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>
              <w:rPr>
                <w:rFonts w:cs="Arial"/>
                <w:sz w:val="16"/>
                <w:szCs w:val="16"/>
              </w:rPr>
              <w:t>Europe</w:t>
            </w:r>
          </w:p>
        </w:tc>
        <w:tc>
          <w:tcPr>
            <w:tcW w:w="718" w:type="dxa"/>
            <w:vAlign w:val="bottom"/>
          </w:tcPr>
          <w:p w14:paraId="18E71503" w14:textId="3BD5D613" w:rsidR="00CF3F40" w:rsidRPr="00E33A76" w:rsidRDefault="00CF3F40" w:rsidP="00B34813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-31.1</w:t>
            </w:r>
          </w:p>
        </w:tc>
        <w:tc>
          <w:tcPr>
            <w:tcW w:w="717" w:type="dxa"/>
            <w:vAlign w:val="bottom"/>
          </w:tcPr>
          <w:p w14:paraId="741DC072" w14:textId="474BC4C8" w:rsidR="00CF3F40" w:rsidRPr="00E33A76" w:rsidRDefault="00CF3F40" w:rsidP="00B34813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-8.6</w:t>
            </w:r>
          </w:p>
        </w:tc>
        <w:tc>
          <w:tcPr>
            <w:tcW w:w="717" w:type="dxa"/>
            <w:vAlign w:val="bottom"/>
          </w:tcPr>
          <w:p w14:paraId="346CC3A2" w14:textId="7D276F7E" w:rsidR="00CF3F40" w:rsidRPr="00E33A76" w:rsidRDefault="00CF3F40" w:rsidP="00B34813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-7.3</w:t>
            </w:r>
          </w:p>
        </w:tc>
        <w:tc>
          <w:tcPr>
            <w:tcW w:w="717" w:type="dxa"/>
            <w:vAlign w:val="center"/>
          </w:tcPr>
          <w:p w14:paraId="4B99FF2F" w14:textId="36E6CE3D" w:rsidR="00CF3F40" w:rsidRPr="00E33A76" w:rsidRDefault="00CF3F40" w:rsidP="00B3481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center"/>
          </w:tcPr>
          <w:p w14:paraId="6DDF860A" w14:textId="6A7045A2" w:rsidR="00CF3F40" w:rsidRPr="00E33A76" w:rsidRDefault="00CF3F40" w:rsidP="00B3481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66" w:type="dxa"/>
            <w:vAlign w:val="center"/>
          </w:tcPr>
          <w:p w14:paraId="332610EA" w14:textId="6E5238BE" w:rsidR="00CF3F40" w:rsidRPr="00E33A76" w:rsidRDefault="00CF3F40" w:rsidP="00B3481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56" w:type="dxa"/>
            <w:vAlign w:val="center"/>
          </w:tcPr>
          <w:p w14:paraId="5663AE68" w14:textId="36B2A17B" w:rsidR="00CF3F40" w:rsidRPr="00E33A76" w:rsidRDefault="00CF3F40" w:rsidP="00B3481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48" w:type="dxa"/>
            <w:vAlign w:val="center"/>
          </w:tcPr>
          <w:p w14:paraId="4926BDF9" w14:textId="08F5BDC4" w:rsidR="00CF3F40" w:rsidRPr="00E33A76" w:rsidRDefault="00CF3F40" w:rsidP="00B3481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</w:tr>
    </w:tbl>
    <w:p w14:paraId="0D45A738" w14:textId="4BAE0676" w:rsidR="00345F7C" w:rsidRPr="00070820" w:rsidRDefault="00FA3774" w:rsidP="00345F7C">
      <w:pPr>
        <w:pStyle w:val="Nagwek1"/>
        <w:rPr>
          <w:lang w:val="en-US"/>
        </w:rPr>
      </w:pPr>
      <w:r w:rsidRPr="00070820">
        <w:rPr>
          <w:lang w:val="en-US"/>
        </w:rPr>
        <w:lastRenderedPageBreak/>
        <w:t>Foreign trade turnover by major countries</w:t>
      </w:r>
    </w:p>
    <w:p w14:paraId="6BB93B52" w14:textId="62627223" w:rsidR="00345F7C" w:rsidRPr="001A33F3" w:rsidRDefault="001A33F3" w:rsidP="0036602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lang w:val="en-US"/>
        </w:rPr>
      </w:pPr>
      <w:r w:rsidRPr="001A33F3">
        <w:rPr>
          <w:rFonts w:cs="Arial"/>
          <w:lang w:val="en-US"/>
        </w:rPr>
        <w:t>In 201</w:t>
      </w:r>
      <w:r w:rsidR="004577E9">
        <w:rPr>
          <w:rFonts w:cs="Arial"/>
          <w:lang w:val="en-US"/>
        </w:rPr>
        <w:t>8</w:t>
      </w:r>
      <w:r w:rsidRPr="001A33F3">
        <w:rPr>
          <w:rFonts w:cs="Arial"/>
          <w:lang w:val="en-US"/>
        </w:rPr>
        <w:t xml:space="preserve"> among the main trade partners of Poland there was an increase in </w:t>
      </w:r>
      <w:r>
        <w:rPr>
          <w:rFonts w:cs="Arial"/>
          <w:lang w:val="en-US"/>
        </w:rPr>
        <w:t>e</w:t>
      </w:r>
      <w:r w:rsidRPr="001A33F3">
        <w:rPr>
          <w:rFonts w:cs="Arial"/>
          <w:lang w:val="en-US"/>
        </w:rPr>
        <w:t xml:space="preserve">xports and imports </w:t>
      </w:r>
      <w:r>
        <w:rPr>
          <w:rFonts w:cs="Arial"/>
          <w:lang w:val="en-US"/>
        </w:rPr>
        <w:t>to all countries from the top ten of our pa</w:t>
      </w:r>
      <w:r w:rsidR="007D5E79">
        <w:rPr>
          <w:rFonts w:cs="Arial"/>
          <w:lang w:val="en-US"/>
        </w:rPr>
        <w:t>rtners</w:t>
      </w:r>
      <w:r w:rsidR="00E13512">
        <w:rPr>
          <w:rFonts w:cs="Arial"/>
          <w:lang w:val="en-US"/>
        </w:rPr>
        <w:t>.</w:t>
      </w:r>
    </w:p>
    <w:p w14:paraId="27EE2AC1" w14:textId="5FBE891D" w:rsidR="00345F7C" w:rsidRPr="00D45E4A" w:rsidRDefault="00B34813" w:rsidP="00366025">
      <w:pPr>
        <w:rPr>
          <w:rFonts w:cs="Arial"/>
          <w:lang w:val="en-US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7BF22207" wp14:editId="0CA204B3">
                <wp:simplePos x="0" y="0"/>
                <wp:positionH relativeFrom="column">
                  <wp:posOffset>5258577</wp:posOffset>
                </wp:positionH>
                <wp:positionV relativeFrom="paragraph">
                  <wp:posOffset>241461</wp:posOffset>
                </wp:positionV>
                <wp:extent cx="1725295" cy="982345"/>
                <wp:effectExtent l="0" t="0" r="0" b="0"/>
                <wp:wrapTight wrapText="bothSides">
                  <wp:wrapPolygon edited="0">
                    <wp:start x="715" y="0"/>
                    <wp:lineTo x="715" y="20944"/>
                    <wp:lineTo x="20749" y="20944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2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9C458C" w14:textId="2C03671C" w:rsidR="00C85300" w:rsidRPr="003F7B61" w:rsidRDefault="00C85300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3F7B61">
                              <w:rPr>
                                <w:lang w:val="en-US"/>
                              </w:rPr>
                              <w:t>Since Poland’s accession to the EU, Germany has been our th</w:t>
                            </w:r>
                            <w:r>
                              <w:rPr>
                                <w:lang w:val="en-US"/>
                              </w:rPr>
                              <w:t>e largest trading partner</w:t>
                            </w:r>
                            <w:r w:rsidRPr="003F7B61">
                              <w:rPr>
                                <w:lang w:val="en-US"/>
                              </w:rPr>
                              <w:t xml:space="preserve"> both</w:t>
                            </w:r>
                            <w:r>
                              <w:rPr>
                                <w:lang w:val="en-US"/>
                              </w:rPr>
                              <w:t xml:space="preserve"> in exports and imports</w:t>
                            </w:r>
                            <w:r w:rsidRPr="003F7B61">
                              <w:rPr>
                                <w:lang w:val="en-US"/>
                              </w:rPr>
                              <w:t xml:space="preserve">  </w:t>
                            </w:r>
                          </w:p>
                          <w:p w14:paraId="6F25132D" w14:textId="77777777" w:rsidR="00C85300" w:rsidRPr="003F7B61" w:rsidRDefault="00C85300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C5DA758" w14:textId="77777777" w:rsidR="00C85300" w:rsidRPr="003F7B61" w:rsidRDefault="00C85300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FE9E0DE" w14:textId="77777777" w:rsidR="00C85300" w:rsidRPr="003F7B61" w:rsidRDefault="00C85300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A646EE7" w14:textId="77777777" w:rsidR="00C85300" w:rsidRPr="003F7B61" w:rsidRDefault="00C85300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9FF6DFC" w14:textId="77777777" w:rsidR="00C85300" w:rsidRPr="003F7B61" w:rsidRDefault="00C85300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72B1CC3" w14:textId="77777777" w:rsidR="00C85300" w:rsidRPr="003F7B61" w:rsidRDefault="00C85300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BFB31DD" w14:textId="77777777" w:rsidR="00C85300" w:rsidRPr="003F7B61" w:rsidRDefault="00C85300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EB4E100" w14:textId="77777777" w:rsidR="00C85300" w:rsidRPr="003F7B61" w:rsidRDefault="00C85300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C287E44" w14:textId="77777777" w:rsidR="00C85300" w:rsidRPr="003F7B61" w:rsidRDefault="00C85300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880B232" w14:textId="77777777" w:rsidR="00C85300" w:rsidRPr="003F7B61" w:rsidRDefault="00C85300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C410A8B" w14:textId="77777777" w:rsidR="00C85300" w:rsidRPr="003F7B61" w:rsidRDefault="00C85300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63E634B" w14:textId="77777777" w:rsidR="00C85300" w:rsidRPr="003F7B61" w:rsidRDefault="00C85300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2740431" w14:textId="77777777" w:rsidR="00C85300" w:rsidRPr="003F7B61" w:rsidRDefault="00C85300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7D1C4BD" w14:textId="77777777" w:rsidR="00C85300" w:rsidRPr="003F7B61" w:rsidRDefault="00C85300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5754094" w14:textId="77777777" w:rsidR="00C85300" w:rsidRPr="003F7B61" w:rsidRDefault="00C85300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3B5743" w14:textId="77777777" w:rsidR="00C85300" w:rsidRPr="003F7B61" w:rsidRDefault="00C85300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58F9BF4" w14:textId="77777777" w:rsidR="00C85300" w:rsidRPr="003F7B61" w:rsidRDefault="00C85300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15EA7BA" w14:textId="77777777" w:rsidR="00C85300" w:rsidRPr="003F7B61" w:rsidRDefault="00C85300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7553401" w14:textId="77777777" w:rsidR="00C85300" w:rsidRPr="003F7B61" w:rsidRDefault="00C85300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AB8F55D" w14:textId="77777777" w:rsidR="00C85300" w:rsidRPr="003F7B61" w:rsidRDefault="00C85300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4A9B2F2" w14:textId="77777777" w:rsidR="00C85300" w:rsidRPr="003F7B61" w:rsidRDefault="00C85300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D42D6AA" w14:textId="77777777" w:rsidR="00C85300" w:rsidRPr="003F7B61" w:rsidRDefault="00C85300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8320F0D" w14:textId="77777777" w:rsidR="00C85300" w:rsidRPr="003F7B61" w:rsidRDefault="00C85300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37830A7" w14:textId="77777777" w:rsidR="00C85300" w:rsidRPr="003F7B61" w:rsidRDefault="00C85300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4EF42B8" w14:textId="77777777" w:rsidR="00C85300" w:rsidRPr="003F7B61" w:rsidRDefault="00C85300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9DF74B2" w14:textId="77777777" w:rsidR="00C85300" w:rsidRPr="003F7B61" w:rsidRDefault="00C85300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C8CA137" w14:textId="77777777" w:rsidR="00C85300" w:rsidRPr="003F7B61" w:rsidRDefault="00C85300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A117893" w14:textId="77777777" w:rsidR="00C85300" w:rsidRPr="003F7B61" w:rsidRDefault="00C85300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B4B5EB7" w14:textId="77777777" w:rsidR="00C85300" w:rsidRPr="003F7B61" w:rsidRDefault="00C85300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22207" id="Pole tekstowe 5" o:spid="_x0000_s1030" type="#_x0000_t202" style="position:absolute;margin-left:414.05pt;margin-top:19pt;width:135.85pt;height:77.3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" filled="f" stroked="f">
                <v:textbox>
                  <w:txbxContent>
                    <w:p w14:paraId="7D9C458C" w14:textId="2C03671C" w:rsidR="00C85300" w:rsidRPr="003F7B61" w:rsidRDefault="00C85300" w:rsidP="00345F7C">
                      <w:pPr>
                        <w:pStyle w:val="tekstzboku"/>
                        <w:rPr>
                          <w:lang w:val="en-US"/>
                        </w:rPr>
                      </w:pPr>
                      <w:r w:rsidRPr="003F7B61">
                        <w:rPr>
                          <w:lang w:val="en-US"/>
                        </w:rPr>
                        <w:t>Since Poland’s accession to the EU, Germany has been our th</w:t>
                      </w:r>
                      <w:r>
                        <w:rPr>
                          <w:lang w:val="en-US"/>
                        </w:rPr>
                        <w:t>e largest trading partner</w:t>
                      </w:r>
                      <w:r w:rsidRPr="003F7B61">
                        <w:rPr>
                          <w:lang w:val="en-US"/>
                        </w:rPr>
                        <w:t xml:space="preserve"> both</w:t>
                      </w:r>
                      <w:r>
                        <w:rPr>
                          <w:lang w:val="en-US"/>
                        </w:rPr>
                        <w:t xml:space="preserve"> in exports and imports</w:t>
                      </w:r>
                      <w:r w:rsidRPr="003F7B61">
                        <w:rPr>
                          <w:lang w:val="en-US"/>
                        </w:rPr>
                        <w:t xml:space="preserve">  </w:t>
                      </w:r>
                    </w:p>
                    <w:p w14:paraId="6F25132D" w14:textId="77777777" w:rsidR="00C85300" w:rsidRPr="003F7B61" w:rsidRDefault="00C85300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C5DA758" w14:textId="77777777" w:rsidR="00C85300" w:rsidRPr="003F7B61" w:rsidRDefault="00C85300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FE9E0DE" w14:textId="77777777" w:rsidR="00C85300" w:rsidRPr="003F7B61" w:rsidRDefault="00C85300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A646EE7" w14:textId="77777777" w:rsidR="00C85300" w:rsidRPr="003F7B61" w:rsidRDefault="00C85300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9FF6DFC" w14:textId="77777777" w:rsidR="00C85300" w:rsidRPr="003F7B61" w:rsidRDefault="00C85300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72B1CC3" w14:textId="77777777" w:rsidR="00C85300" w:rsidRPr="003F7B61" w:rsidRDefault="00C85300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BFB31DD" w14:textId="77777777" w:rsidR="00C85300" w:rsidRPr="003F7B61" w:rsidRDefault="00C85300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EB4E100" w14:textId="77777777" w:rsidR="00C85300" w:rsidRPr="003F7B61" w:rsidRDefault="00C85300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C287E44" w14:textId="77777777" w:rsidR="00C85300" w:rsidRPr="003F7B61" w:rsidRDefault="00C85300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880B232" w14:textId="77777777" w:rsidR="00C85300" w:rsidRPr="003F7B61" w:rsidRDefault="00C85300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C410A8B" w14:textId="77777777" w:rsidR="00C85300" w:rsidRPr="003F7B61" w:rsidRDefault="00C85300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63E634B" w14:textId="77777777" w:rsidR="00C85300" w:rsidRPr="003F7B61" w:rsidRDefault="00C85300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2740431" w14:textId="77777777" w:rsidR="00C85300" w:rsidRPr="003F7B61" w:rsidRDefault="00C85300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7D1C4BD" w14:textId="77777777" w:rsidR="00C85300" w:rsidRPr="003F7B61" w:rsidRDefault="00C85300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5754094" w14:textId="77777777" w:rsidR="00C85300" w:rsidRPr="003F7B61" w:rsidRDefault="00C85300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3B5743" w14:textId="77777777" w:rsidR="00C85300" w:rsidRPr="003F7B61" w:rsidRDefault="00C85300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58F9BF4" w14:textId="77777777" w:rsidR="00C85300" w:rsidRPr="003F7B61" w:rsidRDefault="00C85300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15EA7BA" w14:textId="77777777" w:rsidR="00C85300" w:rsidRPr="003F7B61" w:rsidRDefault="00C85300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7553401" w14:textId="77777777" w:rsidR="00C85300" w:rsidRPr="003F7B61" w:rsidRDefault="00C85300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AB8F55D" w14:textId="77777777" w:rsidR="00C85300" w:rsidRPr="003F7B61" w:rsidRDefault="00C85300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4A9B2F2" w14:textId="77777777" w:rsidR="00C85300" w:rsidRPr="003F7B61" w:rsidRDefault="00C85300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D42D6AA" w14:textId="77777777" w:rsidR="00C85300" w:rsidRPr="003F7B61" w:rsidRDefault="00C85300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8320F0D" w14:textId="77777777" w:rsidR="00C85300" w:rsidRPr="003F7B61" w:rsidRDefault="00C85300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37830A7" w14:textId="77777777" w:rsidR="00C85300" w:rsidRPr="003F7B61" w:rsidRDefault="00C85300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4EF42B8" w14:textId="77777777" w:rsidR="00C85300" w:rsidRPr="003F7B61" w:rsidRDefault="00C85300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9DF74B2" w14:textId="77777777" w:rsidR="00C85300" w:rsidRPr="003F7B61" w:rsidRDefault="00C85300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C8CA137" w14:textId="77777777" w:rsidR="00C85300" w:rsidRPr="003F7B61" w:rsidRDefault="00C85300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A117893" w14:textId="77777777" w:rsidR="00C85300" w:rsidRPr="003F7B61" w:rsidRDefault="00C85300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B4B5EB7" w14:textId="77777777" w:rsidR="00C85300" w:rsidRPr="003F7B61" w:rsidRDefault="00C85300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4577E9">
        <w:rPr>
          <w:rFonts w:cs="Arial"/>
          <w:lang w:val="en-US"/>
        </w:rPr>
        <w:t>The turnover with the top ten of Polish trade partners in exports accounted for 66.</w:t>
      </w:r>
      <w:r w:rsidR="00E13512">
        <w:rPr>
          <w:rFonts w:cs="Arial"/>
          <w:lang w:val="en-US"/>
        </w:rPr>
        <w:t>7</w:t>
      </w:r>
      <w:r w:rsidR="004577E9">
        <w:rPr>
          <w:rFonts w:cs="Arial"/>
          <w:lang w:val="en-US"/>
        </w:rPr>
        <w:t xml:space="preserve">% </w:t>
      </w:r>
      <w:r w:rsidR="004577E9" w:rsidRPr="003F5B94">
        <w:rPr>
          <w:rFonts w:cs="Arial"/>
          <w:szCs w:val="19"/>
          <w:lang w:val="en-US"/>
        </w:rPr>
        <w:t>(</w:t>
      </w:r>
      <w:r w:rsidR="004577E9">
        <w:rPr>
          <w:rFonts w:cs="Arial"/>
          <w:color w:val="222222"/>
          <w:szCs w:val="19"/>
          <w:lang w:val="en"/>
        </w:rPr>
        <w:t>66.2</w:t>
      </w:r>
      <w:r w:rsidR="004577E9" w:rsidRPr="003F5B94">
        <w:rPr>
          <w:rFonts w:cs="Arial"/>
          <w:color w:val="222222"/>
          <w:szCs w:val="19"/>
          <w:lang w:val="en"/>
        </w:rPr>
        <w:t xml:space="preserve">% in the same period </w:t>
      </w:r>
      <w:r w:rsidR="004577E9">
        <w:rPr>
          <w:rFonts w:cs="Arial"/>
          <w:color w:val="222222"/>
          <w:szCs w:val="19"/>
          <w:lang w:val="en"/>
        </w:rPr>
        <w:t>2017</w:t>
      </w:r>
      <w:r w:rsidR="004577E9">
        <w:rPr>
          <w:rFonts w:ascii="Arial" w:hAnsi="Arial" w:cs="Arial"/>
          <w:color w:val="222222"/>
          <w:lang w:val="en"/>
        </w:rPr>
        <w:t>)</w:t>
      </w:r>
      <w:r w:rsidR="004577E9">
        <w:rPr>
          <w:rFonts w:cs="Arial"/>
          <w:lang w:val="en-US"/>
        </w:rPr>
        <w:t>, while total imports – 64.</w:t>
      </w:r>
      <w:r w:rsidR="00E13512">
        <w:rPr>
          <w:rFonts w:cs="Arial"/>
          <w:lang w:val="en-US"/>
        </w:rPr>
        <w:t>8</w:t>
      </w:r>
      <w:r w:rsidR="004577E9">
        <w:rPr>
          <w:rFonts w:cs="Arial"/>
          <w:lang w:val="en-US"/>
        </w:rPr>
        <w:t xml:space="preserve">% (against 65.7% </w:t>
      </w:r>
      <w:r w:rsidR="00E13512">
        <w:rPr>
          <w:lang w:val="en-US"/>
        </w:rPr>
        <w:t>in</w:t>
      </w:r>
      <w:r w:rsidR="004577E9">
        <w:rPr>
          <w:lang w:val="en-US"/>
        </w:rPr>
        <w:t xml:space="preserve"> the</w:t>
      </w:r>
      <w:r w:rsidR="004577E9">
        <w:rPr>
          <w:rFonts w:cs="Arial"/>
          <w:lang w:val="en-US"/>
        </w:rPr>
        <w:t xml:space="preserve"> 2017)</w:t>
      </w:r>
      <w:r w:rsidR="004577E9" w:rsidRPr="00D45E4A">
        <w:rPr>
          <w:rFonts w:cs="Arial"/>
          <w:lang w:val="en-US"/>
        </w:rPr>
        <w:t>.</w:t>
      </w:r>
    </w:p>
    <w:p w14:paraId="5BB9ACD0" w14:textId="026B0C2B" w:rsidR="00A00ADB" w:rsidRPr="00F47DDF" w:rsidRDefault="00876CDE" w:rsidP="00A00ADB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 w:val="18"/>
          <w:szCs w:val="18"/>
          <w:lang w:val="en-US"/>
        </w:rPr>
      </w:pPr>
      <w:r w:rsidRPr="009B6005">
        <w:rPr>
          <w:rFonts w:cs="Arial"/>
          <w:lang w:val="en-US"/>
        </w:rPr>
        <w:t xml:space="preserve">The share of Germany in exports </w:t>
      </w:r>
      <w:r>
        <w:rPr>
          <w:rFonts w:cs="Arial"/>
          <w:lang w:val="en-US"/>
        </w:rPr>
        <w:t>increased in comparison with the corresponding period of 2017 by 0.7 pp and amounted to</w:t>
      </w:r>
      <w:r w:rsidRPr="009B6005">
        <w:rPr>
          <w:rFonts w:cs="Arial"/>
          <w:lang w:val="en-US"/>
        </w:rPr>
        <w:t xml:space="preserve">  </w:t>
      </w:r>
      <w:r>
        <w:rPr>
          <w:rFonts w:cs="Arial"/>
          <w:lang w:val="en-US"/>
        </w:rPr>
        <w:t>28.2</w:t>
      </w:r>
      <w:r w:rsidRPr="009B6005">
        <w:rPr>
          <w:rFonts w:cs="Arial"/>
          <w:lang w:val="en-US"/>
        </w:rPr>
        <w:t>%, a</w:t>
      </w:r>
      <w:r>
        <w:rPr>
          <w:rFonts w:cs="Arial"/>
          <w:lang w:val="en-US"/>
        </w:rPr>
        <w:t>nd</w:t>
      </w:r>
      <w:r w:rsidRPr="009B6005">
        <w:rPr>
          <w:rFonts w:cs="Arial"/>
          <w:lang w:val="en-US"/>
        </w:rPr>
        <w:t xml:space="preserve"> impor</w:t>
      </w:r>
      <w:r>
        <w:rPr>
          <w:rFonts w:cs="Arial"/>
          <w:lang w:val="en-US"/>
        </w:rPr>
        <w:t>ts has decreased by 0.</w:t>
      </w:r>
      <w:r w:rsidR="00E13512">
        <w:rPr>
          <w:rFonts w:cs="Arial"/>
          <w:lang w:val="en-US"/>
        </w:rPr>
        <w:t>5</w:t>
      </w:r>
      <w:r w:rsidRPr="009B6005">
        <w:rPr>
          <w:rFonts w:cs="Arial"/>
          <w:lang w:val="en-US"/>
        </w:rPr>
        <w:t xml:space="preserve"> p</w:t>
      </w:r>
      <w:r w:rsidR="00E13512">
        <w:rPr>
          <w:rFonts w:cs="Arial"/>
          <w:lang w:val="en-US"/>
        </w:rPr>
        <w:t>p and accounted for 22.6</w:t>
      </w:r>
      <w:r w:rsidRPr="009B6005">
        <w:rPr>
          <w:rFonts w:cs="Arial"/>
          <w:lang w:val="en-US"/>
        </w:rPr>
        <w:t xml:space="preserve">%. </w:t>
      </w:r>
      <w:r w:rsidRPr="00F47DDF">
        <w:rPr>
          <w:rFonts w:cs="Arial"/>
          <w:lang w:val="en-US"/>
        </w:rPr>
        <w:t xml:space="preserve">The positive balance amounted to </w:t>
      </w:r>
      <w:r>
        <w:rPr>
          <w:rFonts w:cs="Arial"/>
          <w:lang w:val="en-US"/>
        </w:rPr>
        <w:t xml:space="preserve">PLN 49.5 </w:t>
      </w:r>
      <w:proofErr w:type="spellStart"/>
      <w:r>
        <w:rPr>
          <w:rFonts w:cs="Arial"/>
          <w:lang w:val="en-US"/>
        </w:rPr>
        <w:t>bn</w:t>
      </w:r>
      <w:proofErr w:type="spellEnd"/>
      <w:r>
        <w:rPr>
          <w:rFonts w:cs="Arial"/>
          <w:lang w:val="en-US"/>
        </w:rPr>
        <w:t xml:space="preserve"> </w:t>
      </w:r>
      <w:r w:rsidRPr="00F47DDF">
        <w:rPr>
          <w:rFonts w:cs="Arial"/>
          <w:lang w:val="en-US"/>
        </w:rPr>
        <w:t>(</w:t>
      </w:r>
      <w:r>
        <w:rPr>
          <w:rFonts w:cs="Arial"/>
          <w:lang w:val="en-US"/>
        </w:rPr>
        <w:t xml:space="preserve">USD 13.7 </w:t>
      </w:r>
      <w:proofErr w:type="spellStart"/>
      <w:r>
        <w:rPr>
          <w:rFonts w:cs="Arial"/>
          <w:lang w:val="en-US"/>
        </w:rPr>
        <w:t>bn</w:t>
      </w:r>
      <w:proofErr w:type="spellEnd"/>
      <w:r w:rsidRPr="00F47DDF">
        <w:rPr>
          <w:rFonts w:cs="Arial"/>
          <w:lang w:val="en-US"/>
        </w:rPr>
        <w:t xml:space="preserve">, </w:t>
      </w:r>
      <w:r>
        <w:rPr>
          <w:rFonts w:cs="Arial"/>
          <w:lang w:val="en-US"/>
        </w:rPr>
        <w:t>EUR 11.6</w:t>
      </w:r>
      <w:r w:rsidRPr="00F47DDF"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bn</w:t>
      </w:r>
      <w:proofErr w:type="spellEnd"/>
      <w:r w:rsidRPr="00F47DDF">
        <w:rPr>
          <w:rFonts w:cs="Arial"/>
          <w:lang w:val="en-US"/>
        </w:rPr>
        <w:t xml:space="preserve">) </w:t>
      </w:r>
      <w:r>
        <w:rPr>
          <w:rFonts w:cs="Arial"/>
          <w:lang w:val="en-US"/>
        </w:rPr>
        <w:t>against</w:t>
      </w:r>
      <w:r w:rsidRPr="00F47DDF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>PLN 39.0</w:t>
      </w:r>
      <w:r w:rsidRPr="00F47DDF"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bn</w:t>
      </w:r>
      <w:proofErr w:type="spellEnd"/>
      <w:r w:rsidRPr="00F47DDF">
        <w:rPr>
          <w:rFonts w:cs="Arial"/>
          <w:lang w:val="en-US"/>
        </w:rPr>
        <w:t xml:space="preserve"> (</w:t>
      </w:r>
      <w:r>
        <w:rPr>
          <w:rFonts w:cs="Arial"/>
          <w:lang w:val="en-US"/>
        </w:rPr>
        <w:t>USD 10.2</w:t>
      </w:r>
      <w:r w:rsidRPr="00F072DC">
        <w:rPr>
          <w:rFonts w:cs="Arial"/>
          <w:szCs w:val="19"/>
          <w:lang w:val="en-US"/>
        </w:rPr>
        <w:t xml:space="preserve"> </w:t>
      </w:r>
      <w:proofErr w:type="spellStart"/>
      <w:r w:rsidRPr="00F072DC">
        <w:rPr>
          <w:rFonts w:cs="Arial"/>
          <w:szCs w:val="19"/>
          <w:lang w:val="en-US"/>
        </w:rPr>
        <w:t>bn</w:t>
      </w:r>
      <w:proofErr w:type="spellEnd"/>
      <w:r w:rsidRPr="00F072DC">
        <w:rPr>
          <w:rFonts w:cs="Arial"/>
          <w:szCs w:val="19"/>
          <w:lang w:val="en-US"/>
        </w:rPr>
        <w:t xml:space="preserve">, EUR </w:t>
      </w:r>
      <w:r>
        <w:rPr>
          <w:rFonts w:cs="Arial"/>
          <w:szCs w:val="19"/>
          <w:lang w:val="en-US"/>
        </w:rPr>
        <w:t>9.1</w:t>
      </w:r>
      <w:r w:rsidRPr="00F072DC">
        <w:rPr>
          <w:rFonts w:cs="Arial"/>
          <w:szCs w:val="19"/>
          <w:lang w:val="en-US"/>
        </w:rPr>
        <w:t xml:space="preserve"> </w:t>
      </w:r>
      <w:proofErr w:type="spellStart"/>
      <w:r w:rsidRPr="00F072DC">
        <w:rPr>
          <w:rFonts w:cs="Arial"/>
          <w:szCs w:val="19"/>
          <w:lang w:val="en-US"/>
        </w:rPr>
        <w:t>bn</w:t>
      </w:r>
      <w:proofErr w:type="spellEnd"/>
      <w:r w:rsidRPr="00F072DC">
        <w:rPr>
          <w:rFonts w:cs="Arial"/>
          <w:szCs w:val="19"/>
          <w:lang w:val="en-US"/>
        </w:rPr>
        <w:t xml:space="preserve">) </w:t>
      </w:r>
      <w:r w:rsidRPr="00F072DC">
        <w:rPr>
          <w:rFonts w:cs="Arial"/>
          <w:spacing w:val="-3"/>
          <w:szCs w:val="19"/>
          <w:lang w:val="en-US"/>
        </w:rPr>
        <w:t>in the same period of 2017.</w:t>
      </w:r>
    </w:p>
    <w:p w14:paraId="1E69DC9B" w14:textId="6D1B733E" w:rsidR="00366025" w:rsidRPr="00070820" w:rsidRDefault="0073371B" w:rsidP="00366025">
      <w:pPr>
        <w:rPr>
          <w:rFonts w:cs="Arial"/>
          <w:sz w:val="18"/>
          <w:szCs w:val="18"/>
          <w:lang w:val="en-US"/>
        </w:rPr>
      </w:pPr>
      <w:r w:rsidRPr="002D45CF">
        <w:rPr>
          <w:b/>
          <w:noProof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2C7C981A" wp14:editId="78455145">
                <wp:simplePos x="0" y="0"/>
                <wp:positionH relativeFrom="column">
                  <wp:posOffset>5262245</wp:posOffset>
                </wp:positionH>
                <wp:positionV relativeFrom="paragraph">
                  <wp:posOffset>3952240</wp:posOffset>
                </wp:positionV>
                <wp:extent cx="1725295" cy="923925"/>
                <wp:effectExtent l="0" t="0" r="0" b="0"/>
                <wp:wrapTight wrapText="bothSides">
                  <wp:wrapPolygon edited="0">
                    <wp:start x="715" y="0"/>
                    <wp:lineTo x="715" y="20932"/>
                    <wp:lineTo x="20749" y="20932"/>
                    <wp:lineTo x="20749" y="0"/>
                    <wp:lineTo x="715" y="0"/>
                  </wp:wrapPolygon>
                </wp:wrapTight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A3AF01" w14:textId="05A68BC7" w:rsidR="00C85300" w:rsidRPr="00DB5C76" w:rsidRDefault="00C85300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lang w:val="en-US"/>
                              </w:rPr>
                              <w:t>The sha</w:t>
                            </w:r>
                            <w:r w:rsidRPr="00DB5C76">
                              <w:rPr>
                                <w:rFonts w:cs="Arial"/>
                                <w:lang w:val="en-US"/>
                              </w:rPr>
                              <w:t>re of Russia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 in imports increased by</w:t>
                            </w:r>
                            <w:r w:rsidRPr="00DB5C76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0.7</w:t>
                            </w:r>
                            <w:r w:rsidRPr="00DB5C76">
                              <w:rPr>
                                <w:rFonts w:cs="Arial"/>
                                <w:lang w:val="en-US"/>
                              </w:rPr>
                              <w:t xml:space="preserve"> p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p compared to the same</w:t>
                            </w:r>
                            <w:r w:rsidRPr="00DB5C76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period of 2017 and it was 7.1</w:t>
                            </w:r>
                            <w:r w:rsidRPr="00DB5C76">
                              <w:rPr>
                                <w:rFonts w:cs="Arial"/>
                                <w:lang w:val="en-US"/>
                              </w:rPr>
                              <w:t>%</w:t>
                            </w:r>
                            <w:r w:rsidRPr="00DB5C76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7F7D7D9F" w14:textId="77777777" w:rsidR="00C85300" w:rsidRPr="00DB5C76" w:rsidRDefault="00C85300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C4928D0" w14:textId="77777777" w:rsidR="00C85300" w:rsidRPr="00DB5C76" w:rsidRDefault="00C85300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DAF6FBA" w14:textId="77777777" w:rsidR="00C85300" w:rsidRPr="00DB5C76" w:rsidRDefault="00C85300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E5E2D4D" w14:textId="77777777" w:rsidR="00C85300" w:rsidRPr="00DB5C76" w:rsidRDefault="00C85300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DFCD130" w14:textId="77777777" w:rsidR="00C85300" w:rsidRPr="00DB5C76" w:rsidRDefault="00C85300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6F22621" w14:textId="77777777" w:rsidR="00C85300" w:rsidRPr="00DB5C76" w:rsidRDefault="00C85300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2ADBE64" w14:textId="77777777" w:rsidR="00C85300" w:rsidRPr="00DB5C76" w:rsidRDefault="00C85300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E6DEC94" w14:textId="77777777" w:rsidR="00C85300" w:rsidRPr="00DB5C76" w:rsidRDefault="00C85300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A19B31F" w14:textId="77777777" w:rsidR="00C85300" w:rsidRPr="00DB5C76" w:rsidRDefault="00C85300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6F97F6F" w14:textId="77777777" w:rsidR="00C85300" w:rsidRPr="00DB5C76" w:rsidRDefault="00C85300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C9A90A1" w14:textId="77777777" w:rsidR="00C85300" w:rsidRPr="00DB5C76" w:rsidRDefault="00C85300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0AB3904" w14:textId="77777777" w:rsidR="00C85300" w:rsidRPr="00DB5C76" w:rsidRDefault="00C85300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3B7480F" w14:textId="77777777" w:rsidR="00C85300" w:rsidRPr="00DB5C76" w:rsidRDefault="00C85300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9546028" w14:textId="77777777" w:rsidR="00C85300" w:rsidRPr="00DB5C76" w:rsidRDefault="00C85300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4F9D05A" w14:textId="77777777" w:rsidR="00C85300" w:rsidRPr="00DB5C76" w:rsidRDefault="00C85300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EBABCCC" w14:textId="77777777" w:rsidR="00C85300" w:rsidRPr="00DB5C76" w:rsidRDefault="00C85300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CE9CF79" w14:textId="77777777" w:rsidR="00C85300" w:rsidRPr="00DB5C76" w:rsidRDefault="00C85300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0C94E57" w14:textId="77777777" w:rsidR="00C85300" w:rsidRPr="00DB5C76" w:rsidRDefault="00C85300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5CF4356" w14:textId="77777777" w:rsidR="00C85300" w:rsidRPr="00DB5C76" w:rsidRDefault="00C85300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570B04" w14:textId="77777777" w:rsidR="00C85300" w:rsidRPr="00DB5C76" w:rsidRDefault="00C85300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54E6AF2" w14:textId="77777777" w:rsidR="00C85300" w:rsidRPr="00DB5C76" w:rsidRDefault="00C85300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C69C597" w14:textId="77777777" w:rsidR="00C85300" w:rsidRPr="00DB5C76" w:rsidRDefault="00C85300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0CE1F79" w14:textId="77777777" w:rsidR="00C85300" w:rsidRPr="00DB5C76" w:rsidRDefault="00C85300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9A5B31" w14:textId="77777777" w:rsidR="00C85300" w:rsidRPr="00DB5C76" w:rsidRDefault="00C85300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2A958C4" w14:textId="77777777" w:rsidR="00C85300" w:rsidRPr="00DB5C76" w:rsidRDefault="00C85300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BF3B9C" w14:textId="77777777" w:rsidR="00C85300" w:rsidRPr="00DB5C76" w:rsidRDefault="00C85300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45E926E" w14:textId="77777777" w:rsidR="00C85300" w:rsidRPr="00DB5C76" w:rsidRDefault="00C85300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248019" w14:textId="77777777" w:rsidR="00C85300" w:rsidRPr="00DB5C76" w:rsidRDefault="00C85300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252F567" w14:textId="77777777" w:rsidR="00C85300" w:rsidRPr="00DB5C76" w:rsidRDefault="00C85300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C981A" id="Pole tekstowe 14" o:spid="_x0000_s1031" type="#_x0000_t202" style="position:absolute;margin-left:414.35pt;margin-top:311.2pt;width:135.85pt;height:72.75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" filled="f" stroked="f">
                <v:textbox>
                  <w:txbxContent>
                    <w:p w14:paraId="01A3AF01" w14:textId="05A68BC7" w:rsidR="00C85300" w:rsidRPr="00DB5C76" w:rsidRDefault="00C85300" w:rsidP="00A00ADB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rFonts w:cs="Arial"/>
                          <w:lang w:val="en-US"/>
                        </w:rPr>
                        <w:t>The sha</w:t>
                      </w:r>
                      <w:r w:rsidRPr="00DB5C76">
                        <w:rPr>
                          <w:rFonts w:cs="Arial"/>
                          <w:lang w:val="en-US"/>
                        </w:rPr>
                        <w:t>re of Russia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 in imports increased by</w:t>
                      </w:r>
                      <w:r w:rsidRPr="00DB5C76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>
                        <w:rPr>
                          <w:rFonts w:cs="Arial"/>
                          <w:lang w:val="en-US"/>
                        </w:rPr>
                        <w:t>0.7</w:t>
                      </w:r>
                      <w:r w:rsidRPr="00DB5C76">
                        <w:rPr>
                          <w:rFonts w:cs="Arial"/>
                          <w:lang w:val="en-US"/>
                        </w:rPr>
                        <w:t xml:space="preserve"> p</w:t>
                      </w:r>
                      <w:r>
                        <w:rPr>
                          <w:rFonts w:cs="Arial"/>
                          <w:lang w:val="en-US"/>
                        </w:rPr>
                        <w:t>p compared to the same</w:t>
                      </w:r>
                      <w:r w:rsidRPr="00DB5C76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>
                        <w:rPr>
                          <w:rFonts w:cs="Arial"/>
                          <w:lang w:val="en-US"/>
                        </w:rPr>
                        <w:t>period of 2017 and it was 7.1</w:t>
                      </w:r>
                      <w:r w:rsidRPr="00DB5C76">
                        <w:rPr>
                          <w:rFonts w:cs="Arial"/>
                          <w:lang w:val="en-US"/>
                        </w:rPr>
                        <w:t>%</w:t>
                      </w:r>
                      <w:r w:rsidRPr="00DB5C76">
                        <w:rPr>
                          <w:lang w:val="en-US"/>
                        </w:rPr>
                        <w:t xml:space="preserve"> </w:t>
                      </w:r>
                    </w:p>
                    <w:p w14:paraId="7F7D7D9F" w14:textId="77777777" w:rsidR="00C85300" w:rsidRPr="00DB5C76" w:rsidRDefault="00C85300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C4928D0" w14:textId="77777777" w:rsidR="00C85300" w:rsidRPr="00DB5C76" w:rsidRDefault="00C85300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DAF6FBA" w14:textId="77777777" w:rsidR="00C85300" w:rsidRPr="00DB5C76" w:rsidRDefault="00C85300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E5E2D4D" w14:textId="77777777" w:rsidR="00C85300" w:rsidRPr="00DB5C76" w:rsidRDefault="00C85300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DFCD130" w14:textId="77777777" w:rsidR="00C85300" w:rsidRPr="00DB5C76" w:rsidRDefault="00C85300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6F22621" w14:textId="77777777" w:rsidR="00C85300" w:rsidRPr="00DB5C76" w:rsidRDefault="00C85300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2ADBE64" w14:textId="77777777" w:rsidR="00C85300" w:rsidRPr="00DB5C76" w:rsidRDefault="00C85300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E6DEC94" w14:textId="77777777" w:rsidR="00C85300" w:rsidRPr="00DB5C76" w:rsidRDefault="00C85300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A19B31F" w14:textId="77777777" w:rsidR="00C85300" w:rsidRPr="00DB5C76" w:rsidRDefault="00C85300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6F97F6F" w14:textId="77777777" w:rsidR="00C85300" w:rsidRPr="00DB5C76" w:rsidRDefault="00C85300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C9A90A1" w14:textId="77777777" w:rsidR="00C85300" w:rsidRPr="00DB5C76" w:rsidRDefault="00C85300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0AB3904" w14:textId="77777777" w:rsidR="00C85300" w:rsidRPr="00DB5C76" w:rsidRDefault="00C85300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3B7480F" w14:textId="77777777" w:rsidR="00C85300" w:rsidRPr="00DB5C76" w:rsidRDefault="00C85300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9546028" w14:textId="77777777" w:rsidR="00C85300" w:rsidRPr="00DB5C76" w:rsidRDefault="00C85300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4F9D05A" w14:textId="77777777" w:rsidR="00C85300" w:rsidRPr="00DB5C76" w:rsidRDefault="00C85300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EBABCCC" w14:textId="77777777" w:rsidR="00C85300" w:rsidRPr="00DB5C76" w:rsidRDefault="00C85300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CE9CF79" w14:textId="77777777" w:rsidR="00C85300" w:rsidRPr="00DB5C76" w:rsidRDefault="00C85300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0C94E57" w14:textId="77777777" w:rsidR="00C85300" w:rsidRPr="00DB5C76" w:rsidRDefault="00C85300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5CF4356" w14:textId="77777777" w:rsidR="00C85300" w:rsidRPr="00DB5C76" w:rsidRDefault="00C85300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570B04" w14:textId="77777777" w:rsidR="00C85300" w:rsidRPr="00DB5C76" w:rsidRDefault="00C85300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54E6AF2" w14:textId="77777777" w:rsidR="00C85300" w:rsidRPr="00DB5C76" w:rsidRDefault="00C85300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C69C597" w14:textId="77777777" w:rsidR="00C85300" w:rsidRPr="00DB5C76" w:rsidRDefault="00C85300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0CE1F79" w14:textId="77777777" w:rsidR="00C85300" w:rsidRPr="00DB5C76" w:rsidRDefault="00C85300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9A5B31" w14:textId="77777777" w:rsidR="00C85300" w:rsidRPr="00DB5C76" w:rsidRDefault="00C85300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2A958C4" w14:textId="77777777" w:rsidR="00C85300" w:rsidRPr="00DB5C76" w:rsidRDefault="00C85300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BF3B9C" w14:textId="77777777" w:rsidR="00C85300" w:rsidRPr="00DB5C76" w:rsidRDefault="00C85300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45E926E" w14:textId="77777777" w:rsidR="00C85300" w:rsidRPr="00DB5C76" w:rsidRDefault="00C85300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248019" w14:textId="77777777" w:rsidR="00C85300" w:rsidRPr="00DB5C76" w:rsidRDefault="00C85300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252F567" w14:textId="77777777" w:rsidR="00C85300" w:rsidRPr="00DB5C76" w:rsidRDefault="00C85300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D45CF" w:rsidRPr="00070820">
        <w:rPr>
          <w:rFonts w:cs="Arial"/>
          <w:b/>
          <w:spacing w:val="-3"/>
          <w:sz w:val="18"/>
          <w:szCs w:val="18"/>
          <w:lang w:val="en-US"/>
        </w:rPr>
        <w:t>Tabl</w:t>
      </w:r>
      <w:r w:rsidR="00FA3774" w:rsidRPr="00070820">
        <w:rPr>
          <w:rFonts w:cs="Arial"/>
          <w:b/>
          <w:spacing w:val="-3"/>
          <w:sz w:val="18"/>
          <w:szCs w:val="18"/>
          <w:lang w:val="en-US"/>
        </w:rPr>
        <w:t>e</w:t>
      </w:r>
      <w:r w:rsidR="002D45CF" w:rsidRPr="00070820">
        <w:rPr>
          <w:rFonts w:cs="Arial"/>
          <w:b/>
          <w:spacing w:val="-3"/>
          <w:sz w:val="18"/>
          <w:szCs w:val="18"/>
          <w:lang w:val="en-US"/>
        </w:rPr>
        <w:t xml:space="preserve"> 2. </w:t>
      </w:r>
      <w:r w:rsidR="00FA3774" w:rsidRPr="00070820">
        <w:rPr>
          <w:rFonts w:cs="Arial"/>
          <w:b/>
          <w:spacing w:val="-3"/>
          <w:sz w:val="18"/>
          <w:szCs w:val="18"/>
          <w:lang w:val="en-US"/>
        </w:rPr>
        <w:t>Foreign trade turnover by major countries</w:t>
      </w:r>
      <w:r w:rsidR="002D45CF" w:rsidRPr="00070820">
        <w:rPr>
          <w:b/>
          <w:noProof/>
          <w:spacing w:val="-2"/>
          <w:sz w:val="18"/>
          <w:szCs w:val="18"/>
          <w:lang w:val="en-US" w:eastAsia="pl-PL"/>
        </w:rPr>
        <w:t xml:space="preserve"> </w:t>
      </w:r>
    </w:p>
    <w:tbl>
      <w:tblPr>
        <w:tblW w:w="4973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366025" w:rsidRPr="00366025" w14:paraId="117A33B2" w14:textId="77777777" w:rsidTr="000C2149">
        <w:tc>
          <w:tcPr>
            <w:tcW w:w="2268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14:paraId="2C31DE88" w14:textId="02487057" w:rsidR="00366025" w:rsidRPr="000C2149" w:rsidRDefault="00FA3774" w:rsidP="00FA3774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SPECIFICATION </w:t>
            </w:r>
          </w:p>
        </w:tc>
        <w:tc>
          <w:tcPr>
            <w:tcW w:w="4467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14:paraId="1032CD3E" w14:textId="655DB50A" w:rsidR="00366025" w:rsidRPr="000C2149" w:rsidRDefault="00366025" w:rsidP="00876CDE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876CDE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14:paraId="07F88218" w14:textId="560256F9" w:rsidR="00366025" w:rsidRPr="000C2149" w:rsidRDefault="00366025" w:rsidP="00876CDE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876CDE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14:paraId="63A37988" w14:textId="592625B0" w:rsidR="00366025" w:rsidRPr="000C2149" w:rsidRDefault="00366025" w:rsidP="00876CDE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876CDE">
              <w:rPr>
                <w:rFonts w:cs="Arial"/>
                <w:sz w:val="16"/>
                <w:szCs w:val="16"/>
              </w:rPr>
              <w:t>8</w:t>
            </w:r>
          </w:p>
        </w:tc>
      </w:tr>
      <w:tr w:rsidR="00E13512" w:rsidRPr="00366025" w14:paraId="0481E0AE" w14:textId="77777777" w:rsidTr="00C85300">
        <w:tc>
          <w:tcPr>
            <w:tcW w:w="2268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14:paraId="181DEC9D" w14:textId="77777777" w:rsidR="00E13512" w:rsidRPr="000C2149" w:rsidRDefault="00E13512" w:rsidP="00FA3774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133ACF35" w14:textId="77777777" w:rsidR="00E13512" w:rsidRPr="000C2149" w:rsidRDefault="00E13512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4EC5BE1B" w14:textId="522BF028" w:rsidR="00E13512" w:rsidRPr="000C2149" w:rsidRDefault="00E13512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7AA90871" w14:textId="77777777" w:rsidR="00E13512" w:rsidRPr="000C2149" w:rsidRDefault="00E13512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131AE91A" w14:textId="41B5D60E" w:rsidR="00E13512" w:rsidRPr="000C2149" w:rsidRDefault="00E13512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77E1AC6D" w14:textId="13F1BE70" w:rsidR="00E13512" w:rsidRPr="000C2149" w:rsidRDefault="00E13512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</w:p>
          <w:p w14:paraId="0A6D5561" w14:textId="27A0CD88" w:rsidR="00E13512" w:rsidRPr="000C2149" w:rsidRDefault="00E13512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012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1F710FEE" w14:textId="56F73EE3" w:rsidR="00E13512" w:rsidRPr="000C2149" w:rsidRDefault="00E13512" w:rsidP="00876CDE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>
              <w:rPr>
                <w:rFonts w:cs="Arial"/>
                <w:sz w:val="16"/>
                <w:szCs w:val="16"/>
              </w:rPr>
              <w:t>7</w:t>
            </w:r>
            <w:r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vMerge w:val="restart"/>
            <w:tcBorders>
              <w:top w:val="single" w:sz="4" w:space="0" w:color="001D77"/>
            </w:tcBorders>
            <w:vAlign w:val="center"/>
          </w:tcPr>
          <w:p w14:paraId="4F7CDEF3" w14:textId="3935CFBB" w:rsidR="00E13512" w:rsidRPr="000C2149" w:rsidRDefault="00E13512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E13512" w:rsidRPr="00366025" w14:paraId="322AD16C" w14:textId="77777777" w:rsidTr="00C85300">
        <w:tc>
          <w:tcPr>
            <w:tcW w:w="226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059522DF" w14:textId="77777777" w:rsidR="00E13512" w:rsidRPr="000C2149" w:rsidRDefault="00E13512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45676634" w14:textId="77777777" w:rsidR="00E13512" w:rsidRPr="000C2149" w:rsidRDefault="00E13512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2AC8C4A4" w14:textId="77777777" w:rsidR="00E13512" w:rsidRPr="000C2149" w:rsidRDefault="00E13512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732C82B2" w14:textId="77777777" w:rsidR="00E13512" w:rsidRPr="000C2149" w:rsidRDefault="00E13512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0D9ECC92" w14:textId="67E8C814" w:rsidR="00E13512" w:rsidRPr="000C2149" w:rsidRDefault="00E13512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201AB1B7" w14:textId="77777777" w:rsidR="00E13512" w:rsidRPr="000C2149" w:rsidRDefault="00E13512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3B20878E" w14:textId="77777777" w:rsidR="00E13512" w:rsidRPr="000C2149" w:rsidRDefault="00E13512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vMerge/>
            <w:tcBorders>
              <w:bottom w:val="single" w:sz="12" w:space="0" w:color="001D77"/>
            </w:tcBorders>
            <w:vAlign w:val="bottom"/>
          </w:tcPr>
          <w:p w14:paraId="69FD36C3" w14:textId="5AA2F8F6" w:rsidR="00E13512" w:rsidRPr="000C2149" w:rsidRDefault="00E13512" w:rsidP="0089034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66025" w:rsidRPr="00366025" w14:paraId="33CE7DB6" w14:textId="77777777" w:rsidTr="000C2149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14:paraId="2FB0FC5E" w14:textId="223D2E8D" w:rsidR="00366025" w:rsidRPr="00366025" w:rsidRDefault="00FA3774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EXPORTS</w:t>
            </w:r>
          </w:p>
        </w:tc>
      </w:tr>
      <w:tr w:rsidR="00E13512" w:rsidRPr="00366025" w14:paraId="1ADA4BC0" w14:textId="77777777" w:rsidTr="00D77C42">
        <w:tc>
          <w:tcPr>
            <w:tcW w:w="2268" w:type="dxa"/>
            <w:vAlign w:val="bottom"/>
          </w:tcPr>
          <w:p w14:paraId="13B9879C" w14:textId="35D11C55" w:rsidR="00E13512" w:rsidRPr="00366025" w:rsidRDefault="00E13512" w:rsidP="00E1351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</w:t>
            </w:r>
            <w:r>
              <w:rPr>
                <w:rFonts w:cs="Arial"/>
                <w:sz w:val="16"/>
                <w:szCs w:val="16"/>
              </w:rPr>
              <w:t>Germany</w:t>
            </w:r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14:paraId="4F943301" w14:textId="1D246963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268.4</w:t>
            </w:r>
          </w:p>
        </w:tc>
        <w:tc>
          <w:tcPr>
            <w:tcW w:w="772" w:type="dxa"/>
            <w:vAlign w:val="bottom"/>
          </w:tcPr>
          <w:p w14:paraId="03758436" w14:textId="2492D698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74.7</w:t>
            </w:r>
          </w:p>
        </w:tc>
        <w:tc>
          <w:tcPr>
            <w:tcW w:w="772" w:type="dxa"/>
            <w:vAlign w:val="bottom"/>
          </w:tcPr>
          <w:p w14:paraId="4E5DACBC" w14:textId="097F3C03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63.1</w:t>
            </w:r>
          </w:p>
        </w:tc>
        <w:tc>
          <w:tcPr>
            <w:tcW w:w="671" w:type="dxa"/>
            <w:vAlign w:val="bottom"/>
          </w:tcPr>
          <w:p w14:paraId="7AB88D12" w14:textId="0DDBB287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110.6</w:t>
            </w:r>
          </w:p>
        </w:tc>
        <w:tc>
          <w:tcPr>
            <w:tcW w:w="671" w:type="dxa"/>
            <w:vAlign w:val="bottom"/>
          </w:tcPr>
          <w:p w14:paraId="1508F782" w14:textId="3CACE878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117.3</w:t>
            </w:r>
          </w:p>
        </w:tc>
        <w:tc>
          <w:tcPr>
            <w:tcW w:w="670" w:type="dxa"/>
            <w:vAlign w:val="bottom"/>
          </w:tcPr>
          <w:p w14:paraId="140BF565" w14:textId="6C88B687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111.1</w:t>
            </w:r>
          </w:p>
        </w:tc>
        <w:tc>
          <w:tcPr>
            <w:tcW w:w="644" w:type="dxa"/>
            <w:vAlign w:val="bottom"/>
          </w:tcPr>
          <w:p w14:paraId="29D1DBE4" w14:textId="526C30FB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27.5</w:t>
            </w:r>
          </w:p>
        </w:tc>
        <w:tc>
          <w:tcPr>
            <w:tcW w:w="644" w:type="dxa"/>
            <w:vAlign w:val="bottom"/>
          </w:tcPr>
          <w:p w14:paraId="72ED7625" w14:textId="61B933FA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28.2</w:t>
            </w:r>
          </w:p>
        </w:tc>
      </w:tr>
      <w:tr w:rsidR="00E13512" w:rsidRPr="00366025" w14:paraId="4D092578" w14:textId="77777777" w:rsidTr="00D77C42">
        <w:tc>
          <w:tcPr>
            <w:tcW w:w="2268" w:type="dxa"/>
            <w:vAlign w:val="bottom"/>
          </w:tcPr>
          <w:p w14:paraId="4398C437" w14:textId="36BC3E08" w:rsidR="00E13512" w:rsidRPr="00366025" w:rsidRDefault="00E13512" w:rsidP="00E1351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2. Czech</w:t>
            </w:r>
            <w:r>
              <w:rPr>
                <w:rFonts w:cs="Arial"/>
                <w:sz w:val="16"/>
                <w:szCs w:val="16"/>
              </w:rPr>
              <w:t xml:space="preserve"> Republic</w:t>
            </w:r>
          </w:p>
        </w:tc>
        <w:tc>
          <w:tcPr>
            <w:tcW w:w="911" w:type="dxa"/>
            <w:vAlign w:val="bottom"/>
          </w:tcPr>
          <w:p w14:paraId="56AC460D" w14:textId="7A037608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60.7</w:t>
            </w:r>
          </w:p>
        </w:tc>
        <w:tc>
          <w:tcPr>
            <w:tcW w:w="772" w:type="dxa"/>
            <w:vAlign w:val="bottom"/>
          </w:tcPr>
          <w:p w14:paraId="2A0832EC" w14:textId="70114BF2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16.9</w:t>
            </w:r>
          </w:p>
        </w:tc>
        <w:tc>
          <w:tcPr>
            <w:tcW w:w="772" w:type="dxa"/>
            <w:vAlign w:val="bottom"/>
          </w:tcPr>
          <w:p w14:paraId="1796452E" w14:textId="03F35CC9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14.3</w:t>
            </w:r>
          </w:p>
        </w:tc>
        <w:tc>
          <w:tcPr>
            <w:tcW w:w="671" w:type="dxa"/>
            <w:vAlign w:val="bottom"/>
          </w:tcPr>
          <w:p w14:paraId="7AE8A716" w14:textId="3EB0F61C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106.8</w:t>
            </w:r>
          </w:p>
        </w:tc>
        <w:tc>
          <w:tcPr>
            <w:tcW w:w="671" w:type="dxa"/>
            <w:vAlign w:val="bottom"/>
          </w:tcPr>
          <w:p w14:paraId="4A5EEBBB" w14:textId="60312B49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113.3</w:t>
            </w:r>
          </w:p>
        </w:tc>
        <w:tc>
          <w:tcPr>
            <w:tcW w:w="670" w:type="dxa"/>
            <w:vAlign w:val="bottom"/>
          </w:tcPr>
          <w:p w14:paraId="36863EC6" w14:textId="6761AE8F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107.2</w:t>
            </w:r>
          </w:p>
        </w:tc>
        <w:tc>
          <w:tcPr>
            <w:tcW w:w="644" w:type="dxa"/>
            <w:vAlign w:val="bottom"/>
          </w:tcPr>
          <w:p w14:paraId="5723039A" w14:textId="2D2D280F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6.4</w:t>
            </w:r>
          </w:p>
        </w:tc>
        <w:tc>
          <w:tcPr>
            <w:tcW w:w="644" w:type="dxa"/>
            <w:vAlign w:val="bottom"/>
          </w:tcPr>
          <w:p w14:paraId="754E0455" w14:textId="51412858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6.4</w:t>
            </w:r>
          </w:p>
        </w:tc>
      </w:tr>
      <w:tr w:rsidR="00E13512" w:rsidRPr="00366025" w14:paraId="414C5728" w14:textId="77777777" w:rsidTr="00D77C42">
        <w:tc>
          <w:tcPr>
            <w:tcW w:w="2268" w:type="dxa"/>
            <w:vAlign w:val="bottom"/>
          </w:tcPr>
          <w:p w14:paraId="72EF3858" w14:textId="398D6758" w:rsidR="00E13512" w:rsidRPr="00366025" w:rsidRDefault="00E13512" w:rsidP="00E1351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3. </w:t>
            </w:r>
            <w:r>
              <w:rPr>
                <w:rFonts w:cs="Arial"/>
                <w:sz w:val="16"/>
                <w:szCs w:val="16"/>
              </w:rPr>
              <w:t xml:space="preserve">United </w:t>
            </w:r>
            <w:proofErr w:type="spellStart"/>
            <w:r>
              <w:rPr>
                <w:rFonts w:cs="Arial"/>
                <w:sz w:val="16"/>
                <w:szCs w:val="16"/>
              </w:rPr>
              <w:t>Kingdom</w:t>
            </w:r>
            <w:proofErr w:type="spellEnd"/>
          </w:p>
        </w:tc>
        <w:tc>
          <w:tcPr>
            <w:tcW w:w="911" w:type="dxa"/>
            <w:vAlign w:val="bottom"/>
          </w:tcPr>
          <w:p w14:paraId="5E517A4F" w14:textId="0EFDEB81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59.3</w:t>
            </w:r>
          </w:p>
        </w:tc>
        <w:tc>
          <w:tcPr>
            <w:tcW w:w="772" w:type="dxa"/>
            <w:vAlign w:val="bottom"/>
          </w:tcPr>
          <w:p w14:paraId="76CE09BA" w14:textId="49A950AE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16.5</w:t>
            </w:r>
          </w:p>
        </w:tc>
        <w:tc>
          <w:tcPr>
            <w:tcW w:w="772" w:type="dxa"/>
            <w:vAlign w:val="bottom"/>
          </w:tcPr>
          <w:p w14:paraId="59582D63" w14:textId="45A88A29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13.9</w:t>
            </w:r>
          </w:p>
        </w:tc>
        <w:tc>
          <w:tcPr>
            <w:tcW w:w="671" w:type="dxa"/>
            <w:vAlign w:val="bottom"/>
          </w:tcPr>
          <w:p w14:paraId="26D222E1" w14:textId="59BA09CB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104.5</w:t>
            </w:r>
          </w:p>
        </w:tc>
        <w:tc>
          <w:tcPr>
            <w:tcW w:w="671" w:type="dxa"/>
            <w:vAlign w:val="bottom"/>
          </w:tcPr>
          <w:p w14:paraId="6690EB80" w14:textId="6A285EA5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110.8</w:t>
            </w:r>
          </w:p>
        </w:tc>
        <w:tc>
          <w:tcPr>
            <w:tcW w:w="670" w:type="dxa"/>
            <w:vAlign w:val="bottom"/>
          </w:tcPr>
          <w:p w14:paraId="60A77E91" w14:textId="554AB8DC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104.9</w:t>
            </w:r>
          </w:p>
        </w:tc>
        <w:tc>
          <w:tcPr>
            <w:tcW w:w="644" w:type="dxa"/>
            <w:vAlign w:val="bottom"/>
          </w:tcPr>
          <w:p w14:paraId="14AF5E30" w14:textId="34E3C6A5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6.4</w:t>
            </w:r>
          </w:p>
        </w:tc>
        <w:tc>
          <w:tcPr>
            <w:tcW w:w="644" w:type="dxa"/>
            <w:vAlign w:val="bottom"/>
          </w:tcPr>
          <w:p w14:paraId="26BD254A" w14:textId="75E6E47B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6.2</w:t>
            </w:r>
          </w:p>
        </w:tc>
      </w:tr>
      <w:tr w:rsidR="00E13512" w:rsidRPr="00366025" w14:paraId="60AC7496" w14:textId="77777777" w:rsidTr="00D77C42">
        <w:tc>
          <w:tcPr>
            <w:tcW w:w="2268" w:type="dxa"/>
            <w:vAlign w:val="bottom"/>
          </w:tcPr>
          <w:p w14:paraId="28B87A1E" w14:textId="40276DF0" w:rsidR="00E13512" w:rsidRPr="00366025" w:rsidRDefault="00E13512" w:rsidP="00E1351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 France</w:t>
            </w:r>
          </w:p>
        </w:tc>
        <w:tc>
          <w:tcPr>
            <w:tcW w:w="911" w:type="dxa"/>
            <w:vAlign w:val="bottom"/>
          </w:tcPr>
          <w:p w14:paraId="4831898B" w14:textId="4262E90B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53.1</w:t>
            </w:r>
          </w:p>
        </w:tc>
        <w:tc>
          <w:tcPr>
            <w:tcW w:w="772" w:type="dxa"/>
            <w:vAlign w:val="bottom"/>
          </w:tcPr>
          <w:p w14:paraId="2F767FA0" w14:textId="11CB24FF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14.8</w:t>
            </w:r>
          </w:p>
        </w:tc>
        <w:tc>
          <w:tcPr>
            <w:tcW w:w="772" w:type="dxa"/>
            <w:vAlign w:val="bottom"/>
          </w:tcPr>
          <w:p w14:paraId="700AE6B4" w14:textId="5AE93E7D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12.5</w:t>
            </w:r>
          </w:p>
        </w:tc>
        <w:tc>
          <w:tcPr>
            <w:tcW w:w="671" w:type="dxa"/>
            <w:vAlign w:val="bottom"/>
          </w:tcPr>
          <w:p w14:paraId="6D416F77" w14:textId="7D24C5F1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106.9</w:t>
            </w:r>
          </w:p>
        </w:tc>
        <w:tc>
          <w:tcPr>
            <w:tcW w:w="671" w:type="dxa"/>
            <w:vAlign w:val="bottom"/>
          </w:tcPr>
          <w:p w14:paraId="025E0D9D" w14:textId="28F25009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113.6</w:t>
            </w:r>
          </w:p>
        </w:tc>
        <w:tc>
          <w:tcPr>
            <w:tcW w:w="670" w:type="dxa"/>
            <w:vAlign w:val="bottom"/>
          </w:tcPr>
          <w:p w14:paraId="6D3CEA5E" w14:textId="45618340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107.4</w:t>
            </w:r>
          </w:p>
        </w:tc>
        <w:tc>
          <w:tcPr>
            <w:tcW w:w="644" w:type="dxa"/>
            <w:vAlign w:val="bottom"/>
          </w:tcPr>
          <w:p w14:paraId="54F80A0A" w14:textId="7B1BEDD6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5.6</w:t>
            </w:r>
          </w:p>
        </w:tc>
        <w:tc>
          <w:tcPr>
            <w:tcW w:w="644" w:type="dxa"/>
            <w:vAlign w:val="bottom"/>
          </w:tcPr>
          <w:p w14:paraId="4AA61625" w14:textId="4210F949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5.6</w:t>
            </w:r>
          </w:p>
        </w:tc>
      </w:tr>
      <w:tr w:rsidR="00E13512" w:rsidRPr="00366025" w14:paraId="6ABF6C17" w14:textId="77777777" w:rsidTr="00D77C42">
        <w:tc>
          <w:tcPr>
            <w:tcW w:w="2268" w:type="dxa"/>
            <w:vAlign w:val="bottom"/>
          </w:tcPr>
          <w:p w14:paraId="530194F4" w14:textId="09A79B63" w:rsidR="00E13512" w:rsidRPr="00366025" w:rsidRDefault="00E13512" w:rsidP="00E1351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 Italy</w:t>
            </w:r>
          </w:p>
        </w:tc>
        <w:tc>
          <w:tcPr>
            <w:tcW w:w="911" w:type="dxa"/>
            <w:vAlign w:val="bottom"/>
          </w:tcPr>
          <w:p w14:paraId="7EBC3525" w14:textId="2978F75F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43.8</w:t>
            </w:r>
          </w:p>
        </w:tc>
        <w:tc>
          <w:tcPr>
            <w:tcW w:w="772" w:type="dxa"/>
            <w:vAlign w:val="bottom"/>
          </w:tcPr>
          <w:p w14:paraId="154FCAD9" w14:textId="1D1AA2F1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12.2</w:t>
            </w:r>
          </w:p>
        </w:tc>
        <w:tc>
          <w:tcPr>
            <w:tcW w:w="772" w:type="dxa"/>
            <w:vAlign w:val="bottom"/>
          </w:tcPr>
          <w:p w14:paraId="3125AACB" w14:textId="2143C450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10.3</w:t>
            </w:r>
          </w:p>
        </w:tc>
        <w:tc>
          <w:tcPr>
            <w:tcW w:w="671" w:type="dxa"/>
            <w:vAlign w:val="bottom"/>
          </w:tcPr>
          <w:p w14:paraId="0D15FDEC" w14:textId="0349E3F5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101.4</w:t>
            </w:r>
          </w:p>
        </w:tc>
        <w:tc>
          <w:tcPr>
            <w:tcW w:w="671" w:type="dxa"/>
            <w:vAlign w:val="bottom"/>
          </w:tcPr>
          <w:p w14:paraId="1FBB07D9" w14:textId="51CD6D52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107.9</w:t>
            </w:r>
          </w:p>
        </w:tc>
        <w:tc>
          <w:tcPr>
            <w:tcW w:w="670" w:type="dxa"/>
            <w:vAlign w:val="bottom"/>
          </w:tcPr>
          <w:p w14:paraId="6528E3C0" w14:textId="66C60C71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101.9</w:t>
            </w:r>
          </w:p>
        </w:tc>
        <w:tc>
          <w:tcPr>
            <w:tcW w:w="644" w:type="dxa"/>
            <w:vAlign w:val="bottom"/>
          </w:tcPr>
          <w:p w14:paraId="6CB6275F" w14:textId="3E9B9E86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4.9</w:t>
            </w:r>
          </w:p>
        </w:tc>
        <w:tc>
          <w:tcPr>
            <w:tcW w:w="644" w:type="dxa"/>
            <w:vAlign w:val="bottom"/>
          </w:tcPr>
          <w:p w14:paraId="2311538F" w14:textId="4793A03D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4.6</w:t>
            </w:r>
          </w:p>
        </w:tc>
      </w:tr>
      <w:tr w:rsidR="00E13512" w:rsidRPr="00366025" w14:paraId="0608F579" w14:textId="77777777" w:rsidTr="00D77C42">
        <w:tc>
          <w:tcPr>
            <w:tcW w:w="2268" w:type="dxa"/>
            <w:vAlign w:val="bottom"/>
          </w:tcPr>
          <w:p w14:paraId="4CA291B6" w14:textId="02E38890" w:rsidR="00E13512" w:rsidRPr="00366025" w:rsidRDefault="00E13512" w:rsidP="00E1351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6.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</w:p>
        </w:tc>
        <w:tc>
          <w:tcPr>
            <w:tcW w:w="911" w:type="dxa"/>
            <w:vAlign w:val="bottom"/>
          </w:tcPr>
          <w:p w14:paraId="13BCC76A" w14:textId="450EBFF3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43.0</w:t>
            </w:r>
          </w:p>
        </w:tc>
        <w:tc>
          <w:tcPr>
            <w:tcW w:w="772" w:type="dxa"/>
            <w:vAlign w:val="bottom"/>
          </w:tcPr>
          <w:p w14:paraId="4C3AEE3F" w14:textId="67DCC49F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12.0</w:t>
            </w:r>
          </w:p>
        </w:tc>
        <w:tc>
          <w:tcPr>
            <w:tcW w:w="772" w:type="dxa"/>
            <w:vAlign w:val="bottom"/>
          </w:tcPr>
          <w:p w14:paraId="0BD2BE55" w14:textId="311A00FE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10.1</w:t>
            </w:r>
          </w:p>
        </w:tc>
        <w:tc>
          <w:tcPr>
            <w:tcW w:w="671" w:type="dxa"/>
            <w:vAlign w:val="bottom"/>
          </w:tcPr>
          <w:p w14:paraId="2EDC7562" w14:textId="4B0C6854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110.7</w:t>
            </w:r>
          </w:p>
        </w:tc>
        <w:tc>
          <w:tcPr>
            <w:tcW w:w="671" w:type="dxa"/>
            <w:vAlign w:val="bottom"/>
          </w:tcPr>
          <w:p w14:paraId="5A8FF469" w14:textId="6624DC3F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117.6</w:t>
            </w:r>
          </w:p>
        </w:tc>
        <w:tc>
          <w:tcPr>
            <w:tcW w:w="670" w:type="dxa"/>
            <w:vAlign w:val="bottom"/>
          </w:tcPr>
          <w:p w14:paraId="5FA048BE" w14:textId="53A7D50B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111.2</w:t>
            </w:r>
          </w:p>
        </w:tc>
        <w:tc>
          <w:tcPr>
            <w:tcW w:w="644" w:type="dxa"/>
            <w:vAlign w:val="bottom"/>
          </w:tcPr>
          <w:p w14:paraId="231390BE" w14:textId="1C0C987B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4.4</w:t>
            </w:r>
          </w:p>
        </w:tc>
        <w:tc>
          <w:tcPr>
            <w:tcW w:w="644" w:type="dxa"/>
            <w:vAlign w:val="bottom"/>
          </w:tcPr>
          <w:p w14:paraId="40A49C32" w14:textId="5066D319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4.5</w:t>
            </w:r>
          </w:p>
        </w:tc>
      </w:tr>
      <w:tr w:rsidR="00E13512" w:rsidRPr="00366025" w14:paraId="47D16F0E" w14:textId="77777777" w:rsidTr="00D77C42">
        <w:tc>
          <w:tcPr>
            <w:tcW w:w="2268" w:type="dxa"/>
            <w:vAlign w:val="bottom"/>
          </w:tcPr>
          <w:p w14:paraId="20BDC520" w14:textId="42B2C707" w:rsidR="00E13512" w:rsidRPr="00366025" w:rsidRDefault="00E13512" w:rsidP="00E1351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 Russia</w:t>
            </w:r>
          </w:p>
        </w:tc>
        <w:tc>
          <w:tcPr>
            <w:tcW w:w="911" w:type="dxa"/>
            <w:vAlign w:val="bottom"/>
          </w:tcPr>
          <w:p w14:paraId="2B402FDF" w14:textId="5F30080F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28.8</w:t>
            </w:r>
          </w:p>
        </w:tc>
        <w:tc>
          <w:tcPr>
            <w:tcW w:w="772" w:type="dxa"/>
            <w:vAlign w:val="bottom"/>
          </w:tcPr>
          <w:p w14:paraId="58795048" w14:textId="5A2CEB6E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8.0</w:t>
            </w:r>
          </w:p>
        </w:tc>
        <w:tc>
          <w:tcPr>
            <w:tcW w:w="772" w:type="dxa"/>
            <w:vAlign w:val="bottom"/>
          </w:tcPr>
          <w:p w14:paraId="4109C4EE" w14:textId="1CDE5B02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6.8</w:t>
            </w:r>
          </w:p>
        </w:tc>
        <w:tc>
          <w:tcPr>
            <w:tcW w:w="671" w:type="dxa"/>
            <w:vAlign w:val="bottom"/>
          </w:tcPr>
          <w:p w14:paraId="2ED4B215" w14:textId="1616499E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109.3</w:t>
            </w:r>
          </w:p>
        </w:tc>
        <w:tc>
          <w:tcPr>
            <w:tcW w:w="671" w:type="dxa"/>
            <w:vAlign w:val="bottom"/>
          </w:tcPr>
          <w:p w14:paraId="30C09E61" w14:textId="204E90F2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115.3</w:t>
            </w:r>
          </w:p>
        </w:tc>
        <w:tc>
          <w:tcPr>
            <w:tcW w:w="670" w:type="dxa"/>
            <w:vAlign w:val="bottom"/>
          </w:tcPr>
          <w:p w14:paraId="6888C567" w14:textId="10EFFD96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109.5</w:t>
            </w:r>
          </w:p>
        </w:tc>
        <w:tc>
          <w:tcPr>
            <w:tcW w:w="644" w:type="dxa"/>
            <w:vAlign w:val="bottom"/>
          </w:tcPr>
          <w:p w14:paraId="6209FC46" w14:textId="6E1A370A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3.0</w:t>
            </w:r>
          </w:p>
        </w:tc>
        <w:tc>
          <w:tcPr>
            <w:tcW w:w="644" w:type="dxa"/>
            <w:vAlign w:val="bottom"/>
          </w:tcPr>
          <w:p w14:paraId="341FECEF" w14:textId="69E8F32D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3.0</w:t>
            </w:r>
          </w:p>
        </w:tc>
      </w:tr>
      <w:tr w:rsidR="00E13512" w:rsidRPr="00366025" w14:paraId="1A2B4D65" w14:textId="77777777" w:rsidTr="00D77C42">
        <w:tc>
          <w:tcPr>
            <w:tcW w:w="2268" w:type="dxa"/>
            <w:vAlign w:val="bottom"/>
          </w:tcPr>
          <w:p w14:paraId="489E4AF2" w14:textId="6EAE1557" w:rsidR="00E13512" w:rsidRPr="00366025" w:rsidRDefault="00E13512" w:rsidP="00E1351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 </w:t>
            </w:r>
            <w:proofErr w:type="spellStart"/>
            <w:r>
              <w:rPr>
                <w:rFonts w:cs="Arial"/>
                <w:sz w:val="16"/>
                <w:szCs w:val="16"/>
              </w:rPr>
              <w:t>Sweden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14:paraId="7BADFE1A" w14:textId="4F8AC6FF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26.5</w:t>
            </w:r>
          </w:p>
        </w:tc>
        <w:tc>
          <w:tcPr>
            <w:tcW w:w="772" w:type="dxa"/>
            <w:vAlign w:val="bottom"/>
          </w:tcPr>
          <w:p w14:paraId="5CFA23A1" w14:textId="3670FA7D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</w:t>
            </w:r>
          </w:p>
        </w:tc>
        <w:tc>
          <w:tcPr>
            <w:tcW w:w="772" w:type="dxa"/>
            <w:vAlign w:val="bottom"/>
          </w:tcPr>
          <w:p w14:paraId="0335BED2" w14:textId="52025EC9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6.2</w:t>
            </w:r>
          </w:p>
        </w:tc>
        <w:tc>
          <w:tcPr>
            <w:tcW w:w="671" w:type="dxa"/>
            <w:vAlign w:val="bottom"/>
          </w:tcPr>
          <w:p w14:paraId="3FE61DE9" w14:textId="1FECEED2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106.7</w:t>
            </w:r>
          </w:p>
        </w:tc>
        <w:tc>
          <w:tcPr>
            <w:tcW w:w="671" w:type="dxa"/>
            <w:vAlign w:val="bottom"/>
          </w:tcPr>
          <w:p w14:paraId="7A164025" w14:textId="194E971E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113.2</w:t>
            </w:r>
          </w:p>
        </w:tc>
        <w:tc>
          <w:tcPr>
            <w:tcW w:w="670" w:type="dxa"/>
            <w:vAlign w:val="bottom"/>
          </w:tcPr>
          <w:p w14:paraId="42A7CDBE" w14:textId="0B6EA81E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107.1</w:t>
            </w:r>
          </w:p>
        </w:tc>
        <w:tc>
          <w:tcPr>
            <w:tcW w:w="644" w:type="dxa"/>
            <w:vAlign w:val="bottom"/>
          </w:tcPr>
          <w:p w14:paraId="3A8CC711" w14:textId="046DA6FF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2.8</w:t>
            </w:r>
          </w:p>
        </w:tc>
        <w:tc>
          <w:tcPr>
            <w:tcW w:w="644" w:type="dxa"/>
            <w:vAlign w:val="bottom"/>
          </w:tcPr>
          <w:p w14:paraId="45BDB73C" w14:textId="51A9D0F3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2.8</w:t>
            </w:r>
          </w:p>
        </w:tc>
      </w:tr>
      <w:tr w:rsidR="00E13512" w:rsidRPr="00366025" w14:paraId="15969244" w14:textId="77777777" w:rsidTr="00D77C42">
        <w:tc>
          <w:tcPr>
            <w:tcW w:w="2268" w:type="dxa"/>
            <w:vAlign w:val="bottom"/>
          </w:tcPr>
          <w:p w14:paraId="0A44D1F1" w14:textId="277590E2" w:rsidR="00E13512" w:rsidRPr="00366025" w:rsidRDefault="00E13512" w:rsidP="00E1351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9. United </w:t>
            </w:r>
            <w:proofErr w:type="spellStart"/>
            <w:r>
              <w:rPr>
                <w:rFonts w:cs="Arial"/>
                <w:sz w:val="16"/>
                <w:szCs w:val="16"/>
              </w:rPr>
              <w:t>States</w:t>
            </w:r>
            <w:proofErr w:type="spellEnd"/>
          </w:p>
        </w:tc>
        <w:tc>
          <w:tcPr>
            <w:tcW w:w="911" w:type="dxa"/>
            <w:vAlign w:val="bottom"/>
          </w:tcPr>
          <w:p w14:paraId="0D36D183" w14:textId="7A4C450C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26.2</w:t>
            </w:r>
          </w:p>
        </w:tc>
        <w:tc>
          <w:tcPr>
            <w:tcW w:w="772" w:type="dxa"/>
            <w:vAlign w:val="bottom"/>
          </w:tcPr>
          <w:p w14:paraId="0B104298" w14:textId="72332855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7.3</w:t>
            </w:r>
          </w:p>
        </w:tc>
        <w:tc>
          <w:tcPr>
            <w:tcW w:w="772" w:type="dxa"/>
            <w:vAlign w:val="bottom"/>
          </w:tcPr>
          <w:p w14:paraId="09D776F2" w14:textId="09C5C400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</w:t>
            </w:r>
          </w:p>
        </w:tc>
        <w:tc>
          <w:tcPr>
            <w:tcW w:w="671" w:type="dxa"/>
            <w:vAlign w:val="bottom"/>
          </w:tcPr>
          <w:p w14:paraId="29FADE75" w14:textId="3C9F159A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111.9</w:t>
            </w:r>
          </w:p>
        </w:tc>
        <w:tc>
          <w:tcPr>
            <w:tcW w:w="671" w:type="dxa"/>
            <w:vAlign w:val="bottom"/>
          </w:tcPr>
          <w:p w14:paraId="1834FF5B" w14:textId="03FC701E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118.7</w:t>
            </w:r>
          </w:p>
        </w:tc>
        <w:tc>
          <w:tcPr>
            <w:tcW w:w="670" w:type="dxa"/>
            <w:vAlign w:val="bottom"/>
          </w:tcPr>
          <w:p w14:paraId="4434F929" w14:textId="1061EF41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112.3</w:t>
            </w:r>
          </w:p>
        </w:tc>
        <w:tc>
          <w:tcPr>
            <w:tcW w:w="644" w:type="dxa"/>
            <w:vAlign w:val="bottom"/>
          </w:tcPr>
          <w:p w14:paraId="3F476F17" w14:textId="4249788B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2.6</w:t>
            </w:r>
          </w:p>
        </w:tc>
        <w:tc>
          <w:tcPr>
            <w:tcW w:w="644" w:type="dxa"/>
            <w:vAlign w:val="bottom"/>
          </w:tcPr>
          <w:p w14:paraId="327D8CFD" w14:textId="49D8473D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2.7</w:t>
            </w:r>
          </w:p>
        </w:tc>
      </w:tr>
      <w:tr w:rsidR="00E13512" w:rsidRPr="00366025" w14:paraId="3AF65B5A" w14:textId="77777777" w:rsidTr="00D77C42">
        <w:tc>
          <w:tcPr>
            <w:tcW w:w="2268" w:type="dxa"/>
            <w:vAlign w:val="bottom"/>
          </w:tcPr>
          <w:p w14:paraId="4C75F1B3" w14:textId="1DCC528F" w:rsidR="00E13512" w:rsidRPr="00366025" w:rsidRDefault="00E13512" w:rsidP="00E1351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10. </w:t>
            </w:r>
            <w:proofErr w:type="spellStart"/>
            <w:r>
              <w:rPr>
                <w:rFonts w:cs="Arial"/>
                <w:sz w:val="16"/>
                <w:szCs w:val="16"/>
              </w:rPr>
              <w:t>Hungary</w:t>
            </w:r>
            <w:proofErr w:type="spellEnd"/>
          </w:p>
        </w:tc>
        <w:tc>
          <w:tcPr>
            <w:tcW w:w="911" w:type="dxa"/>
            <w:vAlign w:val="bottom"/>
          </w:tcPr>
          <w:p w14:paraId="63C6464D" w14:textId="55F8D6AC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25.4</w:t>
            </w:r>
          </w:p>
        </w:tc>
        <w:tc>
          <w:tcPr>
            <w:tcW w:w="772" w:type="dxa"/>
            <w:vAlign w:val="bottom"/>
          </w:tcPr>
          <w:p w14:paraId="4883F5DA" w14:textId="142E289A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7.1</w:t>
            </w:r>
          </w:p>
        </w:tc>
        <w:tc>
          <w:tcPr>
            <w:tcW w:w="772" w:type="dxa"/>
            <w:vAlign w:val="bottom"/>
          </w:tcPr>
          <w:p w14:paraId="097B8C08" w14:textId="0E0F0A02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6.0</w:t>
            </w:r>
          </w:p>
        </w:tc>
        <w:tc>
          <w:tcPr>
            <w:tcW w:w="671" w:type="dxa"/>
            <w:vAlign w:val="bottom"/>
          </w:tcPr>
          <w:p w14:paraId="63B7CE98" w14:textId="780CAA67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108.7</w:t>
            </w:r>
          </w:p>
        </w:tc>
        <w:tc>
          <w:tcPr>
            <w:tcW w:w="671" w:type="dxa"/>
            <w:vAlign w:val="bottom"/>
          </w:tcPr>
          <w:p w14:paraId="1D7D8632" w14:textId="1DC579C1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115.4</w:t>
            </w:r>
          </w:p>
        </w:tc>
        <w:tc>
          <w:tcPr>
            <w:tcW w:w="670" w:type="dxa"/>
            <w:vAlign w:val="bottom"/>
          </w:tcPr>
          <w:p w14:paraId="7391F1FF" w14:textId="194E4A3E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109.1</w:t>
            </w:r>
          </w:p>
        </w:tc>
        <w:tc>
          <w:tcPr>
            <w:tcW w:w="644" w:type="dxa"/>
            <w:vAlign w:val="bottom"/>
          </w:tcPr>
          <w:p w14:paraId="40FDA891" w14:textId="1B58DDD1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2.6</w:t>
            </w:r>
          </w:p>
        </w:tc>
        <w:tc>
          <w:tcPr>
            <w:tcW w:w="644" w:type="dxa"/>
            <w:vAlign w:val="bottom"/>
          </w:tcPr>
          <w:p w14:paraId="5E388FED" w14:textId="79481CC7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2.7</w:t>
            </w:r>
          </w:p>
        </w:tc>
      </w:tr>
      <w:tr w:rsidR="00366025" w:rsidRPr="00366025" w14:paraId="6E46C81C" w14:textId="77777777" w:rsidTr="000C2149">
        <w:tc>
          <w:tcPr>
            <w:tcW w:w="8023" w:type="dxa"/>
            <w:gridSpan w:val="9"/>
            <w:vAlign w:val="center"/>
          </w:tcPr>
          <w:p w14:paraId="181B66E3" w14:textId="2072F26F" w:rsidR="00366025" w:rsidRPr="00366025" w:rsidRDefault="00FA3774" w:rsidP="00FA3774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IMPORTS (country of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origin</w:t>
            </w:r>
            <w:proofErr w:type="spellEnd"/>
            <w:r w:rsidR="00992926"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E13512" w:rsidRPr="00366025" w14:paraId="1CD438AA" w14:textId="77777777" w:rsidTr="000C2149">
        <w:tc>
          <w:tcPr>
            <w:tcW w:w="2268" w:type="dxa"/>
            <w:vAlign w:val="bottom"/>
          </w:tcPr>
          <w:p w14:paraId="2C77DC79" w14:textId="19343150" w:rsidR="00E13512" w:rsidRPr="00366025" w:rsidRDefault="00E13512" w:rsidP="00E1351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</w:t>
            </w:r>
            <w:r>
              <w:rPr>
                <w:rFonts w:cs="Arial"/>
                <w:sz w:val="16"/>
                <w:szCs w:val="16"/>
              </w:rPr>
              <w:t>Germany</w:t>
            </w:r>
          </w:p>
        </w:tc>
        <w:tc>
          <w:tcPr>
            <w:tcW w:w="911" w:type="dxa"/>
            <w:vAlign w:val="bottom"/>
          </w:tcPr>
          <w:p w14:paraId="0D51E301" w14:textId="60E9BCFC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218.9</w:t>
            </w:r>
          </w:p>
        </w:tc>
        <w:tc>
          <w:tcPr>
            <w:tcW w:w="772" w:type="dxa"/>
            <w:vAlign w:val="bottom"/>
          </w:tcPr>
          <w:p w14:paraId="197E5710" w14:textId="6B652967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61.0</w:t>
            </w:r>
          </w:p>
        </w:tc>
        <w:tc>
          <w:tcPr>
            <w:tcW w:w="772" w:type="dxa"/>
            <w:vAlign w:val="bottom"/>
          </w:tcPr>
          <w:p w14:paraId="1EDEAF0C" w14:textId="41A30EAE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51.5</w:t>
            </w:r>
          </w:p>
        </w:tc>
        <w:tc>
          <w:tcPr>
            <w:tcW w:w="671" w:type="dxa"/>
            <w:vAlign w:val="bottom"/>
          </w:tcPr>
          <w:p w14:paraId="5FEE159B" w14:textId="1D5DA8A5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107.5</w:t>
            </w:r>
          </w:p>
        </w:tc>
        <w:tc>
          <w:tcPr>
            <w:tcW w:w="671" w:type="dxa"/>
            <w:vAlign w:val="bottom"/>
          </w:tcPr>
          <w:p w14:paraId="4BBFC8A1" w14:textId="13D2E042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114.0</w:t>
            </w:r>
          </w:p>
        </w:tc>
        <w:tc>
          <w:tcPr>
            <w:tcW w:w="670" w:type="dxa"/>
            <w:vAlign w:val="bottom"/>
          </w:tcPr>
          <w:p w14:paraId="1780A2DB" w14:textId="2E89397A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107.9</w:t>
            </w:r>
          </w:p>
        </w:tc>
        <w:tc>
          <w:tcPr>
            <w:tcW w:w="644" w:type="dxa"/>
            <w:vAlign w:val="bottom"/>
          </w:tcPr>
          <w:p w14:paraId="3CF46148" w14:textId="70056252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23.1</w:t>
            </w:r>
          </w:p>
        </w:tc>
        <w:tc>
          <w:tcPr>
            <w:tcW w:w="644" w:type="dxa"/>
            <w:vAlign w:val="bottom"/>
          </w:tcPr>
          <w:p w14:paraId="0644EA11" w14:textId="3CD85AF5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22.6</w:t>
            </w:r>
          </w:p>
        </w:tc>
      </w:tr>
      <w:tr w:rsidR="00E13512" w:rsidRPr="00366025" w14:paraId="261A0499" w14:textId="77777777" w:rsidTr="000C2149">
        <w:tc>
          <w:tcPr>
            <w:tcW w:w="2268" w:type="dxa"/>
            <w:vAlign w:val="bottom"/>
          </w:tcPr>
          <w:p w14:paraId="148E84DD" w14:textId="019FA36F" w:rsidR="00E13512" w:rsidRPr="00366025" w:rsidRDefault="00E13512" w:rsidP="00E1351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 China</w:t>
            </w:r>
          </w:p>
        </w:tc>
        <w:tc>
          <w:tcPr>
            <w:tcW w:w="911" w:type="dxa"/>
            <w:vAlign w:val="bottom"/>
          </w:tcPr>
          <w:p w14:paraId="3A8BC11E" w14:textId="7F40BA3B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112.7</w:t>
            </w:r>
          </w:p>
        </w:tc>
        <w:tc>
          <w:tcPr>
            <w:tcW w:w="772" w:type="dxa"/>
            <w:vAlign w:val="bottom"/>
          </w:tcPr>
          <w:p w14:paraId="1E7C6388" w14:textId="27D7D2C3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31.3</w:t>
            </w:r>
          </w:p>
        </w:tc>
        <w:tc>
          <w:tcPr>
            <w:tcW w:w="772" w:type="dxa"/>
            <w:vAlign w:val="bottom"/>
          </w:tcPr>
          <w:p w14:paraId="250324C3" w14:textId="00D37C57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26.5</w:t>
            </w:r>
          </w:p>
        </w:tc>
        <w:tc>
          <w:tcPr>
            <w:tcW w:w="671" w:type="dxa"/>
            <w:vAlign w:val="bottom"/>
          </w:tcPr>
          <w:p w14:paraId="04A603D7" w14:textId="1288B6E0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108.7</w:t>
            </w:r>
          </w:p>
        </w:tc>
        <w:tc>
          <w:tcPr>
            <w:tcW w:w="671" w:type="dxa"/>
            <w:vAlign w:val="bottom"/>
          </w:tcPr>
          <w:p w14:paraId="6FEE0F04" w14:textId="1D7E85BE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114.8</w:t>
            </w:r>
          </w:p>
        </w:tc>
        <w:tc>
          <w:tcPr>
            <w:tcW w:w="670" w:type="dxa"/>
            <w:vAlign w:val="bottom"/>
          </w:tcPr>
          <w:p w14:paraId="1AC30A56" w14:textId="631B728A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109.0</w:t>
            </w:r>
          </w:p>
        </w:tc>
        <w:tc>
          <w:tcPr>
            <w:tcW w:w="644" w:type="dxa"/>
            <w:vAlign w:val="bottom"/>
          </w:tcPr>
          <w:p w14:paraId="47703EB6" w14:textId="13378296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11.8</w:t>
            </w:r>
          </w:p>
        </w:tc>
        <w:tc>
          <w:tcPr>
            <w:tcW w:w="644" w:type="dxa"/>
            <w:vAlign w:val="bottom"/>
          </w:tcPr>
          <w:p w14:paraId="3822B22C" w14:textId="427AE122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11.6</w:t>
            </w:r>
          </w:p>
        </w:tc>
      </w:tr>
      <w:tr w:rsidR="00E13512" w:rsidRPr="00366025" w14:paraId="27DC357A" w14:textId="77777777" w:rsidTr="000C2149">
        <w:tc>
          <w:tcPr>
            <w:tcW w:w="2268" w:type="dxa"/>
            <w:vAlign w:val="bottom"/>
          </w:tcPr>
          <w:p w14:paraId="4F2F276A" w14:textId="60D74D59" w:rsidR="00E13512" w:rsidRPr="00366025" w:rsidRDefault="00E13512" w:rsidP="00E1351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3. </w:t>
            </w:r>
            <w:r>
              <w:rPr>
                <w:rFonts w:cs="Arial"/>
                <w:sz w:val="16"/>
                <w:szCs w:val="16"/>
              </w:rPr>
              <w:t>Russia</w:t>
            </w:r>
          </w:p>
        </w:tc>
        <w:tc>
          <w:tcPr>
            <w:tcW w:w="911" w:type="dxa"/>
            <w:vAlign w:val="bottom"/>
          </w:tcPr>
          <w:p w14:paraId="5F07F26F" w14:textId="628D2E72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69.3</w:t>
            </w:r>
          </w:p>
        </w:tc>
        <w:tc>
          <w:tcPr>
            <w:tcW w:w="772" w:type="dxa"/>
            <w:vAlign w:val="bottom"/>
          </w:tcPr>
          <w:p w14:paraId="4EEC7FDD" w14:textId="598C433E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19.2</w:t>
            </w:r>
          </w:p>
        </w:tc>
        <w:tc>
          <w:tcPr>
            <w:tcW w:w="772" w:type="dxa"/>
            <w:vAlign w:val="bottom"/>
          </w:tcPr>
          <w:p w14:paraId="61F21E92" w14:textId="16B91D94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16.3</w:t>
            </w:r>
          </w:p>
        </w:tc>
        <w:tc>
          <w:tcPr>
            <w:tcW w:w="671" w:type="dxa"/>
            <w:vAlign w:val="bottom"/>
          </w:tcPr>
          <w:p w14:paraId="208BA65A" w14:textId="4AA90A05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123.9</w:t>
            </w:r>
          </w:p>
        </w:tc>
        <w:tc>
          <w:tcPr>
            <w:tcW w:w="671" w:type="dxa"/>
            <w:vAlign w:val="bottom"/>
          </w:tcPr>
          <w:p w14:paraId="28797FF9" w14:textId="563A9E71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131.2</w:t>
            </w:r>
          </w:p>
        </w:tc>
        <w:tc>
          <w:tcPr>
            <w:tcW w:w="670" w:type="dxa"/>
            <w:vAlign w:val="bottom"/>
          </w:tcPr>
          <w:p w14:paraId="582F2C8D" w14:textId="3F289DCF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124.3</w:t>
            </w:r>
          </w:p>
        </w:tc>
        <w:tc>
          <w:tcPr>
            <w:tcW w:w="644" w:type="dxa"/>
            <w:vAlign w:val="bottom"/>
          </w:tcPr>
          <w:p w14:paraId="24CD06CC" w14:textId="31BF667F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6.4</w:t>
            </w:r>
          </w:p>
        </w:tc>
        <w:tc>
          <w:tcPr>
            <w:tcW w:w="644" w:type="dxa"/>
            <w:vAlign w:val="bottom"/>
          </w:tcPr>
          <w:p w14:paraId="688A9753" w14:textId="28719F1D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7.1</w:t>
            </w:r>
          </w:p>
        </w:tc>
      </w:tr>
      <w:tr w:rsidR="00E13512" w:rsidRPr="00366025" w14:paraId="65FC0E5E" w14:textId="77777777" w:rsidTr="000C2149">
        <w:tc>
          <w:tcPr>
            <w:tcW w:w="2268" w:type="dxa"/>
            <w:vAlign w:val="bottom"/>
          </w:tcPr>
          <w:p w14:paraId="45FC597E" w14:textId="7045B0D5" w:rsidR="00E13512" w:rsidRPr="00366025" w:rsidRDefault="00E13512" w:rsidP="00E1351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4. </w:t>
            </w:r>
            <w:r>
              <w:rPr>
                <w:rFonts w:cs="Arial"/>
                <w:sz w:val="16"/>
                <w:szCs w:val="16"/>
              </w:rPr>
              <w:t>Italy</w:t>
            </w:r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14:paraId="7D021E3F" w14:textId="425975CE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49.8</w:t>
            </w:r>
          </w:p>
        </w:tc>
        <w:tc>
          <w:tcPr>
            <w:tcW w:w="772" w:type="dxa"/>
            <w:vAlign w:val="bottom"/>
          </w:tcPr>
          <w:p w14:paraId="554F512B" w14:textId="67216611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13.9</w:t>
            </w:r>
          </w:p>
        </w:tc>
        <w:tc>
          <w:tcPr>
            <w:tcW w:w="772" w:type="dxa"/>
            <w:vAlign w:val="bottom"/>
          </w:tcPr>
          <w:p w14:paraId="5EE9C93E" w14:textId="7907D8CE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11.7</w:t>
            </w:r>
          </w:p>
        </w:tc>
        <w:tc>
          <w:tcPr>
            <w:tcW w:w="671" w:type="dxa"/>
            <w:vAlign w:val="bottom"/>
          </w:tcPr>
          <w:p w14:paraId="49DA3B92" w14:textId="75FB34EA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106.4</w:t>
            </w:r>
          </w:p>
        </w:tc>
        <w:tc>
          <w:tcPr>
            <w:tcW w:w="671" w:type="dxa"/>
            <w:vAlign w:val="bottom"/>
          </w:tcPr>
          <w:p w14:paraId="542C2708" w14:textId="7D6F7B4D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113.0</w:t>
            </w:r>
          </w:p>
        </w:tc>
        <w:tc>
          <w:tcPr>
            <w:tcW w:w="670" w:type="dxa"/>
            <w:vAlign w:val="bottom"/>
          </w:tcPr>
          <w:p w14:paraId="3CE23353" w14:textId="251878F5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106.8</w:t>
            </w:r>
          </w:p>
        </w:tc>
        <w:tc>
          <w:tcPr>
            <w:tcW w:w="644" w:type="dxa"/>
            <w:vAlign w:val="bottom"/>
          </w:tcPr>
          <w:p w14:paraId="4CD7D3B0" w14:textId="0F23663E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5.3</w:t>
            </w:r>
          </w:p>
        </w:tc>
        <w:tc>
          <w:tcPr>
            <w:tcW w:w="644" w:type="dxa"/>
            <w:vAlign w:val="bottom"/>
          </w:tcPr>
          <w:p w14:paraId="0EE0ED4B" w14:textId="5319A1B7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5.1</w:t>
            </w:r>
          </w:p>
        </w:tc>
      </w:tr>
      <w:tr w:rsidR="00E13512" w:rsidRPr="00366025" w14:paraId="74D1C14C" w14:textId="77777777" w:rsidTr="000C2149">
        <w:tc>
          <w:tcPr>
            <w:tcW w:w="2268" w:type="dxa"/>
            <w:vAlign w:val="bottom"/>
          </w:tcPr>
          <w:p w14:paraId="11C007DD" w14:textId="432750D7" w:rsidR="00E13512" w:rsidRPr="00366025" w:rsidRDefault="00E13512" w:rsidP="00E1351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5. </w:t>
            </w:r>
            <w:r>
              <w:rPr>
                <w:rFonts w:cs="Arial"/>
                <w:sz w:val="16"/>
                <w:szCs w:val="16"/>
              </w:rPr>
              <w:t>France</w:t>
            </w:r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14:paraId="0EFA695A" w14:textId="40C6E82C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35.6</w:t>
            </w:r>
          </w:p>
        </w:tc>
        <w:tc>
          <w:tcPr>
            <w:tcW w:w="772" w:type="dxa"/>
            <w:vAlign w:val="bottom"/>
          </w:tcPr>
          <w:p w14:paraId="37A860C9" w14:textId="20AA8E82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9.9</w:t>
            </w:r>
          </w:p>
        </w:tc>
        <w:tc>
          <w:tcPr>
            <w:tcW w:w="772" w:type="dxa"/>
            <w:vAlign w:val="bottom"/>
          </w:tcPr>
          <w:p w14:paraId="5195D69C" w14:textId="42F57653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8.4</w:t>
            </w:r>
          </w:p>
        </w:tc>
        <w:tc>
          <w:tcPr>
            <w:tcW w:w="671" w:type="dxa"/>
            <w:vAlign w:val="bottom"/>
          </w:tcPr>
          <w:p w14:paraId="7C570578" w14:textId="09ED62FE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104.3</w:t>
            </w:r>
          </w:p>
        </w:tc>
        <w:tc>
          <w:tcPr>
            <w:tcW w:w="671" w:type="dxa"/>
            <w:vAlign w:val="bottom"/>
          </w:tcPr>
          <w:p w14:paraId="3179D4E4" w14:textId="2EA7932D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110.8</w:t>
            </w:r>
          </w:p>
        </w:tc>
        <w:tc>
          <w:tcPr>
            <w:tcW w:w="670" w:type="dxa"/>
            <w:vAlign w:val="bottom"/>
          </w:tcPr>
          <w:p w14:paraId="29E8F1E4" w14:textId="5D5D82D1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104.7</w:t>
            </w:r>
          </w:p>
        </w:tc>
        <w:tc>
          <w:tcPr>
            <w:tcW w:w="644" w:type="dxa"/>
            <w:vAlign w:val="bottom"/>
          </w:tcPr>
          <w:p w14:paraId="6894811B" w14:textId="62CB2A86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3.9</w:t>
            </w:r>
          </w:p>
        </w:tc>
        <w:tc>
          <w:tcPr>
            <w:tcW w:w="644" w:type="dxa"/>
            <w:vAlign w:val="bottom"/>
          </w:tcPr>
          <w:p w14:paraId="2429DB60" w14:textId="3F026F36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3.7</w:t>
            </w:r>
          </w:p>
        </w:tc>
      </w:tr>
      <w:tr w:rsidR="00E13512" w:rsidRPr="00366025" w14:paraId="00321FD8" w14:textId="77777777" w:rsidTr="000C2149">
        <w:tc>
          <w:tcPr>
            <w:tcW w:w="2268" w:type="dxa"/>
            <w:vAlign w:val="bottom"/>
          </w:tcPr>
          <w:p w14:paraId="2DF16F21" w14:textId="22EBDA8C" w:rsidR="00E13512" w:rsidRPr="00366025" w:rsidRDefault="00E13512" w:rsidP="00E1351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6.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</w:p>
        </w:tc>
        <w:tc>
          <w:tcPr>
            <w:tcW w:w="911" w:type="dxa"/>
            <w:vAlign w:val="bottom"/>
          </w:tcPr>
          <w:p w14:paraId="22411BD5" w14:textId="2555F76B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35.2</w:t>
            </w:r>
          </w:p>
        </w:tc>
        <w:tc>
          <w:tcPr>
            <w:tcW w:w="772" w:type="dxa"/>
            <w:vAlign w:val="bottom"/>
          </w:tcPr>
          <w:p w14:paraId="36D581DD" w14:textId="49C51D92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9.8</w:t>
            </w:r>
          </w:p>
        </w:tc>
        <w:tc>
          <w:tcPr>
            <w:tcW w:w="772" w:type="dxa"/>
            <w:vAlign w:val="bottom"/>
          </w:tcPr>
          <w:p w14:paraId="37E3B9B4" w14:textId="365240DB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8.3</w:t>
            </w:r>
          </w:p>
        </w:tc>
        <w:tc>
          <w:tcPr>
            <w:tcW w:w="671" w:type="dxa"/>
            <w:vAlign w:val="bottom"/>
          </w:tcPr>
          <w:p w14:paraId="3657EDA2" w14:textId="60A1C878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104.8</w:t>
            </w:r>
          </w:p>
        </w:tc>
        <w:tc>
          <w:tcPr>
            <w:tcW w:w="671" w:type="dxa"/>
            <w:vAlign w:val="bottom"/>
          </w:tcPr>
          <w:p w14:paraId="66441F04" w14:textId="11F5CD7B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111.4</w:t>
            </w:r>
          </w:p>
        </w:tc>
        <w:tc>
          <w:tcPr>
            <w:tcW w:w="670" w:type="dxa"/>
            <w:vAlign w:val="bottom"/>
          </w:tcPr>
          <w:p w14:paraId="5E66BB03" w14:textId="1A54FF1A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105.2</w:t>
            </w:r>
          </w:p>
        </w:tc>
        <w:tc>
          <w:tcPr>
            <w:tcW w:w="644" w:type="dxa"/>
            <w:vAlign w:val="bottom"/>
          </w:tcPr>
          <w:p w14:paraId="262144C6" w14:textId="1852F58B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3.8</w:t>
            </w:r>
          </w:p>
        </w:tc>
        <w:tc>
          <w:tcPr>
            <w:tcW w:w="644" w:type="dxa"/>
            <w:vAlign w:val="bottom"/>
          </w:tcPr>
          <w:p w14:paraId="65581BDF" w14:textId="13ACC749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3.6</w:t>
            </w:r>
          </w:p>
        </w:tc>
      </w:tr>
      <w:tr w:rsidR="00E13512" w:rsidRPr="00366025" w14:paraId="72905E34" w14:textId="77777777" w:rsidTr="000C2149">
        <w:tc>
          <w:tcPr>
            <w:tcW w:w="2268" w:type="dxa"/>
            <w:vAlign w:val="bottom"/>
          </w:tcPr>
          <w:p w14:paraId="1DFC4F2D" w14:textId="14C9E648" w:rsidR="00E13512" w:rsidRPr="00366025" w:rsidRDefault="00E13512" w:rsidP="00E1351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7. Czech</w:t>
            </w:r>
            <w:r>
              <w:rPr>
                <w:rFonts w:cs="Arial"/>
                <w:sz w:val="16"/>
                <w:szCs w:val="16"/>
              </w:rPr>
              <w:t xml:space="preserve"> Republic</w:t>
            </w:r>
          </w:p>
        </w:tc>
        <w:tc>
          <w:tcPr>
            <w:tcW w:w="911" w:type="dxa"/>
            <w:vAlign w:val="bottom"/>
          </w:tcPr>
          <w:p w14:paraId="7376438B" w14:textId="732654EC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33.4</w:t>
            </w:r>
          </w:p>
        </w:tc>
        <w:tc>
          <w:tcPr>
            <w:tcW w:w="772" w:type="dxa"/>
            <w:vAlign w:val="bottom"/>
          </w:tcPr>
          <w:p w14:paraId="1B0A1DB0" w14:textId="08735F8B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9.3</w:t>
            </w:r>
          </w:p>
        </w:tc>
        <w:tc>
          <w:tcPr>
            <w:tcW w:w="772" w:type="dxa"/>
            <w:vAlign w:val="bottom"/>
          </w:tcPr>
          <w:p w14:paraId="6E21BBE1" w14:textId="23A98708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7.9</w:t>
            </w:r>
          </w:p>
        </w:tc>
        <w:tc>
          <w:tcPr>
            <w:tcW w:w="671" w:type="dxa"/>
            <w:vAlign w:val="bottom"/>
          </w:tcPr>
          <w:p w14:paraId="1F31A9DD" w14:textId="65C67815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105.3</w:t>
            </w:r>
          </w:p>
        </w:tc>
        <w:tc>
          <w:tcPr>
            <w:tcW w:w="671" w:type="dxa"/>
            <w:vAlign w:val="bottom"/>
          </w:tcPr>
          <w:p w14:paraId="4F4E5854" w14:textId="4CD4C779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111.9</w:t>
            </w:r>
          </w:p>
        </w:tc>
        <w:tc>
          <w:tcPr>
            <w:tcW w:w="670" w:type="dxa"/>
            <w:vAlign w:val="bottom"/>
          </w:tcPr>
          <w:p w14:paraId="0B9F6E94" w14:textId="72A3E687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105.8</w:t>
            </w:r>
          </w:p>
        </w:tc>
        <w:tc>
          <w:tcPr>
            <w:tcW w:w="644" w:type="dxa"/>
            <w:vAlign w:val="bottom"/>
          </w:tcPr>
          <w:p w14:paraId="7E61D1FE" w14:textId="005A3F3B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3.6</w:t>
            </w:r>
          </w:p>
        </w:tc>
        <w:tc>
          <w:tcPr>
            <w:tcW w:w="644" w:type="dxa"/>
            <w:vAlign w:val="bottom"/>
          </w:tcPr>
          <w:p w14:paraId="09C20040" w14:textId="0AD50CBB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3.4</w:t>
            </w:r>
          </w:p>
        </w:tc>
      </w:tr>
      <w:tr w:rsidR="00E13512" w:rsidRPr="00366025" w14:paraId="78641ACB" w14:textId="77777777" w:rsidTr="000C2149">
        <w:tc>
          <w:tcPr>
            <w:tcW w:w="2268" w:type="dxa"/>
            <w:vAlign w:val="bottom"/>
          </w:tcPr>
          <w:p w14:paraId="277AF19F" w14:textId="7C2E5061" w:rsidR="00E13512" w:rsidRPr="00366025" w:rsidRDefault="00E13512" w:rsidP="00E13512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8. </w:t>
            </w:r>
            <w:r>
              <w:rPr>
                <w:rFonts w:cs="Arial"/>
                <w:sz w:val="16"/>
                <w:szCs w:val="16"/>
              </w:rPr>
              <w:t xml:space="preserve">United </w:t>
            </w:r>
            <w:proofErr w:type="spellStart"/>
            <w:r>
              <w:rPr>
                <w:rFonts w:cs="Arial"/>
                <w:sz w:val="16"/>
                <w:szCs w:val="16"/>
              </w:rPr>
              <w:t>States</w:t>
            </w:r>
            <w:proofErr w:type="spellEnd"/>
          </w:p>
        </w:tc>
        <w:tc>
          <w:tcPr>
            <w:tcW w:w="911" w:type="dxa"/>
            <w:vAlign w:val="bottom"/>
          </w:tcPr>
          <w:p w14:paraId="329416A3" w14:textId="42639B9F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27.6</w:t>
            </w:r>
          </w:p>
        </w:tc>
        <w:tc>
          <w:tcPr>
            <w:tcW w:w="772" w:type="dxa"/>
            <w:vAlign w:val="bottom"/>
          </w:tcPr>
          <w:p w14:paraId="763535B1" w14:textId="359DAA94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7.7</w:t>
            </w:r>
          </w:p>
        </w:tc>
        <w:tc>
          <w:tcPr>
            <w:tcW w:w="772" w:type="dxa"/>
            <w:vAlign w:val="bottom"/>
          </w:tcPr>
          <w:p w14:paraId="7259B644" w14:textId="7D991A79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6.5</w:t>
            </w:r>
          </w:p>
        </w:tc>
        <w:tc>
          <w:tcPr>
            <w:tcW w:w="671" w:type="dxa"/>
            <w:vAlign w:val="bottom"/>
          </w:tcPr>
          <w:p w14:paraId="76B24F5A" w14:textId="208232E2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110.1</w:t>
            </w:r>
          </w:p>
        </w:tc>
        <w:tc>
          <w:tcPr>
            <w:tcW w:w="671" w:type="dxa"/>
            <w:vAlign w:val="bottom"/>
          </w:tcPr>
          <w:p w14:paraId="319B2B41" w14:textId="5BE43E54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117.0</w:t>
            </w:r>
          </w:p>
        </w:tc>
        <w:tc>
          <w:tcPr>
            <w:tcW w:w="670" w:type="dxa"/>
            <w:vAlign w:val="bottom"/>
          </w:tcPr>
          <w:p w14:paraId="28D72452" w14:textId="241B10EC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110.5</w:t>
            </w:r>
          </w:p>
        </w:tc>
        <w:tc>
          <w:tcPr>
            <w:tcW w:w="644" w:type="dxa"/>
            <w:vAlign w:val="bottom"/>
          </w:tcPr>
          <w:p w14:paraId="6099311C" w14:textId="64E98637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2.8</w:t>
            </w:r>
          </w:p>
        </w:tc>
        <w:tc>
          <w:tcPr>
            <w:tcW w:w="644" w:type="dxa"/>
            <w:vAlign w:val="bottom"/>
          </w:tcPr>
          <w:p w14:paraId="6FFDD869" w14:textId="328783F1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2.8</w:t>
            </w:r>
          </w:p>
        </w:tc>
      </w:tr>
      <w:tr w:rsidR="00E13512" w:rsidRPr="00366025" w14:paraId="37F42DFF" w14:textId="77777777" w:rsidTr="000C2149">
        <w:tc>
          <w:tcPr>
            <w:tcW w:w="2268" w:type="dxa"/>
            <w:vAlign w:val="bottom"/>
          </w:tcPr>
          <w:p w14:paraId="3364D841" w14:textId="55F49F43" w:rsidR="00E13512" w:rsidRPr="00366025" w:rsidRDefault="00E13512" w:rsidP="00E1351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9. </w:t>
            </w:r>
            <w:proofErr w:type="spellStart"/>
            <w:r>
              <w:rPr>
                <w:rFonts w:cs="Arial"/>
                <w:sz w:val="16"/>
                <w:szCs w:val="16"/>
              </w:rPr>
              <w:t>Belgium</w:t>
            </w:r>
            <w:proofErr w:type="spellEnd"/>
          </w:p>
        </w:tc>
        <w:tc>
          <w:tcPr>
            <w:tcW w:w="911" w:type="dxa"/>
            <w:vAlign w:val="bottom"/>
          </w:tcPr>
          <w:p w14:paraId="3EC90EDA" w14:textId="34E8ECCC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24.1</w:t>
            </w:r>
          </w:p>
        </w:tc>
        <w:tc>
          <w:tcPr>
            <w:tcW w:w="772" w:type="dxa"/>
            <w:vAlign w:val="bottom"/>
          </w:tcPr>
          <w:p w14:paraId="424BA7D9" w14:textId="7CE5D5C3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6.7</w:t>
            </w:r>
          </w:p>
        </w:tc>
        <w:tc>
          <w:tcPr>
            <w:tcW w:w="772" w:type="dxa"/>
            <w:vAlign w:val="bottom"/>
          </w:tcPr>
          <w:p w14:paraId="6B7303D3" w14:textId="66D87205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5.7</w:t>
            </w:r>
          </w:p>
        </w:tc>
        <w:tc>
          <w:tcPr>
            <w:tcW w:w="671" w:type="dxa"/>
            <w:vAlign w:val="bottom"/>
          </w:tcPr>
          <w:p w14:paraId="3666A73F" w14:textId="0E2A32BB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107.2</w:t>
            </w:r>
          </w:p>
        </w:tc>
        <w:tc>
          <w:tcPr>
            <w:tcW w:w="671" w:type="dxa"/>
            <w:vAlign w:val="bottom"/>
          </w:tcPr>
          <w:p w14:paraId="1B2ADD74" w14:textId="1B62C28C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113.9</w:t>
            </w:r>
          </w:p>
        </w:tc>
        <w:tc>
          <w:tcPr>
            <w:tcW w:w="670" w:type="dxa"/>
            <w:vAlign w:val="bottom"/>
          </w:tcPr>
          <w:p w14:paraId="567E5C25" w14:textId="20EDBA63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107.7</w:t>
            </w:r>
          </w:p>
        </w:tc>
        <w:tc>
          <w:tcPr>
            <w:tcW w:w="644" w:type="dxa"/>
            <w:vAlign w:val="bottom"/>
          </w:tcPr>
          <w:p w14:paraId="48A1C956" w14:textId="2F30DB6B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2.6</w:t>
            </w:r>
          </w:p>
        </w:tc>
        <w:tc>
          <w:tcPr>
            <w:tcW w:w="644" w:type="dxa"/>
            <w:vAlign w:val="bottom"/>
          </w:tcPr>
          <w:p w14:paraId="01B5D68A" w14:textId="42F23CA4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2.5</w:t>
            </w:r>
          </w:p>
        </w:tc>
      </w:tr>
      <w:tr w:rsidR="00E13512" w:rsidRPr="00366025" w14:paraId="04A779E8" w14:textId="77777777" w:rsidTr="000C2149">
        <w:tc>
          <w:tcPr>
            <w:tcW w:w="2268" w:type="dxa"/>
            <w:vAlign w:val="bottom"/>
          </w:tcPr>
          <w:p w14:paraId="2D955C84" w14:textId="300ED129" w:rsidR="00E13512" w:rsidRPr="00366025" w:rsidRDefault="00E13512" w:rsidP="00E1351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 xml:space="preserve">United </w:t>
            </w:r>
            <w:proofErr w:type="spellStart"/>
            <w:r>
              <w:rPr>
                <w:rFonts w:cs="Arial"/>
                <w:sz w:val="16"/>
                <w:szCs w:val="16"/>
              </w:rPr>
              <w:t>Kingdom</w:t>
            </w:r>
            <w:proofErr w:type="spellEnd"/>
          </w:p>
        </w:tc>
        <w:tc>
          <w:tcPr>
            <w:tcW w:w="911" w:type="dxa"/>
            <w:vAlign w:val="bottom"/>
          </w:tcPr>
          <w:p w14:paraId="560B0C5E" w14:textId="31A56F51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23.7</w:t>
            </w:r>
          </w:p>
        </w:tc>
        <w:tc>
          <w:tcPr>
            <w:tcW w:w="772" w:type="dxa"/>
            <w:vAlign w:val="bottom"/>
          </w:tcPr>
          <w:p w14:paraId="00E658E1" w14:textId="15FAC49D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6.6</w:t>
            </w:r>
          </w:p>
        </w:tc>
        <w:tc>
          <w:tcPr>
            <w:tcW w:w="772" w:type="dxa"/>
            <w:vAlign w:val="bottom"/>
          </w:tcPr>
          <w:p w14:paraId="1FEC6457" w14:textId="7943C056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5.6</w:t>
            </w:r>
          </w:p>
        </w:tc>
        <w:tc>
          <w:tcPr>
            <w:tcW w:w="671" w:type="dxa"/>
            <w:vAlign w:val="bottom"/>
          </w:tcPr>
          <w:p w14:paraId="4AD224B7" w14:textId="43B95A4D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112.1</w:t>
            </w:r>
          </w:p>
        </w:tc>
        <w:tc>
          <w:tcPr>
            <w:tcW w:w="671" w:type="dxa"/>
            <w:vAlign w:val="bottom"/>
          </w:tcPr>
          <w:p w14:paraId="7AD74DEA" w14:textId="39C2549C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118.5</w:t>
            </w:r>
          </w:p>
        </w:tc>
        <w:tc>
          <w:tcPr>
            <w:tcW w:w="670" w:type="dxa"/>
            <w:vAlign w:val="bottom"/>
          </w:tcPr>
          <w:p w14:paraId="30D512D4" w14:textId="5307F595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112.5</w:t>
            </w:r>
          </w:p>
        </w:tc>
        <w:tc>
          <w:tcPr>
            <w:tcW w:w="644" w:type="dxa"/>
            <w:vAlign w:val="bottom"/>
          </w:tcPr>
          <w:p w14:paraId="79401C90" w14:textId="0EBE8FA0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2.4</w:t>
            </w:r>
          </w:p>
        </w:tc>
        <w:tc>
          <w:tcPr>
            <w:tcW w:w="644" w:type="dxa"/>
            <w:vAlign w:val="bottom"/>
          </w:tcPr>
          <w:p w14:paraId="2B94C071" w14:textId="60F95BB7" w:rsidR="00E13512" w:rsidRPr="00366025" w:rsidRDefault="00E13512" w:rsidP="00E135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2.4</w:t>
            </w:r>
          </w:p>
        </w:tc>
      </w:tr>
    </w:tbl>
    <w:p w14:paraId="06C6C418" w14:textId="69B94B5C" w:rsidR="00CD2FE9" w:rsidRDefault="00CD2FE9" w:rsidP="00366025">
      <w:pPr>
        <w:rPr>
          <w:b/>
          <w:sz w:val="18"/>
          <w:szCs w:val="18"/>
        </w:rPr>
      </w:pPr>
    </w:p>
    <w:p w14:paraId="45F7C08A" w14:textId="4B357194" w:rsidR="004D100F" w:rsidRPr="00070820" w:rsidRDefault="00C35FFF" w:rsidP="00366025">
      <w:pPr>
        <w:rPr>
          <w:b/>
          <w:sz w:val="18"/>
          <w:szCs w:val="18"/>
          <w:shd w:val="clear" w:color="auto" w:fill="FFFFFF"/>
          <w:lang w:val="en-US"/>
        </w:rPr>
      </w:pPr>
      <w:r w:rsidRPr="00070820">
        <w:rPr>
          <w:b/>
          <w:sz w:val="18"/>
          <w:szCs w:val="18"/>
          <w:lang w:val="en-US"/>
        </w:rPr>
        <w:t>Chart</w:t>
      </w:r>
      <w:r w:rsidR="00F70DA2" w:rsidRPr="00070820">
        <w:rPr>
          <w:b/>
          <w:sz w:val="18"/>
          <w:szCs w:val="18"/>
          <w:lang w:val="en-US"/>
        </w:rPr>
        <w:t xml:space="preserve"> </w:t>
      </w:r>
      <w:r w:rsidR="004A29AD" w:rsidRPr="00070820">
        <w:rPr>
          <w:b/>
          <w:sz w:val="18"/>
          <w:szCs w:val="18"/>
          <w:lang w:val="en-US"/>
        </w:rPr>
        <w:t>4</w:t>
      </w:r>
      <w:r w:rsidR="002D45CF" w:rsidRPr="00070820">
        <w:rPr>
          <w:b/>
          <w:sz w:val="18"/>
          <w:szCs w:val="18"/>
          <w:lang w:val="en-US"/>
        </w:rPr>
        <w:t>.</w:t>
      </w:r>
      <w:r w:rsidR="00F70DA2" w:rsidRPr="00070820">
        <w:rPr>
          <w:b/>
          <w:sz w:val="18"/>
          <w:szCs w:val="18"/>
          <w:shd w:val="clear" w:color="auto" w:fill="FFFFFF"/>
          <w:lang w:val="en-US"/>
        </w:rPr>
        <w:t xml:space="preserve"> </w:t>
      </w:r>
      <w:r w:rsidRPr="00070820">
        <w:rPr>
          <w:b/>
          <w:sz w:val="18"/>
          <w:szCs w:val="18"/>
          <w:shd w:val="clear" w:color="auto" w:fill="FFFFFF"/>
          <w:lang w:val="en-US"/>
        </w:rPr>
        <w:t>The balance of Poland with Russia</w:t>
      </w:r>
      <w:r w:rsidR="008459BF">
        <w:rPr>
          <w:b/>
          <w:sz w:val="18"/>
          <w:szCs w:val="18"/>
          <w:shd w:val="clear" w:color="auto" w:fill="FFFFFF"/>
          <w:lang w:val="en-US"/>
        </w:rPr>
        <w:t xml:space="preserve"> (in PLN billion) </w:t>
      </w:r>
    </w:p>
    <w:p w14:paraId="583F11F2" w14:textId="44358935" w:rsidR="00CD2FE9" w:rsidRPr="00070820" w:rsidRDefault="00AF0841" w:rsidP="00366025">
      <w:pPr>
        <w:rPr>
          <w:b/>
          <w:sz w:val="18"/>
          <w:szCs w:val="18"/>
          <w:shd w:val="clear" w:color="auto" w:fill="FFFFFF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758592" behindDoc="1" locked="0" layoutInCell="1" allowOverlap="1" wp14:anchorId="54DD9E07" wp14:editId="64123AA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993640" cy="1097280"/>
            <wp:effectExtent l="0" t="0" r="0" b="7620"/>
            <wp:wrapNone/>
            <wp:docPr id="19" name="Wykres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03901E" w14:textId="77777777" w:rsidR="00AF0841" w:rsidRDefault="00AF0841" w:rsidP="00943071">
      <w:pPr>
        <w:pStyle w:val="Nagwek1"/>
        <w:spacing w:before="200"/>
        <w:rPr>
          <w:lang w:val="en-US"/>
        </w:rPr>
      </w:pPr>
    </w:p>
    <w:p w14:paraId="7E135094" w14:textId="77777777" w:rsidR="00943071" w:rsidRDefault="00943071" w:rsidP="00943071">
      <w:pPr>
        <w:pStyle w:val="Nagwek1"/>
        <w:spacing w:before="200"/>
        <w:rPr>
          <w:lang w:val="en-US"/>
        </w:rPr>
      </w:pPr>
    </w:p>
    <w:p w14:paraId="4F9F0AD1" w14:textId="2ADADE9F" w:rsidR="00AD34B4" w:rsidRPr="00070820" w:rsidRDefault="00717D5C" w:rsidP="00AD34B4">
      <w:pPr>
        <w:pStyle w:val="Nagwek1"/>
        <w:rPr>
          <w:lang w:val="en-US"/>
        </w:rPr>
      </w:pPr>
      <w:r w:rsidRPr="00070820">
        <w:rPr>
          <w:lang w:val="en-US"/>
        </w:rPr>
        <w:t>Imports by country of consignment in total and by groups of counties</w:t>
      </w:r>
    </w:p>
    <w:p w14:paraId="5AA2FC22" w14:textId="0E203C74" w:rsidR="0048231B" w:rsidRPr="00AA6D1C" w:rsidRDefault="00AA6D1C" w:rsidP="0048231B">
      <w:pPr>
        <w:rPr>
          <w:shd w:val="clear" w:color="auto" w:fill="FFFFFF"/>
          <w:lang w:val="en-US"/>
        </w:rPr>
      </w:pPr>
      <w:r w:rsidRPr="00AA6D1C">
        <w:rPr>
          <w:rFonts w:cs="Arial"/>
          <w:spacing w:val="-3"/>
          <w:lang w:val="en-US"/>
        </w:rPr>
        <w:t>The highest turnover in imports by country of consignment Poland rec</w:t>
      </w:r>
      <w:r>
        <w:rPr>
          <w:rFonts w:cs="Arial"/>
          <w:spacing w:val="-3"/>
          <w:lang w:val="en-US"/>
        </w:rPr>
        <w:t>orded with the developed countries - PLN</w:t>
      </w:r>
      <w:r w:rsidR="0048231B" w:rsidRPr="00AA6D1C">
        <w:rPr>
          <w:rFonts w:cs="Arial"/>
          <w:spacing w:val="-3"/>
          <w:lang w:val="en-US"/>
        </w:rPr>
        <w:t xml:space="preserve"> </w:t>
      </w:r>
      <w:r w:rsidR="00AF0841">
        <w:rPr>
          <w:rFonts w:cs="Arial"/>
          <w:spacing w:val="-3"/>
          <w:lang w:val="en-US"/>
        </w:rPr>
        <w:t>7</w:t>
      </w:r>
      <w:r w:rsidR="00C85300">
        <w:rPr>
          <w:rFonts w:cs="Arial"/>
          <w:spacing w:val="-3"/>
          <w:lang w:val="en-US"/>
        </w:rPr>
        <w:t>24</w:t>
      </w:r>
      <w:r w:rsidR="00AF0841">
        <w:rPr>
          <w:rFonts w:cs="Arial"/>
          <w:spacing w:val="-3"/>
          <w:lang w:val="en-US"/>
        </w:rPr>
        <w:t>.</w:t>
      </w:r>
      <w:r w:rsidR="00C85300">
        <w:rPr>
          <w:rFonts w:cs="Arial"/>
          <w:spacing w:val="-3"/>
          <w:lang w:val="en-US"/>
        </w:rPr>
        <w:t>0</w:t>
      </w:r>
      <w:r w:rsidR="0048231B" w:rsidRPr="00AA6D1C">
        <w:rPr>
          <w:rFonts w:cs="Arial"/>
          <w:spacing w:val="-3"/>
          <w:lang w:val="en-US"/>
        </w:rPr>
        <w:t xml:space="preserve"> </w:t>
      </w:r>
      <w:proofErr w:type="spellStart"/>
      <w:r>
        <w:rPr>
          <w:rFonts w:cs="Arial"/>
          <w:spacing w:val="-3"/>
          <w:lang w:val="en-US"/>
        </w:rPr>
        <w:t>bn</w:t>
      </w:r>
      <w:proofErr w:type="spellEnd"/>
      <w:r w:rsidR="0048231B" w:rsidRPr="00AA6D1C">
        <w:rPr>
          <w:rFonts w:cs="Arial"/>
          <w:spacing w:val="-3"/>
          <w:lang w:val="en-US"/>
        </w:rPr>
        <w:t xml:space="preserve">, </w:t>
      </w:r>
      <w:r>
        <w:rPr>
          <w:rFonts w:cs="Arial"/>
          <w:spacing w:val="-3"/>
          <w:lang w:val="en-US"/>
        </w:rPr>
        <w:t>of which the EU</w:t>
      </w:r>
      <w:r w:rsidR="0048231B" w:rsidRPr="00AA6D1C">
        <w:rPr>
          <w:rFonts w:cs="Arial"/>
          <w:spacing w:val="-3"/>
          <w:lang w:val="en-US"/>
        </w:rPr>
        <w:t xml:space="preserve"> – </w:t>
      </w:r>
      <w:r>
        <w:rPr>
          <w:rFonts w:cs="Arial"/>
          <w:spacing w:val="-3"/>
          <w:lang w:val="en-US"/>
        </w:rPr>
        <w:t xml:space="preserve">PLN </w:t>
      </w:r>
      <w:r w:rsidR="00AF0841">
        <w:rPr>
          <w:rFonts w:cs="Arial"/>
          <w:spacing w:val="-3"/>
          <w:lang w:val="en-US"/>
        </w:rPr>
        <w:t>6</w:t>
      </w:r>
      <w:r w:rsidR="00C85300">
        <w:rPr>
          <w:rFonts w:cs="Arial"/>
          <w:spacing w:val="-3"/>
          <w:lang w:val="en-US"/>
        </w:rPr>
        <w:t>80</w:t>
      </w:r>
      <w:r w:rsidR="00AF0841">
        <w:rPr>
          <w:rFonts w:cs="Arial"/>
          <w:spacing w:val="-3"/>
          <w:lang w:val="en-US"/>
        </w:rPr>
        <w:t>.</w:t>
      </w:r>
      <w:r w:rsidR="00C85300">
        <w:rPr>
          <w:rFonts w:cs="Arial"/>
          <w:spacing w:val="-3"/>
          <w:lang w:val="en-US"/>
        </w:rPr>
        <w:t>4</w:t>
      </w:r>
      <w:r w:rsidR="004921B7" w:rsidRPr="00AA6D1C">
        <w:rPr>
          <w:rFonts w:cs="Arial"/>
          <w:spacing w:val="-3"/>
          <w:lang w:val="en-US"/>
        </w:rPr>
        <w:t xml:space="preserve"> </w:t>
      </w:r>
      <w:proofErr w:type="spellStart"/>
      <w:r>
        <w:rPr>
          <w:rFonts w:cs="Arial"/>
          <w:spacing w:val="-3"/>
          <w:lang w:val="en-US"/>
        </w:rPr>
        <w:t>bn</w:t>
      </w:r>
      <w:proofErr w:type="spellEnd"/>
      <w:r w:rsidR="0048231B" w:rsidRPr="00AA6D1C">
        <w:rPr>
          <w:rFonts w:cs="Arial"/>
          <w:spacing w:val="-3"/>
          <w:lang w:val="en-US"/>
        </w:rPr>
        <w:t xml:space="preserve">, </w:t>
      </w:r>
      <w:r>
        <w:rPr>
          <w:rFonts w:cs="Arial"/>
          <w:spacing w:val="-3"/>
          <w:lang w:val="en-US"/>
        </w:rPr>
        <w:t>compared to PLN</w:t>
      </w:r>
      <w:r w:rsidR="0048231B" w:rsidRPr="00AA6D1C">
        <w:rPr>
          <w:rFonts w:cs="Arial"/>
          <w:spacing w:val="-3"/>
          <w:lang w:val="en-US"/>
        </w:rPr>
        <w:t xml:space="preserve"> </w:t>
      </w:r>
      <w:r w:rsidR="00AF0841">
        <w:rPr>
          <w:rFonts w:cs="Arial"/>
          <w:spacing w:val="-3"/>
          <w:lang w:val="en-US"/>
        </w:rPr>
        <w:t>672.6</w:t>
      </w:r>
      <w:r>
        <w:rPr>
          <w:rFonts w:cs="Arial"/>
          <w:spacing w:val="-3"/>
          <w:lang w:val="en-US"/>
        </w:rPr>
        <w:t xml:space="preserve"> </w:t>
      </w:r>
      <w:proofErr w:type="spellStart"/>
      <w:r>
        <w:rPr>
          <w:rFonts w:cs="Arial"/>
          <w:spacing w:val="-3"/>
          <w:lang w:val="en-US"/>
        </w:rPr>
        <w:t>bn</w:t>
      </w:r>
      <w:proofErr w:type="spellEnd"/>
      <w:r w:rsidR="0048231B" w:rsidRPr="00AA6D1C">
        <w:rPr>
          <w:rFonts w:cs="Arial"/>
          <w:spacing w:val="-3"/>
          <w:lang w:val="en-US"/>
        </w:rPr>
        <w:t xml:space="preserve">, </w:t>
      </w:r>
      <w:r>
        <w:rPr>
          <w:rFonts w:cs="Arial"/>
          <w:spacing w:val="-3"/>
          <w:lang w:val="en-US"/>
        </w:rPr>
        <w:t xml:space="preserve">of which </w:t>
      </w:r>
      <w:r w:rsidR="00AF0841">
        <w:rPr>
          <w:rFonts w:cs="Arial"/>
          <w:spacing w:val="-3"/>
          <w:lang w:val="en-US"/>
        </w:rPr>
        <w:t xml:space="preserve">    </w:t>
      </w:r>
      <w:r w:rsidRPr="00AF0841">
        <w:rPr>
          <w:lang w:val="en-US"/>
        </w:rPr>
        <w:t>the</w:t>
      </w:r>
      <w:r w:rsidR="00AF0841" w:rsidRPr="00AF0841">
        <w:rPr>
          <w:lang w:val="en-US"/>
        </w:rPr>
        <w:t xml:space="preserve"> </w:t>
      </w:r>
      <w:r w:rsidRPr="00AF0841">
        <w:rPr>
          <w:lang w:val="en-US"/>
        </w:rPr>
        <w:t>EU</w:t>
      </w:r>
      <w:r>
        <w:rPr>
          <w:rFonts w:cs="Arial"/>
          <w:spacing w:val="-3"/>
          <w:lang w:val="en-US"/>
        </w:rPr>
        <w:t xml:space="preserve">  - PLN </w:t>
      </w:r>
      <w:r w:rsidR="00AF0841">
        <w:rPr>
          <w:rFonts w:cs="Arial"/>
          <w:spacing w:val="-3"/>
          <w:lang w:val="en-US"/>
        </w:rPr>
        <w:t>631.8</w:t>
      </w:r>
      <w:r>
        <w:rPr>
          <w:rFonts w:cs="Arial"/>
          <w:spacing w:val="-3"/>
          <w:lang w:val="en-US"/>
        </w:rPr>
        <w:t xml:space="preserve"> </w:t>
      </w:r>
      <w:proofErr w:type="spellStart"/>
      <w:r>
        <w:rPr>
          <w:rFonts w:cs="Arial"/>
          <w:spacing w:val="-3"/>
          <w:lang w:val="en-US"/>
        </w:rPr>
        <w:t>bn</w:t>
      </w:r>
      <w:proofErr w:type="spellEnd"/>
      <w:r>
        <w:rPr>
          <w:rFonts w:cs="Arial"/>
          <w:spacing w:val="-3"/>
          <w:lang w:val="en-US"/>
        </w:rPr>
        <w:t xml:space="preserve"> in </w:t>
      </w:r>
      <w:r w:rsidR="0048231B" w:rsidRPr="00AA6D1C">
        <w:rPr>
          <w:rFonts w:cs="Arial"/>
          <w:spacing w:val="-3"/>
          <w:lang w:val="en-US"/>
        </w:rPr>
        <w:t>201</w:t>
      </w:r>
      <w:r w:rsidR="00AF0841">
        <w:rPr>
          <w:rFonts w:cs="Arial"/>
          <w:spacing w:val="-3"/>
          <w:lang w:val="en-US"/>
        </w:rPr>
        <w:t>7</w:t>
      </w:r>
      <w:r>
        <w:rPr>
          <w:rFonts w:cs="Arial"/>
          <w:spacing w:val="-3"/>
          <w:lang w:val="en-US"/>
        </w:rPr>
        <w:t>.</w:t>
      </w:r>
    </w:p>
    <w:p w14:paraId="6CF81B41" w14:textId="77777777" w:rsidR="003D23E6" w:rsidRPr="00AA6D1C" w:rsidRDefault="003D23E6" w:rsidP="0048231B">
      <w:pPr>
        <w:rPr>
          <w:lang w:val="en-US" w:eastAsia="pl-PL"/>
        </w:rPr>
      </w:pPr>
    </w:p>
    <w:p w14:paraId="09E25EB6" w14:textId="3C1028F6" w:rsidR="00AE636C" w:rsidRPr="00070820" w:rsidRDefault="0048231B" w:rsidP="00366025">
      <w:pPr>
        <w:rPr>
          <w:b/>
          <w:sz w:val="18"/>
          <w:szCs w:val="18"/>
          <w:shd w:val="clear" w:color="auto" w:fill="FFFFFF"/>
          <w:lang w:val="en-US"/>
        </w:rPr>
      </w:pPr>
      <w:r w:rsidRPr="00070820">
        <w:rPr>
          <w:rFonts w:cs="Arial"/>
          <w:b/>
          <w:spacing w:val="-3"/>
          <w:sz w:val="18"/>
          <w:szCs w:val="18"/>
          <w:lang w:val="en-US"/>
        </w:rPr>
        <w:t>Tabl</w:t>
      </w:r>
      <w:r w:rsidR="00717D5C" w:rsidRPr="00070820">
        <w:rPr>
          <w:rFonts w:cs="Arial"/>
          <w:b/>
          <w:spacing w:val="-3"/>
          <w:sz w:val="18"/>
          <w:szCs w:val="18"/>
          <w:lang w:val="en-US"/>
        </w:rPr>
        <w:t>e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 </w:t>
      </w:r>
      <w:r w:rsidR="00D67CD3" w:rsidRPr="00070820">
        <w:rPr>
          <w:rFonts w:cs="Arial"/>
          <w:b/>
          <w:spacing w:val="-3"/>
          <w:sz w:val="18"/>
          <w:szCs w:val="18"/>
          <w:lang w:val="en-US"/>
        </w:rPr>
        <w:t>3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. </w:t>
      </w:r>
      <w:r w:rsidRPr="00070820">
        <w:rPr>
          <w:b/>
          <w:lang w:val="en-US"/>
        </w:rPr>
        <w:t>Import</w:t>
      </w:r>
      <w:r w:rsidR="00717D5C" w:rsidRPr="00070820">
        <w:rPr>
          <w:b/>
          <w:lang w:val="en-US"/>
        </w:rPr>
        <w:t>s</w:t>
      </w:r>
      <w:r w:rsidRPr="00070820">
        <w:rPr>
          <w:b/>
          <w:lang w:val="en-US"/>
        </w:rPr>
        <w:t xml:space="preserve"> </w:t>
      </w:r>
      <w:r w:rsidR="00717D5C" w:rsidRPr="00070820">
        <w:rPr>
          <w:b/>
          <w:lang w:val="en-US"/>
        </w:rPr>
        <w:t>by country of consignment in total and by groups of counties</w:t>
      </w:r>
    </w:p>
    <w:tbl>
      <w:tblPr>
        <w:tblW w:w="8080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718"/>
        <w:gridCol w:w="717"/>
        <w:gridCol w:w="723"/>
        <w:gridCol w:w="708"/>
        <w:gridCol w:w="709"/>
        <w:gridCol w:w="709"/>
        <w:gridCol w:w="738"/>
        <w:gridCol w:w="821"/>
      </w:tblGrid>
      <w:tr w:rsidR="0051165C" w:rsidRPr="0051165C" w14:paraId="27DBE42B" w14:textId="77777777" w:rsidTr="000C2149">
        <w:trPr>
          <w:trHeight w:val="352"/>
        </w:trPr>
        <w:tc>
          <w:tcPr>
            <w:tcW w:w="2237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14:paraId="66D62FDF" w14:textId="481CEB83" w:rsidR="0051165C" w:rsidRPr="000C2149" w:rsidRDefault="00717D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284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14:paraId="41F775E6" w14:textId="05BBF135" w:rsidR="0051165C" w:rsidRPr="000C2149" w:rsidRDefault="00AF0841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2018</w:t>
            </w:r>
          </w:p>
        </w:tc>
        <w:tc>
          <w:tcPr>
            <w:tcW w:w="738" w:type="dxa"/>
            <w:tcBorders>
              <w:top w:val="nil"/>
              <w:bottom w:val="single" w:sz="4" w:space="0" w:color="001D77"/>
            </w:tcBorders>
            <w:vAlign w:val="center"/>
          </w:tcPr>
          <w:p w14:paraId="4D72C402" w14:textId="575D7B7F" w:rsidR="0051165C" w:rsidRPr="000C2149" w:rsidRDefault="00AF0841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2017</w:t>
            </w:r>
          </w:p>
        </w:tc>
        <w:tc>
          <w:tcPr>
            <w:tcW w:w="821" w:type="dxa"/>
            <w:tcBorders>
              <w:top w:val="nil"/>
              <w:bottom w:val="single" w:sz="4" w:space="0" w:color="001D77"/>
            </w:tcBorders>
            <w:vAlign w:val="center"/>
          </w:tcPr>
          <w:p w14:paraId="46D65732" w14:textId="12339A91" w:rsidR="0051165C" w:rsidRPr="000C2149" w:rsidRDefault="00AF0841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2018</w:t>
            </w:r>
          </w:p>
        </w:tc>
      </w:tr>
      <w:tr w:rsidR="00C85300" w:rsidRPr="0051165C" w14:paraId="5A592C61" w14:textId="77777777" w:rsidTr="00C85300">
        <w:trPr>
          <w:trHeight w:val="370"/>
        </w:trPr>
        <w:tc>
          <w:tcPr>
            <w:tcW w:w="2237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14:paraId="39CD18A4" w14:textId="77777777" w:rsidR="00C85300" w:rsidRPr="000C2149" w:rsidRDefault="00C85300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3C2384DC" w14:textId="77777777" w:rsidR="00C85300" w:rsidRPr="000C2149" w:rsidRDefault="00C85300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3C1EBA79" w14:textId="39ACD246" w:rsidR="00C85300" w:rsidRPr="000C2149" w:rsidRDefault="00C85300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360BA5EA" w14:textId="77777777" w:rsidR="00C85300" w:rsidRPr="000C2149" w:rsidRDefault="00C85300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01E48675" w14:textId="77E8DDB8" w:rsidR="00C85300" w:rsidRPr="000C2149" w:rsidRDefault="00C85300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3B8EC245" w14:textId="77777777" w:rsidR="00C85300" w:rsidRPr="000C2149" w:rsidRDefault="00C85300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3706E975" w14:textId="6EBFB697" w:rsidR="00C85300" w:rsidRPr="000C2149" w:rsidRDefault="00C85300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126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1F36F4C4" w14:textId="1621212C" w:rsidR="00C85300" w:rsidRPr="000C2149" w:rsidRDefault="00C85300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2017</w:t>
            </w:r>
            <w:r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1D77"/>
            </w:tcBorders>
            <w:vAlign w:val="center"/>
          </w:tcPr>
          <w:p w14:paraId="1A58C3B8" w14:textId="2FF7F29B" w:rsidR="00C85300" w:rsidRPr="000C2149" w:rsidRDefault="00C85300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C85300" w:rsidRPr="0051165C" w14:paraId="61F0318C" w14:textId="77777777" w:rsidTr="00C85300">
        <w:trPr>
          <w:trHeight w:val="380"/>
        </w:trPr>
        <w:tc>
          <w:tcPr>
            <w:tcW w:w="223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2A086A78" w14:textId="77777777" w:rsidR="00C85300" w:rsidRPr="000C2149" w:rsidRDefault="00C85300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1FE94048" w14:textId="77777777" w:rsidR="00C85300" w:rsidRPr="000C2149" w:rsidRDefault="00C85300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5253D6F5" w14:textId="77777777" w:rsidR="00C85300" w:rsidRPr="000C2149" w:rsidRDefault="00C85300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3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756A55CF" w14:textId="77777777" w:rsidR="00C85300" w:rsidRPr="000C2149" w:rsidRDefault="00C85300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0B6ADA1E" w14:textId="48FE5513" w:rsidR="00C85300" w:rsidRPr="000C2149" w:rsidRDefault="00C85300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09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1D3E6460" w14:textId="77777777" w:rsidR="00C85300" w:rsidRPr="000C2149" w:rsidRDefault="00C85300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09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7D9D888B" w14:textId="77777777" w:rsidR="00C85300" w:rsidRPr="000C2149" w:rsidRDefault="00C85300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559" w:type="dxa"/>
            <w:gridSpan w:val="2"/>
            <w:vMerge/>
            <w:tcBorders>
              <w:bottom w:val="single" w:sz="12" w:space="0" w:color="001D77"/>
            </w:tcBorders>
            <w:vAlign w:val="center"/>
          </w:tcPr>
          <w:p w14:paraId="1F8C3C40" w14:textId="6CFC8E9C" w:rsidR="00C85300" w:rsidRPr="000C2149" w:rsidRDefault="00C85300" w:rsidP="0089034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C85300" w:rsidRPr="0051165C" w14:paraId="139A0AC8" w14:textId="77777777" w:rsidTr="0064406A">
        <w:trPr>
          <w:trHeight w:val="342"/>
        </w:trPr>
        <w:tc>
          <w:tcPr>
            <w:tcW w:w="2237" w:type="dxa"/>
            <w:tcBorders>
              <w:top w:val="single" w:sz="12" w:space="0" w:color="001D77"/>
            </w:tcBorders>
            <w:vAlign w:val="center"/>
          </w:tcPr>
          <w:p w14:paraId="3CB90A79" w14:textId="32BC902E" w:rsidR="00C85300" w:rsidRPr="00A00ADB" w:rsidRDefault="00C85300" w:rsidP="00C8530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51165C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>s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(country of </w:t>
            </w:r>
            <w:proofErr w:type="spellStart"/>
            <w:r>
              <w:rPr>
                <w:rFonts w:cs="Arial"/>
                <w:sz w:val="16"/>
                <w:szCs w:val="16"/>
              </w:rPr>
              <w:t>consignment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2"/>
            </w:r>
          </w:p>
        </w:tc>
        <w:tc>
          <w:tcPr>
            <w:tcW w:w="718" w:type="dxa"/>
            <w:tcBorders>
              <w:top w:val="single" w:sz="12" w:space="0" w:color="001D77"/>
            </w:tcBorders>
            <w:vAlign w:val="bottom"/>
          </w:tcPr>
          <w:p w14:paraId="21D3872B" w14:textId="4033F041" w:rsidR="00C85300" w:rsidRPr="0051165C" w:rsidRDefault="00C85300" w:rsidP="00C85300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970.8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14:paraId="4AF553D6" w14:textId="1BD1948B" w:rsidR="00C85300" w:rsidRPr="0051165C" w:rsidRDefault="00C85300" w:rsidP="00C85300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270.2</w:t>
            </w:r>
          </w:p>
        </w:tc>
        <w:tc>
          <w:tcPr>
            <w:tcW w:w="723" w:type="dxa"/>
            <w:tcBorders>
              <w:top w:val="single" w:sz="12" w:space="0" w:color="001D77"/>
            </w:tcBorders>
            <w:vAlign w:val="bottom"/>
          </w:tcPr>
          <w:p w14:paraId="409E2311" w14:textId="6E6F1ECC" w:rsidR="00C85300" w:rsidRPr="0051165C" w:rsidRDefault="00C85300" w:rsidP="00C85300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228.2</w:t>
            </w:r>
          </w:p>
        </w:tc>
        <w:tc>
          <w:tcPr>
            <w:tcW w:w="708" w:type="dxa"/>
            <w:tcBorders>
              <w:top w:val="single" w:sz="12" w:space="0" w:color="001D77"/>
            </w:tcBorders>
            <w:vAlign w:val="bottom"/>
          </w:tcPr>
          <w:p w14:paraId="0DB4135A" w14:textId="124DE331" w:rsidR="00C85300" w:rsidRPr="0051165C" w:rsidRDefault="00C85300" w:rsidP="00C85300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110.3</w:t>
            </w:r>
          </w:p>
        </w:tc>
        <w:tc>
          <w:tcPr>
            <w:tcW w:w="709" w:type="dxa"/>
            <w:tcBorders>
              <w:top w:val="single" w:sz="12" w:space="0" w:color="001D77"/>
            </w:tcBorders>
            <w:vAlign w:val="bottom"/>
          </w:tcPr>
          <w:p w14:paraId="505724CF" w14:textId="28AE44BC" w:rsidR="00C85300" w:rsidRPr="0051165C" w:rsidRDefault="00C85300" w:rsidP="00C85300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116.9</w:t>
            </w:r>
          </w:p>
        </w:tc>
        <w:tc>
          <w:tcPr>
            <w:tcW w:w="709" w:type="dxa"/>
            <w:tcBorders>
              <w:top w:val="single" w:sz="12" w:space="0" w:color="001D77"/>
            </w:tcBorders>
            <w:vAlign w:val="bottom"/>
          </w:tcPr>
          <w:p w14:paraId="3A2BED1F" w14:textId="5F8F3FD1" w:rsidR="00C85300" w:rsidRPr="0051165C" w:rsidRDefault="00C85300" w:rsidP="00C85300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110.7</w:t>
            </w:r>
          </w:p>
        </w:tc>
        <w:tc>
          <w:tcPr>
            <w:tcW w:w="738" w:type="dxa"/>
            <w:tcBorders>
              <w:top w:val="single" w:sz="12" w:space="0" w:color="001D77"/>
            </w:tcBorders>
            <w:vAlign w:val="bottom"/>
          </w:tcPr>
          <w:p w14:paraId="42348286" w14:textId="52A765F8" w:rsidR="00C85300" w:rsidRPr="0051165C" w:rsidRDefault="00C85300" w:rsidP="00C85300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1165C">
              <w:rPr>
                <w:rFonts w:cs="Arial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51165C">
              <w:rPr>
                <w:rFonts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21" w:type="dxa"/>
            <w:tcBorders>
              <w:top w:val="single" w:sz="12" w:space="0" w:color="001D77"/>
            </w:tcBorders>
            <w:vAlign w:val="bottom"/>
          </w:tcPr>
          <w:p w14:paraId="7380145C" w14:textId="4028D6D9" w:rsidR="00C85300" w:rsidRPr="0051165C" w:rsidRDefault="00C85300" w:rsidP="00C85300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1165C">
              <w:rPr>
                <w:rFonts w:cs="Arial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51165C">
              <w:rPr>
                <w:rFonts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C85300" w:rsidRPr="0051165C" w14:paraId="6AFE57B4" w14:textId="77777777" w:rsidTr="0064406A">
        <w:trPr>
          <w:trHeight w:val="352"/>
        </w:trPr>
        <w:tc>
          <w:tcPr>
            <w:tcW w:w="2237" w:type="dxa"/>
            <w:vAlign w:val="center"/>
          </w:tcPr>
          <w:p w14:paraId="179C49CA" w14:textId="15CD5970" w:rsidR="00C85300" w:rsidRPr="0051165C" w:rsidRDefault="00C85300" w:rsidP="00C8530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61C78786" w14:textId="669844AC" w:rsidR="00C85300" w:rsidRPr="0051165C" w:rsidRDefault="00C85300" w:rsidP="00C8530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724.0</w:t>
            </w:r>
          </w:p>
        </w:tc>
        <w:tc>
          <w:tcPr>
            <w:tcW w:w="717" w:type="dxa"/>
            <w:vAlign w:val="bottom"/>
          </w:tcPr>
          <w:p w14:paraId="3EA701E9" w14:textId="6A0FA9E3" w:rsidR="00C85300" w:rsidRPr="0051165C" w:rsidRDefault="00C85300" w:rsidP="00C8530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201.6</w:t>
            </w:r>
          </w:p>
        </w:tc>
        <w:tc>
          <w:tcPr>
            <w:tcW w:w="723" w:type="dxa"/>
            <w:vAlign w:val="bottom"/>
          </w:tcPr>
          <w:p w14:paraId="28012681" w14:textId="61AD24C2" w:rsidR="00C85300" w:rsidRPr="0051165C" w:rsidRDefault="00C85300" w:rsidP="00C8530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170.2</w:t>
            </w:r>
          </w:p>
        </w:tc>
        <w:tc>
          <w:tcPr>
            <w:tcW w:w="708" w:type="dxa"/>
            <w:vAlign w:val="bottom"/>
          </w:tcPr>
          <w:p w14:paraId="4F2EFB0E" w14:textId="164ACDC9" w:rsidR="00C85300" w:rsidRPr="0051165C" w:rsidRDefault="00C85300" w:rsidP="00C8530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107.6</w:t>
            </w:r>
          </w:p>
        </w:tc>
        <w:tc>
          <w:tcPr>
            <w:tcW w:w="709" w:type="dxa"/>
            <w:vAlign w:val="bottom"/>
          </w:tcPr>
          <w:p w14:paraId="586219E8" w14:textId="03D6C2D4" w:rsidR="00C85300" w:rsidRPr="0051165C" w:rsidRDefault="00C85300" w:rsidP="00C8530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114.2</w:t>
            </w:r>
          </w:p>
        </w:tc>
        <w:tc>
          <w:tcPr>
            <w:tcW w:w="709" w:type="dxa"/>
            <w:vAlign w:val="bottom"/>
          </w:tcPr>
          <w:p w14:paraId="4688C09B" w14:textId="615D2F8D" w:rsidR="00C85300" w:rsidRPr="0051165C" w:rsidRDefault="00C85300" w:rsidP="00C8530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108.1</w:t>
            </w:r>
          </w:p>
        </w:tc>
        <w:tc>
          <w:tcPr>
            <w:tcW w:w="738" w:type="dxa"/>
            <w:vAlign w:val="bottom"/>
          </w:tcPr>
          <w:p w14:paraId="0751E6A9" w14:textId="50AE8BAC" w:rsidR="00C85300" w:rsidRPr="0051165C" w:rsidRDefault="00C85300" w:rsidP="00C8530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76.4</w:t>
            </w:r>
          </w:p>
        </w:tc>
        <w:tc>
          <w:tcPr>
            <w:tcW w:w="821" w:type="dxa"/>
            <w:vAlign w:val="bottom"/>
          </w:tcPr>
          <w:p w14:paraId="6C0A8788" w14:textId="215464C1" w:rsidR="00C85300" w:rsidRPr="0051165C" w:rsidRDefault="00C85300" w:rsidP="00C8530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74.5</w:t>
            </w:r>
          </w:p>
        </w:tc>
      </w:tr>
      <w:tr w:rsidR="00C85300" w:rsidRPr="0051165C" w14:paraId="56C97CDA" w14:textId="77777777" w:rsidTr="0064406A">
        <w:trPr>
          <w:trHeight w:val="342"/>
        </w:trPr>
        <w:tc>
          <w:tcPr>
            <w:tcW w:w="2237" w:type="dxa"/>
            <w:vAlign w:val="center"/>
          </w:tcPr>
          <w:p w14:paraId="3A77726D" w14:textId="75D901A6" w:rsidR="00C85300" w:rsidRPr="0051165C" w:rsidRDefault="00C85300" w:rsidP="00C85300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136D97F1" w14:textId="3DF26282" w:rsidR="00C85300" w:rsidRPr="0051165C" w:rsidRDefault="00C85300" w:rsidP="00C8530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680.4</w:t>
            </w:r>
          </w:p>
        </w:tc>
        <w:tc>
          <w:tcPr>
            <w:tcW w:w="717" w:type="dxa"/>
            <w:vAlign w:val="bottom"/>
          </w:tcPr>
          <w:p w14:paraId="6E6AB1F1" w14:textId="7551B9A4" w:rsidR="00C85300" w:rsidRPr="0051165C" w:rsidRDefault="00C85300" w:rsidP="00C8530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189.4</w:t>
            </w:r>
          </w:p>
        </w:tc>
        <w:tc>
          <w:tcPr>
            <w:tcW w:w="723" w:type="dxa"/>
            <w:vAlign w:val="bottom"/>
          </w:tcPr>
          <w:p w14:paraId="0E397000" w14:textId="0151E139" w:rsidR="00C85300" w:rsidRPr="0051165C" w:rsidRDefault="00C85300" w:rsidP="00C8530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159.9</w:t>
            </w:r>
          </w:p>
        </w:tc>
        <w:tc>
          <w:tcPr>
            <w:tcW w:w="708" w:type="dxa"/>
            <w:vAlign w:val="bottom"/>
          </w:tcPr>
          <w:p w14:paraId="4C8A76CF" w14:textId="74B967FE" w:rsidR="00C85300" w:rsidRPr="0051165C" w:rsidRDefault="00C85300" w:rsidP="00C8530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107.7</w:t>
            </w:r>
          </w:p>
        </w:tc>
        <w:tc>
          <w:tcPr>
            <w:tcW w:w="709" w:type="dxa"/>
            <w:vAlign w:val="bottom"/>
          </w:tcPr>
          <w:p w14:paraId="76FCAFA0" w14:textId="71A5BDAF" w:rsidR="00C85300" w:rsidRPr="0051165C" w:rsidRDefault="00C85300" w:rsidP="00C8530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114.2</w:t>
            </w:r>
          </w:p>
        </w:tc>
        <w:tc>
          <w:tcPr>
            <w:tcW w:w="709" w:type="dxa"/>
            <w:vAlign w:val="bottom"/>
          </w:tcPr>
          <w:p w14:paraId="56EA7174" w14:textId="63E9F0DD" w:rsidR="00C85300" w:rsidRPr="0051165C" w:rsidRDefault="00C85300" w:rsidP="00C8530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108.1</w:t>
            </w:r>
          </w:p>
        </w:tc>
        <w:tc>
          <w:tcPr>
            <w:tcW w:w="738" w:type="dxa"/>
            <w:vAlign w:val="bottom"/>
          </w:tcPr>
          <w:p w14:paraId="7B0F515E" w14:textId="0BCA67BE" w:rsidR="00C85300" w:rsidRPr="0051165C" w:rsidRDefault="00C85300" w:rsidP="00C8530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71.8</w:t>
            </w:r>
          </w:p>
        </w:tc>
        <w:tc>
          <w:tcPr>
            <w:tcW w:w="821" w:type="dxa"/>
            <w:vAlign w:val="bottom"/>
          </w:tcPr>
          <w:p w14:paraId="15B18860" w14:textId="1DBE24BF" w:rsidR="00C85300" w:rsidRPr="0051165C" w:rsidRDefault="00C85300" w:rsidP="00C8530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70.1</w:t>
            </w:r>
          </w:p>
        </w:tc>
      </w:tr>
      <w:tr w:rsidR="00C85300" w:rsidRPr="0051165C" w14:paraId="10E6465E" w14:textId="77777777" w:rsidTr="0064406A">
        <w:trPr>
          <w:trHeight w:val="352"/>
        </w:trPr>
        <w:tc>
          <w:tcPr>
            <w:tcW w:w="2237" w:type="dxa"/>
            <w:vAlign w:val="center"/>
          </w:tcPr>
          <w:p w14:paraId="0AC796F5" w14:textId="13E84567" w:rsidR="00C85300" w:rsidRPr="0051165C" w:rsidRDefault="00C85300" w:rsidP="00C8530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25F6EDBA" w14:textId="31DF0219" w:rsidR="00C85300" w:rsidRPr="0051165C" w:rsidRDefault="00C85300" w:rsidP="00C8530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552.0</w:t>
            </w:r>
          </w:p>
        </w:tc>
        <w:tc>
          <w:tcPr>
            <w:tcW w:w="717" w:type="dxa"/>
            <w:vAlign w:val="bottom"/>
          </w:tcPr>
          <w:p w14:paraId="0D0ABF4E" w14:textId="2E0CDF6E" w:rsidR="00C85300" w:rsidRPr="0051165C" w:rsidRDefault="00C85300" w:rsidP="00C8530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153.7</w:t>
            </w:r>
          </w:p>
        </w:tc>
        <w:tc>
          <w:tcPr>
            <w:tcW w:w="723" w:type="dxa"/>
            <w:vAlign w:val="bottom"/>
          </w:tcPr>
          <w:p w14:paraId="7059D8CB" w14:textId="56B71E98" w:rsidR="00C85300" w:rsidRPr="0051165C" w:rsidRDefault="00C85300" w:rsidP="00C8530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129.8</w:t>
            </w:r>
          </w:p>
        </w:tc>
        <w:tc>
          <w:tcPr>
            <w:tcW w:w="708" w:type="dxa"/>
            <w:vAlign w:val="bottom"/>
          </w:tcPr>
          <w:p w14:paraId="41DECC32" w14:textId="6D6532FE" w:rsidR="00C85300" w:rsidRPr="0051165C" w:rsidRDefault="00C85300" w:rsidP="00C8530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107.7</w:t>
            </w:r>
          </w:p>
        </w:tc>
        <w:tc>
          <w:tcPr>
            <w:tcW w:w="709" w:type="dxa"/>
            <w:vAlign w:val="bottom"/>
          </w:tcPr>
          <w:p w14:paraId="1B4C7C19" w14:textId="786D3772" w:rsidR="00C85300" w:rsidRPr="0051165C" w:rsidRDefault="00C85300" w:rsidP="00C8530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114.2</w:t>
            </w:r>
          </w:p>
        </w:tc>
        <w:tc>
          <w:tcPr>
            <w:tcW w:w="709" w:type="dxa"/>
            <w:vAlign w:val="bottom"/>
          </w:tcPr>
          <w:p w14:paraId="60418E11" w14:textId="2260882F" w:rsidR="00C85300" w:rsidRPr="0051165C" w:rsidRDefault="00C85300" w:rsidP="00C8530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108.1</w:t>
            </w:r>
          </w:p>
        </w:tc>
        <w:tc>
          <w:tcPr>
            <w:tcW w:w="738" w:type="dxa"/>
            <w:vAlign w:val="bottom"/>
          </w:tcPr>
          <w:p w14:paraId="4DF40ADA" w14:textId="1A305B56" w:rsidR="00C85300" w:rsidRPr="0051165C" w:rsidRDefault="00C85300" w:rsidP="00C8530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58.2</w:t>
            </w:r>
          </w:p>
        </w:tc>
        <w:tc>
          <w:tcPr>
            <w:tcW w:w="821" w:type="dxa"/>
            <w:vAlign w:val="bottom"/>
          </w:tcPr>
          <w:p w14:paraId="26511D85" w14:textId="6A007CF1" w:rsidR="00C85300" w:rsidRPr="0051165C" w:rsidRDefault="00C85300" w:rsidP="00C8530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56.9</w:t>
            </w:r>
          </w:p>
        </w:tc>
      </w:tr>
      <w:tr w:rsidR="00C85300" w:rsidRPr="0051165C" w14:paraId="5E082EB7" w14:textId="77777777" w:rsidTr="0064406A">
        <w:trPr>
          <w:trHeight w:val="342"/>
        </w:trPr>
        <w:tc>
          <w:tcPr>
            <w:tcW w:w="2237" w:type="dxa"/>
            <w:vAlign w:val="center"/>
          </w:tcPr>
          <w:p w14:paraId="6D264FD3" w14:textId="3BC22755" w:rsidR="00C85300" w:rsidRPr="0051165C" w:rsidRDefault="00C85300" w:rsidP="00C8530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Developing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71D13D06" w14:textId="5DCFBEB8" w:rsidR="00C85300" w:rsidRPr="0051165C" w:rsidRDefault="00C85300" w:rsidP="00C8530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155.9</w:t>
            </w:r>
          </w:p>
        </w:tc>
        <w:tc>
          <w:tcPr>
            <w:tcW w:w="717" w:type="dxa"/>
            <w:vAlign w:val="bottom"/>
          </w:tcPr>
          <w:p w14:paraId="031EF443" w14:textId="435A2892" w:rsidR="00C85300" w:rsidRPr="0051165C" w:rsidRDefault="00C85300" w:rsidP="00C8530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43.3</w:t>
            </w:r>
          </w:p>
        </w:tc>
        <w:tc>
          <w:tcPr>
            <w:tcW w:w="723" w:type="dxa"/>
            <w:vAlign w:val="bottom"/>
          </w:tcPr>
          <w:p w14:paraId="558D632A" w14:textId="6A5FE4E3" w:rsidR="00C85300" w:rsidRPr="0051165C" w:rsidRDefault="00C85300" w:rsidP="00C8530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36.6</w:t>
            </w:r>
          </w:p>
        </w:tc>
        <w:tc>
          <w:tcPr>
            <w:tcW w:w="708" w:type="dxa"/>
            <w:vAlign w:val="bottom"/>
          </w:tcPr>
          <w:p w14:paraId="2C221E46" w14:textId="60600196" w:rsidR="00C85300" w:rsidRPr="0051165C" w:rsidRDefault="00C85300" w:rsidP="00C8530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114.6</w:t>
            </w:r>
          </w:p>
        </w:tc>
        <w:tc>
          <w:tcPr>
            <w:tcW w:w="709" w:type="dxa"/>
            <w:vAlign w:val="bottom"/>
          </w:tcPr>
          <w:p w14:paraId="33F03002" w14:textId="04E02960" w:rsidR="00C85300" w:rsidRPr="0051165C" w:rsidRDefault="00C85300" w:rsidP="00C8530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121.3</w:t>
            </w:r>
          </w:p>
        </w:tc>
        <w:tc>
          <w:tcPr>
            <w:tcW w:w="709" w:type="dxa"/>
            <w:vAlign w:val="bottom"/>
          </w:tcPr>
          <w:p w14:paraId="206E88A2" w14:textId="6440A8EF" w:rsidR="00C85300" w:rsidRPr="0051165C" w:rsidRDefault="00C85300" w:rsidP="00C8530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115.0</w:t>
            </w:r>
          </w:p>
        </w:tc>
        <w:tc>
          <w:tcPr>
            <w:tcW w:w="738" w:type="dxa"/>
            <w:vAlign w:val="bottom"/>
          </w:tcPr>
          <w:p w14:paraId="4B7C6267" w14:textId="7FF2F464" w:rsidR="00C85300" w:rsidRPr="0051165C" w:rsidRDefault="00C85300" w:rsidP="00C8530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15.5</w:t>
            </w:r>
          </w:p>
        </w:tc>
        <w:tc>
          <w:tcPr>
            <w:tcW w:w="821" w:type="dxa"/>
            <w:vAlign w:val="bottom"/>
          </w:tcPr>
          <w:p w14:paraId="7DD7E20E" w14:textId="7C570A9D" w:rsidR="00C85300" w:rsidRPr="0051165C" w:rsidRDefault="00C85300" w:rsidP="00C8530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16.1</w:t>
            </w:r>
          </w:p>
        </w:tc>
      </w:tr>
      <w:tr w:rsidR="00C85300" w:rsidRPr="0051165C" w14:paraId="173A4F9D" w14:textId="77777777" w:rsidTr="0064406A">
        <w:trPr>
          <w:trHeight w:val="355"/>
        </w:trPr>
        <w:tc>
          <w:tcPr>
            <w:tcW w:w="2237" w:type="dxa"/>
            <w:vAlign w:val="center"/>
          </w:tcPr>
          <w:p w14:paraId="7AF51797" w14:textId="75937A5B" w:rsidR="00C85300" w:rsidRPr="00BA58B2" w:rsidRDefault="00C85300" w:rsidP="00C8530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Countries</w:t>
            </w: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 of Cent. and East. </w:t>
            </w:r>
            <w:r w:rsidRPr="00BA58B2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vAlign w:val="bottom"/>
          </w:tcPr>
          <w:p w14:paraId="2796F863" w14:textId="3C93B588" w:rsidR="00C85300" w:rsidRPr="0051165C" w:rsidRDefault="00C85300" w:rsidP="00C8530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90.9</w:t>
            </w:r>
          </w:p>
        </w:tc>
        <w:tc>
          <w:tcPr>
            <w:tcW w:w="717" w:type="dxa"/>
            <w:vAlign w:val="bottom"/>
          </w:tcPr>
          <w:p w14:paraId="65C3C39B" w14:textId="0A208A1C" w:rsidR="00C85300" w:rsidRPr="0051165C" w:rsidRDefault="00C85300" w:rsidP="00C8530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25.3</w:t>
            </w:r>
          </w:p>
        </w:tc>
        <w:tc>
          <w:tcPr>
            <w:tcW w:w="723" w:type="dxa"/>
            <w:vAlign w:val="bottom"/>
          </w:tcPr>
          <w:p w14:paraId="223402C1" w14:textId="60F4A5A4" w:rsidR="00C85300" w:rsidRPr="0051165C" w:rsidRDefault="00C85300" w:rsidP="00C8530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21.4</w:t>
            </w:r>
          </w:p>
        </w:tc>
        <w:tc>
          <w:tcPr>
            <w:tcW w:w="708" w:type="dxa"/>
            <w:vAlign w:val="bottom"/>
          </w:tcPr>
          <w:p w14:paraId="405A59BD" w14:textId="5FDB1441" w:rsidR="00C85300" w:rsidRPr="0051165C" w:rsidRDefault="00C85300" w:rsidP="00C8530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127.2</w:t>
            </w:r>
          </w:p>
        </w:tc>
        <w:tc>
          <w:tcPr>
            <w:tcW w:w="709" w:type="dxa"/>
            <w:vAlign w:val="bottom"/>
          </w:tcPr>
          <w:p w14:paraId="65318744" w14:textId="3E046EF4" w:rsidR="00C85300" w:rsidRPr="0051165C" w:rsidRDefault="00C85300" w:rsidP="00C8530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134.7</w:t>
            </w:r>
          </w:p>
        </w:tc>
        <w:tc>
          <w:tcPr>
            <w:tcW w:w="709" w:type="dxa"/>
            <w:vAlign w:val="bottom"/>
          </w:tcPr>
          <w:p w14:paraId="381F3337" w14:textId="5A00A60B" w:rsidR="00C85300" w:rsidRPr="0051165C" w:rsidRDefault="00C85300" w:rsidP="00C8530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127.7</w:t>
            </w:r>
          </w:p>
        </w:tc>
        <w:tc>
          <w:tcPr>
            <w:tcW w:w="738" w:type="dxa"/>
            <w:vAlign w:val="bottom"/>
          </w:tcPr>
          <w:p w14:paraId="1FFC93F5" w14:textId="19776D15" w:rsidR="00C85300" w:rsidRPr="0051165C" w:rsidRDefault="00C85300" w:rsidP="00C8530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8.1</w:t>
            </w:r>
          </w:p>
        </w:tc>
        <w:tc>
          <w:tcPr>
            <w:tcW w:w="821" w:type="dxa"/>
            <w:vAlign w:val="bottom"/>
          </w:tcPr>
          <w:p w14:paraId="37C4E2B7" w14:textId="4B231AFE" w:rsidR="00C85300" w:rsidRPr="0051165C" w:rsidRDefault="00C85300" w:rsidP="00C8530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9.4</w:t>
            </w:r>
          </w:p>
        </w:tc>
      </w:tr>
      <w:tr w:rsidR="00C85300" w:rsidRPr="0051165C" w14:paraId="7C90BA94" w14:textId="77777777" w:rsidTr="0064406A">
        <w:trPr>
          <w:trHeight w:val="342"/>
        </w:trPr>
        <w:tc>
          <w:tcPr>
            <w:tcW w:w="2237" w:type="dxa"/>
            <w:vAlign w:val="center"/>
          </w:tcPr>
          <w:p w14:paraId="330CF84D" w14:textId="0214F408" w:rsidR="00C85300" w:rsidRPr="0051165C" w:rsidRDefault="00C85300" w:rsidP="00C85300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Balance</w:t>
            </w:r>
            <w:proofErr w:type="spellEnd"/>
            <w:r w:rsidRPr="00E33A76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139E79A4" w14:textId="5A4153E1" w:rsidR="00C85300" w:rsidRPr="0051165C" w:rsidRDefault="00C85300" w:rsidP="00C85300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-19.5</w:t>
            </w:r>
          </w:p>
        </w:tc>
        <w:tc>
          <w:tcPr>
            <w:tcW w:w="717" w:type="dxa"/>
            <w:vAlign w:val="bottom"/>
          </w:tcPr>
          <w:p w14:paraId="41AD4FFC" w14:textId="697553D0" w:rsidR="00C85300" w:rsidRPr="0051165C" w:rsidRDefault="00C85300" w:rsidP="00C85300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-5.4</w:t>
            </w:r>
          </w:p>
        </w:tc>
        <w:tc>
          <w:tcPr>
            <w:tcW w:w="723" w:type="dxa"/>
            <w:vAlign w:val="bottom"/>
          </w:tcPr>
          <w:p w14:paraId="30E2545C" w14:textId="60E03C2B" w:rsidR="00C85300" w:rsidRPr="0051165C" w:rsidRDefault="00C85300" w:rsidP="00C85300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-4.6</w:t>
            </w:r>
          </w:p>
        </w:tc>
        <w:tc>
          <w:tcPr>
            <w:tcW w:w="708" w:type="dxa"/>
            <w:vAlign w:val="bottom"/>
          </w:tcPr>
          <w:p w14:paraId="75CB10C8" w14:textId="3CF9EABE" w:rsidR="00C85300" w:rsidRPr="0051165C" w:rsidRDefault="00C85300" w:rsidP="00C85300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1165C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709" w:type="dxa"/>
            <w:vAlign w:val="bottom"/>
          </w:tcPr>
          <w:p w14:paraId="0A4FADD0" w14:textId="11C7E5F0" w:rsidR="00C85300" w:rsidRPr="0051165C" w:rsidRDefault="00C85300" w:rsidP="00C85300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1165C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709" w:type="dxa"/>
            <w:vAlign w:val="bottom"/>
          </w:tcPr>
          <w:p w14:paraId="2DCBC06F" w14:textId="199DFFBC" w:rsidR="00C85300" w:rsidRPr="0051165C" w:rsidRDefault="00C85300" w:rsidP="00C85300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1165C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738" w:type="dxa"/>
            <w:vAlign w:val="bottom"/>
          </w:tcPr>
          <w:p w14:paraId="7CA21AD1" w14:textId="0FAF7D9C" w:rsidR="00C85300" w:rsidRPr="0051165C" w:rsidRDefault="00C85300" w:rsidP="00C85300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1165C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821" w:type="dxa"/>
            <w:vAlign w:val="bottom"/>
          </w:tcPr>
          <w:p w14:paraId="71EBC27A" w14:textId="777F7238" w:rsidR="00C85300" w:rsidRPr="0051165C" w:rsidRDefault="00C85300" w:rsidP="00C85300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1165C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</w:tr>
      <w:tr w:rsidR="00C85300" w:rsidRPr="0051165C" w14:paraId="272E1D92" w14:textId="77777777" w:rsidTr="0064406A">
        <w:trPr>
          <w:trHeight w:val="352"/>
        </w:trPr>
        <w:tc>
          <w:tcPr>
            <w:tcW w:w="2237" w:type="dxa"/>
            <w:vAlign w:val="center"/>
          </w:tcPr>
          <w:p w14:paraId="5752AE22" w14:textId="272874AA" w:rsidR="00C85300" w:rsidRPr="0051165C" w:rsidRDefault="00C85300" w:rsidP="00C8530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19EF3D9F" w14:textId="2EF9D767" w:rsidR="00C85300" w:rsidRPr="0051165C" w:rsidRDefault="00C85300" w:rsidP="00C8530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105.1</w:t>
            </w:r>
          </w:p>
        </w:tc>
        <w:tc>
          <w:tcPr>
            <w:tcW w:w="717" w:type="dxa"/>
            <w:vAlign w:val="bottom"/>
          </w:tcPr>
          <w:p w14:paraId="0A1BCC7D" w14:textId="6382E764" w:rsidR="00C85300" w:rsidRPr="0051165C" w:rsidRDefault="00C85300" w:rsidP="00C8530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29.2</w:t>
            </w:r>
          </w:p>
        </w:tc>
        <w:tc>
          <w:tcPr>
            <w:tcW w:w="723" w:type="dxa"/>
            <w:vAlign w:val="bottom"/>
          </w:tcPr>
          <w:p w14:paraId="67809513" w14:textId="3945B241" w:rsidR="00C85300" w:rsidRPr="0051165C" w:rsidRDefault="00C85300" w:rsidP="00C8530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24.7</w:t>
            </w:r>
          </w:p>
        </w:tc>
        <w:tc>
          <w:tcPr>
            <w:tcW w:w="708" w:type="dxa"/>
            <w:vAlign w:val="bottom"/>
          </w:tcPr>
          <w:p w14:paraId="4AE3E68C" w14:textId="3D2767A5" w:rsidR="00C85300" w:rsidRPr="0051165C" w:rsidRDefault="00C85300" w:rsidP="00C8530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09" w:type="dxa"/>
            <w:vAlign w:val="bottom"/>
          </w:tcPr>
          <w:p w14:paraId="2410713D" w14:textId="00AC442D" w:rsidR="00C85300" w:rsidRPr="0051165C" w:rsidRDefault="00C85300" w:rsidP="00C8530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09" w:type="dxa"/>
            <w:vAlign w:val="bottom"/>
          </w:tcPr>
          <w:p w14:paraId="25D4E59D" w14:textId="44D6E891" w:rsidR="00C85300" w:rsidRPr="0051165C" w:rsidRDefault="00C85300" w:rsidP="00C8530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38" w:type="dxa"/>
            <w:vAlign w:val="bottom"/>
          </w:tcPr>
          <w:p w14:paraId="73797134" w14:textId="686CF173" w:rsidR="00C85300" w:rsidRPr="0051165C" w:rsidRDefault="00C85300" w:rsidP="00C8530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21" w:type="dxa"/>
            <w:vAlign w:val="bottom"/>
          </w:tcPr>
          <w:p w14:paraId="14F8C870" w14:textId="27F989D0" w:rsidR="00C85300" w:rsidRPr="0051165C" w:rsidRDefault="00C85300" w:rsidP="00C8530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</w:tr>
      <w:tr w:rsidR="00C85300" w:rsidRPr="0051165C" w14:paraId="29FBE80B" w14:textId="77777777" w:rsidTr="0064406A">
        <w:trPr>
          <w:trHeight w:val="342"/>
        </w:trPr>
        <w:tc>
          <w:tcPr>
            <w:tcW w:w="2237" w:type="dxa"/>
            <w:vAlign w:val="center"/>
          </w:tcPr>
          <w:p w14:paraId="2F313C50" w14:textId="4D9E5EB9" w:rsidR="00C85300" w:rsidRPr="0051165C" w:rsidRDefault="00C85300" w:rsidP="00C85300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0EE38D7A" w14:textId="056A21A1" w:rsidR="00C85300" w:rsidRPr="0051165C" w:rsidRDefault="00C85300" w:rsidP="00C8530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86.6</w:t>
            </w:r>
          </w:p>
        </w:tc>
        <w:tc>
          <w:tcPr>
            <w:tcW w:w="717" w:type="dxa"/>
            <w:vAlign w:val="bottom"/>
          </w:tcPr>
          <w:p w14:paraId="4AB72E94" w14:textId="28506882" w:rsidR="00C85300" w:rsidRPr="0051165C" w:rsidRDefault="00C85300" w:rsidP="00C8530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24.1</w:t>
            </w:r>
          </w:p>
        </w:tc>
        <w:tc>
          <w:tcPr>
            <w:tcW w:w="723" w:type="dxa"/>
            <w:vAlign w:val="bottom"/>
          </w:tcPr>
          <w:p w14:paraId="7082B283" w14:textId="5BD7C38E" w:rsidR="00C85300" w:rsidRPr="0051165C" w:rsidRDefault="00C85300" w:rsidP="00C8530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20.4</w:t>
            </w:r>
          </w:p>
        </w:tc>
        <w:tc>
          <w:tcPr>
            <w:tcW w:w="708" w:type="dxa"/>
            <w:vAlign w:val="bottom"/>
          </w:tcPr>
          <w:p w14:paraId="6107481E" w14:textId="77B0CBFF" w:rsidR="00C85300" w:rsidRPr="0051165C" w:rsidRDefault="00C85300" w:rsidP="00C8530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09" w:type="dxa"/>
            <w:vAlign w:val="bottom"/>
          </w:tcPr>
          <w:p w14:paraId="6F66A2E7" w14:textId="07F09385" w:rsidR="00C85300" w:rsidRPr="0051165C" w:rsidRDefault="00C85300" w:rsidP="00C8530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09" w:type="dxa"/>
            <w:vAlign w:val="bottom"/>
          </w:tcPr>
          <w:p w14:paraId="4F84695C" w14:textId="525650ED" w:rsidR="00C85300" w:rsidRPr="0051165C" w:rsidRDefault="00C85300" w:rsidP="00C8530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38" w:type="dxa"/>
            <w:vAlign w:val="bottom"/>
          </w:tcPr>
          <w:p w14:paraId="25CAC890" w14:textId="3B8D1D85" w:rsidR="00C85300" w:rsidRPr="0051165C" w:rsidRDefault="00C85300" w:rsidP="00C8530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21" w:type="dxa"/>
            <w:vAlign w:val="bottom"/>
          </w:tcPr>
          <w:p w14:paraId="6F7D037E" w14:textId="65BDEA43" w:rsidR="00C85300" w:rsidRPr="0051165C" w:rsidRDefault="00C85300" w:rsidP="00C8530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</w:tr>
      <w:tr w:rsidR="00C85300" w:rsidRPr="0051165C" w14:paraId="6CB64DA5" w14:textId="77777777" w:rsidTr="0064406A">
        <w:trPr>
          <w:trHeight w:val="352"/>
        </w:trPr>
        <w:tc>
          <w:tcPr>
            <w:tcW w:w="2237" w:type="dxa"/>
            <w:vAlign w:val="center"/>
          </w:tcPr>
          <w:p w14:paraId="4001BDCC" w14:textId="7EF9C068" w:rsidR="00C85300" w:rsidRPr="0051165C" w:rsidRDefault="00C85300" w:rsidP="00C8530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1DDAFFBF" w14:textId="709687EA" w:rsidR="00C85300" w:rsidRPr="0051165C" w:rsidRDefault="00C85300" w:rsidP="00C8530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-1.5</w:t>
            </w:r>
          </w:p>
        </w:tc>
        <w:tc>
          <w:tcPr>
            <w:tcW w:w="717" w:type="dxa"/>
            <w:vAlign w:val="bottom"/>
          </w:tcPr>
          <w:p w14:paraId="7592048C" w14:textId="5F031454" w:rsidR="00C85300" w:rsidRPr="0051165C" w:rsidRDefault="00C85300" w:rsidP="00C8530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-0.5</w:t>
            </w:r>
          </w:p>
        </w:tc>
        <w:tc>
          <w:tcPr>
            <w:tcW w:w="723" w:type="dxa"/>
            <w:vAlign w:val="bottom"/>
          </w:tcPr>
          <w:p w14:paraId="7DC5579B" w14:textId="06EFE42C" w:rsidR="00C85300" w:rsidRPr="0051165C" w:rsidRDefault="00C85300" w:rsidP="00C8530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-0.4</w:t>
            </w:r>
          </w:p>
        </w:tc>
        <w:tc>
          <w:tcPr>
            <w:tcW w:w="708" w:type="dxa"/>
            <w:vAlign w:val="bottom"/>
          </w:tcPr>
          <w:p w14:paraId="16BED31E" w14:textId="75600930" w:rsidR="00C85300" w:rsidRPr="0051165C" w:rsidRDefault="00C85300" w:rsidP="00C8530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09" w:type="dxa"/>
            <w:vAlign w:val="bottom"/>
          </w:tcPr>
          <w:p w14:paraId="31B5D87A" w14:textId="3599B117" w:rsidR="00C85300" w:rsidRPr="0051165C" w:rsidRDefault="00C85300" w:rsidP="00C8530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09" w:type="dxa"/>
            <w:vAlign w:val="bottom"/>
          </w:tcPr>
          <w:p w14:paraId="283E8B1A" w14:textId="74A7357E" w:rsidR="00C85300" w:rsidRPr="0051165C" w:rsidRDefault="00C85300" w:rsidP="00C8530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38" w:type="dxa"/>
            <w:vAlign w:val="bottom"/>
          </w:tcPr>
          <w:p w14:paraId="026B2291" w14:textId="41BCAEDA" w:rsidR="00C85300" w:rsidRPr="0051165C" w:rsidRDefault="00C85300" w:rsidP="00C8530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21" w:type="dxa"/>
            <w:vAlign w:val="bottom"/>
          </w:tcPr>
          <w:p w14:paraId="6319B80A" w14:textId="76FBC4EE" w:rsidR="00C85300" w:rsidRPr="0051165C" w:rsidRDefault="00C85300" w:rsidP="00C8530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</w:tr>
      <w:tr w:rsidR="00C85300" w:rsidRPr="0051165C" w14:paraId="72D596B9" w14:textId="77777777" w:rsidTr="0064406A">
        <w:trPr>
          <w:trHeight w:val="342"/>
        </w:trPr>
        <w:tc>
          <w:tcPr>
            <w:tcW w:w="2237" w:type="dxa"/>
            <w:vAlign w:val="center"/>
          </w:tcPr>
          <w:p w14:paraId="28CDA702" w14:textId="04C7561D" w:rsidR="00C85300" w:rsidRPr="0051165C" w:rsidRDefault="00C85300" w:rsidP="00C8530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Developing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748CB923" w14:textId="7769A99D" w:rsidR="00C85300" w:rsidRPr="0051165C" w:rsidRDefault="00C85300" w:rsidP="00C8530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-88.7</w:t>
            </w:r>
          </w:p>
        </w:tc>
        <w:tc>
          <w:tcPr>
            <w:tcW w:w="717" w:type="dxa"/>
            <w:vAlign w:val="bottom"/>
          </w:tcPr>
          <w:p w14:paraId="55A76382" w14:textId="3E564F86" w:rsidR="00C85300" w:rsidRPr="0051165C" w:rsidRDefault="00C85300" w:rsidP="00C8530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-24.6</w:t>
            </w:r>
          </w:p>
        </w:tc>
        <w:tc>
          <w:tcPr>
            <w:tcW w:w="723" w:type="dxa"/>
            <w:vAlign w:val="bottom"/>
          </w:tcPr>
          <w:p w14:paraId="11A14C5E" w14:textId="764B486C" w:rsidR="00C85300" w:rsidRPr="0051165C" w:rsidRDefault="00C85300" w:rsidP="00C8530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-20.8</w:t>
            </w:r>
          </w:p>
        </w:tc>
        <w:tc>
          <w:tcPr>
            <w:tcW w:w="708" w:type="dxa"/>
            <w:vAlign w:val="bottom"/>
          </w:tcPr>
          <w:p w14:paraId="73FB7954" w14:textId="372F88BD" w:rsidR="00C85300" w:rsidRPr="0051165C" w:rsidRDefault="00C85300" w:rsidP="00C8530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09" w:type="dxa"/>
            <w:vAlign w:val="bottom"/>
          </w:tcPr>
          <w:p w14:paraId="116A7ACA" w14:textId="7AA5A511" w:rsidR="00C85300" w:rsidRPr="0051165C" w:rsidRDefault="00C85300" w:rsidP="00C8530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09" w:type="dxa"/>
            <w:vAlign w:val="bottom"/>
          </w:tcPr>
          <w:p w14:paraId="3CF540D2" w14:textId="6CDC6CDA" w:rsidR="00C85300" w:rsidRPr="0051165C" w:rsidRDefault="00C85300" w:rsidP="00C8530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38" w:type="dxa"/>
            <w:vAlign w:val="bottom"/>
          </w:tcPr>
          <w:p w14:paraId="27C47CED" w14:textId="05CBE077" w:rsidR="00C85300" w:rsidRPr="0051165C" w:rsidRDefault="00C85300" w:rsidP="00C8530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21" w:type="dxa"/>
            <w:vAlign w:val="bottom"/>
          </w:tcPr>
          <w:p w14:paraId="37F95243" w14:textId="2EF65886" w:rsidR="00C85300" w:rsidRPr="0051165C" w:rsidRDefault="00C85300" w:rsidP="00C8530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</w:tr>
      <w:tr w:rsidR="00C85300" w:rsidRPr="0051165C" w14:paraId="42827894" w14:textId="77777777" w:rsidTr="0064406A">
        <w:trPr>
          <w:trHeight w:val="258"/>
        </w:trPr>
        <w:tc>
          <w:tcPr>
            <w:tcW w:w="2237" w:type="dxa"/>
            <w:vAlign w:val="center"/>
          </w:tcPr>
          <w:p w14:paraId="070434DE" w14:textId="00B652EC" w:rsidR="00C85300" w:rsidRPr="00BA58B2" w:rsidRDefault="00C85300" w:rsidP="00C8530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Countries</w:t>
            </w: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 of Cent. and East. </w:t>
            </w:r>
            <w:r w:rsidRPr="00BA58B2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vAlign w:val="bottom"/>
          </w:tcPr>
          <w:p w14:paraId="476CCD4A" w14:textId="766E1B6F" w:rsidR="00C85300" w:rsidRPr="0051165C" w:rsidRDefault="00C85300" w:rsidP="00C8530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-35.9</w:t>
            </w:r>
          </w:p>
        </w:tc>
        <w:tc>
          <w:tcPr>
            <w:tcW w:w="717" w:type="dxa"/>
            <w:vAlign w:val="bottom"/>
          </w:tcPr>
          <w:p w14:paraId="340C62E8" w14:textId="4689B768" w:rsidR="00C85300" w:rsidRPr="0051165C" w:rsidRDefault="00C85300" w:rsidP="00C8530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-10.0</w:t>
            </w:r>
          </w:p>
        </w:tc>
        <w:tc>
          <w:tcPr>
            <w:tcW w:w="723" w:type="dxa"/>
            <w:vAlign w:val="bottom"/>
          </w:tcPr>
          <w:p w14:paraId="5A3B1BA5" w14:textId="45FA92BE" w:rsidR="00C85300" w:rsidRPr="0051165C" w:rsidRDefault="00C85300" w:rsidP="00C8530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-8.5</w:t>
            </w:r>
          </w:p>
        </w:tc>
        <w:tc>
          <w:tcPr>
            <w:tcW w:w="708" w:type="dxa"/>
            <w:vAlign w:val="bottom"/>
          </w:tcPr>
          <w:p w14:paraId="28A08014" w14:textId="6E0AB14E" w:rsidR="00C85300" w:rsidRPr="0051165C" w:rsidRDefault="00C85300" w:rsidP="00C8530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09" w:type="dxa"/>
            <w:vAlign w:val="bottom"/>
          </w:tcPr>
          <w:p w14:paraId="305E51C3" w14:textId="73015A47" w:rsidR="00C85300" w:rsidRPr="0051165C" w:rsidRDefault="00C85300" w:rsidP="00C8530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09" w:type="dxa"/>
            <w:vAlign w:val="bottom"/>
          </w:tcPr>
          <w:p w14:paraId="2D737F28" w14:textId="67AABBBA" w:rsidR="00C85300" w:rsidRPr="0051165C" w:rsidRDefault="00C85300" w:rsidP="00C8530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38" w:type="dxa"/>
            <w:vAlign w:val="bottom"/>
          </w:tcPr>
          <w:p w14:paraId="42E1E8CA" w14:textId="7E8D06DE" w:rsidR="00C85300" w:rsidRPr="0051165C" w:rsidRDefault="00C85300" w:rsidP="00C8530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21" w:type="dxa"/>
            <w:vAlign w:val="bottom"/>
          </w:tcPr>
          <w:p w14:paraId="6FAC5D41" w14:textId="4D334741" w:rsidR="00C85300" w:rsidRPr="0051165C" w:rsidRDefault="00C85300" w:rsidP="00C8530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</w:tr>
    </w:tbl>
    <w:p w14:paraId="67F1A20D" w14:textId="608D669E" w:rsidR="00FF1498" w:rsidRDefault="00FF1498" w:rsidP="00366025">
      <w:pPr>
        <w:rPr>
          <w:b/>
          <w:sz w:val="18"/>
          <w:szCs w:val="18"/>
          <w:shd w:val="clear" w:color="auto" w:fill="FFFFFF"/>
        </w:rPr>
      </w:pPr>
    </w:p>
    <w:p w14:paraId="7AADA1AF" w14:textId="28D995E9" w:rsidR="00FF1498" w:rsidRPr="00070820" w:rsidRDefault="00CC60CF" w:rsidP="00AB29F1">
      <w:pPr>
        <w:ind w:left="709" w:hanging="709"/>
        <w:rPr>
          <w:b/>
          <w:sz w:val="18"/>
          <w:szCs w:val="18"/>
          <w:shd w:val="clear" w:color="auto" w:fill="FFFFFF"/>
          <w:lang w:val="en-US"/>
        </w:rPr>
      </w:pPr>
      <w:r w:rsidRPr="00070820">
        <w:rPr>
          <w:b/>
          <w:sz w:val="18"/>
          <w:szCs w:val="18"/>
          <w:lang w:val="en-US"/>
        </w:rPr>
        <w:t>Chart</w:t>
      </w:r>
      <w:r w:rsidR="00FF1498" w:rsidRPr="00070820">
        <w:rPr>
          <w:b/>
          <w:sz w:val="18"/>
          <w:szCs w:val="18"/>
          <w:lang w:val="en-US"/>
        </w:rPr>
        <w:t xml:space="preserve"> 5</w:t>
      </w:r>
      <w:r w:rsidR="003D23E6" w:rsidRPr="0072037C">
        <w:rPr>
          <w:b/>
          <w:sz w:val="18"/>
          <w:szCs w:val="18"/>
          <w:lang w:val="en-US"/>
        </w:rPr>
        <w:t>.</w:t>
      </w:r>
      <w:r w:rsidR="00FF1498" w:rsidRPr="0072037C">
        <w:rPr>
          <w:b/>
          <w:sz w:val="18"/>
          <w:szCs w:val="18"/>
          <w:shd w:val="clear" w:color="auto" w:fill="FFFFFF"/>
          <w:lang w:val="en-US"/>
        </w:rPr>
        <w:t xml:space="preserve"> </w:t>
      </w:r>
      <w:r w:rsidRPr="0072037C">
        <w:rPr>
          <w:b/>
          <w:sz w:val="18"/>
          <w:szCs w:val="18"/>
          <w:shd w:val="clear" w:color="auto" w:fill="FFFFFF"/>
          <w:lang w:val="en-US"/>
        </w:rPr>
        <w:t>Share of imports</w:t>
      </w:r>
      <w:r w:rsidR="004567B4" w:rsidRPr="0072037C">
        <w:rPr>
          <w:b/>
          <w:sz w:val="18"/>
          <w:szCs w:val="18"/>
          <w:shd w:val="clear" w:color="auto" w:fill="FFFFFF"/>
          <w:lang w:val="en-US"/>
        </w:rPr>
        <w:t xml:space="preserve"> groups of  countries </w:t>
      </w:r>
      <w:r w:rsidRPr="0072037C">
        <w:rPr>
          <w:b/>
          <w:sz w:val="18"/>
          <w:szCs w:val="18"/>
          <w:shd w:val="clear" w:color="auto" w:fill="FFFFFF"/>
          <w:lang w:val="en-US"/>
        </w:rPr>
        <w:t>by country of origin</w:t>
      </w:r>
      <w:r w:rsidR="004567B4" w:rsidRPr="0072037C">
        <w:rPr>
          <w:b/>
          <w:sz w:val="18"/>
          <w:szCs w:val="18"/>
          <w:shd w:val="clear" w:color="auto" w:fill="FFFFFF"/>
          <w:lang w:val="en-US"/>
        </w:rPr>
        <w:t>,</w:t>
      </w:r>
      <w:r w:rsidRPr="0072037C">
        <w:rPr>
          <w:b/>
          <w:sz w:val="18"/>
          <w:szCs w:val="18"/>
          <w:shd w:val="clear" w:color="auto" w:fill="FFFFFF"/>
          <w:lang w:val="en-US"/>
        </w:rPr>
        <w:t xml:space="preserve"> and consignment </w:t>
      </w:r>
      <w:r w:rsidR="00943071">
        <w:rPr>
          <w:b/>
          <w:sz w:val="18"/>
          <w:szCs w:val="18"/>
          <w:shd w:val="clear" w:color="auto" w:fill="FFFFFF"/>
          <w:lang w:val="en-US"/>
        </w:rPr>
        <w:t>in</w:t>
      </w:r>
      <w:r w:rsidR="00E623A8" w:rsidRPr="0072037C">
        <w:rPr>
          <w:b/>
          <w:sz w:val="18"/>
          <w:szCs w:val="18"/>
          <w:shd w:val="clear" w:color="auto" w:fill="FFFFFF"/>
          <w:lang w:val="en-US"/>
        </w:rPr>
        <w:t xml:space="preserve"> 201</w:t>
      </w:r>
      <w:r w:rsidR="0064406A">
        <w:rPr>
          <w:b/>
          <w:sz w:val="18"/>
          <w:szCs w:val="18"/>
          <w:shd w:val="clear" w:color="auto" w:fill="FFFFFF"/>
          <w:lang w:val="en-US"/>
        </w:rPr>
        <w:t>8</w:t>
      </w:r>
    </w:p>
    <w:p w14:paraId="7220BE57" w14:textId="4919383B" w:rsidR="00FF1498" w:rsidRPr="00070820" w:rsidRDefault="00EB76DD" w:rsidP="00366025">
      <w:pPr>
        <w:rPr>
          <w:b/>
          <w:sz w:val="18"/>
          <w:szCs w:val="18"/>
          <w:shd w:val="clear" w:color="auto" w:fill="FFFFFF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759616" behindDoc="1" locked="0" layoutInCell="1" allowOverlap="1" wp14:anchorId="79DB1081" wp14:editId="38115C65">
            <wp:simplePos x="0" y="0"/>
            <wp:positionH relativeFrom="column">
              <wp:posOffset>-66431</wp:posOffset>
            </wp:positionH>
            <wp:positionV relativeFrom="paragraph">
              <wp:posOffset>136672</wp:posOffset>
            </wp:positionV>
            <wp:extent cx="5283200" cy="2385695"/>
            <wp:effectExtent l="0" t="0" r="0" b="0"/>
            <wp:wrapNone/>
            <wp:docPr id="17" name="Wykres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DC8E6E" w14:textId="5F7DC9FD" w:rsidR="00FB50BD" w:rsidRPr="00070820" w:rsidRDefault="00FB50BD" w:rsidP="00366025">
      <w:pPr>
        <w:rPr>
          <w:b/>
          <w:sz w:val="18"/>
          <w:szCs w:val="18"/>
          <w:shd w:val="clear" w:color="auto" w:fill="FFFFFF"/>
          <w:lang w:val="en-US"/>
        </w:rPr>
      </w:pPr>
    </w:p>
    <w:p w14:paraId="3411179A" w14:textId="32556841" w:rsidR="0038490F" w:rsidRPr="00CB2E8F" w:rsidRDefault="0064406A" w:rsidP="00366025">
      <w:pPr>
        <w:rPr>
          <w:b/>
          <w:sz w:val="18"/>
          <w:szCs w:val="18"/>
          <w:shd w:val="clear" w:color="auto" w:fill="FFFFFF"/>
          <w:lang w:val="en-US"/>
        </w:rPr>
      </w:pPr>
      <w:r w:rsidRPr="00CB2E8F">
        <w:rPr>
          <w:b/>
          <w:noProof/>
          <w:spacing w:val="-2"/>
          <w:szCs w:val="19"/>
          <w:lang w:val="en-US" w:eastAsia="pl-PL"/>
        </w:rPr>
        <w:t xml:space="preserve"> </w:t>
      </w:r>
    </w:p>
    <w:tbl>
      <w:tblPr>
        <w:tblpPr w:leftFromText="141" w:rightFromText="141" w:vertAnchor="page" w:horzAnchor="margin" w:tblpY="3780"/>
        <w:tblW w:w="4973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38490F" w:rsidRPr="00943071" w14:paraId="4D120F10" w14:textId="77777777" w:rsidTr="000C2149">
        <w:tc>
          <w:tcPr>
            <w:tcW w:w="2268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14:paraId="0EC33528" w14:textId="49DC3FC3" w:rsidR="0038490F" w:rsidRPr="00943071" w:rsidRDefault="00E623A8" w:rsidP="009C17B6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943071">
              <w:rPr>
                <w:rFonts w:cs="Arial"/>
                <w:sz w:val="16"/>
                <w:szCs w:val="16"/>
                <w:lang w:val="en-US"/>
              </w:rPr>
              <w:lastRenderedPageBreak/>
              <w:t>SPECIFICATION</w:t>
            </w:r>
          </w:p>
        </w:tc>
        <w:tc>
          <w:tcPr>
            <w:tcW w:w="4467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14:paraId="71DAFA92" w14:textId="753D7FEC" w:rsidR="0038490F" w:rsidRPr="00943071" w:rsidRDefault="0064406A" w:rsidP="009C17B6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943071">
              <w:rPr>
                <w:rFonts w:cs="Arial"/>
                <w:sz w:val="16"/>
                <w:szCs w:val="16"/>
                <w:lang w:val="en-US"/>
              </w:rPr>
              <w:t>2018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14:paraId="78CBB855" w14:textId="0C784F31" w:rsidR="0038490F" w:rsidRPr="00943071" w:rsidRDefault="0064406A" w:rsidP="009C17B6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943071">
              <w:rPr>
                <w:rFonts w:cs="Arial"/>
                <w:sz w:val="16"/>
                <w:szCs w:val="16"/>
                <w:lang w:val="en-US"/>
              </w:rPr>
              <w:t>2017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14:paraId="3A6B9A7A" w14:textId="77E1A5F0" w:rsidR="0038490F" w:rsidRPr="00943071" w:rsidRDefault="0064406A" w:rsidP="009C17B6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943071">
              <w:rPr>
                <w:rFonts w:cs="Arial"/>
                <w:sz w:val="16"/>
                <w:szCs w:val="16"/>
                <w:lang w:val="en-US"/>
              </w:rPr>
              <w:t>2018</w:t>
            </w:r>
          </w:p>
        </w:tc>
      </w:tr>
      <w:tr w:rsidR="00EB76DD" w:rsidRPr="00943071" w14:paraId="7880C541" w14:textId="77777777" w:rsidTr="00284975">
        <w:tc>
          <w:tcPr>
            <w:tcW w:w="2268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14:paraId="48D8C35C" w14:textId="77777777" w:rsidR="00EB76DD" w:rsidRPr="00943071" w:rsidRDefault="00EB76DD" w:rsidP="009C17B6">
            <w:pPr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3ECB8580" w14:textId="77777777" w:rsidR="00EB76DD" w:rsidRPr="00943071" w:rsidRDefault="00EB76DD" w:rsidP="00890348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</w:p>
          <w:p w14:paraId="4BCCC3C7" w14:textId="77777777" w:rsidR="00EB76DD" w:rsidRPr="00943071" w:rsidRDefault="00EB76DD" w:rsidP="00890348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proofErr w:type="spellStart"/>
            <w:r w:rsidRPr="00943071">
              <w:rPr>
                <w:rFonts w:cs="Arial"/>
                <w:sz w:val="16"/>
                <w:szCs w:val="16"/>
                <w:lang w:val="en-US"/>
              </w:rPr>
              <w:t>bn</w:t>
            </w:r>
            <w:proofErr w:type="spellEnd"/>
            <w:r w:rsidRPr="00943071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  <w:p w14:paraId="5F9AF552" w14:textId="7D5375F0" w:rsidR="00EB76DD" w:rsidRPr="00943071" w:rsidRDefault="00EB76DD" w:rsidP="00890348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943071">
              <w:rPr>
                <w:rFonts w:cs="Arial"/>
                <w:sz w:val="16"/>
                <w:szCs w:val="16"/>
                <w:lang w:val="en-US"/>
              </w:rPr>
              <w:t>PLN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7D2F7180" w14:textId="77777777" w:rsidR="00EB76DD" w:rsidRPr="00943071" w:rsidRDefault="00EB76DD" w:rsidP="00890348">
            <w:pPr>
              <w:ind w:right="-136"/>
              <w:jc w:val="center"/>
              <w:rPr>
                <w:rFonts w:cs="Arial"/>
                <w:sz w:val="16"/>
                <w:szCs w:val="16"/>
                <w:lang w:val="en-US"/>
              </w:rPr>
            </w:pPr>
            <w:proofErr w:type="spellStart"/>
            <w:r w:rsidRPr="00943071">
              <w:rPr>
                <w:rFonts w:cs="Arial"/>
                <w:sz w:val="16"/>
                <w:szCs w:val="16"/>
                <w:lang w:val="en-US"/>
              </w:rPr>
              <w:t>bn</w:t>
            </w:r>
            <w:proofErr w:type="spellEnd"/>
            <w:r w:rsidRPr="00943071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  <w:p w14:paraId="56C245BF" w14:textId="20223F73" w:rsidR="00EB76DD" w:rsidRPr="00943071" w:rsidRDefault="00EB76DD" w:rsidP="00890348">
            <w:pPr>
              <w:ind w:right="-136"/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943071">
              <w:rPr>
                <w:rFonts w:cs="Arial"/>
                <w:sz w:val="16"/>
                <w:szCs w:val="16"/>
                <w:lang w:val="en-US"/>
              </w:rPr>
              <w:t>USD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5CE8F3AB" w14:textId="77777777" w:rsidR="00EB76DD" w:rsidRPr="00943071" w:rsidRDefault="00EB76DD" w:rsidP="00890348">
            <w:pPr>
              <w:ind w:right="-74"/>
              <w:jc w:val="center"/>
              <w:rPr>
                <w:rFonts w:cs="Arial"/>
                <w:sz w:val="16"/>
                <w:szCs w:val="16"/>
                <w:lang w:val="en-US"/>
              </w:rPr>
            </w:pPr>
            <w:proofErr w:type="spellStart"/>
            <w:r w:rsidRPr="00943071">
              <w:rPr>
                <w:rFonts w:cs="Arial"/>
                <w:sz w:val="16"/>
                <w:szCs w:val="16"/>
                <w:lang w:val="en-US"/>
              </w:rPr>
              <w:t>bn</w:t>
            </w:r>
            <w:proofErr w:type="spellEnd"/>
            <w:r w:rsidRPr="00943071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  <w:p w14:paraId="75FA9876" w14:textId="6FD8DF9A" w:rsidR="00EB76DD" w:rsidRPr="00943071" w:rsidRDefault="00EB76DD" w:rsidP="00890348">
            <w:pPr>
              <w:ind w:right="-74"/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943071">
              <w:rPr>
                <w:rFonts w:cs="Arial"/>
                <w:sz w:val="16"/>
                <w:szCs w:val="16"/>
                <w:lang w:val="en-US"/>
              </w:rPr>
              <w:t>EUR</w:t>
            </w:r>
          </w:p>
        </w:tc>
        <w:tc>
          <w:tcPr>
            <w:tcW w:w="2012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29B7CC2C" w14:textId="53618222" w:rsidR="00EB76DD" w:rsidRPr="00943071" w:rsidRDefault="00EB76DD" w:rsidP="009C17B6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943071">
              <w:rPr>
                <w:rFonts w:cs="Arial"/>
                <w:sz w:val="16"/>
                <w:szCs w:val="16"/>
                <w:lang w:val="en-US"/>
              </w:rPr>
              <w:t>2017 = 100</w:t>
            </w:r>
          </w:p>
        </w:tc>
        <w:tc>
          <w:tcPr>
            <w:tcW w:w="1288" w:type="dxa"/>
            <w:gridSpan w:val="2"/>
            <w:vMerge w:val="restart"/>
            <w:tcBorders>
              <w:top w:val="single" w:sz="4" w:space="0" w:color="001D77"/>
            </w:tcBorders>
            <w:vAlign w:val="center"/>
          </w:tcPr>
          <w:p w14:paraId="0B207DA4" w14:textId="50FEC778" w:rsidR="00EB76DD" w:rsidRPr="00943071" w:rsidRDefault="00EB76DD" w:rsidP="00284975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943071">
              <w:rPr>
                <w:rFonts w:cs="Arial"/>
                <w:sz w:val="16"/>
                <w:szCs w:val="16"/>
                <w:lang w:val="en-US"/>
              </w:rPr>
              <w:t>structure in %</w:t>
            </w:r>
          </w:p>
        </w:tc>
      </w:tr>
      <w:tr w:rsidR="00EB76DD" w:rsidRPr="00943071" w14:paraId="591C5609" w14:textId="77777777" w:rsidTr="00284975">
        <w:tc>
          <w:tcPr>
            <w:tcW w:w="226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7F1C5628" w14:textId="77777777" w:rsidR="00EB76DD" w:rsidRPr="00943071" w:rsidRDefault="00EB76DD" w:rsidP="009C17B6">
            <w:pPr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911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7D222CFF" w14:textId="77777777" w:rsidR="00EB76DD" w:rsidRPr="00943071" w:rsidRDefault="00EB76DD" w:rsidP="009C17B6">
            <w:pPr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23252534" w14:textId="77777777" w:rsidR="00EB76DD" w:rsidRPr="00943071" w:rsidRDefault="00EB76DD" w:rsidP="009C17B6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63110B63" w14:textId="77777777" w:rsidR="00EB76DD" w:rsidRPr="00943071" w:rsidRDefault="00EB76DD" w:rsidP="009C17B6">
            <w:pPr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1FEECA74" w14:textId="0F6BE698" w:rsidR="00EB76DD" w:rsidRPr="00943071" w:rsidRDefault="00EB76DD" w:rsidP="00890348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943071">
              <w:rPr>
                <w:rFonts w:cs="Arial"/>
                <w:sz w:val="16"/>
                <w:szCs w:val="16"/>
                <w:lang w:val="en-US"/>
              </w:rPr>
              <w:t>PLN</w:t>
            </w: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26D996CA" w14:textId="77777777" w:rsidR="00EB76DD" w:rsidRPr="00943071" w:rsidRDefault="00EB76DD" w:rsidP="00890348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943071">
              <w:rPr>
                <w:rFonts w:cs="Arial"/>
                <w:sz w:val="16"/>
                <w:szCs w:val="16"/>
                <w:lang w:val="en-US"/>
              </w:rPr>
              <w:t>USD</w:t>
            </w:r>
          </w:p>
        </w:tc>
        <w:tc>
          <w:tcPr>
            <w:tcW w:w="670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047A8446" w14:textId="77777777" w:rsidR="00EB76DD" w:rsidRPr="00943071" w:rsidRDefault="00EB76DD" w:rsidP="00890348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943071">
              <w:rPr>
                <w:rFonts w:cs="Arial"/>
                <w:sz w:val="16"/>
                <w:szCs w:val="16"/>
                <w:lang w:val="en-US"/>
              </w:rPr>
              <w:t>EUR</w:t>
            </w:r>
          </w:p>
        </w:tc>
        <w:tc>
          <w:tcPr>
            <w:tcW w:w="1288" w:type="dxa"/>
            <w:gridSpan w:val="2"/>
            <w:vMerge/>
            <w:tcBorders>
              <w:bottom w:val="single" w:sz="12" w:space="0" w:color="001D77"/>
            </w:tcBorders>
            <w:vAlign w:val="bottom"/>
          </w:tcPr>
          <w:p w14:paraId="6B313071" w14:textId="45BBCEF1" w:rsidR="00EB76DD" w:rsidRPr="00943071" w:rsidRDefault="00EB76DD" w:rsidP="00890348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</w:p>
        </w:tc>
      </w:tr>
      <w:tr w:rsidR="0038490F" w:rsidRPr="00366025" w14:paraId="5EA7C68C" w14:textId="77777777" w:rsidTr="000C2149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14:paraId="1A6CE55C" w14:textId="77A36111" w:rsidR="0038490F" w:rsidRPr="00366025" w:rsidRDefault="0038490F" w:rsidP="007C3D28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43071">
              <w:rPr>
                <w:rFonts w:cs="Arial"/>
                <w:b/>
                <w:sz w:val="16"/>
                <w:szCs w:val="16"/>
                <w:lang w:val="en-US"/>
              </w:rPr>
              <w:t>IMPORT</w:t>
            </w:r>
            <w:r w:rsidR="007C3D28" w:rsidRPr="00943071">
              <w:rPr>
                <w:rFonts w:cs="Arial"/>
                <w:b/>
                <w:sz w:val="16"/>
                <w:szCs w:val="16"/>
                <w:lang w:val="en-US"/>
              </w:rPr>
              <w:t>S</w:t>
            </w:r>
            <w:r w:rsidR="005E67F5" w:rsidRPr="00943071">
              <w:rPr>
                <w:rFonts w:cs="Arial"/>
                <w:b/>
                <w:sz w:val="16"/>
                <w:szCs w:val="16"/>
                <w:lang w:val="en-US"/>
              </w:rPr>
              <w:t xml:space="preserve"> (</w:t>
            </w:r>
            <w:r w:rsidR="007C3D28" w:rsidRPr="00943071">
              <w:rPr>
                <w:rFonts w:cs="Arial"/>
                <w:b/>
                <w:sz w:val="16"/>
                <w:szCs w:val="16"/>
                <w:lang w:val="en-US"/>
              </w:rPr>
              <w:t>country of c</w:t>
            </w:r>
            <w:proofErr w:type="spellStart"/>
            <w:r w:rsidR="007C3D28">
              <w:rPr>
                <w:rFonts w:cs="Arial"/>
                <w:b/>
                <w:sz w:val="16"/>
                <w:szCs w:val="16"/>
              </w:rPr>
              <w:t>onsignment</w:t>
            </w:r>
            <w:proofErr w:type="spellEnd"/>
            <w:r w:rsidR="005E67F5"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EB76DD" w:rsidRPr="00366025" w14:paraId="534EBD15" w14:textId="77777777" w:rsidTr="00D77C42">
        <w:tc>
          <w:tcPr>
            <w:tcW w:w="2268" w:type="dxa"/>
            <w:vAlign w:val="center"/>
          </w:tcPr>
          <w:p w14:paraId="6578D7AD" w14:textId="2DEA8F75" w:rsidR="00EB76DD" w:rsidRPr="0038490F" w:rsidRDefault="00EB76DD" w:rsidP="00EB76D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 Germany</w:t>
            </w:r>
            <w:r w:rsidRPr="0038490F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14:paraId="67F6FA7C" w14:textId="19BDB7A5" w:rsidR="00EB76DD" w:rsidRPr="0038490F" w:rsidRDefault="00EB76DD" w:rsidP="00EB76D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267</w:t>
            </w:r>
            <w:r>
              <w:rPr>
                <w:rFonts w:cs="Arial"/>
                <w:sz w:val="16"/>
                <w:szCs w:val="16"/>
              </w:rPr>
              <w:t>.</w:t>
            </w:r>
            <w:r w:rsidRPr="006F00A8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772" w:type="dxa"/>
            <w:vAlign w:val="bottom"/>
          </w:tcPr>
          <w:p w14:paraId="08F463CE" w14:textId="59069399" w:rsidR="00EB76DD" w:rsidRPr="0038490F" w:rsidRDefault="00EB76DD" w:rsidP="00EB76D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74</w:t>
            </w:r>
            <w:r>
              <w:rPr>
                <w:rFonts w:cs="Arial"/>
                <w:sz w:val="16"/>
                <w:szCs w:val="16"/>
              </w:rPr>
              <w:t>.</w:t>
            </w:r>
            <w:r w:rsidRPr="006F00A8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772" w:type="dxa"/>
            <w:vAlign w:val="bottom"/>
          </w:tcPr>
          <w:p w14:paraId="22A599DF" w14:textId="344E174C" w:rsidR="00EB76DD" w:rsidRPr="0038490F" w:rsidRDefault="00EB76DD" w:rsidP="00EB76D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62</w:t>
            </w:r>
            <w:r>
              <w:rPr>
                <w:rFonts w:cs="Arial"/>
                <w:sz w:val="16"/>
                <w:szCs w:val="16"/>
              </w:rPr>
              <w:t>.</w:t>
            </w:r>
            <w:r w:rsidRPr="006F00A8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71" w:type="dxa"/>
            <w:vAlign w:val="bottom"/>
          </w:tcPr>
          <w:p w14:paraId="460CD727" w14:textId="695172F8" w:rsidR="00EB76DD" w:rsidRPr="0038490F" w:rsidRDefault="00EB76DD" w:rsidP="00EB76D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108</w:t>
            </w:r>
            <w:r>
              <w:rPr>
                <w:rFonts w:cs="Arial"/>
                <w:sz w:val="16"/>
                <w:szCs w:val="16"/>
              </w:rPr>
              <w:t>.</w:t>
            </w:r>
            <w:r w:rsidRPr="006F00A8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71" w:type="dxa"/>
            <w:vAlign w:val="bottom"/>
          </w:tcPr>
          <w:p w14:paraId="75A6D685" w14:textId="4D84C679" w:rsidR="00EB76DD" w:rsidRPr="0038490F" w:rsidRDefault="00EB76DD" w:rsidP="00EB76D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115</w:t>
            </w:r>
            <w:r>
              <w:rPr>
                <w:rFonts w:cs="Arial"/>
                <w:sz w:val="16"/>
                <w:szCs w:val="16"/>
              </w:rPr>
              <w:t>.</w:t>
            </w:r>
            <w:r w:rsidRPr="006F00A8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70" w:type="dxa"/>
            <w:vAlign w:val="bottom"/>
          </w:tcPr>
          <w:p w14:paraId="1C80A6FA" w14:textId="2BCB8C67" w:rsidR="00EB76DD" w:rsidRPr="0038490F" w:rsidRDefault="00EB76DD" w:rsidP="00EB76D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108</w:t>
            </w:r>
            <w:r>
              <w:rPr>
                <w:rFonts w:cs="Arial"/>
                <w:sz w:val="16"/>
                <w:szCs w:val="16"/>
              </w:rPr>
              <w:t>.</w:t>
            </w:r>
            <w:r w:rsidRPr="006F00A8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vAlign w:val="bottom"/>
          </w:tcPr>
          <w:p w14:paraId="0E9285A3" w14:textId="446026A6" w:rsidR="00EB76DD" w:rsidRPr="0038490F" w:rsidRDefault="00EB76DD" w:rsidP="00EB76D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28</w:t>
            </w:r>
            <w:r>
              <w:rPr>
                <w:rFonts w:cs="Arial"/>
                <w:sz w:val="16"/>
                <w:szCs w:val="16"/>
              </w:rPr>
              <w:t>.</w:t>
            </w:r>
            <w:r w:rsidRPr="006F00A8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44" w:type="dxa"/>
            <w:vAlign w:val="bottom"/>
          </w:tcPr>
          <w:p w14:paraId="261D7643" w14:textId="16DD85E4" w:rsidR="00EB76DD" w:rsidRPr="0038490F" w:rsidRDefault="00EB76DD" w:rsidP="00EB76D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27</w:t>
            </w:r>
            <w:r>
              <w:rPr>
                <w:rFonts w:cs="Arial"/>
                <w:sz w:val="16"/>
                <w:szCs w:val="16"/>
              </w:rPr>
              <w:t>.</w:t>
            </w:r>
            <w:r w:rsidRPr="006F00A8">
              <w:rPr>
                <w:rFonts w:cs="Arial"/>
                <w:sz w:val="16"/>
                <w:szCs w:val="16"/>
              </w:rPr>
              <w:t>6</w:t>
            </w:r>
          </w:p>
        </w:tc>
      </w:tr>
      <w:tr w:rsidR="00EB76DD" w:rsidRPr="00366025" w14:paraId="0DEF0C4B" w14:textId="77777777" w:rsidTr="00D77C42">
        <w:tc>
          <w:tcPr>
            <w:tcW w:w="2268" w:type="dxa"/>
            <w:vAlign w:val="center"/>
          </w:tcPr>
          <w:p w14:paraId="0EB8B92E" w14:textId="1C83EB9B" w:rsidR="00EB76DD" w:rsidRPr="0038490F" w:rsidRDefault="00EB76DD" w:rsidP="00EB76D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2. Russia </w:t>
            </w:r>
          </w:p>
        </w:tc>
        <w:tc>
          <w:tcPr>
            <w:tcW w:w="911" w:type="dxa"/>
            <w:vAlign w:val="bottom"/>
          </w:tcPr>
          <w:p w14:paraId="5FA4D86D" w14:textId="2DD4EB1C" w:rsidR="00EB76DD" w:rsidRPr="0038490F" w:rsidRDefault="00EB76DD" w:rsidP="00EB76D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72</w:t>
            </w:r>
            <w:r>
              <w:rPr>
                <w:rFonts w:cs="Arial"/>
                <w:sz w:val="16"/>
                <w:szCs w:val="16"/>
              </w:rPr>
              <w:t>.</w:t>
            </w:r>
            <w:r w:rsidRPr="006F00A8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72" w:type="dxa"/>
            <w:vAlign w:val="bottom"/>
          </w:tcPr>
          <w:p w14:paraId="520FA8B6" w14:textId="760099D1" w:rsidR="00EB76DD" w:rsidRPr="0038490F" w:rsidRDefault="00EB76DD" w:rsidP="00EB76D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20</w:t>
            </w:r>
            <w:r>
              <w:rPr>
                <w:rFonts w:cs="Arial"/>
                <w:sz w:val="16"/>
                <w:szCs w:val="16"/>
              </w:rPr>
              <w:t>.</w:t>
            </w:r>
            <w:r w:rsidRPr="006F00A8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72" w:type="dxa"/>
            <w:vAlign w:val="bottom"/>
          </w:tcPr>
          <w:p w14:paraId="3DC82329" w14:textId="4C23B5FA" w:rsidR="00EB76DD" w:rsidRPr="0038490F" w:rsidRDefault="00EB76DD" w:rsidP="00EB76D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17</w:t>
            </w:r>
            <w:r>
              <w:rPr>
                <w:rFonts w:cs="Arial"/>
                <w:sz w:val="16"/>
                <w:szCs w:val="16"/>
              </w:rPr>
              <w:t>.</w:t>
            </w:r>
            <w:r w:rsidRPr="006F00A8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71" w:type="dxa"/>
            <w:vAlign w:val="bottom"/>
          </w:tcPr>
          <w:p w14:paraId="41F9BBF4" w14:textId="250865C8" w:rsidR="00EB76DD" w:rsidRPr="0038490F" w:rsidRDefault="00EB76DD" w:rsidP="00EB76D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127</w:t>
            </w:r>
            <w:r>
              <w:rPr>
                <w:rFonts w:cs="Arial"/>
                <w:sz w:val="16"/>
                <w:szCs w:val="16"/>
              </w:rPr>
              <w:t>.</w:t>
            </w:r>
            <w:r w:rsidRPr="006F00A8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71" w:type="dxa"/>
            <w:vAlign w:val="bottom"/>
          </w:tcPr>
          <w:p w14:paraId="24AC543D" w14:textId="74C35F29" w:rsidR="00EB76DD" w:rsidRPr="0038490F" w:rsidRDefault="00EB76DD" w:rsidP="00EB76D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135</w:t>
            </w:r>
            <w:r>
              <w:rPr>
                <w:rFonts w:cs="Arial"/>
                <w:sz w:val="16"/>
                <w:szCs w:val="16"/>
              </w:rPr>
              <w:t>.</w:t>
            </w:r>
            <w:r w:rsidRPr="006F00A8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70" w:type="dxa"/>
            <w:vAlign w:val="bottom"/>
          </w:tcPr>
          <w:p w14:paraId="02285E6A" w14:textId="138A3EBA" w:rsidR="00EB76DD" w:rsidRPr="0038490F" w:rsidRDefault="00EB76DD" w:rsidP="00EB76D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128</w:t>
            </w:r>
            <w:r>
              <w:rPr>
                <w:rFonts w:cs="Arial"/>
                <w:sz w:val="16"/>
                <w:szCs w:val="16"/>
              </w:rPr>
              <w:t>.</w:t>
            </w:r>
            <w:r w:rsidRPr="006F00A8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44" w:type="dxa"/>
            <w:vAlign w:val="bottom"/>
          </w:tcPr>
          <w:p w14:paraId="61BAA91A" w14:textId="28FFC6BF" w:rsidR="00EB76DD" w:rsidRPr="0038490F" w:rsidRDefault="00EB76DD" w:rsidP="00EB76D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6.4</w:t>
            </w:r>
          </w:p>
        </w:tc>
        <w:tc>
          <w:tcPr>
            <w:tcW w:w="644" w:type="dxa"/>
            <w:vAlign w:val="bottom"/>
          </w:tcPr>
          <w:p w14:paraId="50F624CF" w14:textId="5FDDDC19" w:rsidR="00EB76DD" w:rsidRPr="0038490F" w:rsidRDefault="00EB76DD" w:rsidP="00EB76D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7</w:t>
            </w:r>
            <w:r>
              <w:rPr>
                <w:rFonts w:cs="Arial"/>
                <w:sz w:val="16"/>
                <w:szCs w:val="16"/>
              </w:rPr>
              <w:t>.</w:t>
            </w:r>
            <w:r w:rsidRPr="006F00A8">
              <w:rPr>
                <w:rFonts w:cs="Arial"/>
                <w:sz w:val="16"/>
                <w:szCs w:val="16"/>
              </w:rPr>
              <w:t>5</w:t>
            </w:r>
          </w:p>
        </w:tc>
      </w:tr>
      <w:tr w:rsidR="00EB76DD" w:rsidRPr="00366025" w14:paraId="61260CE6" w14:textId="77777777" w:rsidTr="00D77C42">
        <w:tc>
          <w:tcPr>
            <w:tcW w:w="2268" w:type="dxa"/>
            <w:vAlign w:val="center"/>
          </w:tcPr>
          <w:p w14:paraId="26B74CB9" w14:textId="0BF26B0F" w:rsidR="00EB76DD" w:rsidRPr="0038490F" w:rsidRDefault="00EB76DD" w:rsidP="00EB76D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 China</w:t>
            </w:r>
          </w:p>
        </w:tc>
        <w:tc>
          <w:tcPr>
            <w:tcW w:w="911" w:type="dxa"/>
            <w:vAlign w:val="bottom"/>
          </w:tcPr>
          <w:p w14:paraId="610726E1" w14:textId="1AE6A919" w:rsidR="00EB76DD" w:rsidRPr="0038490F" w:rsidRDefault="00EB76DD" w:rsidP="00EB76D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69</w:t>
            </w:r>
            <w:r>
              <w:rPr>
                <w:rFonts w:cs="Arial"/>
                <w:sz w:val="16"/>
                <w:szCs w:val="16"/>
              </w:rPr>
              <w:t>.</w:t>
            </w:r>
            <w:r w:rsidRPr="006F00A8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72" w:type="dxa"/>
            <w:vAlign w:val="bottom"/>
          </w:tcPr>
          <w:p w14:paraId="6A6B5F20" w14:textId="66036B49" w:rsidR="00EB76DD" w:rsidRPr="0038490F" w:rsidRDefault="00EB76DD" w:rsidP="00EB76D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19</w:t>
            </w:r>
            <w:r>
              <w:rPr>
                <w:rFonts w:cs="Arial"/>
                <w:sz w:val="16"/>
                <w:szCs w:val="16"/>
              </w:rPr>
              <w:t>.</w:t>
            </w:r>
            <w:r w:rsidRPr="006F00A8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72" w:type="dxa"/>
            <w:vAlign w:val="bottom"/>
          </w:tcPr>
          <w:p w14:paraId="342D4337" w14:textId="7245D39A" w:rsidR="00EB76DD" w:rsidRPr="0038490F" w:rsidRDefault="00EB76DD" w:rsidP="00EB76D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16</w:t>
            </w:r>
            <w:r>
              <w:rPr>
                <w:rFonts w:cs="Arial"/>
                <w:sz w:val="16"/>
                <w:szCs w:val="16"/>
              </w:rPr>
              <w:t>.</w:t>
            </w:r>
            <w:r w:rsidRPr="006F00A8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71" w:type="dxa"/>
            <w:vAlign w:val="bottom"/>
          </w:tcPr>
          <w:p w14:paraId="477860BC" w14:textId="04F3303A" w:rsidR="00EB76DD" w:rsidRPr="0038490F" w:rsidRDefault="00EB76DD" w:rsidP="00EB76D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111</w:t>
            </w:r>
            <w:r>
              <w:rPr>
                <w:rFonts w:cs="Arial"/>
                <w:sz w:val="16"/>
                <w:szCs w:val="16"/>
              </w:rPr>
              <w:t>.</w:t>
            </w:r>
            <w:r w:rsidRPr="006F00A8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71" w:type="dxa"/>
            <w:vAlign w:val="bottom"/>
          </w:tcPr>
          <w:p w14:paraId="7023D846" w14:textId="5D7E80C1" w:rsidR="00EB76DD" w:rsidRPr="0038490F" w:rsidRDefault="00EB76DD" w:rsidP="00EB76D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118</w:t>
            </w:r>
            <w:r>
              <w:rPr>
                <w:rFonts w:cs="Arial"/>
                <w:sz w:val="16"/>
                <w:szCs w:val="16"/>
              </w:rPr>
              <w:t>.</w:t>
            </w:r>
            <w:r w:rsidRPr="006F00A8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70" w:type="dxa"/>
            <w:vAlign w:val="bottom"/>
          </w:tcPr>
          <w:p w14:paraId="2A2CD650" w14:textId="78C20688" w:rsidR="00EB76DD" w:rsidRPr="0038490F" w:rsidRDefault="00EB76DD" w:rsidP="00EB76D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112</w:t>
            </w:r>
            <w:r>
              <w:rPr>
                <w:rFonts w:cs="Arial"/>
                <w:sz w:val="16"/>
                <w:szCs w:val="16"/>
              </w:rPr>
              <w:t>.</w:t>
            </w:r>
            <w:r w:rsidRPr="006F00A8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44" w:type="dxa"/>
            <w:vAlign w:val="bottom"/>
          </w:tcPr>
          <w:p w14:paraId="15268FA9" w14:textId="74B9B69E" w:rsidR="00EB76DD" w:rsidRPr="0038490F" w:rsidRDefault="00EB76DD" w:rsidP="00EB76D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7.1</w:t>
            </w:r>
          </w:p>
        </w:tc>
        <w:tc>
          <w:tcPr>
            <w:tcW w:w="644" w:type="dxa"/>
            <w:vAlign w:val="bottom"/>
          </w:tcPr>
          <w:p w14:paraId="0361FCA6" w14:textId="744FC4E5" w:rsidR="00EB76DD" w:rsidRPr="0038490F" w:rsidRDefault="00EB76DD" w:rsidP="00EB76D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7</w:t>
            </w:r>
            <w:r>
              <w:rPr>
                <w:rFonts w:cs="Arial"/>
                <w:sz w:val="16"/>
                <w:szCs w:val="16"/>
              </w:rPr>
              <w:t>.</w:t>
            </w:r>
            <w:r w:rsidRPr="006F00A8">
              <w:rPr>
                <w:rFonts w:cs="Arial"/>
                <w:sz w:val="16"/>
                <w:szCs w:val="16"/>
              </w:rPr>
              <w:t>2</w:t>
            </w:r>
          </w:p>
        </w:tc>
      </w:tr>
      <w:tr w:rsidR="00EB76DD" w:rsidRPr="00366025" w14:paraId="25A58E79" w14:textId="77777777" w:rsidTr="00D77C42">
        <w:tc>
          <w:tcPr>
            <w:tcW w:w="2268" w:type="dxa"/>
            <w:vAlign w:val="center"/>
          </w:tcPr>
          <w:p w14:paraId="0BC9ADEC" w14:textId="06994887" w:rsidR="00EB76DD" w:rsidRPr="0038490F" w:rsidRDefault="00EB76DD" w:rsidP="00EB76D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</w:p>
        </w:tc>
        <w:tc>
          <w:tcPr>
            <w:tcW w:w="911" w:type="dxa"/>
            <w:vAlign w:val="bottom"/>
          </w:tcPr>
          <w:p w14:paraId="5321EC75" w14:textId="708B0955" w:rsidR="00EB76DD" w:rsidRPr="0038490F" w:rsidRDefault="00EB76DD" w:rsidP="00EB76D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53</w:t>
            </w:r>
            <w:r>
              <w:rPr>
                <w:rFonts w:cs="Arial"/>
                <w:sz w:val="16"/>
                <w:szCs w:val="16"/>
              </w:rPr>
              <w:t>.</w:t>
            </w:r>
            <w:r w:rsidRPr="006F00A8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72" w:type="dxa"/>
            <w:vAlign w:val="bottom"/>
          </w:tcPr>
          <w:p w14:paraId="57792768" w14:textId="7FE4CA56" w:rsidR="00EB76DD" w:rsidRPr="0038490F" w:rsidRDefault="00EB76DD" w:rsidP="00EB76D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15</w:t>
            </w:r>
            <w:r>
              <w:rPr>
                <w:rFonts w:cs="Arial"/>
                <w:sz w:val="16"/>
                <w:szCs w:val="16"/>
              </w:rPr>
              <w:t>.</w:t>
            </w:r>
            <w:r w:rsidRPr="006F00A8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72" w:type="dxa"/>
            <w:vAlign w:val="bottom"/>
          </w:tcPr>
          <w:p w14:paraId="5DE9B7FE" w14:textId="51C8BD18" w:rsidR="00EB76DD" w:rsidRPr="0038490F" w:rsidRDefault="00EB76DD" w:rsidP="00EB76D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12</w:t>
            </w:r>
            <w:r>
              <w:rPr>
                <w:rFonts w:cs="Arial"/>
                <w:sz w:val="16"/>
                <w:szCs w:val="16"/>
              </w:rPr>
              <w:t>.</w:t>
            </w:r>
            <w:r w:rsidRPr="006F00A8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71" w:type="dxa"/>
            <w:vAlign w:val="bottom"/>
          </w:tcPr>
          <w:p w14:paraId="6A4464BC" w14:textId="4DFC30D2" w:rsidR="00EB76DD" w:rsidRPr="0038490F" w:rsidRDefault="00EB76DD" w:rsidP="00EB76D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102</w:t>
            </w:r>
            <w:r>
              <w:rPr>
                <w:rFonts w:cs="Arial"/>
                <w:sz w:val="16"/>
                <w:szCs w:val="16"/>
              </w:rPr>
              <w:t>.</w:t>
            </w:r>
            <w:r w:rsidRPr="006F00A8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71" w:type="dxa"/>
            <w:vAlign w:val="bottom"/>
          </w:tcPr>
          <w:p w14:paraId="5CD97BDA" w14:textId="47B829F2" w:rsidR="00EB76DD" w:rsidRPr="0038490F" w:rsidRDefault="00EB76DD" w:rsidP="00EB76D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109</w:t>
            </w:r>
            <w:r>
              <w:rPr>
                <w:rFonts w:cs="Arial"/>
                <w:sz w:val="16"/>
                <w:szCs w:val="16"/>
              </w:rPr>
              <w:t>.</w:t>
            </w:r>
            <w:r w:rsidRPr="006F00A8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70" w:type="dxa"/>
            <w:vAlign w:val="bottom"/>
          </w:tcPr>
          <w:p w14:paraId="1E714831" w14:textId="24490AFC" w:rsidR="00EB76DD" w:rsidRPr="0038490F" w:rsidRDefault="00EB76DD" w:rsidP="00EB76D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103</w:t>
            </w:r>
            <w:r>
              <w:rPr>
                <w:rFonts w:cs="Arial"/>
                <w:sz w:val="16"/>
                <w:szCs w:val="16"/>
              </w:rPr>
              <w:t>.</w:t>
            </w:r>
            <w:r w:rsidRPr="006F00A8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44" w:type="dxa"/>
            <w:vAlign w:val="bottom"/>
          </w:tcPr>
          <w:p w14:paraId="7AEB4C26" w14:textId="5BD2F550" w:rsidR="00EB76DD" w:rsidRPr="0038490F" w:rsidRDefault="00EB76DD" w:rsidP="00EB76D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6</w:t>
            </w:r>
            <w:r>
              <w:rPr>
                <w:rFonts w:cs="Arial"/>
                <w:sz w:val="16"/>
                <w:szCs w:val="16"/>
              </w:rPr>
              <w:t>.</w:t>
            </w:r>
            <w:r w:rsidRPr="006F00A8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44" w:type="dxa"/>
            <w:vAlign w:val="bottom"/>
          </w:tcPr>
          <w:p w14:paraId="2FD55188" w14:textId="48006D9F" w:rsidR="00EB76DD" w:rsidRPr="0038490F" w:rsidRDefault="00EB76DD" w:rsidP="00EB76D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.</w:t>
            </w:r>
            <w:r w:rsidRPr="006F00A8">
              <w:rPr>
                <w:rFonts w:cs="Arial"/>
                <w:sz w:val="16"/>
                <w:szCs w:val="16"/>
              </w:rPr>
              <w:t>5</w:t>
            </w:r>
          </w:p>
        </w:tc>
      </w:tr>
      <w:tr w:rsidR="00EB76DD" w:rsidRPr="00366025" w14:paraId="50FDCFC4" w14:textId="77777777" w:rsidTr="00D77C42">
        <w:tc>
          <w:tcPr>
            <w:tcW w:w="2268" w:type="dxa"/>
            <w:vAlign w:val="center"/>
          </w:tcPr>
          <w:p w14:paraId="5B57770C" w14:textId="6B14D0AA" w:rsidR="00EB76DD" w:rsidRPr="0038490F" w:rsidRDefault="00EB76DD" w:rsidP="00EB76D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 Italy</w:t>
            </w:r>
          </w:p>
        </w:tc>
        <w:tc>
          <w:tcPr>
            <w:tcW w:w="911" w:type="dxa"/>
            <w:vAlign w:val="bottom"/>
          </w:tcPr>
          <w:p w14:paraId="457EDEF3" w14:textId="14861889" w:rsidR="00EB76DD" w:rsidRPr="0038490F" w:rsidRDefault="00EB76DD" w:rsidP="00EB76D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50</w:t>
            </w:r>
            <w:r>
              <w:rPr>
                <w:rFonts w:cs="Arial"/>
                <w:sz w:val="16"/>
                <w:szCs w:val="16"/>
              </w:rPr>
              <w:t>.</w:t>
            </w:r>
            <w:r w:rsidRPr="006F00A8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72" w:type="dxa"/>
            <w:vAlign w:val="bottom"/>
          </w:tcPr>
          <w:p w14:paraId="2F3BF715" w14:textId="6A5304E7" w:rsidR="00EB76DD" w:rsidRPr="0038490F" w:rsidRDefault="00EB76DD" w:rsidP="00EB76D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13</w:t>
            </w:r>
            <w:r>
              <w:rPr>
                <w:rFonts w:cs="Arial"/>
                <w:sz w:val="16"/>
                <w:szCs w:val="16"/>
              </w:rPr>
              <w:t>.</w:t>
            </w:r>
            <w:r w:rsidRPr="006F00A8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772" w:type="dxa"/>
            <w:vAlign w:val="bottom"/>
          </w:tcPr>
          <w:p w14:paraId="2A829C33" w14:textId="48EC3ADF" w:rsidR="00EB76DD" w:rsidRPr="0038490F" w:rsidRDefault="00EB76DD" w:rsidP="00EB76D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11</w:t>
            </w:r>
            <w:r>
              <w:rPr>
                <w:rFonts w:cs="Arial"/>
                <w:sz w:val="16"/>
                <w:szCs w:val="16"/>
              </w:rPr>
              <w:t>.</w:t>
            </w:r>
            <w:r w:rsidRPr="006F00A8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71" w:type="dxa"/>
            <w:vAlign w:val="bottom"/>
          </w:tcPr>
          <w:p w14:paraId="6FAF1383" w14:textId="4806735E" w:rsidR="00EB76DD" w:rsidRPr="0038490F" w:rsidRDefault="00EB76DD" w:rsidP="00EB76D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105</w:t>
            </w:r>
            <w:r>
              <w:rPr>
                <w:rFonts w:cs="Arial"/>
                <w:sz w:val="16"/>
                <w:szCs w:val="16"/>
              </w:rPr>
              <w:t>.</w:t>
            </w:r>
            <w:r w:rsidRPr="006F00A8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71" w:type="dxa"/>
            <w:vAlign w:val="bottom"/>
          </w:tcPr>
          <w:p w14:paraId="2A8C7144" w14:textId="0F08699F" w:rsidR="00EB76DD" w:rsidRPr="0038490F" w:rsidRDefault="00EB76DD" w:rsidP="00EB76D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112</w:t>
            </w:r>
            <w:r>
              <w:rPr>
                <w:rFonts w:cs="Arial"/>
                <w:sz w:val="16"/>
                <w:szCs w:val="16"/>
              </w:rPr>
              <w:t>.</w:t>
            </w:r>
            <w:r w:rsidRPr="006F00A8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70" w:type="dxa"/>
            <w:vAlign w:val="bottom"/>
          </w:tcPr>
          <w:p w14:paraId="68E20E19" w14:textId="3F4A9D66" w:rsidR="00EB76DD" w:rsidRPr="0038490F" w:rsidRDefault="00EB76DD" w:rsidP="00EB76D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105</w:t>
            </w:r>
            <w:r>
              <w:rPr>
                <w:rFonts w:cs="Arial"/>
                <w:sz w:val="16"/>
                <w:szCs w:val="16"/>
              </w:rPr>
              <w:t>.</w:t>
            </w:r>
            <w:r w:rsidRPr="006F00A8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vAlign w:val="bottom"/>
          </w:tcPr>
          <w:p w14:paraId="4343D177" w14:textId="0C08C0D5" w:rsidR="00EB76DD" w:rsidRPr="0038490F" w:rsidRDefault="00EB76DD" w:rsidP="00EB76D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.</w:t>
            </w:r>
            <w:r w:rsidRPr="006F00A8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44" w:type="dxa"/>
            <w:vAlign w:val="bottom"/>
          </w:tcPr>
          <w:p w14:paraId="1BC789CA" w14:textId="433380B2" w:rsidR="00EB76DD" w:rsidRPr="0038490F" w:rsidRDefault="00EB76DD" w:rsidP="00EB76D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.</w:t>
            </w:r>
            <w:r w:rsidRPr="006F00A8">
              <w:rPr>
                <w:rFonts w:cs="Arial"/>
                <w:sz w:val="16"/>
                <w:szCs w:val="16"/>
              </w:rPr>
              <w:t>2</w:t>
            </w:r>
          </w:p>
        </w:tc>
      </w:tr>
      <w:tr w:rsidR="00EB76DD" w:rsidRPr="00366025" w14:paraId="077E168B" w14:textId="77777777" w:rsidTr="00D77C42">
        <w:tc>
          <w:tcPr>
            <w:tcW w:w="2268" w:type="dxa"/>
            <w:vAlign w:val="center"/>
          </w:tcPr>
          <w:p w14:paraId="341873B0" w14:textId="175B9B0B" w:rsidR="00EB76DD" w:rsidRPr="0038490F" w:rsidRDefault="00EB76DD" w:rsidP="00EB76D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6. </w:t>
            </w:r>
            <w:r w:rsidRPr="00366025">
              <w:rPr>
                <w:rFonts w:cs="Arial"/>
                <w:sz w:val="16"/>
                <w:szCs w:val="16"/>
              </w:rPr>
              <w:t xml:space="preserve"> Czech</w:t>
            </w:r>
            <w:r>
              <w:rPr>
                <w:rFonts w:cs="Arial"/>
                <w:sz w:val="16"/>
                <w:szCs w:val="16"/>
              </w:rPr>
              <w:t xml:space="preserve"> Republic </w:t>
            </w:r>
          </w:p>
        </w:tc>
        <w:tc>
          <w:tcPr>
            <w:tcW w:w="911" w:type="dxa"/>
            <w:vAlign w:val="bottom"/>
          </w:tcPr>
          <w:p w14:paraId="291AE67A" w14:textId="1EB9DB43" w:rsidR="00EB76DD" w:rsidRPr="0038490F" w:rsidRDefault="00EB76DD" w:rsidP="00EB76D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38</w:t>
            </w:r>
            <w:r>
              <w:rPr>
                <w:rFonts w:cs="Arial"/>
                <w:sz w:val="16"/>
                <w:szCs w:val="16"/>
              </w:rPr>
              <w:t>.</w:t>
            </w:r>
            <w:r w:rsidRPr="006F00A8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772" w:type="dxa"/>
            <w:vAlign w:val="bottom"/>
          </w:tcPr>
          <w:p w14:paraId="0808B15D" w14:textId="1165D994" w:rsidR="00EB76DD" w:rsidRPr="0038490F" w:rsidRDefault="00EB76DD" w:rsidP="00EB76D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10</w:t>
            </w:r>
            <w:r>
              <w:rPr>
                <w:rFonts w:cs="Arial"/>
                <w:sz w:val="16"/>
                <w:szCs w:val="16"/>
              </w:rPr>
              <w:t>.</w:t>
            </w:r>
            <w:r w:rsidRPr="006F00A8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72" w:type="dxa"/>
            <w:vAlign w:val="bottom"/>
          </w:tcPr>
          <w:p w14:paraId="5088E47F" w14:textId="67AA1F4B" w:rsidR="00EB76DD" w:rsidRPr="0038490F" w:rsidRDefault="00EB76DD" w:rsidP="00EB76D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9</w:t>
            </w:r>
            <w:r>
              <w:rPr>
                <w:rFonts w:cs="Arial"/>
                <w:sz w:val="16"/>
                <w:szCs w:val="16"/>
              </w:rPr>
              <w:t>.</w:t>
            </w:r>
            <w:r w:rsidRPr="006F00A8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71" w:type="dxa"/>
            <w:vAlign w:val="bottom"/>
          </w:tcPr>
          <w:p w14:paraId="2EB2C051" w14:textId="286464FD" w:rsidR="00EB76DD" w:rsidRPr="0038490F" w:rsidRDefault="00EB76DD" w:rsidP="00EB76D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109</w:t>
            </w:r>
            <w:r>
              <w:rPr>
                <w:rFonts w:cs="Arial"/>
                <w:sz w:val="16"/>
                <w:szCs w:val="16"/>
              </w:rPr>
              <w:t>.</w:t>
            </w:r>
            <w:r w:rsidRPr="006F00A8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71" w:type="dxa"/>
            <w:vAlign w:val="bottom"/>
          </w:tcPr>
          <w:p w14:paraId="1A88B7A6" w14:textId="738C90F1" w:rsidR="00EB76DD" w:rsidRPr="0038490F" w:rsidRDefault="00EB76DD" w:rsidP="00EB76D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115</w:t>
            </w:r>
            <w:r>
              <w:rPr>
                <w:rFonts w:cs="Arial"/>
                <w:sz w:val="16"/>
                <w:szCs w:val="16"/>
              </w:rPr>
              <w:t>.</w:t>
            </w:r>
            <w:r w:rsidRPr="006F00A8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70" w:type="dxa"/>
            <w:vAlign w:val="bottom"/>
          </w:tcPr>
          <w:p w14:paraId="09FA1514" w14:textId="3230C293" w:rsidR="00EB76DD" w:rsidRPr="0038490F" w:rsidRDefault="00EB76DD" w:rsidP="00EB76D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109</w:t>
            </w:r>
            <w:r>
              <w:rPr>
                <w:rFonts w:cs="Arial"/>
                <w:sz w:val="16"/>
                <w:szCs w:val="16"/>
              </w:rPr>
              <w:t>.</w:t>
            </w:r>
            <w:r w:rsidRPr="006F00A8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44" w:type="dxa"/>
            <w:vAlign w:val="bottom"/>
          </w:tcPr>
          <w:p w14:paraId="5A075577" w14:textId="46AD8D99" w:rsidR="00EB76DD" w:rsidRPr="0038490F" w:rsidRDefault="00EB76DD" w:rsidP="00EB76D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4.0</w:t>
            </w:r>
          </w:p>
        </w:tc>
        <w:tc>
          <w:tcPr>
            <w:tcW w:w="644" w:type="dxa"/>
            <w:vAlign w:val="bottom"/>
          </w:tcPr>
          <w:p w14:paraId="66668EB8" w14:textId="167F1DE1" w:rsidR="00EB76DD" w:rsidRPr="0038490F" w:rsidRDefault="00EB76DD" w:rsidP="00EB76D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t>.</w:t>
            </w:r>
            <w:r w:rsidRPr="006F00A8">
              <w:rPr>
                <w:rFonts w:cs="Arial"/>
                <w:sz w:val="16"/>
                <w:szCs w:val="16"/>
              </w:rPr>
              <w:t>0</w:t>
            </w:r>
          </w:p>
        </w:tc>
      </w:tr>
      <w:tr w:rsidR="00EB76DD" w:rsidRPr="00366025" w14:paraId="50EDA43E" w14:textId="77777777" w:rsidTr="00D77C42">
        <w:tc>
          <w:tcPr>
            <w:tcW w:w="2268" w:type="dxa"/>
            <w:vAlign w:val="center"/>
          </w:tcPr>
          <w:p w14:paraId="0B3382FA" w14:textId="302E8161" w:rsidR="00EB76DD" w:rsidRPr="0038490F" w:rsidRDefault="00EB76DD" w:rsidP="00EB76D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7. </w:t>
            </w:r>
            <w:r>
              <w:rPr>
                <w:rFonts w:cs="Arial"/>
                <w:sz w:val="16"/>
                <w:szCs w:val="16"/>
              </w:rPr>
              <w:t xml:space="preserve"> France</w:t>
            </w:r>
          </w:p>
        </w:tc>
        <w:tc>
          <w:tcPr>
            <w:tcW w:w="911" w:type="dxa"/>
            <w:vAlign w:val="bottom"/>
          </w:tcPr>
          <w:p w14:paraId="5234784D" w14:textId="0455704B" w:rsidR="00EB76DD" w:rsidRPr="0038490F" w:rsidRDefault="00EB76DD" w:rsidP="00EB76D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38</w:t>
            </w:r>
            <w:r>
              <w:rPr>
                <w:rFonts w:cs="Arial"/>
                <w:sz w:val="16"/>
                <w:szCs w:val="16"/>
              </w:rPr>
              <w:t>.</w:t>
            </w:r>
            <w:r w:rsidRPr="006F00A8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772" w:type="dxa"/>
            <w:vAlign w:val="bottom"/>
          </w:tcPr>
          <w:p w14:paraId="41F806C0" w14:textId="0C5F1DF3" w:rsidR="00EB76DD" w:rsidRPr="0038490F" w:rsidRDefault="00EB76DD" w:rsidP="00EB76D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10</w:t>
            </w:r>
            <w:r>
              <w:rPr>
                <w:rFonts w:cs="Arial"/>
                <w:sz w:val="16"/>
                <w:szCs w:val="16"/>
              </w:rPr>
              <w:t>.</w:t>
            </w:r>
            <w:r w:rsidRPr="006F00A8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772" w:type="dxa"/>
            <w:vAlign w:val="bottom"/>
          </w:tcPr>
          <w:p w14:paraId="6327D95A" w14:textId="59D03B7D" w:rsidR="00EB76DD" w:rsidRPr="0038490F" w:rsidRDefault="00EB76DD" w:rsidP="00EB76D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9</w:t>
            </w:r>
            <w:r>
              <w:rPr>
                <w:rFonts w:cs="Arial"/>
                <w:sz w:val="16"/>
                <w:szCs w:val="16"/>
              </w:rPr>
              <w:t>.</w:t>
            </w:r>
            <w:r w:rsidRPr="006F00A8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71" w:type="dxa"/>
            <w:vAlign w:val="bottom"/>
          </w:tcPr>
          <w:p w14:paraId="0ACA373A" w14:textId="6D55BEEA" w:rsidR="00EB76DD" w:rsidRPr="0038490F" w:rsidRDefault="00EB76DD" w:rsidP="00EB76D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105</w:t>
            </w:r>
            <w:r>
              <w:rPr>
                <w:rFonts w:cs="Arial"/>
                <w:sz w:val="16"/>
                <w:szCs w:val="16"/>
              </w:rPr>
              <w:t>.</w:t>
            </w:r>
            <w:r w:rsidRPr="006F00A8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71" w:type="dxa"/>
            <w:vAlign w:val="bottom"/>
          </w:tcPr>
          <w:p w14:paraId="0AB56445" w14:textId="060AFFF9" w:rsidR="00EB76DD" w:rsidRPr="0038490F" w:rsidRDefault="00EB76DD" w:rsidP="00EB76D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112</w:t>
            </w:r>
            <w:r>
              <w:rPr>
                <w:rFonts w:cs="Arial"/>
                <w:sz w:val="16"/>
                <w:szCs w:val="16"/>
              </w:rPr>
              <w:t>.</w:t>
            </w:r>
            <w:r w:rsidRPr="006F00A8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70" w:type="dxa"/>
            <w:vAlign w:val="bottom"/>
          </w:tcPr>
          <w:p w14:paraId="6BD46762" w14:textId="03ECF072" w:rsidR="00EB76DD" w:rsidRPr="0038490F" w:rsidRDefault="00EB76DD" w:rsidP="00EB76D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106</w:t>
            </w:r>
            <w:r>
              <w:rPr>
                <w:rFonts w:cs="Arial"/>
                <w:sz w:val="16"/>
                <w:szCs w:val="16"/>
              </w:rPr>
              <w:t>.</w:t>
            </w:r>
            <w:r w:rsidRPr="006F00A8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44" w:type="dxa"/>
            <w:vAlign w:val="bottom"/>
          </w:tcPr>
          <w:p w14:paraId="4E8EFCE8" w14:textId="702BB40E" w:rsidR="00EB76DD" w:rsidRPr="0038490F" w:rsidRDefault="00EB76DD" w:rsidP="00EB76D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4.1</w:t>
            </w:r>
          </w:p>
        </w:tc>
        <w:tc>
          <w:tcPr>
            <w:tcW w:w="644" w:type="dxa"/>
            <w:vAlign w:val="bottom"/>
          </w:tcPr>
          <w:p w14:paraId="5E89361B" w14:textId="4AE3C6A7" w:rsidR="00EB76DD" w:rsidRPr="0038490F" w:rsidRDefault="00EB76DD" w:rsidP="00EB76D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t>.</w:t>
            </w:r>
            <w:r w:rsidRPr="006F00A8">
              <w:rPr>
                <w:rFonts w:cs="Arial"/>
                <w:sz w:val="16"/>
                <w:szCs w:val="16"/>
              </w:rPr>
              <w:t>0</w:t>
            </w:r>
          </w:p>
        </w:tc>
      </w:tr>
      <w:tr w:rsidR="00EB76DD" w:rsidRPr="00366025" w14:paraId="72D519AB" w14:textId="77777777" w:rsidTr="00D77C42">
        <w:tc>
          <w:tcPr>
            <w:tcW w:w="2268" w:type="dxa"/>
            <w:vAlign w:val="center"/>
          </w:tcPr>
          <w:p w14:paraId="47C2B0B8" w14:textId="67504FED" w:rsidR="00EB76DD" w:rsidRPr="0038490F" w:rsidRDefault="00EB76DD" w:rsidP="00EB76DD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 </w:t>
            </w:r>
            <w:proofErr w:type="spellStart"/>
            <w:r>
              <w:rPr>
                <w:rFonts w:cs="Arial"/>
                <w:sz w:val="16"/>
                <w:szCs w:val="16"/>
              </w:rPr>
              <w:t>Belgium</w:t>
            </w:r>
            <w:proofErr w:type="spellEnd"/>
          </w:p>
        </w:tc>
        <w:tc>
          <w:tcPr>
            <w:tcW w:w="911" w:type="dxa"/>
            <w:vAlign w:val="bottom"/>
          </w:tcPr>
          <w:p w14:paraId="130266A7" w14:textId="486074CD" w:rsidR="00EB76DD" w:rsidRPr="0038490F" w:rsidRDefault="00EB76DD" w:rsidP="00EB76D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36</w:t>
            </w:r>
            <w:r>
              <w:rPr>
                <w:rFonts w:cs="Arial"/>
                <w:sz w:val="16"/>
                <w:szCs w:val="16"/>
              </w:rPr>
              <w:t>.</w:t>
            </w:r>
            <w:r w:rsidRPr="006F00A8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772" w:type="dxa"/>
            <w:vAlign w:val="bottom"/>
          </w:tcPr>
          <w:p w14:paraId="5E28C60B" w14:textId="0892FA3F" w:rsidR="00EB76DD" w:rsidRPr="0038490F" w:rsidRDefault="00EB76DD" w:rsidP="00EB76D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10</w:t>
            </w:r>
            <w:r>
              <w:rPr>
                <w:rFonts w:cs="Arial"/>
                <w:sz w:val="16"/>
                <w:szCs w:val="16"/>
              </w:rPr>
              <w:t>.</w:t>
            </w:r>
            <w:r w:rsidRPr="006F00A8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72" w:type="dxa"/>
            <w:vAlign w:val="bottom"/>
          </w:tcPr>
          <w:p w14:paraId="5D4288BC" w14:textId="7D511828" w:rsidR="00EB76DD" w:rsidRPr="0038490F" w:rsidRDefault="00EB76DD" w:rsidP="00EB76D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8</w:t>
            </w:r>
            <w:r>
              <w:rPr>
                <w:rFonts w:cs="Arial"/>
                <w:sz w:val="16"/>
                <w:szCs w:val="16"/>
              </w:rPr>
              <w:t>.</w:t>
            </w:r>
            <w:r w:rsidRPr="006F00A8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71" w:type="dxa"/>
            <w:vAlign w:val="bottom"/>
          </w:tcPr>
          <w:p w14:paraId="5C846DFC" w14:textId="6B4FDCD6" w:rsidR="00EB76DD" w:rsidRPr="0038490F" w:rsidRDefault="00EB76DD" w:rsidP="00EB76D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112</w:t>
            </w:r>
            <w:r>
              <w:rPr>
                <w:rFonts w:cs="Arial"/>
                <w:sz w:val="16"/>
                <w:szCs w:val="16"/>
              </w:rPr>
              <w:t>.</w:t>
            </w:r>
            <w:r w:rsidRPr="006F00A8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71" w:type="dxa"/>
            <w:vAlign w:val="bottom"/>
          </w:tcPr>
          <w:p w14:paraId="5F7C46A5" w14:textId="03813DE8" w:rsidR="00EB76DD" w:rsidRPr="0038490F" w:rsidRDefault="00EB76DD" w:rsidP="00EB76D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119</w:t>
            </w:r>
            <w:r>
              <w:rPr>
                <w:rFonts w:cs="Arial"/>
                <w:sz w:val="16"/>
                <w:szCs w:val="16"/>
              </w:rPr>
              <w:t>.</w:t>
            </w:r>
            <w:r w:rsidRPr="006F00A8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70" w:type="dxa"/>
            <w:vAlign w:val="bottom"/>
          </w:tcPr>
          <w:p w14:paraId="3DAF0993" w14:textId="35F8741D" w:rsidR="00EB76DD" w:rsidRPr="0038490F" w:rsidRDefault="00EB76DD" w:rsidP="00EB76D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113</w:t>
            </w:r>
            <w:r>
              <w:rPr>
                <w:rFonts w:cs="Arial"/>
                <w:sz w:val="16"/>
                <w:szCs w:val="16"/>
              </w:rPr>
              <w:t>.</w:t>
            </w:r>
            <w:r w:rsidRPr="006F00A8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44" w:type="dxa"/>
            <w:vAlign w:val="bottom"/>
          </w:tcPr>
          <w:p w14:paraId="7F0F19E0" w14:textId="5594C888" w:rsidR="00EB76DD" w:rsidRPr="0038490F" w:rsidRDefault="00EB76DD" w:rsidP="00EB76D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</w:t>
            </w:r>
            <w:r w:rsidRPr="006F00A8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44" w:type="dxa"/>
            <w:vAlign w:val="bottom"/>
          </w:tcPr>
          <w:p w14:paraId="01609F8A" w14:textId="27D3A902" w:rsidR="00EB76DD" w:rsidRPr="0038490F" w:rsidRDefault="00EB76DD" w:rsidP="00EB76D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</w:t>
            </w:r>
            <w:r w:rsidRPr="006F00A8">
              <w:rPr>
                <w:rFonts w:cs="Arial"/>
                <w:sz w:val="16"/>
                <w:szCs w:val="16"/>
              </w:rPr>
              <w:t>8</w:t>
            </w:r>
          </w:p>
        </w:tc>
      </w:tr>
      <w:tr w:rsidR="00EB76DD" w:rsidRPr="00366025" w14:paraId="201889B7" w14:textId="77777777" w:rsidTr="00D77C42">
        <w:tc>
          <w:tcPr>
            <w:tcW w:w="2268" w:type="dxa"/>
            <w:vAlign w:val="center"/>
          </w:tcPr>
          <w:p w14:paraId="74469939" w14:textId="57A015D4" w:rsidR="00EB76DD" w:rsidRPr="0038490F" w:rsidRDefault="00EB76DD" w:rsidP="00EB76D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 xml:space="preserve"> United </w:t>
            </w:r>
            <w:proofErr w:type="spellStart"/>
            <w:r>
              <w:rPr>
                <w:rFonts w:cs="Arial"/>
                <w:sz w:val="16"/>
                <w:szCs w:val="16"/>
              </w:rPr>
              <w:t>Kingdom</w:t>
            </w:r>
            <w:proofErr w:type="spellEnd"/>
          </w:p>
        </w:tc>
        <w:tc>
          <w:tcPr>
            <w:tcW w:w="911" w:type="dxa"/>
            <w:vAlign w:val="bottom"/>
          </w:tcPr>
          <w:p w14:paraId="53711EDC" w14:textId="7E20FDC8" w:rsidR="00EB76DD" w:rsidRPr="0038490F" w:rsidRDefault="00EB76DD" w:rsidP="00EB76D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25</w:t>
            </w:r>
            <w:r>
              <w:rPr>
                <w:rFonts w:cs="Arial"/>
                <w:sz w:val="16"/>
                <w:szCs w:val="16"/>
              </w:rPr>
              <w:t>.</w:t>
            </w:r>
            <w:r w:rsidRPr="006F00A8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72" w:type="dxa"/>
            <w:vAlign w:val="bottom"/>
          </w:tcPr>
          <w:p w14:paraId="35B9C134" w14:textId="7F9D0E6D" w:rsidR="00EB76DD" w:rsidRPr="0038490F" w:rsidRDefault="00EB76DD" w:rsidP="00EB76D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7</w:t>
            </w:r>
            <w:r>
              <w:rPr>
                <w:rFonts w:cs="Arial"/>
                <w:sz w:val="16"/>
                <w:szCs w:val="16"/>
              </w:rPr>
              <w:t>.</w:t>
            </w:r>
            <w:r w:rsidRPr="006F00A8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72" w:type="dxa"/>
            <w:vAlign w:val="bottom"/>
          </w:tcPr>
          <w:p w14:paraId="3235B538" w14:textId="64E122C5" w:rsidR="00EB76DD" w:rsidRPr="0038490F" w:rsidRDefault="00EB76DD" w:rsidP="00EB76D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6</w:t>
            </w:r>
            <w:r>
              <w:rPr>
                <w:rFonts w:cs="Arial"/>
                <w:sz w:val="16"/>
                <w:szCs w:val="16"/>
              </w:rPr>
              <w:t>.</w:t>
            </w:r>
            <w:r w:rsidRPr="006F00A8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71" w:type="dxa"/>
            <w:vAlign w:val="bottom"/>
          </w:tcPr>
          <w:p w14:paraId="5175EA34" w14:textId="0F6C9A72" w:rsidR="00EB76DD" w:rsidRPr="0038490F" w:rsidRDefault="00EB76DD" w:rsidP="00EB76D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105</w:t>
            </w:r>
            <w:r>
              <w:rPr>
                <w:rFonts w:cs="Arial"/>
                <w:sz w:val="16"/>
                <w:szCs w:val="16"/>
              </w:rPr>
              <w:t>.</w:t>
            </w:r>
            <w:r w:rsidRPr="006F00A8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71" w:type="dxa"/>
            <w:vAlign w:val="bottom"/>
          </w:tcPr>
          <w:p w14:paraId="33A6A3F5" w14:textId="0F237FF6" w:rsidR="00EB76DD" w:rsidRPr="0038490F" w:rsidRDefault="00EB76DD" w:rsidP="00EB76D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111</w:t>
            </w:r>
            <w:r>
              <w:rPr>
                <w:rFonts w:cs="Arial"/>
                <w:sz w:val="16"/>
                <w:szCs w:val="16"/>
              </w:rPr>
              <w:t>.</w:t>
            </w:r>
            <w:r w:rsidRPr="006F00A8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70" w:type="dxa"/>
            <w:vAlign w:val="bottom"/>
          </w:tcPr>
          <w:p w14:paraId="1AECCA65" w14:textId="3301B6AE" w:rsidR="00EB76DD" w:rsidRPr="0038490F" w:rsidRDefault="00EB76DD" w:rsidP="00EB76D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105</w:t>
            </w:r>
            <w:r>
              <w:rPr>
                <w:rFonts w:cs="Arial"/>
                <w:sz w:val="16"/>
                <w:szCs w:val="16"/>
              </w:rPr>
              <w:t>.</w:t>
            </w:r>
            <w:r w:rsidRPr="006F00A8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44" w:type="dxa"/>
            <w:vAlign w:val="bottom"/>
          </w:tcPr>
          <w:p w14:paraId="091D36BF" w14:textId="593C21B6" w:rsidR="00EB76DD" w:rsidRPr="0038490F" w:rsidRDefault="00EB76DD" w:rsidP="00EB76D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Pr="006F00A8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44" w:type="dxa"/>
            <w:vAlign w:val="bottom"/>
          </w:tcPr>
          <w:p w14:paraId="40C9FDC0" w14:textId="0458AD7E" w:rsidR="00EB76DD" w:rsidRPr="0038490F" w:rsidRDefault="00EB76DD" w:rsidP="00EB76D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Pr="006F00A8">
              <w:rPr>
                <w:rFonts w:cs="Arial"/>
                <w:sz w:val="16"/>
                <w:szCs w:val="16"/>
              </w:rPr>
              <w:t>6</w:t>
            </w:r>
          </w:p>
        </w:tc>
      </w:tr>
      <w:tr w:rsidR="00EB76DD" w:rsidRPr="00366025" w14:paraId="6A7FDFEC" w14:textId="77777777" w:rsidTr="00D77C42">
        <w:tc>
          <w:tcPr>
            <w:tcW w:w="2268" w:type="dxa"/>
            <w:vAlign w:val="center"/>
          </w:tcPr>
          <w:p w14:paraId="6867F896" w14:textId="707C9E88" w:rsidR="00EB76DD" w:rsidRPr="0038490F" w:rsidRDefault="00EB76DD" w:rsidP="00EB76D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10. </w:t>
            </w:r>
            <w:proofErr w:type="spellStart"/>
            <w:r>
              <w:rPr>
                <w:rFonts w:cs="Arial"/>
                <w:sz w:val="16"/>
                <w:szCs w:val="16"/>
              </w:rPr>
              <w:t>Slovakia</w:t>
            </w:r>
            <w:proofErr w:type="spellEnd"/>
          </w:p>
        </w:tc>
        <w:tc>
          <w:tcPr>
            <w:tcW w:w="911" w:type="dxa"/>
            <w:vAlign w:val="bottom"/>
          </w:tcPr>
          <w:p w14:paraId="77B87ACA" w14:textId="1C9001B2" w:rsidR="00EB76DD" w:rsidRPr="0038490F" w:rsidRDefault="00EB76DD" w:rsidP="00EB76D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22</w:t>
            </w:r>
            <w:r>
              <w:rPr>
                <w:rFonts w:cs="Arial"/>
                <w:sz w:val="16"/>
                <w:szCs w:val="16"/>
              </w:rPr>
              <w:t>.</w:t>
            </w:r>
            <w:r w:rsidRPr="006F00A8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772" w:type="dxa"/>
            <w:vAlign w:val="bottom"/>
          </w:tcPr>
          <w:p w14:paraId="7B4B9196" w14:textId="518430AD" w:rsidR="00EB76DD" w:rsidRPr="0038490F" w:rsidRDefault="00EB76DD" w:rsidP="00EB76D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6</w:t>
            </w:r>
            <w:r>
              <w:rPr>
                <w:rFonts w:cs="Arial"/>
                <w:sz w:val="16"/>
                <w:szCs w:val="16"/>
              </w:rPr>
              <w:t>.</w:t>
            </w:r>
            <w:r w:rsidRPr="006F00A8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72" w:type="dxa"/>
            <w:vAlign w:val="bottom"/>
          </w:tcPr>
          <w:p w14:paraId="1D1D3196" w14:textId="2134171D" w:rsidR="00EB76DD" w:rsidRPr="0038490F" w:rsidRDefault="00EB76DD" w:rsidP="00EB76D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.</w:t>
            </w:r>
            <w:r w:rsidRPr="006F00A8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71" w:type="dxa"/>
            <w:vAlign w:val="bottom"/>
          </w:tcPr>
          <w:p w14:paraId="04041858" w14:textId="2929A147" w:rsidR="00EB76DD" w:rsidRPr="0038490F" w:rsidRDefault="00EB76DD" w:rsidP="00EB76D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107</w:t>
            </w:r>
            <w:r>
              <w:rPr>
                <w:rFonts w:cs="Arial"/>
                <w:sz w:val="16"/>
                <w:szCs w:val="16"/>
              </w:rPr>
              <w:t>.</w:t>
            </w:r>
            <w:r w:rsidRPr="006F00A8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71" w:type="dxa"/>
            <w:vAlign w:val="bottom"/>
          </w:tcPr>
          <w:p w14:paraId="2C269B12" w14:textId="1B88AD5F" w:rsidR="00EB76DD" w:rsidRPr="0038490F" w:rsidRDefault="00EB76DD" w:rsidP="00EB76D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113</w:t>
            </w:r>
            <w:r>
              <w:rPr>
                <w:rFonts w:cs="Arial"/>
                <w:sz w:val="16"/>
                <w:szCs w:val="16"/>
              </w:rPr>
              <w:t>.</w:t>
            </w:r>
            <w:r w:rsidRPr="006F00A8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70" w:type="dxa"/>
            <w:vAlign w:val="bottom"/>
          </w:tcPr>
          <w:p w14:paraId="6017D6BB" w14:textId="0E83CC4F" w:rsidR="00EB76DD" w:rsidRPr="0038490F" w:rsidRDefault="00EB76DD" w:rsidP="00EB76D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107</w:t>
            </w:r>
            <w:r>
              <w:rPr>
                <w:rFonts w:cs="Arial"/>
                <w:sz w:val="16"/>
                <w:szCs w:val="16"/>
              </w:rPr>
              <w:t>.</w:t>
            </w:r>
            <w:r w:rsidRPr="006F00A8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vAlign w:val="bottom"/>
          </w:tcPr>
          <w:p w14:paraId="0D95B1EF" w14:textId="7C913509" w:rsidR="00EB76DD" w:rsidRPr="0038490F" w:rsidRDefault="00EB76DD" w:rsidP="00EB76D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Pr="006F00A8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44" w:type="dxa"/>
            <w:vAlign w:val="bottom"/>
          </w:tcPr>
          <w:p w14:paraId="42D7C3D0" w14:textId="1E4FDE77" w:rsidR="00EB76DD" w:rsidRPr="0038490F" w:rsidRDefault="00EB76DD" w:rsidP="00EB76D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F00A8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Pr="006F00A8">
              <w:rPr>
                <w:rFonts w:cs="Arial"/>
                <w:sz w:val="16"/>
                <w:szCs w:val="16"/>
              </w:rPr>
              <w:t>4</w:t>
            </w:r>
          </w:p>
        </w:tc>
      </w:tr>
    </w:tbl>
    <w:p w14:paraId="76FB5DAA" w14:textId="77777777" w:rsidR="00C65A4A" w:rsidRPr="003F16AB" w:rsidRDefault="00C65A4A" w:rsidP="00C65A4A">
      <w:pPr>
        <w:pStyle w:val="Nagwek1"/>
        <w:rPr>
          <w:lang w:val="en-US"/>
        </w:rPr>
      </w:pPr>
      <w:r w:rsidRPr="003F16AB">
        <w:rPr>
          <w:lang w:val="en-US"/>
        </w:rPr>
        <w:t xml:space="preserve">Imports by country of consignment </w:t>
      </w:r>
      <w:r>
        <w:rPr>
          <w:lang w:val="en-US"/>
        </w:rPr>
        <w:t>–</w:t>
      </w:r>
      <w:r w:rsidRPr="003F16AB">
        <w:rPr>
          <w:lang w:val="en-US"/>
        </w:rPr>
        <w:t xml:space="preserve"> </w:t>
      </w:r>
      <w:r>
        <w:rPr>
          <w:lang w:val="en-US"/>
        </w:rPr>
        <w:t>by countries</w:t>
      </w:r>
    </w:p>
    <w:p w14:paraId="6CCB4658" w14:textId="6F85A5FB" w:rsidR="00F657FD" w:rsidRPr="00C65A4A" w:rsidRDefault="00C65A4A" w:rsidP="00C65A4A">
      <w:pPr>
        <w:rPr>
          <w:rFonts w:cs="Arial"/>
          <w:b/>
          <w:spacing w:val="-3"/>
          <w:sz w:val="18"/>
          <w:szCs w:val="18"/>
          <w:lang w:val="en-US"/>
        </w:rPr>
      </w:pPr>
      <w:r w:rsidRPr="005A136A">
        <w:rPr>
          <w:rFonts w:cs="Arial"/>
          <w:szCs w:val="19"/>
          <w:lang w:val="en"/>
        </w:rPr>
        <w:t>The share of Germany in imports by country of consignment to import</w:t>
      </w:r>
      <w:r>
        <w:rPr>
          <w:rFonts w:cs="Arial"/>
          <w:szCs w:val="19"/>
          <w:lang w:val="en"/>
        </w:rPr>
        <w:t>s</w:t>
      </w:r>
      <w:r w:rsidRPr="005A136A">
        <w:rPr>
          <w:rFonts w:cs="Arial"/>
          <w:szCs w:val="19"/>
          <w:lang w:val="en"/>
        </w:rPr>
        <w:t xml:space="preserve"> by country of origin was higher by</w:t>
      </w:r>
      <w:r w:rsidRPr="00CB2E8F">
        <w:rPr>
          <w:rFonts w:cs="Arial"/>
          <w:lang w:val="en-US"/>
        </w:rPr>
        <w:t xml:space="preserve"> </w:t>
      </w:r>
      <w:r w:rsidR="00EB76DD">
        <w:rPr>
          <w:rFonts w:cs="Arial"/>
          <w:lang w:val="en-US"/>
        </w:rPr>
        <w:t>5.0</w:t>
      </w:r>
      <w:r>
        <w:rPr>
          <w:rFonts w:cs="Arial"/>
          <w:lang w:val="en-US"/>
        </w:rPr>
        <w:t xml:space="preserve"> pp</w:t>
      </w:r>
      <w:r w:rsidRPr="00CB2E8F">
        <w:rPr>
          <w:rFonts w:cs="Arial"/>
          <w:lang w:val="en-US"/>
        </w:rPr>
        <w:t xml:space="preserve">, </w:t>
      </w:r>
      <w:r>
        <w:rPr>
          <w:rFonts w:cs="Arial"/>
          <w:lang w:val="en-US"/>
        </w:rPr>
        <w:t>accordingly the share of the Netherlands was higher by</w:t>
      </w:r>
      <w:r w:rsidRPr="00CB2E8F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>1.9</w:t>
      </w:r>
      <w:r w:rsidRPr="00CB2E8F">
        <w:rPr>
          <w:rFonts w:cs="Arial"/>
          <w:lang w:val="en-US"/>
        </w:rPr>
        <w:t xml:space="preserve"> pp</w:t>
      </w:r>
      <w:r>
        <w:rPr>
          <w:rFonts w:cs="Arial"/>
          <w:lang w:val="en-US"/>
        </w:rPr>
        <w:t xml:space="preserve"> and</w:t>
      </w:r>
      <w:r w:rsidRPr="00CB2E8F">
        <w:rPr>
          <w:rFonts w:cs="Arial"/>
          <w:lang w:val="en-US"/>
        </w:rPr>
        <w:t xml:space="preserve"> Belgi</w:t>
      </w:r>
      <w:r>
        <w:rPr>
          <w:rFonts w:cs="Arial"/>
          <w:lang w:val="en-US"/>
        </w:rPr>
        <w:t>um by</w:t>
      </w:r>
      <w:r w:rsidRPr="00CB2E8F">
        <w:rPr>
          <w:rFonts w:cs="Arial"/>
          <w:lang w:val="en-US"/>
        </w:rPr>
        <w:t xml:space="preserve"> 1</w:t>
      </w:r>
      <w:r>
        <w:rPr>
          <w:rFonts w:cs="Arial"/>
          <w:lang w:val="en-US"/>
        </w:rPr>
        <w:t>.3</w:t>
      </w:r>
      <w:r w:rsidRPr="00CB2E8F">
        <w:rPr>
          <w:rFonts w:cs="Arial"/>
          <w:lang w:val="en-US"/>
        </w:rPr>
        <w:t xml:space="preserve"> pp.</w:t>
      </w:r>
      <w:r>
        <w:rPr>
          <w:rFonts w:cs="Arial"/>
          <w:lang w:val="en-US"/>
        </w:rPr>
        <w:t>,</w:t>
      </w:r>
      <w:r w:rsidRPr="00CB2E8F">
        <w:rPr>
          <w:b/>
          <w:noProof/>
          <w:spacing w:val="-2"/>
          <w:szCs w:val="19"/>
          <w:lang w:val="en-US" w:eastAsia="pl-PL"/>
        </w:rPr>
        <w:t xml:space="preserve"> </w:t>
      </w:r>
      <w:r w:rsidRPr="007D45CC">
        <w:rPr>
          <w:rFonts w:cs="Arial"/>
          <w:szCs w:val="19"/>
          <w:lang w:val="en-US"/>
        </w:rPr>
        <w:t>Czech</w:t>
      </w:r>
      <w:r>
        <w:rPr>
          <w:rFonts w:cs="Arial"/>
          <w:szCs w:val="19"/>
          <w:lang w:val="en-US"/>
        </w:rPr>
        <w:t xml:space="preserve"> </w:t>
      </w:r>
      <w:r w:rsidRPr="00D725C5">
        <w:rPr>
          <w:rFonts w:cs="Arial"/>
          <w:szCs w:val="19"/>
          <w:lang w:val="en-US"/>
        </w:rPr>
        <w:t>Republic</w:t>
      </w:r>
      <w:r>
        <w:rPr>
          <w:rFonts w:cs="Arial"/>
          <w:lang w:val="en-US"/>
        </w:rPr>
        <w:t xml:space="preserve"> by</w:t>
      </w:r>
      <w:r w:rsidRPr="00CB2E8F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>0.</w:t>
      </w:r>
      <w:r w:rsidR="002246B3">
        <w:rPr>
          <w:rFonts w:cs="Arial"/>
          <w:lang w:val="en-US"/>
        </w:rPr>
        <w:t>6</w:t>
      </w:r>
      <w:r w:rsidRPr="00CB2E8F">
        <w:rPr>
          <w:rFonts w:cs="Arial"/>
          <w:lang w:val="en-US"/>
        </w:rPr>
        <w:t xml:space="preserve"> pp</w:t>
      </w:r>
      <w:r w:rsidRPr="007D45CC">
        <w:rPr>
          <w:rFonts w:cs="Arial"/>
          <w:szCs w:val="19"/>
          <w:lang w:val="en-US"/>
        </w:rPr>
        <w:t xml:space="preserve"> </w:t>
      </w:r>
      <w:r>
        <w:rPr>
          <w:rFonts w:cs="Arial"/>
          <w:szCs w:val="19"/>
          <w:lang w:val="en-US"/>
        </w:rPr>
        <w:t>and</w:t>
      </w:r>
      <w:r w:rsidRPr="00D725C5">
        <w:rPr>
          <w:rFonts w:cs="Arial"/>
          <w:szCs w:val="19"/>
          <w:lang w:val="en-US"/>
        </w:rPr>
        <w:t xml:space="preserve"> </w:t>
      </w:r>
      <w:r w:rsidRPr="007D45CC">
        <w:rPr>
          <w:rFonts w:cs="Arial"/>
          <w:szCs w:val="19"/>
          <w:lang w:val="en-US"/>
        </w:rPr>
        <w:t>Russia</w:t>
      </w:r>
      <w:r w:rsidRPr="003201F6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>by</w:t>
      </w:r>
      <w:r w:rsidRPr="00CB2E8F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>0.</w:t>
      </w:r>
      <w:r w:rsidR="002246B3">
        <w:rPr>
          <w:rFonts w:cs="Arial"/>
          <w:lang w:val="en-US"/>
        </w:rPr>
        <w:t>4</w:t>
      </w:r>
      <w:r w:rsidRPr="00CB2E8F">
        <w:rPr>
          <w:rFonts w:cs="Arial"/>
          <w:lang w:val="en-US"/>
        </w:rPr>
        <w:t xml:space="preserve"> pp.</w:t>
      </w:r>
    </w:p>
    <w:p w14:paraId="118D5B7C" w14:textId="77777777" w:rsidR="00C65A4A" w:rsidRDefault="00C65A4A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14:paraId="614C40F7" w14:textId="5D52C77D" w:rsidR="00F70DA2" w:rsidRPr="00193D62" w:rsidRDefault="00C65A4A" w:rsidP="00366025">
      <w:pPr>
        <w:rPr>
          <w:rFonts w:cs="Arial"/>
          <w:lang w:val="en-US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5280" behindDoc="1" locked="0" layoutInCell="1" allowOverlap="1" wp14:anchorId="4C5CD1D3" wp14:editId="6979BCED">
                <wp:simplePos x="0" y="0"/>
                <wp:positionH relativeFrom="column">
                  <wp:posOffset>5215255</wp:posOffset>
                </wp:positionH>
                <wp:positionV relativeFrom="paragraph">
                  <wp:posOffset>2375288</wp:posOffset>
                </wp:positionV>
                <wp:extent cx="1725295" cy="1339215"/>
                <wp:effectExtent l="0" t="0" r="0" b="0"/>
                <wp:wrapTight wrapText="bothSides">
                  <wp:wrapPolygon edited="0">
                    <wp:start x="715" y="0"/>
                    <wp:lineTo x="715" y="21201"/>
                    <wp:lineTo x="20749" y="21201"/>
                    <wp:lineTo x="20749" y="0"/>
                    <wp:lineTo x="715" y="0"/>
                  </wp:wrapPolygon>
                </wp:wrapTight>
                <wp:docPr id="32" name="Pole tekstow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339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618C50" w14:textId="5A3CF189" w:rsidR="00C85300" w:rsidRPr="00193D62" w:rsidRDefault="00C85300" w:rsidP="0038490F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193D62">
                              <w:rPr>
                                <w:rFonts w:cs="Arial"/>
                                <w:lang w:val="en-US"/>
                              </w:rPr>
                              <w:t>Imports from China according by</w:t>
                            </w:r>
                            <w:r w:rsidRPr="00193D62">
                              <w:rPr>
                                <w:lang w:val="en-US"/>
                              </w:rPr>
                              <w:t xml:space="preserve">  country of consignment to import</w:t>
                            </w:r>
                            <w:r>
                              <w:rPr>
                                <w:lang w:val="en-US"/>
                              </w:rPr>
                              <w:t>s</w:t>
                            </w:r>
                            <w:r w:rsidRPr="00193D62">
                              <w:rPr>
                                <w:lang w:val="en-US"/>
                              </w:rPr>
                              <w:t xml:space="preserve"> by country of origin was lower about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4.4</w:t>
                            </w:r>
                            <w:r w:rsidRPr="00193D62">
                              <w:rPr>
                                <w:rFonts w:cs="Arial"/>
                                <w:lang w:val="en-US"/>
                              </w:rPr>
                              <w:t> pp</w:t>
                            </w:r>
                          </w:p>
                          <w:p w14:paraId="2550C111" w14:textId="77777777" w:rsidR="00C85300" w:rsidRPr="00193D62" w:rsidRDefault="00C85300" w:rsidP="0038490F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60B6126" w14:textId="77777777" w:rsidR="00C85300" w:rsidRPr="00193D62" w:rsidRDefault="00C85300" w:rsidP="0038490F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D9ABC95" w14:textId="77777777" w:rsidR="00C85300" w:rsidRPr="00193D62" w:rsidRDefault="00C85300" w:rsidP="0038490F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441686F" w14:textId="77777777" w:rsidR="00C85300" w:rsidRPr="00193D62" w:rsidRDefault="00C85300" w:rsidP="0038490F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C504F07" w14:textId="77777777" w:rsidR="00C85300" w:rsidRPr="00193D62" w:rsidRDefault="00C85300" w:rsidP="0038490F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FF49E2D" w14:textId="77777777" w:rsidR="00C85300" w:rsidRPr="00193D62" w:rsidRDefault="00C85300" w:rsidP="0038490F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6650E12" w14:textId="77777777" w:rsidR="00C85300" w:rsidRPr="00193D62" w:rsidRDefault="00C85300" w:rsidP="0038490F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DD9ADB2" w14:textId="77777777" w:rsidR="00C85300" w:rsidRPr="00193D62" w:rsidRDefault="00C85300" w:rsidP="0038490F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2E94163" w14:textId="77777777" w:rsidR="00C85300" w:rsidRPr="00193D62" w:rsidRDefault="00C85300" w:rsidP="0038490F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97E1D87" w14:textId="77777777" w:rsidR="00C85300" w:rsidRPr="00193D62" w:rsidRDefault="00C85300" w:rsidP="0038490F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63F7E1E" w14:textId="77777777" w:rsidR="00C85300" w:rsidRPr="00193D62" w:rsidRDefault="00C85300" w:rsidP="0038490F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CD5EF9C" w14:textId="77777777" w:rsidR="00C85300" w:rsidRPr="00193D62" w:rsidRDefault="00C85300" w:rsidP="0038490F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655FBAD" w14:textId="77777777" w:rsidR="00C85300" w:rsidRPr="00193D62" w:rsidRDefault="00C85300" w:rsidP="0038490F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BA50B0B" w14:textId="77777777" w:rsidR="00C85300" w:rsidRPr="00193D62" w:rsidRDefault="00C85300" w:rsidP="0038490F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5CD1D3" id="Pole tekstowe 32" o:spid="_x0000_s1032" type="#_x0000_t202" style="position:absolute;margin-left:410.65pt;margin-top:187.05pt;width:135.85pt;height:105.45pt;z-index:-251571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" filled="f" stroked="f">
                <v:textbox>
                  <w:txbxContent>
                    <w:p w14:paraId="5C618C50" w14:textId="5A3CF189" w:rsidR="00C85300" w:rsidRPr="00193D62" w:rsidRDefault="00C85300" w:rsidP="0038490F">
                      <w:pPr>
                        <w:pStyle w:val="tekstzboku"/>
                        <w:rPr>
                          <w:lang w:val="en-US"/>
                        </w:rPr>
                      </w:pPr>
                      <w:r w:rsidRPr="00193D62">
                        <w:rPr>
                          <w:rFonts w:cs="Arial"/>
                          <w:lang w:val="en-US"/>
                        </w:rPr>
                        <w:t>Imports from China according by</w:t>
                      </w:r>
                      <w:r w:rsidRPr="00193D62">
                        <w:rPr>
                          <w:lang w:val="en-US"/>
                        </w:rPr>
                        <w:t xml:space="preserve">  country of consignment to import</w:t>
                      </w:r>
                      <w:r>
                        <w:rPr>
                          <w:lang w:val="en-US"/>
                        </w:rPr>
                        <w:t>s</w:t>
                      </w:r>
                      <w:r w:rsidRPr="00193D62">
                        <w:rPr>
                          <w:lang w:val="en-US"/>
                        </w:rPr>
                        <w:t xml:space="preserve"> by country of origin was lower about </w:t>
                      </w:r>
                      <w:r>
                        <w:rPr>
                          <w:rFonts w:cs="Arial"/>
                          <w:lang w:val="en-US"/>
                        </w:rPr>
                        <w:t>4.4</w:t>
                      </w:r>
                      <w:r w:rsidRPr="00193D62">
                        <w:rPr>
                          <w:rFonts w:cs="Arial"/>
                          <w:lang w:val="en-US"/>
                        </w:rPr>
                        <w:t> pp</w:t>
                      </w:r>
                    </w:p>
                    <w:p w14:paraId="2550C111" w14:textId="77777777" w:rsidR="00C85300" w:rsidRPr="00193D62" w:rsidRDefault="00C85300" w:rsidP="0038490F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60B6126" w14:textId="77777777" w:rsidR="00C85300" w:rsidRPr="00193D62" w:rsidRDefault="00C85300" w:rsidP="0038490F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D9ABC95" w14:textId="77777777" w:rsidR="00C85300" w:rsidRPr="00193D62" w:rsidRDefault="00C85300" w:rsidP="0038490F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441686F" w14:textId="77777777" w:rsidR="00C85300" w:rsidRPr="00193D62" w:rsidRDefault="00C85300" w:rsidP="0038490F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C504F07" w14:textId="77777777" w:rsidR="00C85300" w:rsidRPr="00193D62" w:rsidRDefault="00C85300" w:rsidP="0038490F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FF49E2D" w14:textId="77777777" w:rsidR="00C85300" w:rsidRPr="00193D62" w:rsidRDefault="00C85300" w:rsidP="0038490F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6650E12" w14:textId="77777777" w:rsidR="00C85300" w:rsidRPr="00193D62" w:rsidRDefault="00C85300" w:rsidP="0038490F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DD9ADB2" w14:textId="77777777" w:rsidR="00C85300" w:rsidRPr="00193D62" w:rsidRDefault="00C85300" w:rsidP="0038490F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2E94163" w14:textId="77777777" w:rsidR="00C85300" w:rsidRPr="00193D62" w:rsidRDefault="00C85300" w:rsidP="0038490F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97E1D87" w14:textId="77777777" w:rsidR="00C85300" w:rsidRPr="00193D62" w:rsidRDefault="00C85300" w:rsidP="0038490F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63F7E1E" w14:textId="77777777" w:rsidR="00C85300" w:rsidRPr="00193D62" w:rsidRDefault="00C85300" w:rsidP="0038490F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CD5EF9C" w14:textId="77777777" w:rsidR="00C85300" w:rsidRPr="00193D62" w:rsidRDefault="00C85300" w:rsidP="0038490F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655FBAD" w14:textId="77777777" w:rsidR="00C85300" w:rsidRPr="00193D62" w:rsidRDefault="00C85300" w:rsidP="0038490F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BA50B0B" w14:textId="77777777" w:rsidR="00C85300" w:rsidRPr="00193D62" w:rsidRDefault="00C85300" w:rsidP="0038490F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9C17B6" w:rsidRPr="00856331">
        <w:rPr>
          <w:rFonts w:cs="Arial"/>
          <w:b/>
          <w:spacing w:val="-3"/>
          <w:sz w:val="18"/>
          <w:szCs w:val="18"/>
          <w:lang w:val="en-US"/>
        </w:rPr>
        <w:t>Tabl</w:t>
      </w:r>
      <w:r w:rsidR="00E623A8" w:rsidRPr="00856331">
        <w:rPr>
          <w:rFonts w:cs="Arial"/>
          <w:b/>
          <w:spacing w:val="-3"/>
          <w:sz w:val="18"/>
          <w:szCs w:val="18"/>
          <w:lang w:val="en-US"/>
        </w:rPr>
        <w:t>e</w:t>
      </w:r>
      <w:r w:rsidR="009C17B6" w:rsidRPr="00856331">
        <w:rPr>
          <w:rFonts w:cs="Arial"/>
          <w:b/>
          <w:spacing w:val="-3"/>
          <w:sz w:val="18"/>
          <w:szCs w:val="18"/>
          <w:lang w:val="en-US"/>
        </w:rPr>
        <w:t xml:space="preserve"> 4. </w:t>
      </w:r>
      <w:r w:rsidR="009C17B6" w:rsidRPr="00193D62">
        <w:rPr>
          <w:b/>
          <w:lang w:val="en-US"/>
        </w:rPr>
        <w:t>Import</w:t>
      </w:r>
      <w:r w:rsidR="00193D62" w:rsidRPr="00193D62">
        <w:rPr>
          <w:b/>
          <w:lang w:val="en-US"/>
        </w:rPr>
        <w:t>s</w:t>
      </w:r>
      <w:r w:rsidR="009C17B6" w:rsidRPr="00193D62">
        <w:rPr>
          <w:b/>
          <w:lang w:val="en-US"/>
        </w:rPr>
        <w:t xml:space="preserve"> </w:t>
      </w:r>
      <w:r w:rsidR="00193D62" w:rsidRPr="00193D62">
        <w:rPr>
          <w:b/>
          <w:lang w:val="en-US"/>
        </w:rPr>
        <w:t>by country of consignment</w:t>
      </w:r>
      <w:r w:rsidR="003F16AB" w:rsidRPr="00193D62">
        <w:rPr>
          <w:b/>
          <w:lang w:val="en-US"/>
        </w:rPr>
        <w:t xml:space="preserve"> </w:t>
      </w:r>
      <w:r w:rsidR="00193D62" w:rsidRPr="00193D62">
        <w:rPr>
          <w:b/>
          <w:lang w:val="en-US"/>
        </w:rPr>
        <w:t>–</w:t>
      </w:r>
      <w:r w:rsidR="003F16AB" w:rsidRPr="00193D62">
        <w:rPr>
          <w:b/>
          <w:lang w:val="en-US"/>
        </w:rPr>
        <w:t xml:space="preserve"> </w:t>
      </w:r>
      <w:r w:rsidR="00193D62" w:rsidRPr="00193D62">
        <w:rPr>
          <w:b/>
          <w:lang w:val="en-US"/>
        </w:rPr>
        <w:t>by countries</w:t>
      </w:r>
      <w:r w:rsidR="009C17B6" w:rsidRPr="00193D62">
        <w:rPr>
          <w:rFonts w:cs="Arial"/>
          <w:lang w:val="en-US"/>
        </w:rPr>
        <w:t xml:space="preserve"> </w:t>
      </w:r>
    </w:p>
    <w:p w14:paraId="384F1E37" w14:textId="77777777" w:rsidR="00F3415A" w:rsidRPr="00193D62" w:rsidRDefault="00F3415A" w:rsidP="00366025">
      <w:pPr>
        <w:rPr>
          <w:b/>
          <w:sz w:val="18"/>
          <w:szCs w:val="18"/>
          <w:lang w:val="en-US" w:eastAsia="pl-PL"/>
        </w:rPr>
        <w:sectPr w:rsidR="00F3415A" w:rsidRPr="00193D62" w:rsidSect="001448A7">
          <w:headerReference w:type="default" r:id="rId18"/>
          <w:footerReference w:type="default" r:id="rId19"/>
          <w:headerReference w:type="first" r:id="rId20"/>
          <w:footerReference w:type="first" r:id="rId21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14:paraId="5F87F1D7" w14:textId="77777777" w:rsidR="000470AA" w:rsidRPr="00193D62" w:rsidRDefault="000470AA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55"/>
        <w:gridCol w:w="3812"/>
      </w:tblGrid>
      <w:tr w:rsidR="000470AA" w:rsidRPr="00725D50" w14:paraId="5F87F1E1" w14:textId="77777777" w:rsidTr="00E23337">
        <w:trPr>
          <w:trHeight w:val="1912"/>
        </w:trPr>
        <w:tc>
          <w:tcPr>
            <w:tcW w:w="4379" w:type="dxa"/>
          </w:tcPr>
          <w:p w14:paraId="5F87F1D8" w14:textId="4A684B6D" w:rsidR="000470AA" w:rsidRPr="000C2149" w:rsidRDefault="00B31F08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0C2149">
              <w:rPr>
                <w:rFonts w:cs="Arial"/>
                <w:color w:val="000000" w:themeColor="text1"/>
                <w:sz w:val="20"/>
                <w:lang w:val="en-US"/>
              </w:rPr>
              <w:t>Prepared by:</w:t>
            </w:r>
          </w:p>
          <w:p w14:paraId="5F87F1D9" w14:textId="66925E4F" w:rsidR="000470AA" w:rsidRPr="00F24228" w:rsidRDefault="00F24228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>Trade and Services Department</w:t>
            </w:r>
          </w:p>
          <w:p w14:paraId="70DB672F" w14:textId="77777777" w:rsidR="00B92654" w:rsidRPr="00B92654" w:rsidRDefault="00B92654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B92654">
              <w:rPr>
                <w:rFonts w:ascii="Fira Sans" w:hAnsi="Fira Sans" w:cs="Arial"/>
                <w:b/>
                <w:color w:val="auto"/>
                <w:sz w:val="20"/>
              </w:rPr>
              <w:t>Aldona B. Matejak</w:t>
            </w:r>
            <w:r w:rsidRPr="00B92654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</w:p>
          <w:p w14:paraId="5F87F1DB" w14:textId="74138670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34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83</w:t>
            </w:r>
          </w:p>
          <w:p w14:paraId="5F87F1DC" w14:textId="1ECB6F81" w:rsidR="000470AA" w:rsidRPr="008F3638" w:rsidRDefault="000470AA" w:rsidP="00B92654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B92654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2" w:history="1">
              <w:r w:rsidR="00B92654" w:rsidRPr="00EB76DD">
                <w:rPr>
                  <w:rStyle w:val="Hipercze"/>
                  <w:rFonts w:ascii="Fira Sans" w:hAnsi="Fira Sans" w:cs="Arial"/>
                  <w:b/>
                  <w:color w:val="auto"/>
                  <w:sz w:val="20"/>
                  <w:szCs w:val="20"/>
                  <w:lang w:val="en-US"/>
                </w:rPr>
                <w:t>a.matejak@stat.gov.pl</w:t>
              </w:r>
            </w:hyperlink>
          </w:p>
        </w:tc>
        <w:tc>
          <w:tcPr>
            <w:tcW w:w="3942" w:type="dxa"/>
          </w:tcPr>
          <w:p w14:paraId="639717D3" w14:textId="7FDFB1E4" w:rsidR="00B31F08" w:rsidRDefault="00B31F08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B31F08">
              <w:rPr>
                <w:rFonts w:cs="Arial"/>
                <w:color w:val="000000" w:themeColor="text1"/>
                <w:sz w:val="20"/>
                <w:lang w:val="en-US"/>
              </w:rPr>
              <w:t>Issued by:</w:t>
            </w:r>
            <w:r w:rsidR="000470AA" w:rsidRPr="00F24228">
              <w:rPr>
                <w:rFonts w:cs="Arial"/>
                <w:color w:val="000000" w:themeColor="text1"/>
                <w:sz w:val="20"/>
                <w:lang w:val="en-US"/>
              </w:rPr>
              <w:br/>
            </w:r>
            <w:r w:rsidR="00F24228"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The </w:t>
            </w:r>
            <w:r w:rsidR="003013FD" w:rsidRPr="003013FD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proofErr w:type="spellStart"/>
            <w:r w:rsidR="003013FD" w:rsidRPr="003013FD">
              <w:rPr>
                <w:rFonts w:cs="Arial"/>
                <w:b/>
                <w:color w:val="000000" w:themeColor="text1"/>
                <w:sz w:val="20"/>
                <w:lang w:val="en-US"/>
              </w:rPr>
              <w:t>Spokeperson</w:t>
            </w:r>
            <w:proofErr w:type="spellEnd"/>
            <w:r w:rsidR="003013FD"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="00F24228"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for the President </w:t>
            </w:r>
          </w:p>
          <w:p w14:paraId="5F87F1DD" w14:textId="2B89A174" w:rsidR="000470AA" w:rsidRPr="00F24228" w:rsidRDefault="00F24228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of </w:t>
            </w:r>
            <w:r w:rsidR="00B31F08">
              <w:rPr>
                <w:rFonts w:cs="Arial"/>
                <w:b/>
                <w:color w:val="000000" w:themeColor="text1"/>
                <w:sz w:val="20"/>
                <w:lang w:val="en-US"/>
              </w:rPr>
              <w:t>Statistic</w:t>
            </w:r>
            <w:r w:rsidR="00B65CB2">
              <w:rPr>
                <w:rFonts w:cs="Arial"/>
                <w:b/>
                <w:color w:val="000000" w:themeColor="text1"/>
                <w:sz w:val="20"/>
                <w:lang w:val="en-US"/>
              </w:rPr>
              <w:t>s</w:t>
            </w:r>
            <w:r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Poland</w:t>
            </w:r>
          </w:p>
          <w:p w14:paraId="5F87F1DE" w14:textId="19BD317F" w:rsidR="000470AA" w:rsidRPr="000C2149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0C2149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Karolina</w:t>
            </w:r>
            <w:r w:rsidRPr="00502891">
              <w:rPr>
                <w:rFonts w:ascii="Fira Sans" w:hAnsi="Fira Sans" w:cs="Arial"/>
                <w:b/>
                <w:color w:val="auto"/>
                <w:sz w:val="20"/>
                <w:szCs w:val="28"/>
                <w:lang w:val="en-US"/>
              </w:rPr>
              <w:t xml:space="preserve"> </w:t>
            </w:r>
            <w:r w:rsidR="00502891" w:rsidRPr="00502891">
              <w:rPr>
                <w:rFonts w:ascii="Fira Sans" w:hAnsi="Fira Sans"/>
                <w:b/>
                <w:color w:val="auto"/>
                <w:sz w:val="20"/>
                <w:szCs w:val="20"/>
              </w:rPr>
              <w:t>Banaszek</w:t>
            </w:r>
          </w:p>
          <w:p w14:paraId="5F87F1DF" w14:textId="170FF1C5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</w:t>
            </w:r>
            <w:r w:rsidR="00725D50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75, 22 608 30</w:t>
            </w:r>
            <w:r w:rsidR="00725D50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bookmarkStart w:id="0" w:name="_GoBack"/>
            <w:bookmarkEnd w:id="0"/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09</w:t>
            </w:r>
          </w:p>
          <w:p w14:paraId="5F87F1E0" w14:textId="77777777" w:rsidR="000470AA" w:rsidRPr="000C2149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0C2149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3" w:history="1">
              <w:r w:rsidRPr="000C2149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14:paraId="5F87F1E2" w14:textId="77777777" w:rsidR="000470AA" w:rsidRPr="000C2149" w:rsidRDefault="000470AA" w:rsidP="000470AA">
      <w:pPr>
        <w:rPr>
          <w:sz w:val="20"/>
          <w:lang w:val="en-US"/>
        </w:rPr>
      </w:pPr>
    </w:p>
    <w:p w14:paraId="5F87F1E3" w14:textId="77777777" w:rsidR="000470AA" w:rsidRPr="000C2149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725D50" w14:paraId="5F87F1EA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5F87F1E4" w14:textId="0DE82517" w:rsidR="000470AA" w:rsidRPr="000C2149" w:rsidRDefault="00B31F08" w:rsidP="000470AA">
            <w:pPr>
              <w:rPr>
                <w:b/>
                <w:sz w:val="20"/>
                <w:lang w:val="en-US"/>
              </w:rPr>
            </w:pPr>
            <w:r w:rsidRPr="000C2149">
              <w:rPr>
                <w:b/>
                <w:sz w:val="20"/>
                <w:lang w:val="en-US"/>
              </w:rPr>
              <w:t>Press Office</w:t>
            </w:r>
            <w:r w:rsidR="000470AA" w:rsidRPr="000C2149">
              <w:rPr>
                <w:b/>
                <w:sz w:val="20"/>
                <w:lang w:val="en-US"/>
              </w:rPr>
              <w:t xml:space="preserve"> </w:t>
            </w:r>
          </w:p>
          <w:p w14:paraId="5F87F1E5" w14:textId="4C651406" w:rsidR="000470AA" w:rsidRPr="000C2149" w:rsidRDefault="00EB76DD" w:rsidP="000470AA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</w:t>
            </w:r>
            <w:r w:rsidRPr="00EB76DD">
              <w:rPr>
                <w:sz w:val="20"/>
                <w:lang w:val="en-US"/>
              </w:rPr>
              <w:t>el</w:t>
            </w:r>
            <w:r w:rsidR="000470AA" w:rsidRPr="00EB76DD">
              <w:rPr>
                <w:sz w:val="20"/>
                <w:lang w:val="en-US"/>
              </w:rPr>
              <w:t>:</w:t>
            </w:r>
            <w:r w:rsidR="000470AA" w:rsidRPr="000C2149">
              <w:rPr>
                <w:b/>
                <w:sz w:val="20"/>
                <w:lang w:val="en-US"/>
              </w:rPr>
              <w:t xml:space="preserve"> </w:t>
            </w:r>
            <w:r w:rsidR="000470AA" w:rsidRPr="000C2149">
              <w:rPr>
                <w:sz w:val="20"/>
                <w:lang w:val="en-US"/>
              </w:rPr>
              <w:t xml:space="preserve">22 608 34 91, +48 22 608 38 04 </w:t>
            </w:r>
          </w:p>
          <w:p w14:paraId="5F87F1E7" w14:textId="77777777" w:rsidR="000470AA" w:rsidRPr="00690129" w:rsidRDefault="000470AA" w:rsidP="000470AA">
            <w:pPr>
              <w:rPr>
                <w:sz w:val="18"/>
                <w:lang w:val="en-US"/>
              </w:rPr>
            </w:pPr>
            <w:r w:rsidRPr="00690129">
              <w:rPr>
                <w:b/>
                <w:sz w:val="20"/>
                <w:lang w:val="en-US"/>
              </w:rPr>
              <w:t>e-mail:</w:t>
            </w:r>
            <w:r w:rsidRPr="00690129">
              <w:rPr>
                <w:sz w:val="20"/>
                <w:lang w:val="en-US"/>
              </w:rPr>
              <w:t xml:space="preserve"> </w:t>
            </w:r>
            <w:hyperlink r:id="rId24" w:history="1">
              <w:r w:rsidRPr="00725D50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5F87F1E8" w14:textId="77777777" w:rsidR="000470AA" w:rsidRPr="00690129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5F87F1FE" wp14:editId="5F87F1F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5F87F1E9" w14:textId="70C9BF28" w:rsidR="000470AA" w:rsidRPr="00066C1C" w:rsidRDefault="00066C1C" w:rsidP="000470AA">
            <w:pPr>
              <w:rPr>
                <w:sz w:val="18"/>
                <w:lang w:val="en-US"/>
              </w:rPr>
            </w:pPr>
            <w:r w:rsidRPr="00066C1C">
              <w:rPr>
                <w:sz w:val="20"/>
                <w:lang w:val="en-US"/>
              </w:rPr>
              <w:t>www.stat.gov.pl/en/</w:t>
            </w:r>
          </w:p>
        </w:tc>
      </w:tr>
      <w:tr w:rsidR="000470AA" w14:paraId="5F87F1EE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5F87F1EB" w14:textId="77777777" w:rsidR="000470AA" w:rsidRPr="00066C1C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5F87F1EC" w14:textId="77777777" w:rsidR="000470AA" w:rsidRPr="00066C1C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5F87F200" wp14:editId="5F87F20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5F87F1ED" w14:textId="50CABF8B" w:rsidR="000470AA" w:rsidRDefault="00B31F08" w:rsidP="000470AA">
            <w:pPr>
              <w:rPr>
                <w:sz w:val="18"/>
              </w:rPr>
            </w:pPr>
            <w:r>
              <w:rPr>
                <w:sz w:val="20"/>
              </w:rPr>
              <w:t>@</w:t>
            </w:r>
            <w:proofErr w:type="spellStart"/>
            <w:r>
              <w:rPr>
                <w:sz w:val="20"/>
              </w:rPr>
              <w:t>StatPoland</w:t>
            </w:r>
            <w:proofErr w:type="spellEnd"/>
          </w:p>
        </w:tc>
      </w:tr>
      <w:tr w:rsidR="000470AA" w14:paraId="5F87F1F2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5F87F1EF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5F87F1F0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5F87F202" wp14:editId="5F87F20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5F87F1F1" w14:textId="77777777"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5F87F1F3" w14:textId="13966C7B" w:rsidR="00D261A2" w:rsidRPr="00001C5B" w:rsidRDefault="001448A7" w:rsidP="007D3F3F">
      <w:pPr>
        <w:ind w:right="-155"/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F87F204" wp14:editId="2E05A0A0">
                <wp:simplePos x="0" y="0"/>
                <wp:positionH relativeFrom="margin">
                  <wp:posOffset>19050</wp:posOffset>
                </wp:positionH>
                <wp:positionV relativeFrom="paragraph">
                  <wp:posOffset>424815</wp:posOffset>
                </wp:positionV>
                <wp:extent cx="5225415" cy="4117340"/>
                <wp:effectExtent l="0" t="0" r="13335" b="1651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5415" cy="41173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7F221" w14:textId="77777777" w:rsidR="00C85300" w:rsidRDefault="00C85300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5F87F222" w14:textId="19085BA5" w:rsidR="00C85300" w:rsidRPr="00856331" w:rsidRDefault="00C85300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0C2149">
                              <w:rPr>
                                <w:b/>
                                <w:lang w:val="en-US"/>
                              </w:rPr>
                              <w:t>Related information</w:t>
                            </w:r>
                          </w:p>
                          <w:p w14:paraId="40945824" w14:textId="77777777" w:rsidR="00C85300" w:rsidRPr="00EB76DD" w:rsidRDefault="00C85300" w:rsidP="00EA6F61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B76DD"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fldChar w:fldCharType="begin"/>
                            </w:r>
                            <w:r w:rsidRPr="00EB76DD"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instrText xml:space="preserve"> HYPERLINK "http://stat.gov.pl/en/topics/statistical-yearbooks/statistical-yearbooks/yearbook-of-foreign-trade-statistics-of-poland-2018,9,12.html" </w:instrText>
                            </w:r>
                            <w:r w:rsidRPr="00EB76DD"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fldChar w:fldCharType="separate"/>
                            </w:r>
                            <w:r w:rsidRPr="00EB76D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Yearbook of Foreign Trade Statistics of Poland 2018</w:t>
                            </w:r>
                          </w:p>
                          <w:p w14:paraId="16063EDD" w14:textId="77777777" w:rsidR="00C85300" w:rsidRPr="00EB76DD" w:rsidRDefault="00C85300" w:rsidP="00EA6F61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EB76DD"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fldChar w:fldCharType="end"/>
                            </w:r>
                            <w:hyperlink r:id="rId28" w:history="1">
                              <w:r w:rsidRPr="00EB76D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Foreign trade. Mirror and asymmetry statistics</w:t>
                              </w:r>
                            </w:hyperlink>
                          </w:p>
                          <w:p w14:paraId="08A65957" w14:textId="77777777" w:rsidR="00C85300" w:rsidRPr="00EB76DD" w:rsidRDefault="00B2747A" w:rsidP="00EA6F61">
                            <w:pPr>
                              <w:rPr>
                                <w:color w:val="001D77"/>
                                <w:sz w:val="18"/>
                                <w:szCs w:val="18"/>
                                <w:lang w:val="en"/>
                              </w:rPr>
                            </w:pPr>
                            <w:hyperlink r:id="rId29" w:history="1">
                              <w:r w:rsidR="00C85300" w:rsidRPr="00EB76D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Foreign trade. Poland in European Union</w:t>
                              </w:r>
                            </w:hyperlink>
                          </w:p>
                          <w:p w14:paraId="279B4598" w14:textId="77777777" w:rsidR="00C85300" w:rsidRPr="00EA6F61" w:rsidRDefault="00C85300" w:rsidP="00AB6D25">
                            <w:pPr>
                              <w:rPr>
                                <w:b/>
                                <w:szCs w:val="19"/>
                                <w:lang w:val="en"/>
                              </w:rPr>
                            </w:pPr>
                          </w:p>
                          <w:p w14:paraId="5F87F228" w14:textId="0D9372D6" w:rsidR="00C85300" w:rsidRPr="00A00ADB" w:rsidRDefault="00C85300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Data </w:t>
                            </w: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available</w:t>
                            </w:r>
                            <w:proofErr w:type="spellEnd"/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in </w:t>
                            </w: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databases</w:t>
                            </w:r>
                            <w:proofErr w:type="spellEnd"/>
                          </w:p>
                          <w:p w14:paraId="70755C9E" w14:textId="4864FE94" w:rsidR="00C85300" w:rsidRPr="00EB76DD" w:rsidRDefault="00C85300" w:rsidP="0045590E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EB76DD">
                              <w:fldChar w:fldCharType="begin"/>
                            </w:r>
                            <w:r w:rsidRPr="00EB76DD"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instrText xml:space="preserve"> HYPERLINK "http://swaid.stat.gov.pl/SitePagesDBW/HandelZagraniczny.aspx" </w:instrText>
                            </w:r>
                            <w:r w:rsidRPr="00EB76DD">
                              <w:fldChar w:fldCharType="separate"/>
                            </w:r>
                            <w:hyperlink r:id="rId30" w:history="1">
                              <w:r w:rsidRPr="00EB76D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Knowledge Databases (DBW). Foreign trade</w:t>
                              </w:r>
                            </w:hyperlink>
                          </w:p>
                          <w:p w14:paraId="6FA0645F" w14:textId="310C5DAA" w:rsidR="00C85300" w:rsidRPr="00EB76DD" w:rsidRDefault="00C85300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r w:rsidRPr="00EB76DD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fldChar w:fldCharType="end"/>
                            </w:r>
                            <w:hyperlink r:id="rId31" w:history="1">
                              <w:r w:rsidRPr="00EB76D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 xml:space="preserve">Database. </w:t>
                              </w:r>
                              <w:hyperlink r:id="rId32" w:history="1">
                                <w:r w:rsidRPr="00EB76DD">
                                  <w:rPr>
                                    <w:color w:val="001D77"/>
                                    <w:sz w:val="18"/>
                                    <w:szCs w:val="18"/>
                                    <w:u w:val="single"/>
                                    <w:lang w:val="en-US"/>
                                  </w:rPr>
                                  <w:t>Analytical Platform  - SWAiD - Knowledge Databases</w:t>
                                </w:r>
                              </w:hyperlink>
                              <w:r w:rsidRPr="00EB76DD">
                                <w:rPr>
                                  <w:color w:val="001D77"/>
                                  <w:sz w:val="18"/>
                                  <w:szCs w:val="18"/>
                                  <w:u w:val="single"/>
                                  <w:lang w:val="en-US"/>
                                </w:rPr>
                                <w:t>. Foreign trade</w:t>
                              </w:r>
                              <w:r w:rsidRPr="00EB76DD">
                                <w:rPr>
                                  <w:rFonts w:ascii="firaregular" w:hAnsi="firaregular"/>
                                  <w:color w:val="001D77"/>
                                  <w:sz w:val="18"/>
                                  <w:szCs w:val="18"/>
                                  <w:u w:val="single"/>
                                  <w:lang w:val="en-US"/>
                                </w:rPr>
                                <w:t xml:space="preserve"> </w:t>
                              </w:r>
                            </w:hyperlink>
                          </w:p>
                          <w:p w14:paraId="5F87F22B" w14:textId="77777777" w:rsidR="00C85300" w:rsidRPr="000C2149" w:rsidRDefault="00C85300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5F87F22C" w14:textId="1A2726D7" w:rsidR="00C85300" w:rsidRPr="000C2149" w:rsidRDefault="00C85300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0C2149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Terms used in official statistics</w:t>
                            </w:r>
                          </w:p>
                          <w:p w14:paraId="3F7161C0" w14:textId="23DF219E" w:rsidR="00C85300" w:rsidRPr="00EB76DD" w:rsidRDefault="00B2747A" w:rsidP="0045590E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hyperlink r:id="rId33" w:history="1">
                              <w:r w:rsidR="00C85300" w:rsidRPr="00EB76D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Exports of commodities</w:t>
                              </w:r>
                            </w:hyperlink>
                            <w:r w:rsidR="00C85300" w:rsidRPr="00EB76DD"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</w:t>
                            </w:r>
                          </w:p>
                          <w:p w14:paraId="50E35A43" w14:textId="3EA12FFE" w:rsidR="00C85300" w:rsidRPr="00EB76DD" w:rsidRDefault="00B2747A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hyperlink r:id="rId34" w:history="1">
                              <w:r w:rsidR="00C85300" w:rsidRPr="00EB76D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Imports of commodities</w:t>
                              </w:r>
                            </w:hyperlink>
                          </w:p>
                          <w:p w14:paraId="5038525A" w14:textId="36EEE540" w:rsidR="00C85300" w:rsidRPr="00EB76DD" w:rsidRDefault="00B2747A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u w:val="none"/>
                                <w:shd w:val="clear" w:color="auto" w:fill="F0F0F0"/>
                                <w:lang w:val="en-US"/>
                              </w:rPr>
                            </w:pPr>
                            <w:hyperlink r:id="rId35" w:history="1">
                              <w:r w:rsidR="00C85300" w:rsidRPr="00EB76D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Balance foreign trade commodity turnover</w:t>
                              </w:r>
                            </w:hyperlink>
                          </w:p>
                          <w:p w14:paraId="21DE075D" w14:textId="0FDA9950" w:rsidR="00C85300" w:rsidRPr="00B86308" w:rsidRDefault="00C85300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r w:rsidRPr="00B86308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t xml:space="preserve"> </w:t>
                            </w:r>
                          </w:p>
                          <w:p w14:paraId="5F87F22F" w14:textId="77777777" w:rsidR="00C85300" w:rsidRPr="00B86308" w:rsidRDefault="00C85300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204" id="_x0000_s1033" type="#_x0000_t202" style="position:absolute;margin-left:1.5pt;margin-top:33.45pt;width:411.45pt;height:324.2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" fillcolor="#f2f2f2 [3052]" strokecolor="white [3212]">
                <v:textbox>
                  <w:txbxContent>
                    <w:p w14:paraId="5F87F221" w14:textId="77777777" w:rsidR="00C85300" w:rsidRDefault="00C85300" w:rsidP="00AB6D25">
                      <w:pPr>
                        <w:rPr>
                          <w:b/>
                        </w:rPr>
                      </w:pPr>
                    </w:p>
                    <w:p w14:paraId="5F87F222" w14:textId="19085BA5" w:rsidR="00C85300" w:rsidRPr="00856331" w:rsidRDefault="00C85300" w:rsidP="00AB6D25">
                      <w:pPr>
                        <w:rPr>
                          <w:b/>
                          <w:lang w:val="en-US"/>
                        </w:rPr>
                      </w:pPr>
                      <w:r w:rsidRPr="000C2149">
                        <w:rPr>
                          <w:b/>
                          <w:lang w:val="en-US"/>
                        </w:rPr>
                        <w:t>Related information</w:t>
                      </w:r>
                    </w:p>
                    <w:p w14:paraId="40945824" w14:textId="77777777" w:rsidR="00C85300" w:rsidRPr="00EB76DD" w:rsidRDefault="00C85300" w:rsidP="00EA6F61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EB76DD"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  <w:fldChar w:fldCharType="begin"/>
                      </w:r>
                      <w:r w:rsidRPr="00EB76DD"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  <w:instrText xml:space="preserve"> HYPERLINK "http://stat.gov.pl/en/topics/statistical-yearbooks/statistical-yearbooks/yearbook-of-foreign-trade-statistics-of-poland-2018,9,12.html" </w:instrText>
                      </w:r>
                      <w:r w:rsidRPr="00EB76DD"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  <w:fldChar w:fldCharType="separate"/>
                      </w:r>
                      <w:r w:rsidRPr="00EB76DD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Yearbook of Foreign Trade Statistics of Poland 2018</w:t>
                      </w:r>
                    </w:p>
                    <w:p w14:paraId="16063EDD" w14:textId="77777777" w:rsidR="00C85300" w:rsidRPr="00EB76DD" w:rsidRDefault="00C85300" w:rsidP="00EA6F61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"/>
                        </w:rPr>
                      </w:pPr>
                      <w:r w:rsidRPr="00EB76DD"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  <w:fldChar w:fldCharType="end"/>
                      </w:r>
                      <w:hyperlink r:id="rId36" w:history="1">
                        <w:r w:rsidRPr="00EB76D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Foreign trade. Mirror and asymmetry statistics</w:t>
                        </w:r>
                      </w:hyperlink>
                    </w:p>
                    <w:p w14:paraId="08A65957" w14:textId="77777777" w:rsidR="00C85300" w:rsidRPr="00EB76DD" w:rsidRDefault="00C85300" w:rsidP="00EA6F61">
                      <w:pPr>
                        <w:rPr>
                          <w:color w:val="001D77"/>
                          <w:sz w:val="18"/>
                          <w:szCs w:val="18"/>
                          <w:lang w:val="en"/>
                        </w:rPr>
                      </w:pPr>
                      <w:hyperlink r:id="rId37" w:history="1">
                        <w:r w:rsidRPr="00EB76D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Foreign trade. Poland in European Union</w:t>
                        </w:r>
                      </w:hyperlink>
                    </w:p>
                    <w:p w14:paraId="279B4598" w14:textId="77777777" w:rsidR="00C85300" w:rsidRPr="00EA6F61" w:rsidRDefault="00C85300" w:rsidP="00AB6D25">
                      <w:pPr>
                        <w:rPr>
                          <w:b/>
                          <w:szCs w:val="19"/>
                          <w:lang w:val="en"/>
                        </w:rPr>
                      </w:pPr>
                    </w:p>
                    <w:p w14:paraId="5F87F228" w14:textId="0D9372D6" w:rsidR="00C85300" w:rsidRPr="00A00ADB" w:rsidRDefault="00C85300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Data available in databases</w:t>
                      </w:r>
                    </w:p>
                    <w:p w14:paraId="70755C9E" w14:textId="4864FE94" w:rsidR="00C85300" w:rsidRPr="00EB76DD" w:rsidRDefault="00C85300" w:rsidP="0045590E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r w:rsidRPr="00EB76DD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EB76DD"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  <w:instrText xml:space="preserve"> HYPERLINK "http://swaid.stat.gov.pl/SitePagesDBW/HandelZagraniczny.aspx" </w:instrText>
                      </w:r>
                      <w:r w:rsidRPr="00EB76DD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hyperlink r:id="rId38" w:history="1">
                        <w:r w:rsidRPr="00EB76D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Knowledge Databases (DBW). Foreign trade</w:t>
                        </w:r>
                      </w:hyperlink>
                    </w:p>
                    <w:p w14:paraId="6FA0645F" w14:textId="310C5DAA" w:rsidR="00C85300" w:rsidRPr="00EB76DD" w:rsidRDefault="00C85300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r w:rsidRPr="00EB76DD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fldChar w:fldCharType="end"/>
                      </w:r>
                      <w:hyperlink r:id="rId39" w:history="1">
                        <w:r w:rsidRPr="00EB76D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US"/>
                          </w:rPr>
                          <w:t xml:space="preserve">Database. </w:t>
                        </w:r>
                        <w:hyperlink r:id="rId40" w:history="1">
                          <w:r w:rsidRPr="00EB76DD">
                            <w:rPr>
                              <w:color w:val="001D77"/>
                              <w:sz w:val="18"/>
                              <w:szCs w:val="18"/>
                              <w:u w:val="single"/>
                              <w:lang w:val="en-US"/>
                            </w:rPr>
                            <w:t>Analytical Platform  - SWAiD - Knowledge Databases</w:t>
                          </w:r>
                        </w:hyperlink>
                        <w:r w:rsidRPr="00EB76DD">
                          <w:rPr>
                            <w:color w:val="001D77"/>
                            <w:sz w:val="18"/>
                            <w:szCs w:val="18"/>
                            <w:u w:val="single"/>
                            <w:lang w:val="en-US"/>
                          </w:rPr>
                          <w:t>. Foreign trade</w:t>
                        </w:r>
                        <w:r w:rsidRPr="00EB76DD">
                          <w:rPr>
                            <w:rFonts w:ascii="firaregular" w:hAnsi="firaregular"/>
                            <w:color w:val="001D77"/>
                            <w:sz w:val="18"/>
                            <w:szCs w:val="18"/>
                            <w:u w:val="single"/>
                            <w:lang w:val="en-US"/>
                          </w:rPr>
                          <w:t xml:space="preserve"> </w:t>
                        </w:r>
                      </w:hyperlink>
                    </w:p>
                    <w:p w14:paraId="5F87F22B" w14:textId="77777777" w:rsidR="00C85300" w:rsidRPr="000C2149" w:rsidRDefault="00C85300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5F87F22C" w14:textId="1A2726D7" w:rsidR="00C85300" w:rsidRPr="000C2149" w:rsidRDefault="00C85300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0C2149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Terms used in official statistics</w:t>
                      </w:r>
                    </w:p>
                    <w:p w14:paraId="3F7161C0" w14:textId="23DF219E" w:rsidR="00C85300" w:rsidRPr="00EB76DD" w:rsidRDefault="00C85300" w:rsidP="0045590E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hyperlink r:id="rId41" w:history="1">
                        <w:r w:rsidRPr="00EB76D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Exports of commodities</w:t>
                        </w:r>
                      </w:hyperlink>
                      <w:r w:rsidRPr="00EB76DD"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  <w:t xml:space="preserve"> </w:t>
                      </w:r>
                    </w:p>
                    <w:p w14:paraId="50E35A43" w14:textId="3EA12FFE" w:rsidR="00C85300" w:rsidRPr="00EB76DD" w:rsidRDefault="00C85300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hyperlink r:id="rId42" w:history="1">
                        <w:r w:rsidRPr="00EB76D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Imports of commodities</w:t>
                        </w:r>
                      </w:hyperlink>
                    </w:p>
                    <w:p w14:paraId="5038525A" w14:textId="36EEE540" w:rsidR="00C85300" w:rsidRPr="00EB76DD" w:rsidRDefault="00C85300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u w:val="none"/>
                          <w:shd w:val="clear" w:color="auto" w:fill="F0F0F0"/>
                          <w:lang w:val="en-US"/>
                        </w:rPr>
                      </w:pPr>
                      <w:hyperlink r:id="rId43" w:history="1">
                        <w:r w:rsidRPr="00EB76D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Balance foreign trade commodity turnover</w:t>
                        </w:r>
                      </w:hyperlink>
                    </w:p>
                    <w:p w14:paraId="21DE075D" w14:textId="0FDA9950" w:rsidR="00C85300" w:rsidRPr="00B86308" w:rsidRDefault="00C85300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r w:rsidRPr="00B86308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t xml:space="preserve"> </w:t>
                      </w:r>
                    </w:p>
                    <w:p w14:paraId="5F87F22F" w14:textId="77777777" w:rsidR="00C85300" w:rsidRPr="00B86308" w:rsidRDefault="00C85300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AE4F99">
      <w:headerReference w:type="default" r:id="rId44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105E2D" w14:textId="77777777" w:rsidR="00B2747A" w:rsidRDefault="00B2747A" w:rsidP="000662E2">
      <w:pPr>
        <w:spacing w:after="0" w:line="240" w:lineRule="auto"/>
      </w:pPr>
      <w:r>
        <w:separator/>
      </w:r>
    </w:p>
  </w:endnote>
  <w:endnote w:type="continuationSeparator" w:id="0">
    <w:p w14:paraId="38A301DE" w14:textId="77777777" w:rsidR="00B2747A" w:rsidRDefault="00B2747A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Cambria Math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firaregular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9853406"/>
      <w:docPartObj>
        <w:docPartGallery w:val="Page Numbers (Bottom of Page)"/>
        <w:docPartUnique/>
      </w:docPartObj>
    </w:sdtPr>
    <w:sdtEndPr/>
    <w:sdtContent>
      <w:p w14:paraId="08D35801" w14:textId="758E4FEC" w:rsidR="00C85300" w:rsidRDefault="00C8530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5D50">
          <w:rPr>
            <w:noProof/>
          </w:rPr>
          <w:t>6</w:t>
        </w:r>
        <w:r>
          <w:fldChar w:fldCharType="end"/>
        </w:r>
      </w:p>
    </w:sdtContent>
  </w:sdt>
  <w:p w14:paraId="2AA24448" w14:textId="77777777" w:rsidR="00C85300" w:rsidRDefault="00C8530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5008043"/>
      <w:docPartObj>
        <w:docPartGallery w:val="Page Numbers (Bottom of Page)"/>
        <w:docPartUnique/>
      </w:docPartObj>
    </w:sdtPr>
    <w:sdtEndPr/>
    <w:sdtContent>
      <w:p w14:paraId="06DDA38F" w14:textId="29242683" w:rsidR="00C85300" w:rsidRDefault="00C8530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5D50">
          <w:rPr>
            <w:noProof/>
          </w:rPr>
          <w:t>1</w:t>
        </w:r>
        <w:r>
          <w:fldChar w:fldCharType="end"/>
        </w:r>
      </w:p>
    </w:sdtContent>
  </w:sdt>
  <w:p w14:paraId="52A0644A" w14:textId="77777777" w:rsidR="00C85300" w:rsidRDefault="00C8530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4CA011" w14:textId="77777777" w:rsidR="00B2747A" w:rsidRDefault="00B2747A" w:rsidP="000662E2">
      <w:pPr>
        <w:spacing w:after="0" w:line="240" w:lineRule="auto"/>
      </w:pPr>
      <w:r>
        <w:separator/>
      </w:r>
    </w:p>
  </w:footnote>
  <w:footnote w:type="continuationSeparator" w:id="0">
    <w:p w14:paraId="4C1881D9" w14:textId="77777777" w:rsidR="00B2747A" w:rsidRDefault="00B2747A" w:rsidP="000662E2">
      <w:pPr>
        <w:spacing w:after="0" w:line="240" w:lineRule="auto"/>
      </w:pPr>
      <w:r>
        <w:continuationSeparator/>
      </w:r>
    </w:p>
  </w:footnote>
  <w:footnote w:id="1">
    <w:p w14:paraId="236A2BC8" w14:textId="77777777" w:rsidR="00C85300" w:rsidRPr="00B34813" w:rsidRDefault="00C85300" w:rsidP="00CF3F40">
      <w:pPr>
        <w:pStyle w:val="Tekstprzypisudolnego"/>
        <w:spacing w:before="60"/>
        <w:rPr>
          <w:sz w:val="14"/>
          <w:szCs w:val="14"/>
          <w:lang w:val="en-US"/>
        </w:rPr>
      </w:pPr>
      <w:r w:rsidRPr="00B34813">
        <w:rPr>
          <w:sz w:val="14"/>
          <w:szCs w:val="14"/>
          <w:lang w:val="en-US"/>
        </w:rPr>
        <w:t xml:space="preserve">Note. Due to the rounding of data, in some cases sums of components may slightly differ from the amount given in the item ”total”.  </w:t>
      </w:r>
    </w:p>
    <w:p w14:paraId="1725AAFD" w14:textId="3B90BEB3" w:rsidR="00C85300" w:rsidRPr="00CF3F40" w:rsidRDefault="00C85300" w:rsidP="00CF3F40">
      <w:pPr>
        <w:pStyle w:val="Tekstprzypisudolnego"/>
        <w:spacing w:before="60"/>
        <w:rPr>
          <w:sz w:val="16"/>
          <w:szCs w:val="16"/>
          <w:lang w:val="en-US"/>
        </w:rPr>
      </w:pPr>
      <w:r w:rsidRPr="00B34813">
        <w:rPr>
          <w:rStyle w:val="Odwoanieprzypisudolnego"/>
          <w:sz w:val="14"/>
          <w:szCs w:val="14"/>
        </w:rPr>
        <w:footnoteRef/>
      </w:r>
      <w:r w:rsidRPr="00B34813">
        <w:rPr>
          <w:sz w:val="14"/>
          <w:szCs w:val="14"/>
          <w:lang w:val="en-US"/>
        </w:rPr>
        <w:t xml:space="preserve"> </w:t>
      </w:r>
      <w:r w:rsidRPr="00B34813">
        <w:rPr>
          <w:rFonts w:cs="Arial"/>
          <w:sz w:val="14"/>
          <w:szCs w:val="14"/>
          <w:lang w:val="en-US"/>
        </w:rPr>
        <w:t>Co</w:t>
      </w:r>
      <w:r w:rsidRPr="00B34813">
        <w:rPr>
          <w:rFonts w:cs="Arial"/>
          <w:bCs/>
          <w:iCs/>
          <w:sz w:val="14"/>
          <w:szCs w:val="14"/>
          <w:lang w:val="en-US"/>
        </w:rPr>
        <w:t xml:space="preserve">untry of origin </w:t>
      </w:r>
      <w:r w:rsidRPr="00B34813">
        <w:rPr>
          <w:rFonts w:cs="Arial"/>
          <w:iCs/>
          <w:sz w:val="14"/>
          <w:szCs w:val="14"/>
          <w:lang w:val="en-US"/>
        </w:rPr>
        <w:t>is the country where the commodity was produced or processed and in this form entered the Polish customs zone</w:t>
      </w:r>
      <w:r w:rsidRPr="00B34813">
        <w:rPr>
          <w:rFonts w:cs="Arial"/>
          <w:sz w:val="14"/>
          <w:szCs w:val="14"/>
          <w:lang w:val="en-US"/>
        </w:rPr>
        <w:t>.</w:t>
      </w:r>
    </w:p>
  </w:footnote>
  <w:footnote w:id="2">
    <w:p w14:paraId="080CF8BA" w14:textId="2A24A9DD" w:rsidR="00C85300" w:rsidRPr="00EB76DD" w:rsidRDefault="00C85300" w:rsidP="0048231B">
      <w:pPr>
        <w:pStyle w:val="tekstzboku"/>
        <w:rPr>
          <w:sz w:val="16"/>
          <w:szCs w:val="16"/>
          <w:lang w:val="en-US"/>
        </w:rPr>
      </w:pPr>
      <w:r w:rsidRPr="00EB76DD">
        <w:rPr>
          <w:rStyle w:val="Odwoanieprzypisudolnego"/>
          <w:color w:val="auto"/>
          <w:sz w:val="16"/>
          <w:szCs w:val="16"/>
        </w:rPr>
        <w:footnoteRef/>
      </w:r>
      <w:r w:rsidRPr="00EB76DD">
        <w:rPr>
          <w:color w:val="auto"/>
          <w:sz w:val="16"/>
          <w:szCs w:val="16"/>
          <w:lang w:val="en-US"/>
        </w:rPr>
        <w:t xml:space="preserve"> </w:t>
      </w:r>
      <w:r w:rsidRPr="00EB76DD">
        <w:rPr>
          <w:rFonts w:cs="Arial"/>
          <w:color w:val="auto"/>
          <w:sz w:val="16"/>
          <w:szCs w:val="16"/>
          <w:lang w:val="en-US"/>
        </w:rPr>
        <w:t>C</w:t>
      </w:r>
      <w:r w:rsidRPr="00EB76DD">
        <w:rPr>
          <w:rStyle w:val="hps"/>
          <w:rFonts w:cs="Arial"/>
          <w:color w:val="auto"/>
          <w:sz w:val="16"/>
          <w:szCs w:val="16"/>
          <w:lang w:val="en-US"/>
        </w:rPr>
        <w:t>ountry of</w:t>
      </w:r>
      <w:r w:rsidRPr="00EB76DD">
        <w:rPr>
          <w:rFonts w:cs="Arial"/>
          <w:color w:val="auto"/>
          <w:sz w:val="16"/>
          <w:szCs w:val="16"/>
          <w:lang w:val="en-US"/>
        </w:rPr>
        <w:t xml:space="preserve"> </w:t>
      </w:r>
      <w:r w:rsidRPr="00EB76DD">
        <w:rPr>
          <w:rStyle w:val="hps"/>
          <w:rFonts w:cs="Arial"/>
          <w:color w:val="auto"/>
          <w:sz w:val="16"/>
          <w:szCs w:val="16"/>
          <w:lang w:val="en-US"/>
        </w:rPr>
        <w:t>consignment is the country</w:t>
      </w:r>
      <w:r w:rsidRPr="00EB76DD">
        <w:rPr>
          <w:rFonts w:cs="Arial"/>
          <w:color w:val="auto"/>
          <w:sz w:val="16"/>
          <w:szCs w:val="16"/>
          <w:lang w:val="en-US"/>
        </w:rPr>
        <w:t xml:space="preserve"> </w:t>
      </w:r>
      <w:r w:rsidRPr="00EB76DD">
        <w:rPr>
          <w:rStyle w:val="hps"/>
          <w:rFonts w:cs="Arial"/>
          <w:color w:val="auto"/>
          <w:sz w:val="16"/>
          <w:szCs w:val="16"/>
          <w:lang w:val="en-US"/>
        </w:rPr>
        <w:t>from which the</w:t>
      </w:r>
      <w:r w:rsidRPr="00EB76DD">
        <w:rPr>
          <w:rFonts w:cs="Arial"/>
          <w:color w:val="auto"/>
          <w:sz w:val="16"/>
          <w:szCs w:val="16"/>
          <w:lang w:val="en-US"/>
        </w:rPr>
        <w:t xml:space="preserve"> </w:t>
      </w:r>
      <w:r w:rsidRPr="00EB76DD">
        <w:rPr>
          <w:rStyle w:val="hps"/>
          <w:rFonts w:cs="Arial"/>
          <w:color w:val="auto"/>
          <w:sz w:val="16"/>
          <w:szCs w:val="16"/>
          <w:lang w:val="en-US"/>
        </w:rPr>
        <w:t>goods were introduced into</w:t>
      </w:r>
      <w:r w:rsidRPr="00EB76DD">
        <w:rPr>
          <w:rFonts w:cs="Arial"/>
          <w:color w:val="auto"/>
          <w:sz w:val="16"/>
          <w:szCs w:val="16"/>
          <w:lang w:val="en-US"/>
        </w:rPr>
        <w:t xml:space="preserve"> </w:t>
      </w:r>
      <w:r w:rsidRPr="00EB76DD">
        <w:rPr>
          <w:rStyle w:val="hps"/>
          <w:rFonts w:cs="Arial"/>
          <w:color w:val="auto"/>
          <w:sz w:val="16"/>
          <w:szCs w:val="16"/>
          <w:lang w:val="en-US"/>
        </w:rPr>
        <w:t>the Polish territory</w:t>
      </w:r>
      <w:r w:rsidRPr="00EB76DD">
        <w:rPr>
          <w:rFonts w:cs="Arial"/>
          <w:color w:val="auto"/>
          <w:sz w:val="16"/>
          <w:szCs w:val="16"/>
          <w:lang w:val="en-US"/>
        </w:rPr>
        <w:t xml:space="preserve"> </w:t>
      </w:r>
      <w:r w:rsidRPr="00EB76DD">
        <w:rPr>
          <w:rStyle w:val="hps"/>
          <w:rFonts w:cs="Arial"/>
          <w:color w:val="auto"/>
          <w:sz w:val="16"/>
          <w:szCs w:val="16"/>
          <w:lang w:val="en-US"/>
        </w:rPr>
        <w:t>irrespective of</w:t>
      </w:r>
      <w:r w:rsidRPr="00EB76DD">
        <w:rPr>
          <w:rFonts w:cs="Arial"/>
          <w:color w:val="auto"/>
          <w:sz w:val="16"/>
          <w:szCs w:val="16"/>
          <w:lang w:val="en-US"/>
        </w:rPr>
        <w:t xml:space="preserve"> </w:t>
      </w:r>
      <w:r w:rsidRPr="00EB76DD">
        <w:rPr>
          <w:rStyle w:val="hps"/>
          <w:rFonts w:cs="Arial"/>
          <w:color w:val="auto"/>
          <w:sz w:val="16"/>
          <w:szCs w:val="16"/>
          <w:lang w:val="en-US"/>
        </w:rPr>
        <w:t>their origin</w:t>
      </w:r>
      <w:r w:rsidRPr="00EB76DD">
        <w:rPr>
          <w:color w:val="auto"/>
          <w:sz w:val="16"/>
          <w:szCs w:val="16"/>
          <w:lang w:val="en-US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7F20A" w14:textId="77777777" w:rsidR="00C85300" w:rsidRDefault="00C85300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F87F210" wp14:editId="5F87F21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20B0998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5F87F20B" w14:textId="77777777" w:rsidR="00C85300" w:rsidRDefault="00C8530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7F20C" w14:textId="7CDF2B67" w:rsidR="00C85300" w:rsidRDefault="00C85300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F87F212" wp14:editId="5F87F213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F87F231" w14:textId="74E59875" w:rsidR="00C85300" w:rsidRPr="003C6C8D" w:rsidRDefault="00C85300" w:rsidP="00B31F0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87F212"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5F87F231" w14:textId="74E59875" w:rsidR="00C85300" w:rsidRPr="003C6C8D" w:rsidRDefault="00C85300" w:rsidP="00B31F0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F87F214" wp14:editId="5F87F21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C73A32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0454B71C" wp14:editId="59CF6176">
          <wp:extent cx="1861820" cy="708660"/>
          <wp:effectExtent l="0" t="0" r="5080" b="0"/>
          <wp:docPr id="12" name="Obraz 12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82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87F20D" w14:textId="77777777" w:rsidR="00C85300" w:rsidRDefault="00C85300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F87F218" wp14:editId="5F87F219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87F232" w14:textId="132EADDC" w:rsidR="00C85300" w:rsidRPr="00C97596" w:rsidRDefault="00C85300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31.07.2019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87F218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5F87F232" w14:textId="132EADDC" w:rsidR="00C85300" w:rsidRPr="00C97596" w:rsidRDefault="00C85300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31.07.2019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7F20E" w14:textId="77777777" w:rsidR="00C85300" w:rsidRDefault="00C85300">
    <w:pPr>
      <w:pStyle w:val="Nagwek"/>
    </w:pPr>
  </w:p>
  <w:p w14:paraId="5F87F20F" w14:textId="77777777" w:rsidR="00C85300" w:rsidRDefault="00C8530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1pt;height:124.3pt;visibility:visible;mso-wrap-style:square" o:bullet="t">
        <v:imagedata r:id="rId1" o:title=""/>
      </v:shape>
    </w:pict>
  </w:numPicBullet>
  <w:numPicBullet w:numPicBulletId="1">
    <w:pict>
      <v:shape id="_x0000_i1029" type="#_x0000_t75" style="width:124.3pt;height:124.3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709F"/>
    <w:rsid w:val="000108B8"/>
    <w:rsid w:val="000152F5"/>
    <w:rsid w:val="00017EBA"/>
    <w:rsid w:val="00020CD4"/>
    <w:rsid w:val="00024AFF"/>
    <w:rsid w:val="00040EA2"/>
    <w:rsid w:val="0004582E"/>
    <w:rsid w:val="000470AA"/>
    <w:rsid w:val="00057CA1"/>
    <w:rsid w:val="000662E2"/>
    <w:rsid w:val="00066883"/>
    <w:rsid w:val="00066C1C"/>
    <w:rsid w:val="00070820"/>
    <w:rsid w:val="00073DEA"/>
    <w:rsid w:val="00074DD8"/>
    <w:rsid w:val="00076A47"/>
    <w:rsid w:val="000806F7"/>
    <w:rsid w:val="00081BF6"/>
    <w:rsid w:val="000A6A65"/>
    <w:rsid w:val="000A72E4"/>
    <w:rsid w:val="000B0727"/>
    <w:rsid w:val="000B3A5D"/>
    <w:rsid w:val="000B6C36"/>
    <w:rsid w:val="000C135D"/>
    <w:rsid w:val="000C2149"/>
    <w:rsid w:val="000D1D43"/>
    <w:rsid w:val="000D225C"/>
    <w:rsid w:val="000D2A5C"/>
    <w:rsid w:val="000E0918"/>
    <w:rsid w:val="000F6EC0"/>
    <w:rsid w:val="001011C3"/>
    <w:rsid w:val="001013C9"/>
    <w:rsid w:val="00102D3E"/>
    <w:rsid w:val="00110D87"/>
    <w:rsid w:val="001146CE"/>
    <w:rsid w:val="00114DB9"/>
    <w:rsid w:val="00116087"/>
    <w:rsid w:val="00130296"/>
    <w:rsid w:val="001423B6"/>
    <w:rsid w:val="001440E1"/>
    <w:rsid w:val="001448A7"/>
    <w:rsid w:val="00146621"/>
    <w:rsid w:val="001478E5"/>
    <w:rsid w:val="00150575"/>
    <w:rsid w:val="00152273"/>
    <w:rsid w:val="00162325"/>
    <w:rsid w:val="0017078D"/>
    <w:rsid w:val="00185BAA"/>
    <w:rsid w:val="00193D62"/>
    <w:rsid w:val="001951DA"/>
    <w:rsid w:val="001A33F3"/>
    <w:rsid w:val="001C3269"/>
    <w:rsid w:val="001D1DB4"/>
    <w:rsid w:val="002246B3"/>
    <w:rsid w:val="00242525"/>
    <w:rsid w:val="00246534"/>
    <w:rsid w:val="002574F9"/>
    <w:rsid w:val="0027462D"/>
    <w:rsid w:val="00276811"/>
    <w:rsid w:val="00277A82"/>
    <w:rsid w:val="00282699"/>
    <w:rsid w:val="0028458E"/>
    <w:rsid w:val="002926DF"/>
    <w:rsid w:val="00296697"/>
    <w:rsid w:val="002B0472"/>
    <w:rsid w:val="002B6B12"/>
    <w:rsid w:val="002D45CF"/>
    <w:rsid w:val="002E6140"/>
    <w:rsid w:val="002E6985"/>
    <w:rsid w:val="002E71B6"/>
    <w:rsid w:val="002F2768"/>
    <w:rsid w:val="002F77C8"/>
    <w:rsid w:val="003013FD"/>
    <w:rsid w:val="00304F22"/>
    <w:rsid w:val="00306C7C"/>
    <w:rsid w:val="003125D1"/>
    <w:rsid w:val="003216C9"/>
    <w:rsid w:val="00322EDD"/>
    <w:rsid w:val="00332320"/>
    <w:rsid w:val="00345F7C"/>
    <w:rsid w:val="00347D72"/>
    <w:rsid w:val="00357611"/>
    <w:rsid w:val="00366025"/>
    <w:rsid w:val="00367237"/>
    <w:rsid w:val="0037077F"/>
    <w:rsid w:val="00371FC0"/>
    <w:rsid w:val="00373882"/>
    <w:rsid w:val="0038341F"/>
    <w:rsid w:val="003843DB"/>
    <w:rsid w:val="0038490F"/>
    <w:rsid w:val="00393761"/>
    <w:rsid w:val="00397D18"/>
    <w:rsid w:val="003A1B36"/>
    <w:rsid w:val="003B1454"/>
    <w:rsid w:val="003C59E0"/>
    <w:rsid w:val="003C6B82"/>
    <w:rsid w:val="003C6C8D"/>
    <w:rsid w:val="003D23E6"/>
    <w:rsid w:val="003D4F95"/>
    <w:rsid w:val="003D5F42"/>
    <w:rsid w:val="003D60A9"/>
    <w:rsid w:val="003E0AA8"/>
    <w:rsid w:val="003F16AB"/>
    <w:rsid w:val="003F4C97"/>
    <w:rsid w:val="003F7B61"/>
    <w:rsid w:val="003F7FE6"/>
    <w:rsid w:val="00400193"/>
    <w:rsid w:val="004045B9"/>
    <w:rsid w:val="004212E7"/>
    <w:rsid w:val="0042446D"/>
    <w:rsid w:val="00424CB7"/>
    <w:rsid w:val="0042571C"/>
    <w:rsid w:val="00427BF8"/>
    <w:rsid w:val="00431C02"/>
    <w:rsid w:val="00434D16"/>
    <w:rsid w:val="00437395"/>
    <w:rsid w:val="00445047"/>
    <w:rsid w:val="0045590E"/>
    <w:rsid w:val="004567B4"/>
    <w:rsid w:val="004577E9"/>
    <w:rsid w:val="00463E39"/>
    <w:rsid w:val="004657FC"/>
    <w:rsid w:val="0046619C"/>
    <w:rsid w:val="004712D4"/>
    <w:rsid w:val="004733F6"/>
    <w:rsid w:val="00474E69"/>
    <w:rsid w:val="00476D65"/>
    <w:rsid w:val="0048231B"/>
    <w:rsid w:val="004921B7"/>
    <w:rsid w:val="004926AC"/>
    <w:rsid w:val="004931B7"/>
    <w:rsid w:val="0049621B"/>
    <w:rsid w:val="004A0681"/>
    <w:rsid w:val="004A29AD"/>
    <w:rsid w:val="004B2FBB"/>
    <w:rsid w:val="004B64A7"/>
    <w:rsid w:val="004C1895"/>
    <w:rsid w:val="004C6D40"/>
    <w:rsid w:val="004D100F"/>
    <w:rsid w:val="004F0C3C"/>
    <w:rsid w:val="004F63FC"/>
    <w:rsid w:val="00502891"/>
    <w:rsid w:val="00505A92"/>
    <w:rsid w:val="0051165C"/>
    <w:rsid w:val="005203F1"/>
    <w:rsid w:val="00521BC3"/>
    <w:rsid w:val="00533632"/>
    <w:rsid w:val="0054251F"/>
    <w:rsid w:val="00550618"/>
    <w:rsid w:val="005520D8"/>
    <w:rsid w:val="00556CF1"/>
    <w:rsid w:val="005762A7"/>
    <w:rsid w:val="00585385"/>
    <w:rsid w:val="00586936"/>
    <w:rsid w:val="005916D7"/>
    <w:rsid w:val="005A698C"/>
    <w:rsid w:val="005A729A"/>
    <w:rsid w:val="005B79E4"/>
    <w:rsid w:val="005C4C4F"/>
    <w:rsid w:val="005C5358"/>
    <w:rsid w:val="005E0799"/>
    <w:rsid w:val="005E67F5"/>
    <w:rsid w:val="005E76AC"/>
    <w:rsid w:val="005F0F6A"/>
    <w:rsid w:val="005F30B8"/>
    <w:rsid w:val="005F5A80"/>
    <w:rsid w:val="00600D19"/>
    <w:rsid w:val="006044FF"/>
    <w:rsid w:val="0060498C"/>
    <w:rsid w:val="0060703A"/>
    <w:rsid w:val="00607CC5"/>
    <w:rsid w:val="00633014"/>
    <w:rsid w:val="0063437B"/>
    <w:rsid w:val="006401A1"/>
    <w:rsid w:val="0064406A"/>
    <w:rsid w:val="0065146E"/>
    <w:rsid w:val="0065337E"/>
    <w:rsid w:val="006537F5"/>
    <w:rsid w:val="00665A78"/>
    <w:rsid w:val="006673CA"/>
    <w:rsid w:val="00673C26"/>
    <w:rsid w:val="006812AF"/>
    <w:rsid w:val="0068327D"/>
    <w:rsid w:val="00683419"/>
    <w:rsid w:val="00690129"/>
    <w:rsid w:val="00692FCD"/>
    <w:rsid w:val="00694AF0"/>
    <w:rsid w:val="006A1323"/>
    <w:rsid w:val="006A215D"/>
    <w:rsid w:val="006B0E9E"/>
    <w:rsid w:val="006B53C4"/>
    <w:rsid w:val="006B5AE4"/>
    <w:rsid w:val="006D31C0"/>
    <w:rsid w:val="006D4054"/>
    <w:rsid w:val="006E02EC"/>
    <w:rsid w:val="007000BD"/>
    <w:rsid w:val="00701D51"/>
    <w:rsid w:val="007041B0"/>
    <w:rsid w:val="00711844"/>
    <w:rsid w:val="00717D5C"/>
    <w:rsid w:val="0072037C"/>
    <w:rsid w:val="007211B1"/>
    <w:rsid w:val="00725D50"/>
    <w:rsid w:val="0073371B"/>
    <w:rsid w:val="00746187"/>
    <w:rsid w:val="007476ED"/>
    <w:rsid w:val="0076254F"/>
    <w:rsid w:val="00762790"/>
    <w:rsid w:val="00773E91"/>
    <w:rsid w:val="007801F5"/>
    <w:rsid w:val="00783CA4"/>
    <w:rsid w:val="007842FB"/>
    <w:rsid w:val="00786124"/>
    <w:rsid w:val="0079514B"/>
    <w:rsid w:val="007A2DC1"/>
    <w:rsid w:val="007C325E"/>
    <w:rsid w:val="007C3D28"/>
    <w:rsid w:val="007D3319"/>
    <w:rsid w:val="007D335D"/>
    <w:rsid w:val="007D3F3F"/>
    <w:rsid w:val="007D5E79"/>
    <w:rsid w:val="007D6BC4"/>
    <w:rsid w:val="007E3314"/>
    <w:rsid w:val="007E4B03"/>
    <w:rsid w:val="007E4E9B"/>
    <w:rsid w:val="007F324B"/>
    <w:rsid w:val="0080553C"/>
    <w:rsid w:val="00805B46"/>
    <w:rsid w:val="00825DC2"/>
    <w:rsid w:val="00825F5C"/>
    <w:rsid w:val="00834AD3"/>
    <w:rsid w:val="0084092E"/>
    <w:rsid w:val="00843795"/>
    <w:rsid w:val="008459BF"/>
    <w:rsid w:val="00847F0F"/>
    <w:rsid w:val="00852448"/>
    <w:rsid w:val="00856331"/>
    <w:rsid w:val="008720A0"/>
    <w:rsid w:val="00876CDE"/>
    <w:rsid w:val="0088258A"/>
    <w:rsid w:val="00886332"/>
    <w:rsid w:val="00890348"/>
    <w:rsid w:val="008A10A2"/>
    <w:rsid w:val="008A25DE"/>
    <w:rsid w:val="008A26D9"/>
    <w:rsid w:val="008B1B0C"/>
    <w:rsid w:val="008C0C29"/>
    <w:rsid w:val="008F3638"/>
    <w:rsid w:val="008F6F31"/>
    <w:rsid w:val="008F74DF"/>
    <w:rsid w:val="009127BA"/>
    <w:rsid w:val="00921F50"/>
    <w:rsid w:val="009227A6"/>
    <w:rsid w:val="00932408"/>
    <w:rsid w:val="00933EC1"/>
    <w:rsid w:val="00943071"/>
    <w:rsid w:val="009451EB"/>
    <w:rsid w:val="009530DB"/>
    <w:rsid w:val="00953676"/>
    <w:rsid w:val="00955FF5"/>
    <w:rsid w:val="00964A3E"/>
    <w:rsid w:val="009705EE"/>
    <w:rsid w:val="00976DD0"/>
    <w:rsid w:val="00977927"/>
    <w:rsid w:val="0098135C"/>
    <w:rsid w:val="0098156A"/>
    <w:rsid w:val="00982B24"/>
    <w:rsid w:val="00984585"/>
    <w:rsid w:val="00991BAC"/>
    <w:rsid w:val="00992926"/>
    <w:rsid w:val="0099454C"/>
    <w:rsid w:val="009A0F70"/>
    <w:rsid w:val="009A39CF"/>
    <w:rsid w:val="009A5C86"/>
    <w:rsid w:val="009A6EA0"/>
    <w:rsid w:val="009A7BCD"/>
    <w:rsid w:val="009B6005"/>
    <w:rsid w:val="009C1335"/>
    <w:rsid w:val="009C17B6"/>
    <w:rsid w:val="009C1AB2"/>
    <w:rsid w:val="009C7251"/>
    <w:rsid w:val="009D1900"/>
    <w:rsid w:val="009E2E91"/>
    <w:rsid w:val="00A00ADB"/>
    <w:rsid w:val="00A13626"/>
    <w:rsid w:val="00A139F5"/>
    <w:rsid w:val="00A365F4"/>
    <w:rsid w:val="00A416B1"/>
    <w:rsid w:val="00A43659"/>
    <w:rsid w:val="00A44ACB"/>
    <w:rsid w:val="00A47D80"/>
    <w:rsid w:val="00A53132"/>
    <w:rsid w:val="00A563F2"/>
    <w:rsid w:val="00A566E8"/>
    <w:rsid w:val="00A60BEF"/>
    <w:rsid w:val="00A76F14"/>
    <w:rsid w:val="00A810F9"/>
    <w:rsid w:val="00A81F44"/>
    <w:rsid w:val="00A844E6"/>
    <w:rsid w:val="00A86ECC"/>
    <w:rsid w:val="00A86FCC"/>
    <w:rsid w:val="00A876AE"/>
    <w:rsid w:val="00A9089D"/>
    <w:rsid w:val="00A913B8"/>
    <w:rsid w:val="00AA6D1C"/>
    <w:rsid w:val="00AA710D"/>
    <w:rsid w:val="00AB29F1"/>
    <w:rsid w:val="00AB3053"/>
    <w:rsid w:val="00AB38AA"/>
    <w:rsid w:val="00AB6D25"/>
    <w:rsid w:val="00AD34B4"/>
    <w:rsid w:val="00AE2D4B"/>
    <w:rsid w:val="00AE4F99"/>
    <w:rsid w:val="00AE636C"/>
    <w:rsid w:val="00AF0841"/>
    <w:rsid w:val="00AF0CDF"/>
    <w:rsid w:val="00AF164D"/>
    <w:rsid w:val="00B14952"/>
    <w:rsid w:val="00B241A9"/>
    <w:rsid w:val="00B2747A"/>
    <w:rsid w:val="00B27EA1"/>
    <w:rsid w:val="00B31E5A"/>
    <w:rsid w:val="00B31F08"/>
    <w:rsid w:val="00B34813"/>
    <w:rsid w:val="00B5279C"/>
    <w:rsid w:val="00B653AB"/>
    <w:rsid w:val="00B65CB2"/>
    <w:rsid w:val="00B65F9E"/>
    <w:rsid w:val="00B66555"/>
    <w:rsid w:val="00B66B19"/>
    <w:rsid w:val="00B77835"/>
    <w:rsid w:val="00B86308"/>
    <w:rsid w:val="00B914E9"/>
    <w:rsid w:val="00B92654"/>
    <w:rsid w:val="00B956EE"/>
    <w:rsid w:val="00BA1D4F"/>
    <w:rsid w:val="00BA2BA1"/>
    <w:rsid w:val="00BA58B2"/>
    <w:rsid w:val="00BB4F09"/>
    <w:rsid w:val="00BD2BC3"/>
    <w:rsid w:val="00BD4E33"/>
    <w:rsid w:val="00BD5068"/>
    <w:rsid w:val="00BE588F"/>
    <w:rsid w:val="00C02127"/>
    <w:rsid w:val="00C030DE"/>
    <w:rsid w:val="00C22105"/>
    <w:rsid w:val="00C244B6"/>
    <w:rsid w:val="00C30406"/>
    <w:rsid w:val="00C35FFF"/>
    <w:rsid w:val="00C3702F"/>
    <w:rsid w:val="00C45082"/>
    <w:rsid w:val="00C5627C"/>
    <w:rsid w:val="00C64A37"/>
    <w:rsid w:val="00C65A4A"/>
    <w:rsid w:val="00C667D5"/>
    <w:rsid w:val="00C7158E"/>
    <w:rsid w:val="00C7250B"/>
    <w:rsid w:val="00C733C3"/>
    <w:rsid w:val="00C7346B"/>
    <w:rsid w:val="00C77C0E"/>
    <w:rsid w:val="00C77C4A"/>
    <w:rsid w:val="00C85300"/>
    <w:rsid w:val="00C85BB8"/>
    <w:rsid w:val="00C91687"/>
    <w:rsid w:val="00C924A8"/>
    <w:rsid w:val="00C945FE"/>
    <w:rsid w:val="00C96FAA"/>
    <w:rsid w:val="00C97A04"/>
    <w:rsid w:val="00CA107B"/>
    <w:rsid w:val="00CA484D"/>
    <w:rsid w:val="00CB2E8F"/>
    <w:rsid w:val="00CB5036"/>
    <w:rsid w:val="00CC303A"/>
    <w:rsid w:val="00CC60CF"/>
    <w:rsid w:val="00CC739E"/>
    <w:rsid w:val="00CD2FE9"/>
    <w:rsid w:val="00CD58B7"/>
    <w:rsid w:val="00CF3CF0"/>
    <w:rsid w:val="00CF3F40"/>
    <w:rsid w:val="00CF4099"/>
    <w:rsid w:val="00D00796"/>
    <w:rsid w:val="00D261A2"/>
    <w:rsid w:val="00D34D98"/>
    <w:rsid w:val="00D45E4A"/>
    <w:rsid w:val="00D616D2"/>
    <w:rsid w:val="00D63B5F"/>
    <w:rsid w:val="00D67CD3"/>
    <w:rsid w:val="00D70EF7"/>
    <w:rsid w:val="00D77C42"/>
    <w:rsid w:val="00D8397C"/>
    <w:rsid w:val="00D94EED"/>
    <w:rsid w:val="00D96026"/>
    <w:rsid w:val="00DA7C1C"/>
    <w:rsid w:val="00DB147A"/>
    <w:rsid w:val="00DB1B7A"/>
    <w:rsid w:val="00DB562E"/>
    <w:rsid w:val="00DB5C76"/>
    <w:rsid w:val="00DB63FF"/>
    <w:rsid w:val="00DC0B6C"/>
    <w:rsid w:val="00DC6708"/>
    <w:rsid w:val="00DD686A"/>
    <w:rsid w:val="00E01436"/>
    <w:rsid w:val="00E045BD"/>
    <w:rsid w:val="00E046FE"/>
    <w:rsid w:val="00E11C96"/>
    <w:rsid w:val="00E12DB3"/>
    <w:rsid w:val="00E13512"/>
    <w:rsid w:val="00E17B77"/>
    <w:rsid w:val="00E23337"/>
    <w:rsid w:val="00E259EA"/>
    <w:rsid w:val="00E32061"/>
    <w:rsid w:val="00E33A76"/>
    <w:rsid w:val="00E42FF9"/>
    <w:rsid w:val="00E441B4"/>
    <w:rsid w:val="00E466D4"/>
    <w:rsid w:val="00E4714C"/>
    <w:rsid w:val="00E51AEB"/>
    <w:rsid w:val="00E522A7"/>
    <w:rsid w:val="00E53C35"/>
    <w:rsid w:val="00E54452"/>
    <w:rsid w:val="00E623A8"/>
    <w:rsid w:val="00E664C5"/>
    <w:rsid w:val="00E671A2"/>
    <w:rsid w:val="00E76D26"/>
    <w:rsid w:val="00E93AC6"/>
    <w:rsid w:val="00E96ECC"/>
    <w:rsid w:val="00EA6F61"/>
    <w:rsid w:val="00EB1390"/>
    <w:rsid w:val="00EB2C71"/>
    <w:rsid w:val="00EB4340"/>
    <w:rsid w:val="00EB556D"/>
    <w:rsid w:val="00EB5A7D"/>
    <w:rsid w:val="00EB76DD"/>
    <w:rsid w:val="00EC2D76"/>
    <w:rsid w:val="00ED55C0"/>
    <w:rsid w:val="00ED682B"/>
    <w:rsid w:val="00EE41D5"/>
    <w:rsid w:val="00EF43BD"/>
    <w:rsid w:val="00F02C7E"/>
    <w:rsid w:val="00F037A4"/>
    <w:rsid w:val="00F152E6"/>
    <w:rsid w:val="00F24228"/>
    <w:rsid w:val="00F27C8F"/>
    <w:rsid w:val="00F32749"/>
    <w:rsid w:val="00F3415A"/>
    <w:rsid w:val="00F37172"/>
    <w:rsid w:val="00F4477E"/>
    <w:rsid w:val="00F47DDF"/>
    <w:rsid w:val="00F62855"/>
    <w:rsid w:val="00F63B71"/>
    <w:rsid w:val="00F657FD"/>
    <w:rsid w:val="00F67D8F"/>
    <w:rsid w:val="00F70DA2"/>
    <w:rsid w:val="00F802BE"/>
    <w:rsid w:val="00F86024"/>
    <w:rsid w:val="00F8611A"/>
    <w:rsid w:val="00FA3774"/>
    <w:rsid w:val="00FA5128"/>
    <w:rsid w:val="00FB42D4"/>
    <w:rsid w:val="00FB50BD"/>
    <w:rsid w:val="00FB5906"/>
    <w:rsid w:val="00FB762F"/>
    <w:rsid w:val="00FC0B7D"/>
    <w:rsid w:val="00FC2AED"/>
    <w:rsid w:val="00FD4B11"/>
    <w:rsid w:val="00FD5EA7"/>
    <w:rsid w:val="00FF1498"/>
    <w:rsid w:val="00FF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87F153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  <w:style w:type="character" w:customStyle="1" w:styleId="hps">
    <w:name w:val="hps"/>
    <w:basedOn w:val="Domylnaczcionkaakapitu"/>
    <w:rsid w:val="00CC60CF"/>
  </w:style>
  <w:style w:type="paragraph" w:customStyle="1" w:styleId="Default">
    <w:name w:val="Default"/>
    <w:rsid w:val="00CF3F40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header" Target="header1.xml"/><Relationship Id="rId26" Type="http://schemas.openxmlformats.org/officeDocument/2006/relationships/image" Target="media/image5.png"/><Relationship Id="rId39" Type="http://schemas.openxmlformats.org/officeDocument/2006/relationships/hyperlink" Target="http://swaid.stat.gov.pl/EN/SitePages/StronaGlownaDBW.aspx" TargetMode="External"/><Relationship Id="rId21" Type="http://schemas.openxmlformats.org/officeDocument/2006/relationships/footer" Target="footer2.xml"/><Relationship Id="rId34" Type="http://schemas.openxmlformats.org/officeDocument/2006/relationships/hyperlink" Target="http://stat.gov.pl/en/metainformations/glossary/terms-used-in-official-statistics/119,term.html" TargetMode="External"/><Relationship Id="rId42" Type="http://schemas.openxmlformats.org/officeDocument/2006/relationships/hyperlink" Target="http://stat.gov.pl/en/metainformations/glossary/terms-used-in-official-statistics/119,term.html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chart" Target="charts/chart4.xml"/><Relationship Id="rId29" Type="http://schemas.openxmlformats.org/officeDocument/2006/relationships/hyperlink" Target="http://stat.gov.pl/en/topics/prices-trade/trade/foreign-trade-poland-in-european-union,6,12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emf"/><Relationship Id="rId24" Type="http://schemas.openxmlformats.org/officeDocument/2006/relationships/hyperlink" Target="mailto:obslugaprasowa@stat.gov.pl" TargetMode="External"/><Relationship Id="rId32" Type="http://schemas.openxmlformats.org/officeDocument/2006/relationships/hyperlink" Target="http://swaid.stat.gov.pl/EN/SitePages/StronaGlownaDBW.aspx" TargetMode="External"/><Relationship Id="rId37" Type="http://schemas.openxmlformats.org/officeDocument/2006/relationships/hyperlink" Target="http://stat.gov.pl/en/topics/prices-trade/trade/foreign-trade-poland-in-european-union,6,12.html" TargetMode="External"/><Relationship Id="rId40" Type="http://schemas.openxmlformats.org/officeDocument/2006/relationships/hyperlink" Target="http://swaid.stat.gov.pl/EN/SitePages/StronaGlownaDBW.aspx" TargetMode="External"/><Relationship Id="rId45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hyperlink" Target="mailto:rzecznik@stat.gov.pl" TargetMode="External"/><Relationship Id="rId28" Type="http://schemas.openxmlformats.org/officeDocument/2006/relationships/hyperlink" Target="file:///C:\Users\MatejakA\Desktop\Documents\Sygnalna\2018\Foreign%20trade.%20Mirror%20and%20asymmetry%20statistics" TargetMode="External"/><Relationship Id="rId36" Type="http://schemas.openxmlformats.org/officeDocument/2006/relationships/hyperlink" Target="file:///C:\Users\MatejakA\Desktop\Documents\Sygnalna\2018\Foreign%20trade.%20Mirror%20and%20asymmetry%20statistics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31" Type="http://schemas.openxmlformats.org/officeDocument/2006/relationships/hyperlink" Target="http://swaid.stat.gov.pl/EN/SitePages/StronaGlownaDBW.aspx" TargetMode="External"/><Relationship Id="rId44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hyperlink" Target="mailto:a.matejak@stat.gov.pl" TargetMode="External"/><Relationship Id="rId27" Type="http://schemas.openxmlformats.org/officeDocument/2006/relationships/image" Target="media/image6.png"/><Relationship Id="rId30" Type="http://schemas.openxmlformats.org/officeDocument/2006/relationships/hyperlink" Target="http://swaid.stat.gov.pl/en/SitePagesDBW/HandelZagraniczny.aspx" TargetMode="External"/><Relationship Id="rId35" Type="http://schemas.openxmlformats.org/officeDocument/2006/relationships/hyperlink" Target="http://stat.gov.pl/en/metainformations/glossary/terms-used-in-official-statistics/449,term.html" TargetMode="External"/><Relationship Id="rId43" Type="http://schemas.openxmlformats.org/officeDocument/2006/relationships/hyperlink" Target="http://stat.gov.pl/en/metainformations/glossary/terms-used-in-official-statistics/449,term.html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20.emf"/><Relationship Id="rId17" Type="http://schemas.openxmlformats.org/officeDocument/2006/relationships/chart" Target="charts/chart5.xml"/><Relationship Id="rId25" Type="http://schemas.openxmlformats.org/officeDocument/2006/relationships/image" Target="media/image4.png"/><Relationship Id="rId33" Type="http://schemas.openxmlformats.org/officeDocument/2006/relationships/hyperlink" Target="http://stat.gov.pl/en/metainformations/glossary/terms-used-in-official-statistics/746,term.html" TargetMode="External"/><Relationship Id="rId38" Type="http://schemas.openxmlformats.org/officeDocument/2006/relationships/hyperlink" Target="http://swaid.stat.gov.pl/en/SitePagesDBW/HandelZagraniczny.aspx" TargetMode="External"/><Relationship Id="rId46" Type="http://schemas.openxmlformats.org/officeDocument/2006/relationships/theme" Target="theme/theme1.xml"/><Relationship Id="rId20" Type="http://schemas.openxmlformats.org/officeDocument/2006/relationships/header" Target="header2.xml"/><Relationship Id="rId41" Type="http://schemas.openxmlformats.org/officeDocument/2006/relationships/hyperlink" Target="http://stat.gov.pl/en/metainformations/glossary/terms-used-in-official-statistics/746,term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tejakA\Desktop\Documents\Ci&#261;gutki\2017\XII\C-17_.xls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tejakA\Desktop\Documents\Ci&#261;gutki\2017\XII\C-17_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tejakA\Desktop\Documents\Ci&#261;gutki\2017\XII\C-17_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tejakA\Desktop\Documents\Ci&#261;gutki\2017\XII\Kopia%20C-17_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tejakA\Desktop\Documents\Ci&#261;gutki\2017\XII\C-17_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7015087630175264E-2"/>
          <c:y val="3.8722168441432718E-2"/>
          <c:w val="0.88975910591821183"/>
          <c:h val="0.7915705599723558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'3 miesiące'!$F$7</c:f>
              <c:strCache>
                <c:ptCount val="1"/>
                <c:pt idx="0">
                  <c:v>Exports  </c:v>
                </c:pt>
              </c:strCache>
            </c:strRef>
          </c:tx>
          <c:spPr>
            <a:solidFill>
              <a:srgbClr val="001D77"/>
            </a:solidFill>
            <a:ln>
              <a:solidFill>
                <a:srgbClr val="001D77"/>
              </a:solidFill>
            </a:ln>
            <a:effectLst/>
          </c:spPr>
          <c:invertIfNegative val="0"/>
          <c:cat>
            <c:strRef>
              <c:f>'3 miesiące'!$G$5:$I$6</c:f>
              <c:strCache>
                <c:ptCount val="3"/>
                <c:pt idx="0">
                  <c:v>X</c:v>
                </c:pt>
                <c:pt idx="1">
                  <c:v>XI </c:v>
                </c:pt>
                <c:pt idx="2">
                  <c:v>XII </c:v>
                </c:pt>
              </c:strCache>
            </c:strRef>
          </c:cat>
          <c:val>
            <c:numRef>
              <c:f>'3 miesiące'!$G$7:$I$7</c:f>
              <c:numCache>
                <c:formatCode>0.0</c:formatCode>
                <c:ptCount val="3"/>
                <c:pt idx="0">
                  <c:v>91.4</c:v>
                </c:pt>
                <c:pt idx="1">
                  <c:v>89.5</c:v>
                </c:pt>
                <c:pt idx="2">
                  <c:v>69.8</c:v>
                </c:pt>
              </c:numCache>
            </c:numRef>
          </c:val>
        </c:ser>
        <c:ser>
          <c:idx val="1"/>
          <c:order val="1"/>
          <c:tx>
            <c:strRef>
              <c:f>'3 miesiące'!$F$8</c:f>
              <c:strCache>
                <c:ptCount val="1"/>
                <c:pt idx="0">
                  <c:v>Imports   </c:v>
                </c:pt>
              </c:strCache>
            </c:strRef>
          </c:tx>
          <c:spPr>
            <a:solidFill>
              <a:srgbClr val="CCD2E4"/>
            </a:solidFill>
            <a:ln>
              <a:solidFill>
                <a:srgbClr val="CCD2E4"/>
              </a:solidFill>
            </a:ln>
            <a:effectLst/>
          </c:spPr>
          <c:invertIfNegative val="0"/>
          <c:cat>
            <c:strRef>
              <c:f>'3 miesiące'!$G$5:$I$6</c:f>
              <c:strCache>
                <c:ptCount val="3"/>
                <c:pt idx="0">
                  <c:v>X</c:v>
                </c:pt>
                <c:pt idx="1">
                  <c:v>XI </c:v>
                </c:pt>
                <c:pt idx="2">
                  <c:v>XII </c:v>
                </c:pt>
              </c:strCache>
            </c:strRef>
          </c:cat>
          <c:val>
            <c:numRef>
              <c:f>'3 miesiące'!$G$8:$I$8</c:f>
              <c:numCache>
                <c:formatCode>0.0</c:formatCode>
                <c:ptCount val="3"/>
                <c:pt idx="0">
                  <c:v>93</c:v>
                </c:pt>
                <c:pt idx="1">
                  <c:v>89.2</c:v>
                </c:pt>
                <c:pt idx="2">
                  <c:v>75.8</c:v>
                </c:pt>
              </c:numCache>
            </c:numRef>
          </c:val>
        </c:ser>
        <c:ser>
          <c:idx val="2"/>
          <c:order val="2"/>
          <c:tx>
            <c:strRef>
              <c:f>'3 miesiące'!$F$9</c:f>
              <c:strCache>
                <c:ptCount val="1"/>
                <c:pt idx="0">
                  <c:v>Balance      </c:v>
                </c:pt>
              </c:strCache>
            </c:strRef>
          </c:tx>
          <c:spPr>
            <a:solidFill>
              <a:srgbClr val="339D68"/>
            </a:solidFill>
            <a:ln>
              <a:solidFill>
                <a:srgbClr val="339D68"/>
              </a:solidFill>
            </a:ln>
            <a:effectLst/>
          </c:spPr>
          <c:invertIfNegative val="0"/>
          <c:cat>
            <c:strRef>
              <c:f>'3 miesiące'!$G$5:$I$6</c:f>
              <c:strCache>
                <c:ptCount val="3"/>
                <c:pt idx="0">
                  <c:v>X</c:v>
                </c:pt>
                <c:pt idx="1">
                  <c:v>XI </c:v>
                </c:pt>
                <c:pt idx="2">
                  <c:v>XII </c:v>
                </c:pt>
              </c:strCache>
            </c:strRef>
          </c:cat>
          <c:val>
            <c:numRef>
              <c:f>'3 miesiące'!$G$9:$I$9</c:f>
              <c:numCache>
                <c:formatCode>0.0</c:formatCode>
                <c:ptCount val="3"/>
                <c:pt idx="0">
                  <c:v>-1.5999999999999943</c:v>
                </c:pt>
                <c:pt idx="1">
                  <c:v>0.29999999999999716</c:v>
                </c:pt>
                <c:pt idx="2">
                  <c:v>-6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-1956632736"/>
        <c:axId val="-1956628928"/>
      </c:barChart>
      <c:catAx>
        <c:axId val="-19566327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 "/>
                <a:ea typeface="+mn-ea"/>
                <a:cs typeface="+mn-cs"/>
              </a:defRPr>
            </a:pPr>
            <a:endParaRPr lang="pl-PL"/>
          </a:p>
        </c:txPr>
        <c:crossAx val="-1956628928"/>
        <c:crosses val="autoZero"/>
        <c:auto val="1"/>
        <c:lblAlgn val="ctr"/>
        <c:lblOffset val="100"/>
        <c:noMultiLvlLbl val="0"/>
      </c:catAx>
      <c:valAx>
        <c:axId val="-19566289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 "/>
                <a:ea typeface="+mn-ea"/>
                <a:cs typeface="+mn-cs"/>
              </a:defRPr>
            </a:pPr>
            <a:endParaRPr lang="pl-PL"/>
          </a:p>
        </c:txPr>
        <c:crossAx val="-19566327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50" b="0" i="0" u="none" strike="noStrike" kern="1200" baseline="0">
              <a:solidFill>
                <a:sysClr val="windowText" lastClr="000000"/>
              </a:solidFill>
              <a:latin typeface="Fira Sans 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OgółemE_I!$B$14</c:f>
              <c:strCache>
                <c:ptCount val="1"/>
                <c:pt idx="0">
                  <c:v>2017 </c:v>
                </c:pt>
              </c:strCache>
            </c:strRef>
          </c:tx>
          <c:spPr>
            <a:solidFill>
              <a:srgbClr val="CCD2E4"/>
            </a:solidFill>
            <a:ln>
              <a:noFill/>
            </a:ln>
            <a:effectLst/>
          </c:spPr>
          <c:invertIfNegative val="0"/>
          <c:cat>
            <c:strRef>
              <c:f>OgółemE_I!$C$12:$N$13</c:f>
              <c:strCache>
                <c:ptCount val="12"/>
                <c:pt idx="0">
                  <c:v>I</c:v>
                </c:pt>
                <c:pt idx="1">
                  <c:v>I-II</c:v>
                </c:pt>
                <c:pt idx="2">
                  <c:v>       I-III</c:v>
                </c:pt>
                <c:pt idx="3">
                  <c:v>       I-IV</c:v>
                </c:pt>
                <c:pt idx="4">
                  <c:v>        I-V</c:v>
                </c:pt>
                <c:pt idx="5">
                  <c:v>       I-VI</c:v>
                </c:pt>
                <c:pt idx="6">
                  <c:v>       I-VII</c:v>
                </c:pt>
                <c:pt idx="7">
                  <c:v>       I-VIII</c:v>
                </c:pt>
                <c:pt idx="8">
                  <c:v>       I-IX</c:v>
                </c:pt>
                <c:pt idx="9">
                  <c:v>        I-X</c:v>
                </c:pt>
                <c:pt idx="10">
                  <c:v>       I-XI</c:v>
                </c:pt>
                <c:pt idx="11">
                  <c:v>      I-XII</c:v>
                </c:pt>
              </c:strCache>
            </c:strRef>
          </c:cat>
          <c:val>
            <c:numRef>
              <c:f>OgółemE_I!$C$14:$N$14</c:f>
              <c:numCache>
                <c:formatCode>0.0</c:formatCode>
                <c:ptCount val="12"/>
                <c:pt idx="0">
                  <c:v>116.5</c:v>
                </c:pt>
                <c:pt idx="1">
                  <c:v>111.2</c:v>
                </c:pt>
                <c:pt idx="2">
                  <c:v>114.3</c:v>
                </c:pt>
                <c:pt idx="3">
                  <c:v>111.4</c:v>
                </c:pt>
                <c:pt idx="4">
                  <c:v>111.3</c:v>
                </c:pt>
                <c:pt idx="5">
                  <c:v>110.2</c:v>
                </c:pt>
                <c:pt idx="6">
                  <c:v>110</c:v>
                </c:pt>
                <c:pt idx="7">
                  <c:v>110.3</c:v>
                </c:pt>
                <c:pt idx="8">
                  <c:v>110.5</c:v>
                </c:pt>
                <c:pt idx="9">
                  <c:v>111.1</c:v>
                </c:pt>
                <c:pt idx="10">
                  <c:v>110.8</c:v>
                </c:pt>
                <c:pt idx="11">
                  <c:v>109.8</c:v>
                </c:pt>
              </c:numCache>
            </c:numRef>
          </c:val>
        </c:ser>
        <c:ser>
          <c:idx val="1"/>
          <c:order val="1"/>
          <c:tx>
            <c:strRef>
              <c:f>OgółemE_I!$B$15</c:f>
              <c:strCache>
                <c:ptCount val="1"/>
                <c:pt idx="0">
                  <c:v>2018 </c:v>
                </c:pt>
              </c:strCache>
            </c:strRef>
          </c:tx>
          <c:spPr>
            <a:solidFill>
              <a:srgbClr val="001D77"/>
            </a:solidFill>
            <a:ln>
              <a:solidFill>
                <a:srgbClr val="001D77"/>
              </a:solidFill>
            </a:ln>
            <a:effectLst/>
          </c:spPr>
          <c:invertIfNegative val="0"/>
          <c:cat>
            <c:strRef>
              <c:f>OgółemE_I!$C$12:$N$13</c:f>
              <c:strCache>
                <c:ptCount val="12"/>
                <c:pt idx="0">
                  <c:v>I</c:v>
                </c:pt>
                <c:pt idx="1">
                  <c:v>I-II</c:v>
                </c:pt>
                <c:pt idx="2">
                  <c:v>       I-III</c:v>
                </c:pt>
                <c:pt idx="3">
                  <c:v>       I-IV</c:v>
                </c:pt>
                <c:pt idx="4">
                  <c:v>        I-V</c:v>
                </c:pt>
                <c:pt idx="5">
                  <c:v>       I-VI</c:v>
                </c:pt>
                <c:pt idx="6">
                  <c:v>       I-VII</c:v>
                </c:pt>
                <c:pt idx="7">
                  <c:v>       I-VIII</c:v>
                </c:pt>
                <c:pt idx="8">
                  <c:v>       I-IX</c:v>
                </c:pt>
                <c:pt idx="9">
                  <c:v>        I-X</c:v>
                </c:pt>
                <c:pt idx="10">
                  <c:v>       I-XI</c:v>
                </c:pt>
                <c:pt idx="11">
                  <c:v>      I-XII</c:v>
                </c:pt>
              </c:strCache>
            </c:strRef>
          </c:cat>
          <c:val>
            <c:numRef>
              <c:f>OgółemE_I!$C$15:$N$15</c:f>
              <c:numCache>
                <c:formatCode>0.0</c:formatCode>
                <c:ptCount val="12"/>
                <c:pt idx="0">
                  <c:v>106.4</c:v>
                </c:pt>
                <c:pt idx="1">
                  <c:v>104.7</c:v>
                </c:pt>
                <c:pt idx="2">
                  <c:v>102.4</c:v>
                </c:pt>
                <c:pt idx="3">
                  <c:v>104.3</c:v>
                </c:pt>
                <c:pt idx="4">
                  <c:v>104.8</c:v>
                </c:pt>
                <c:pt idx="5">
                  <c:v>106</c:v>
                </c:pt>
                <c:pt idx="6">
                  <c:v>107.2</c:v>
                </c:pt>
                <c:pt idx="7">
                  <c:v>107.4</c:v>
                </c:pt>
                <c:pt idx="8">
                  <c:v>107</c:v>
                </c:pt>
                <c:pt idx="9">
                  <c:v>107.7</c:v>
                </c:pt>
                <c:pt idx="10">
                  <c:v>108</c:v>
                </c:pt>
                <c:pt idx="11">
                  <c:v>107.8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-1956622944"/>
        <c:axId val="-1956628384"/>
      </c:barChart>
      <c:catAx>
        <c:axId val="-19566229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956628384"/>
        <c:crosses val="autoZero"/>
        <c:auto val="1"/>
        <c:lblAlgn val="ctr"/>
        <c:lblOffset val="100"/>
        <c:noMultiLvlLbl val="0"/>
      </c:catAx>
      <c:valAx>
        <c:axId val="-1956628384"/>
        <c:scaling>
          <c:orientation val="minMax"/>
          <c:min val="9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956622944"/>
        <c:crosses val="autoZero"/>
        <c:crossBetween val="between"/>
        <c:majorUnit val="10"/>
      </c:valAx>
      <c:spPr>
        <a:noFill/>
        <a:ln w="25400">
          <a:noFill/>
        </a:ln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5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OgółemE_I!$B$20</c:f>
              <c:strCache>
                <c:ptCount val="1"/>
                <c:pt idx="0">
                  <c:v>2017 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OgółemE_I!$C$18:$N$19</c:f>
              <c:strCache>
                <c:ptCount val="12"/>
                <c:pt idx="0">
                  <c:v>I</c:v>
                </c:pt>
                <c:pt idx="1">
                  <c:v>I-II</c:v>
                </c:pt>
                <c:pt idx="2">
                  <c:v>       I-III</c:v>
                </c:pt>
                <c:pt idx="3">
                  <c:v>       I-IV</c:v>
                </c:pt>
                <c:pt idx="4">
                  <c:v>        I-V</c:v>
                </c:pt>
                <c:pt idx="5">
                  <c:v>       I-VI</c:v>
                </c:pt>
                <c:pt idx="6">
                  <c:v>       I-VII</c:v>
                </c:pt>
                <c:pt idx="7">
                  <c:v>       I-VIII</c:v>
                </c:pt>
                <c:pt idx="8">
                  <c:v>       I-IX</c:v>
                </c:pt>
                <c:pt idx="9">
                  <c:v>        I-X</c:v>
                </c:pt>
                <c:pt idx="10">
                  <c:v>       I-XI</c:v>
                </c:pt>
                <c:pt idx="11">
                  <c:v>      I-XII</c:v>
                </c:pt>
              </c:strCache>
            </c:strRef>
          </c:cat>
          <c:val>
            <c:numRef>
              <c:f>OgółemE_I!$C$20:$N$20</c:f>
              <c:numCache>
                <c:formatCode>0.0</c:formatCode>
                <c:ptCount val="12"/>
                <c:pt idx="0">
                  <c:v>117.3</c:v>
                </c:pt>
                <c:pt idx="1">
                  <c:v>113.4</c:v>
                </c:pt>
                <c:pt idx="2">
                  <c:v>115.7</c:v>
                </c:pt>
                <c:pt idx="3">
                  <c:v>112.5</c:v>
                </c:pt>
                <c:pt idx="4">
                  <c:v>113.2</c:v>
                </c:pt>
                <c:pt idx="5">
                  <c:v>112.8</c:v>
                </c:pt>
                <c:pt idx="6">
                  <c:v>112.6</c:v>
                </c:pt>
                <c:pt idx="7">
                  <c:v>112.1</c:v>
                </c:pt>
                <c:pt idx="8">
                  <c:v>111.9</c:v>
                </c:pt>
                <c:pt idx="9">
                  <c:v>112.3</c:v>
                </c:pt>
                <c:pt idx="10">
                  <c:v>112.3</c:v>
                </c:pt>
                <c:pt idx="11">
                  <c:v>111.9</c:v>
                </c:pt>
              </c:numCache>
            </c:numRef>
          </c:val>
        </c:ser>
        <c:ser>
          <c:idx val="1"/>
          <c:order val="1"/>
          <c:tx>
            <c:strRef>
              <c:f>OgółemE_I!$B$21</c:f>
              <c:strCache>
                <c:ptCount val="1"/>
                <c:pt idx="0">
                  <c:v>2018 </c:v>
                </c:pt>
              </c:strCache>
            </c:strRef>
          </c:tx>
          <c:spPr>
            <a:solidFill>
              <a:srgbClr val="CCD2E4"/>
            </a:solidFill>
            <a:ln>
              <a:solidFill>
                <a:srgbClr val="CCD2E4"/>
              </a:solidFill>
            </a:ln>
            <a:effectLst/>
          </c:spPr>
          <c:invertIfNegative val="0"/>
          <c:cat>
            <c:strRef>
              <c:f>OgółemE_I!$C$18:$N$19</c:f>
              <c:strCache>
                <c:ptCount val="12"/>
                <c:pt idx="0">
                  <c:v>I</c:v>
                </c:pt>
                <c:pt idx="1">
                  <c:v>I-II</c:v>
                </c:pt>
                <c:pt idx="2">
                  <c:v>       I-III</c:v>
                </c:pt>
                <c:pt idx="3">
                  <c:v>       I-IV</c:v>
                </c:pt>
                <c:pt idx="4">
                  <c:v>        I-V</c:v>
                </c:pt>
                <c:pt idx="5">
                  <c:v>       I-VI</c:v>
                </c:pt>
                <c:pt idx="6">
                  <c:v>       I-VII</c:v>
                </c:pt>
                <c:pt idx="7">
                  <c:v>       I-VIII</c:v>
                </c:pt>
                <c:pt idx="8">
                  <c:v>       I-IX</c:v>
                </c:pt>
                <c:pt idx="9">
                  <c:v>        I-X</c:v>
                </c:pt>
                <c:pt idx="10">
                  <c:v>       I-XI</c:v>
                </c:pt>
                <c:pt idx="11">
                  <c:v>      I-XII</c:v>
                </c:pt>
              </c:strCache>
            </c:strRef>
          </c:cat>
          <c:val>
            <c:numRef>
              <c:f>OgółemE_I!$C$21:$N$21</c:f>
              <c:numCache>
                <c:formatCode>0.0</c:formatCode>
                <c:ptCount val="12"/>
                <c:pt idx="0">
                  <c:v>112.6</c:v>
                </c:pt>
                <c:pt idx="1">
                  <c:v>108.9</c:v>
                </c:pt>
                <c:pt idx="2">
                  <c:v>106.7</c:v>
                </c:pt>
                <c:pt idx="3">
                  <c:v>108.4</c:v>
                </c:pt>
                <c:pt idx="4">
                  <c:v>107.9</c:v>
                </c:pt>
                <c:pt idx="5">
                  <c:v>108.9</c:v>
                </c:pt>
                <c:pt idx="6">
                  <c:v>109.7</c:v>
                </c:pt>
                <c:pt idx="7">
                  <c:v>110.4</c:v>
                </c:pt>
                <c:pt idx="8">
                  <c:v>109.9</c:v>
                </c:pt>
                <c:pt idx="9">
                  <c:v>110.7</c:v>
                </c:pt>
                <c:pt idx="10">
                  <c:v>110.8</c:v>
                </c:pt>
                <c:pt idx="11">
                  <c:v>110.3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-1956625120"/>
        <c:axId val="-1956624576"/>
      </c:barChart>
      <c:catAx>
        <c:axId val="-19566251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50" b="0" i="0" u="none" strike="noStrike" kern="1200" baseline="0">
                <a:solidFill>
                  <a:sysClr val="windowText" lastClr="000000"/>
                </a:solidFill>
                <a:latin typeface="Fira Sans "/>
                <a:ea typeface="+mn-ea"/>
                <a:cs typeface="+mn-cs"/>
              </a:defRPr>
            </a:pPr>
            <a:endParaRPr lang="pl-PL"/>
          </a:p>
        </c:txPr>
        <c:crossAx val="-1956624576"/>
        <c:crosses val="autoZero"/>
        <c:auto val="1"/>
        <c:lblAlgn val="ctr"/>
        <c:lblOffset val="100"/>
        <c:noMultiLvlLbl val="0"/>
      </c:catAx>
      <c:valAx>
        <c:axId val="-1956624576"/>
        <c:scaling>
          <c:orientation val="minMax"/>
          <c:min val="9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 "/>
                <a:ea typeface="+mn-ea"/>
                <a:cs typeface="+mn-cs"/>
              </a:defRPr>
            </a:pPr>
            <a:endParaRPr lang="pl-PL"/>
          </a:p>
        </c:txPr>
        <c:crossAx val="-1956625120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50" b="0" i="0" u="none" strike="noStrike" kern="1200" baseline="0">
              <a:solidFill>
                <a:sysClr val="windowText" lastClr="000000"/>
              </a:solidFill>
              <a:latin typeface="Fira Sans 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Arkusz3!$A$6</c:f>
              <c:strCache>
                <c:ptCount val="1"/>
                <c:pt idx="0">
                  <c:v>2017 </c:v>
                </c:pt>
              </c:strCache>
            </c:strRef>
          </c:tx>
          <c:spPr>
            <a:ln w="28575" cap="rnd">
              <a:solidFill>
                <a:srgbClr val="CCD2E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CCD2E4"/>
              </a:solidFill>
              <a:ln w="9525">
                <a:solidFill>
                  <a:srgbClr val="CCD2E4"/>
                </a:solidFill>
              </a:ln>
              <a:effectLst/>
            </c:spPr>
          </c:marker>
          <c:cat>
            <c:strRef>
              <c:f>Arkusz3!$B$5:$M$5</c:f>
              <c:strCache>
                <c:ptCount val="12"/>
                <c:pt idx="0">
                  <c:v>I</c:v>
                </c:pt>
                <c:pt idx="1">
                  <c:v>I-II</c:v>
                </c:pt>
                <c:pt idx="2">
                  <c:v>I-III</c:v>
                </c:pt>
                <c:pt idx="3">
                  <c:v>I-IV</c:v>
                </c:pt>
                <c:pt idx="4">
                  <c:v>I-V</c:v>
                </c:pt>
                <c:pt idx="5">
                  <c:v>I-VI</c:v>
                </c:pt>
                <c:pt idx="6">
                  <c:v>I-VII</c:v>
                </c:pt>
                <c:pt idx="7">
                  <c:v>I-VIII</c:v>
                </c:pt>
                <c:pt idx="8">
                  <c:v>I-IX</c:v>
                </c:pt>
                <c:pt idx="9">
                  <c:v>I-X</c:v>
                </c:pt>
                <c:pt idx="10">
                  <c:v>I-XI</c:v>
                </c:pt>
                <c:pt idx="11">
                  <c:v>I-XII</c:v>
                </c:pt>
              </c:strCache>
            </c:strRef>
          </c:cat>
          <c:val>
            <c:numRef>
              <c:f>Arkusz3!$B$6:$M$6</c:f>
              <c:numCache>
                <c:formatCode>0.0</c:formatCode>
                <c:ptCount val="12"/>
                <c:pt idx="0">
                  <c:v>-3.1773045979999903</c:v>
                </c:pt>
                <c:pt idx="1">
                  <c:v>-6.1770274149999906</c:v>
                </c:pt>
                <c:pt idx="2">
                  <c:v>-8.4770375909999398</c:v>
                </c:pt>
                <c:pt idx="3">
                  <c:v>-10.996701119999878</c:v>
                </c:pt>
                <c:pt idx="4">
                  <c:v>-13.229480292000099</c:v>
                </c:pt>
                <c:pt idx="5">
                  <c:v>-15.100199259000199</c:v>
                </c:pt>
                <c:pt idx="6">
                  <c:v>-16.9905603250001</c:v>
                </c:pt>
                <c:pt idx="7">
                  <c:v>-18.740847883999802</c:v>
                </c:pt>
                <c:pt idx="8">
                  <c:v>-20.978943812999802</c:v>
                </c:pt>
                <c:pt idx="9">
                  <c:v>-23.061136288999602</c:v>
                </c:pt>
                <c:pt idx="10">
                  <c:v>-25.8890132129996</c:v>
                </c:pt>
                <c:pt idx="11">
                  <c:v>-29.581806937999499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Arkusz3!$A$7</c:f>
              <c:strCache>
                <c:ptCount val="1"/>
                <c:pt idx="0">
                  <c:v>2018 </c:v>
                </c:pt>
              </c:strCache>
            </c:strRef>
          </c:tx>
          <c:spPr>
            <a:ln w="28575" cap="flat">
              <a:solidFill>
                <a:srgbClr val="001D77"/>
              </a:solidFill>
              <a:bevel/>
            </a:ln>
            <a:effectLst/>
          </c:spPr>
          <c:marker>
            <c:symbol val="circle"/>
            <c:size val="5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strRef>
              <c:f>Arkusz3!$B$5:$M$5</c:f>
              <c:strCache>
                <c:ptCount val="12"/>
                <c:pt idx="0">
                  <c:v>I</c:v>
                </c:pt>
                <c:pt idx="1">
                  <c:v>I-II</c:v>
                </c:pt>
                <c:pt idx="2">
                  <c:v>I-III</c:v>
                </c:pt>
                <c:pt idx="3">
                  <c:v>I-IV</c:v>
                </c:pt>
                <c:pt idx="4">
                  <c:v>I-V</c:v>
                </c:pt>
                <c:pt idx="5">
                  <c:v>I-VI</c:v>
                </c:pt>
                <c:pt idx="6">
                  <c:v>I-VII</c:v>
                </c:pt>
                <c:pt idx="7">
                  <c:v>I-VIII</c:v>
                </c:pt>
                <c:pt idx="8">
                  <c:v>I-IX</c:v>
                </c:pt>
                <c:pt idx="9">
                  <c:v>I-X</c:v>
                </c:pt>
                <c:pt idx="10">
                  <c:v>I-XI</c:v>
                </c:pt>
                <c:pt idx="11">
                  <c:v>I-XII</c:v>
                </c:pt>
              </c:strCache>
            </c:strRef>
          </c:cat>
          <c:val>
            <c:numRef>
              <c:f>Arkusz3!$B$7:$M$7</c:f>
              <c:numCache>
                <c:formatCode>0.0</c:formatCode>
                <c:ptCount val="12"/>
                <c:pt idx="0">
                  <c:v>-3.5</c:v>
                </c:pt>
                <c:pt idx="1">
                  <c:v>-6.6</c:v>
                </c:pt>
                <c:pt idx="2">
                  <c:v>-9.8000000000000007</c:v>
                </c:pt>
                <c:pt idx="3">
                  <c:v>-12.7</c:v>
                </c:pt>
                <c:pt idx="4">
                  <c:v>-15.6</c:v>
                </c:pt>
                <c:pt idx="5">
                  <c:v>-19.3</c:v>
                </c:pt>
                <c:pt idx="6">
                  <c:v>-22.6</c:v>
                </c:pt>
                <c:pt idx="7">
                  <c:v>-25.8</c:v>
                </c:pt>
                <c:pt idx="8">
                  <c:v>-29.7</c:v>
                </c:pt>
                <c:pt idx="9">
                  <c:v>-34.200000000000003</c:v>
                </c:pt>
                <c:pt idx="10">
                  <c:v>-38.200000000000003</c:v>
                </c:pt>
                <c:pt idx="11">
                  <c:v>-41.9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956623488"/>
        <c:axId val="-2056009104"/>
      </c:lineChart>
      <c:catAx>
        <c:axId val="-19566234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-2056009104"/>
        <c:crosses val="autoZero"/>
        <c:auto val="1"/>
        <c:lblAlgn val="ctr"/>
        <c:lblOffset val="100"/>
        <c:noMultiLvlLbl val="0"/>
      </c:catAx>
      <c:valAx>
        <c:axId val="-20560091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750" b="0" i="0" u="none" strike="noStrike" baseline="0">
                <a:solidFill>
                  <a:srgbClr val="000000"/>
                </a:solidFill>
                <a:latin typeface="Fira Sans "/>
                <a:ea typeface="Calibri"/>
                <a:cs typeface="Calibri"/>
              </a:defRPr>
            </a:pPr>
            <a:endParaRPr lang="pl-PL"/>
          </a:p>
        </c:txPr>
        <c:crossAx val="-1956623488"/>
        <c:crosses val="autoZero"/>
        <c:crossBetween val="between"/>
        <c:majorUnit val="20"/>
        <c:minorUnit val="2"/>
      </c:valAx>
      <c:spPr>
        <a:noFill/>
        <a:ln w="25400">
          <a:noFill/>
        </a:ln>
      </c:spPr>
    </c:plotArea>
    <c:legend>
      <c:legendPos val="b"/>
      <c:overlay val="0"/>
      <c:spPr>
        <a:noFill/>
        <a:ln w="25400">
          <a:noFill/>
        </a:ln>
      </c:spPr>
      <c:txPr>
        <a:bodyPr/>
        <a:lstStyle/>
        <a:p>
          <a:pPr>
            <a:defRPr sz="750" b="0" i="0" u="none" strike="noStrike" baseline="0">
              <a:solidFill>
                <a:sysClr val="windowText" lastClr="000000"/>
              </a:solidFill>
              <a:latin typeface="Fira Sans "/>
              <a:ea typeface="Calibri"/>
              <a:cs typeface="Calibri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l-PL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5708065044406104E-2"/>
          <c:y val="8.4459382647994394E-2"/>
          <c:w val="0.82492159578525448"/>
          <c:h val="0.75803550058034863"/>
        </c:manualLayout>
      </c:layout>
      <c:lineChart>
        <c:grouping val="standard"/>
        <c:varyColors val="0"/>
        <c:ser>
          <c:idx val="0"/>
          <c:order val="0"/>
          <c:tx>
            <c:strRef>
              <c:f>'Grupu krajów'!$B$26</c:f>
              <c:strCache>
                <c:ptCount val="1"/>
                <c:pt idx="0">
                  <c:v>Imports country of origin</c:v>
                </c:pt>
              </c:strCache>
            </c:strRef>
          </c:tx>
          <c:spPr>
            <a:ln w="28575" cap="rnd">
              <a:solidFill>
                <a:srgbClr val="CCD2E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CCD2E4"/>
              </a:solidFill>
              <a:ln w="9525">
                <a:solidFill>
                  <a:srgbClr val="CCD2E4"/>
                </a:solidFill>
              </a:ln>
              <a:effectLst/>
            </c:spPr>
          </c:marker>
          <c:dPt>
            <c:idx val="2"/>
            <c:bubble3D val="0"/>
          </c:dPt>
          <c:cat>
            <c:strRef>
              <c:f>'Grupu krajów'!$A$27:$A$29</c:f>
              <c:strCache>
                <c:ptCount val="3"/>
                <c:pt idx="0">
                  <c:v>Developed countries  </c:v>
                </c:pt>
                <c:pt idx="1">
                  <c:v>Developing countries </c:v>
                </c:pt>
                <c:pt idx="2">
                  <c:v>Countries of Central and Eastern Europe</c:v>
                </c:pt>
              </c:strCache>
            </c:strRef>
          </c:cat>
          <c:val>
            <c:numRef>
              <c:f>'Grupu krajów'!$B$27:$B$29</c:f>
              <c:numCache>
                <c:formatCode>0.0</c:formatCode>
                <c:ptCount val="3"/>
                <c:pt idx="0">
                  <c:v>65.900000000000006</c:v>
                </c:pt>
                <c:pt idx="1">
                  <c:v>25.2</c:v>
                </c:pt>
                <c:pt idx="2">
                  <c:v>8.9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'Grupu krajów'!$C$26</c:f>
              <c:strCache>
                <c:ptCount val="1"/>
                <c:pt idx="0">
                  <c:v>Imports country of consignment</c:v>
                </c:pt>
              </c:strCache>
            </c:strRef>
          </c:tx>
          <c:spPr>
            <a:ln w="28575" cap="rnd">
              <a:solidFill>
                <a:srgbClr val="00206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2060"/>
              </a:solidFill>
              <a:ln w="9525">
                <a:solidFill>
                  <a:srgbClr val="002060"/>
                </a:solidFill>
              </a:ln>
              <a:effectLst/>
            </c:spPr>
          </c:marker>
          <c:cat>
            <c:strRef>
              <c:f>'Grupu krajów'!$A$27:$A$29</c:f>
              <c:strCache>
                <c:ptCount val="3"/>
                <c:pt idx="0">
                  <c:v>Developed countries  </c:v>
                </c:pt>
                <c:pt idx="1">
                  <c:v>Developing countries </c:v>
                </c:pt>
                <c:pt idx="2">
                  <c:v>Countries of Central and Eastern Europe</c:v>
                </c:pt>
              </c:strCache>
            </c:strRef>
          </c:cat>
          <c:val>
            <c:numRef>
              <c:f>'Grupu krajów'!$C$27:$C$29</c:f>
              <c:numCache>
                <c:formatCode>0.0</c:formatCode>
                <c:ptCount val="3"/>
                <c:pt idx="0">
                  <c:v>74.5</c:v>
                </c:pt>
                <c:pt idx="1">
                  <c:v>16.100000000000001</c:v>
                </c:pt>
                <c:pt idx="2">
                  <c:v>9.4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2056008016"/>
        <c:axId val="-2056006384"/>
      </c:lineChart>
      <c:catAx>
        <c:axId val="-20560080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75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-2056006384"/>
        <c:crosses val="autoZero"/>
        <c:auto val="1"/>
        <c:lblAlgn val="ctr"/>
        <c:lblOffset val="100"/>
        <c:noMultiLvlLbl val="0"/>
      </c:catAx>
      <c:valAx>
        <c:axId val="-20560063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-2056008016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overlay val="0"/>
      <c:spPr>
        <a:noFill/>
        <a:ln w="25400">
          <a:noFill/>
        </a:ln>
      </c:spPr>
      <c:txPr>
        <a:bodyPr/>
        <a:lstStyle/>
        <a:p>
          <a:pPr>
            <a:defRPr sz="480" b="0" i="0" u="none" strike="noStrike" baseline="0">
              <a:solidFill>
                <a:srgbClr val="000000"/>
              </a:solidFill>
              <a:latin typeface="Fira Sans"/>
              <a:ea typeface="Fira Sans"/>
              <a:cs typeface="Fira San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l-PL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1FFEE6C-8F94-480B-8B45-A8AA79983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1201</Words>
  <Characters>7208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</dc:creator>
  <cp:keywords/>
  <dc:description/>
  <cp:lastPrinted>2017-11-07T13:05:00Z</cp:lastPrinted>
  <dcterms:created xsi:type="dcterms:W3CDTF">2019-07-17T11:00:00Z</dcterms:created>
  <dcterms:modified xsi:type="dcterms:W3CDTF">2019-07-29T08:07:00Z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