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01352633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 construction and assembly production </w:t>
      </w:r>
      <w:r w:rsidRPr="002D3B6F">
        <w:rPr>
          <w:lang w:val="en-GB"/>
        </w:rPr>
        <w:t xml:space="preserve">in </w:t>
      </w:r>
      <w:r w:rsidR="006714EA" w:rsidRPr="002D3B6F">
        <w:rPr>
          <w:lang w:val="en-GB"/>
        </w:rPr>
        <w:t>June</w:t>
      </w:r>
      <w:r w:rsidR="004F6D24" w:rsidRPr="002D3B6F">
        <w:rPr>
          <w:lang w:val="en-GB"/>
        </w:rPr>
        <w:t xml:space="preserve"> </w:t>
      </w:r>
      <w:r w:rsidRPr="002D3B6F">
        <w:rPr>
          <w:lang w:val="en-GB"/>
        </w:rPr>
        <w:t>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1C5CF540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BA770A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BC39FA9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3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B073E7" w:rsidRPr="002D3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640A4" w:rsidRPr="002D3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2D3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4FEC6938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he growth of producer prices in construction in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the pre</w:t>
                            </w:r>
                            <w:r w:rsidR="0056071F">
                              <w:rPr>
                                <w:lang w:val="en-US"/>
                              </w:rPr>
                              <w:t xml:space="preserve">- </w:t>
                            </w:r>
                            <w:r w:rsidR="00825064">
                              <w:rPr>
                                <w:lang w:val="en-US"/>
                              </w:rPr>
                              <w:t>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7BC39FA9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3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B073E7" w:rsidRPr="002D3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640A4" w:rsidRPr="002D3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2D3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4FEC6938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 xml:space="preserve">he growth of producer prices in construction in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825064">
                        <w:rPr>
                          <w:lang w:val="en-US"/>
                        </w:rPr>
                        <w:t xml:space="preserve"> the pre</w:t>
                      </w:r>
                      <w:r w:rsidR="0056071F">
                        <w:rPr>
                          <w:lang w:val="en-US"/>
                        </w:rPr>
                        <w:t xml:space="preserve">- </w:t>
                      </w:r>
                      <w:proofErr w:type="spellStart"/>
                      <w:r w:rsidR="00825064">
                        <w:rPr>
                          <w:lang w:val="en-US"/>
                        </w:rPr>
                        <w:t>vious</w:t>
                      </w:r>
                      <w:proofErr w:type="spellEnd"/>
                      <w:r w:rsidR="00825064">
                        <w:rPr>
                          <w:lang w:val="en-US"/>
                        </w:rPr>
                        <w:t xml:space="preserve">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data </w:t>
      </w:r>
      <w:r w:rsidR="00825064" w:rsidRPr="002D3B6F">
        <w:rPr>
          <w:rFonts w:eastAsia="Times New Roman" w:cs="Times New Roman"/>
          <w:bCs/>
          <w:noProof w:val="0"/>
          <w:lang w:val="en-US" w:eastAsia="en-US"/>
        </w:rPr>
        <w:t>in</w:t>
      </w:r>
      <w:r w:rsidR="00B23BC1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714EA" w:rsidRPr="002D3B6F">
        <w:rPr>
          <w:rFonts w:eastAsia="Times New Roman" w:cs="Times New Roman"/>
          <w:bCs/>
          <w:noProof w:val="0"/>
          <w:lang w:val="en-US" w:eastAsia="en-US"/>
        </w:rPr>
        <w:t>June</w:t>
      </w:r>
      <w:r w:rsidR="00825064" w:rsidRPr="002D3B6F">
        <w:rPr>
          <w:rFonts w:eastAsia="Times New Roman" w:cs="Times New Roman"/>
          <w:bCs/>
          <w:noProof w:val="0"/>
          <w:lang w:val="en-US" w:eastAsia="en-US"/>
        </w:rPr>
        <w:t xml:space="preserve"> 2019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the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were higher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825064" w:rsidRPr="002D3B6F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2D3B6F">
        <w:rPr>
          <w:rFonts w:eastAsia="Times New Roman" w:cs="Times New Roman"/>
          <w:bCs/>
          <w:noProof w:val="0"/>
          <w:lang w:val="en-US" w:eastAsia="en-US"/>
        </w:rPr>
        <w:t>0.</w:t>
      </w:r>
      <w:r w:rsidR="00F640A4" w:rsidRPr="002D3B6F">
        <w:rPr>
          <w:rFonts w:eastAsia="Times New Roman" w:cs="Times New Roman"/>
          <w:bCs/>
          <w:noProof w:val="0"/>
          <w:lang w:val="en-US" w:eastAsia="en-US"/>
        </w:rPr>
        <w:t>3</w:t>
      </w:r>
      <w:r w:rsidR="00825064" w:rsidRPr="002D3B6F">
        <w:rPr>
          <w:rFonts w:eastAsia="Times New Roman" w:cs="Times New Roman"/>
          <w:bCs/>
          <w:noProof w:val="0"/>
          <w:lang w:val="en-US" w:eastAsia="en-US"/>
        </w:rPr>
        <w:t>%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previous month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73953" w:rsidRPr="002D3B6F">
        <w:rPr>
          <w:rFonts w:eastAsia="Times New Roman" w:cs="Times New Roman"/>
          <w:bCs/>
          <w:noProof w:val="0"/>
          <w:lang w:val="en-US" w:eastAsia="en-US"/>
        </w:rPr>
        <w:t>and by 3.</w:t>
      </w:r>
      <w:r w:rsidR="00F640A4" w:rsidRPr="002D3B6F">
        <w:rPr>
          <w:rFonts w:eastAsia="Times New Roman" w:cs="Times New Roman"/>
          <w:bCs/>
          <w:noProof w:val="0"/>
          <w:lang w:val="en-US" w:eastAsia="en-US"/>
        </w:rPr>
        <w:t>7</w:t>
      </w:r>
      <w:r w:rsidR="00B73953" w:rsidRPr="002D3B6F">
        <w:rPr>
          <w:rFonts w:eastAsia="Times New Roman" w:cs="Times New Roman"/>
          <w:bCs/>
          <w:noProof w:val="0"/>
          <w:lang w:val="en-US" w:eastAsia="en-US"/>
        </w:rPr>
        <w:t>%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 w:rsidRPr="002D3B6F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in comparison </w:t>
      </w:r>
      <w:r w:rsidR="004A480E" w:rsidRPr="002D3B6F">
        <w:rPr>
          <w:rFonts w:eastAsia="Times New Roman" w:cs="Times New Roman"/>
          <w:bCs/>
          <w:noProof w:val="0"/>
          <w:lang w:val="en-US" w:eastAsia="en-US"/>
        </w:rPr>
        <w:t>with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714EA" w:rsidRPr="002D3B6F">
        <w:rPr>
          <w:rFonts w:eastAsia="Times New Roman" w:cs="Times New Roman"/>
          <w:bCs/>
          <w:noProof w:val="0"/>
          <w:lang w:val="en-US" w:eastAsia="en-US"/>
        </w:rPr>
        <w:t>June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2018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47223761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6F5ACF">
        <w:rPr>
          <w:shd w:val="clear" w:color="auto" w:fill="FFFFFF"/>
          <w:lang w:val="en-US"/>
        </w:rPr>
        <w:t xml:space="preserve"> </w:t>
      </w:r>
      <w:r w:rsidR="006F5ACF" w:rsidRPr="006F5ACF">
        <w:rPr>
          <w:shd w:val="clear" w:color="auto" w:fill="FFFFFF"/>
          <w:lang w:val="en-US"/>
        </w:rPr>
        <w:t>(by 0.4%)</w:t>
      </w:r>
      <w:r w:rsidR="00ED2D68">
        <w:rPr>
          <w:shd w:val="clear" w:color="auto" w:fill="FFFFFF"/>
          <w:lang w:val="en-US"/>
        </w:rPr>
        <w:t>,</w:t>
      </w:r>
      <w:r w:rsidR="006F5ACF" w:rsidRPr="00FA699B">
        <w:rPr>
          <w:shd w:val="clear" w:color="auto" w:fill="FFFFFF"/>
          <w:lang w:val="en-US"/>
        </w:rPr>
        <w:t xml:space="preserve"> </w:t>
      </w:r>
      <w:r w:rsidR="00ED2D68">
        <w:rPr>
          <w:shd w:val="clear" w:color="auto" w:fill="FFFFFF"/>
          <w:lang w:val="en-US"/>
        </w:rPr>
        <w:t xml:space="preserve">in </w:t>
      </w:r>
      <w:r w:rsidR="00ED2D68" w:rsidRPr="007D298F">
        <w:rPr>
          <w:shd w:val="clear" w:color="auto" w:fill="FFFFFF"/>
          <w:lang w:val="en-US"/>
        </w:rPr>
        <w:t xml:space="preserve">civil </w:t>
      </w:r>
      <w:r w:rsidR="00ED2D68" w:rsidRPr="0006309F">
        <w:rPr>
          <w:shd w:val="clear" w:color="auto" w:fill="FFFFFF"/>
          <w:lang w:val="en-US"/>
        </w:rPr>
        <w:t>engineering</w:t>
      </w:r>
      <w:r w:rsidR="00ED2D68">
        <w:rPr>
          <w:shd w:val="clear" w:color="auto" w:fill="FFFFFF"/>
          <w:lang w:val="en-US"/>
        </w:rPr>
        <w:t xml:space="preserve"> </w:t>
      </w:r>
      <w:r w:rsidR="00ED2D68" w:rsidRPr="006F5ACF">
        <w:rPr>
          <w:shd w:val="clear" w:color="auto" w:fill="FFFFFF"/>
          <w:lang w:val="en-US"/>
        </w:rPr>
        <w:t>(by 0.</w:t>
      </w:r>
      <w:r w:rsidR="00ED2D68">
        <w:rPr>
          <w:shd w:val="clear" w:color="auto" w:fill="FFFFFF"/>
          <w:lang w:val="en-US"/>
        </w:rPr>
        <w:t>3</w:t>
      </w:r>
      <w:r w:rsidR="00ED2D68" w:rsidRPr="006F5ACF">
        <w:rPr>
          <w:shd w:val="clear" w:color="auto" w:fill="FFFFFF"/>
          <w:lang w:val="en-US"/>
        </w:rPr>
        <w:t>%)</w:t>
      </w:r>
      <w:r w:rsidR="00ED2D68">
        <w:rPr>
          <w:shd w:val="clear" w:color="auto" w:fill="FFFFFF"/>
          <w:lang w:val="en-US"/>
        </w:rPr>
        <w:t>,</w:t>
      </w:r>
      <w:r w:rsidR="00ED2D68" w:rsidRPr="00FA699B">
        <w:rPr>
          <w:shd w:val="clear" w:color="auto" w:fill="FFFFFF"/>
          <w:lang w:val="en-US"/>
        </w:rPr>
        <w:t xml:space="preserve"> </w:t>
      </w:r>
      <w:r w:rsidR="00011BCC">
        <w:rPr>
          <w:shd w:val="clear" w:color="auto" w:fill="FFFFFF"/>
          <w:lang w:val="en-US"/>
        </w:rPr>
        <w:t xml:space="preserve">in  </w:t>
      </w:r>
      <w:r w:rsidR="00011BCC" w:rsidRPr="007D298F">
        <w:rPr>
          <w:shd w:val="clear" w:color="auto" w:fill="FFFFFF"/>
          <w:lang w:val="en-US"/>
        </w:rPr>
        <w:t>specialised construction activities</w:t>
      </w:r>
      <w:r w:rsidR="00594DE2">
        <w:rPr>
          <w:shd w:val="clear" w:color="auto" w:fill="FFFFFF"/>
          <w:lang w:val="en-US"/>
        </w:rPr>
        <w:t xml:space="preserve"> </w:t>
      </w:r>
      <w:r w:rsidR="00ED2D68">
        <w:rPr>
          <w:shd w:val="clear" w:color="auto" w:fill="FFFFFF"/>
          <w:lang w:val="en-US"/>
        </w:rPr>
        <w:t xml:space="preserve">      </w:t>
      </w:r>
      <w:r w:rsidR="00300522">
        <w:rPr>
          <w:shd w:val="clear" w:color="auto" w:fill="FFFFFF"/>
          <w:lang w:val="en-US"/>
        </w:rPr>
        <w:t xml:space="preserve"> </w:t>
      </w:r>
      <w:r w:rsidR="00011BCC" w:rsidRPr="00011BCC">
        <w:rPr>
          <w:shd w:val="clear" w:color="auto" w:fill="FFFFFF"/>
          <w:lang w:val="en-US"/>
        </w:rPr>
        <w:t>(</w:t>
      </w:r>
      <w:r w:rsidR="00594DE2" w:rsidRPr="00011BCC">
        <w:rPr>
          <w:shd w:val="clear" w:color="auto" w:fill="FFFFFF"/>
          <w:lang w:val="en-US"/>
        </w:rPr>
        <w:t>by 0.</w:t>
      </w:r>
      <w:r w:rsidR="00011BCC" w:rsidRPr="00011BCC">
        <w:rPr>
          <w:shd w:val="clear" w:color="auto" w:fill="FFFFFF"/>
          <w:lang w:val="en-US"/>
        </w:rPr>
        <w:t>2</w:t>
      </w:r>
      <w:r w:rsidR="00594DE2" w:rsidRPr="00011BCC">
        <w:rPr>
          <w:shd w:val="clear" w:color="auto" w:fill="FFFFFF"/>
          <w:lang w:val="en-US"/>
        </w:rPr>
        <w:t>%</w:t>
      </w:r>
      <w:r w:rsidR="00011BCC" w:rsidRPr="00011BCC">
        <w:rPr>
          <w:shd w:val="clear" w:color="auto" w:fill="FFFFFF"/>
          <w:lang w:val="en-US"/>
        </w:rPr>
        <w:t>)</w:t>
      </w:r>
      <w:r w:rsidR="002C53D6" w:rsidRPr="00011BCC">
        <w:rPr>
          <w:shd w:val="clear" w:color="auto" w:fill="FFFFFF"/>
          <w:lang w:val="en-US"/>
        </w:rPr>
        <w:t>.</w:t>
      </w:r>
      <w:r w:rsidR="002C53D6">
        <w:rPr>
          <w:shd w:val="clear" w:color="auto" w:fill="FFFFFF"/>
          <w:lang w:val="en-US"/>
        </w:rPr>
        <w:t xml:space="preserve"> </w:t>
      </w:r>
      <w:r w:rsidRPr="00594DE2">
        <w:rPr>
          <w:shd w:val="clear" w:color="auto" w:fill="FFFFFF"/>
          <w:lang w:val="en-US"/>
        </w:rPr>
        <w:t xml:space="preserve"> </w:t>
      </w:r>
    </w:p>
    <w:p w14:paraId="24DC2195" w14:textId="3E1772AC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</w:t>
      </w:r>
      <w:r w:rsidR="00953162">
        <w:rPr>
          <w:shd w:val="clear" w:color="auto" w:fill="FFFFFF"/>
          <w:lang w:val="en-US"/>
        </w:rPr>
        <w:t>with</w:t>
      </w:r>
      <w:r w:rsidRPr="0006309F">
        <w:rPr>
          <w:shd w:val="clear" w:color="auto" w:fill="FFFFFF"/>
          <w:lang w:val="en-US"/>
        </w:rPr>
        <w:t xml:space="preserve"> </w:t>
      </w:r>
      <w:r w:rsidR="006714EA" w:rsidRPr="00E75250">
        <w:rPr>
          <w:shd w:val="clear" w:color="auto" w:fill="FFFFFF"/>
          <w:lang w:val="en-US"/>
        </w:rPr>
        <w:t>June</w:t>
      </w:r>
      <w:r w:rsidR="004445F9" w:rsidRPr="00E75250">
        <w:rPr>
          <w:shd w:val="clear" w:color="auto" w:fill="FFFFFF"/>
          <w:lang w:val="en-US"/>
        </w:rPr>
        <w:t xml:space="preserve"> 201</w:t>
      </w:r>
      <w:r w:rsidRPr="00E75250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594DE2">
        <w:rPr>
          <w:shd w:val="clear" w:color="auto" w:fill="FFFFFF"/>
          <w:lang w:val="en-US"/>
        </w:rPr>
        <w:t xml:space="preserve">buildings </w:t>
      </w:r>
      <w:r w:rsidR="00F93261" w:rsidRPr="00E75250">
        <w:rPr>
          <w:shd w:val="clear" w:color="auto" w:fill="FFFFFF"/>
          <w:lang w:val="en-US"/>
        </w:rPr>
        <w:t>(by 4.</w:t>
      </w:r>
      <w:r w:rsidR="004C60A2" w:rsidRPr="00E75250">
        <w:rPr>
          <w:shd w:val="clear" w:color="auto" w:fill="FFFFFF"/>
          <w:lang w:val="en-US"/>
        </w:rPr>
        <w:t>4</w:t>
      </w:r>
      <w:r w:rsidR="00F93261" w:rsidRPr="00E75250">
        <w:rPr>
          <w:shd w:val="clear" w:color="auto" w:fill="FFFFFF"/>
          <w:lang w:val="en-US"/>
        </w:rPr>
        <w:t>%),</w:t>
      </w:r>
      <w:r w:rsidR="00F93261" w:rsidRPr="004C60A2">
        <w:rPr>
          <w:shd w:val="clear" w:color="auto" w:fill="FFFFFF"/>
          <w:lang w:val="en-US"/>
        </w:rPr>
        <w:t xml:space="preserve"> in civil</w:t>
      </w:r>
      <w:r w:rsidR="00F93261" w:rsidRPr="007D298F">
        <w:rPr>
          <w:shd w:val="clear" w:color="auto" w:fill="FFFFFF"/>
          <w:lang w:val="en-US"/>
        </w:rPr>
        <w:t xml:space="preserve"> engineering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E75250">
        <w:rPr>
          <w:shd w:val="clear" w:color="auto" w:fill="FFFFFF"/>
          <w:lang w:val="en-US"/>
        </w:rPr>
        <w:t>(by 3.</w:t>
      </w:r>
      <w:r w:rsidR="0006309F" w:rsidRPr="00E75250">
        <w:rPr>
          <w:shd w:val="clear" w:color="auto" w:fill="FFFFFF"/>
          <w:lang w:val="en-US"/>
        </w:rPr>
        <w:t>6</w:t>
      </w:r>
      <w:r w:rsidR="00F93261" w:rsidRPr="00E75250">
        <w:rPr>
          <w:shd w:val="clear" w:color="auto" w:fill="FFFFFF"/>
          <w:lang w:val="en-US"/>
        </w:rPr>
        <w:t>%)</w:t>
      </w:r>
      <w:r w:rsidR="00F93261" w:rsidRPr="00FA699B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specialised construction </w:t>
      </w:r>
      <w:r w:rsidR="00F93261" w:rsidRPr="00906160">
        <w:rPr>
          <w:shd w:val="clear" w:color="auto" w:fill="FFFFFF"/>
          <w:lang w:val="en-US"/>
        </w:rPr>
        <w:t xml:space="preserve">activities </w:t>
      </w:r>
      <w:r w:rsidR="00F93261" w:rsidRPr="00304674">
        <w:rPr>
          <w:shd w:val="clear" w:color="auto" w:fill="FFFFFF"/>
          <w:lang w:val="en-US"/>
        </w:rPr>
        <w:t>(by</w:t>
      </w:r>
      <w:r w:rsidR="008F7774" w:rsidRPr="00304674">
        <w:rPr>
          <w:shd w:val="clear" w:color="auto" w:fill="FFFFFF"/>
          <w:lang w:val="en-US"/>
        </w:rPr>
        <w:t> </w:t>
      </w:r>
      <w:r w:rsidR="004C1E6E" w:rsidRPr="00304674">
        <w:rPr>
          <w:shd w:val="clear" w:color="auto" w:fill="FFFFFF"/>
          <w:lang w:val="en-US"/>
        </w:rPr>
        <w:t>3</w:t>
      </w:r>
      <w:r w:rsidR="00F93261" w:rsidRPr="00304674">
        <w:rPr>
          <w:shd w:val="clear" w:color="auto" w:fill="FFFFFF"/>
          <w:lang w:val="en-US"/>
        </w:rPr>
        <w:t>.</w:t>
      </w:r>
      <w:r w:rsidR="00304674" w:rsidRPr="00304674">
        <w:rPr>
          <w:shd w:val="clear" w:color="auto" w:fill="FFFFFF"/>
          <w:lang w:val="en-US"/>
        </w:rPr>
        <w:t>0</w:t>
      </w:r>
      <w:r w:rsidR="00F93261" w:rsidRPr="00304674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5270A69E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 xml:space="preserve">Table 1. Price indices of construction and assembly  </w:t>
      </w:r>
      <w:r w:rsidR="005C0CF9" w:rsidRPr="00687CEC">
        <w:rPr>
          <w:b/>
          <w:shd w:val="clear" w:color="auto" w:fill="FFFFFF"/>
          <w:lang w:val="en-US"/>
        </w:rPr>
        <w:t>production  in</w:t>
      </w:r>
      <w:r w:rsidR="005E24D3" w:rsidRPr="00687CEC">
        <w:rPr>
          <w:b/>
          <w:shd w:val="clear" w:color="auto" w:fill="FFFFFF"/>
          <w:lang w:val="en-US"/>
        </w:rPr>
        <w:t xml:space="preserve"> </w:t>
      </w:r>
      <w:r w:rsidR="006714EA" w:rsidRPr="00687CEC">
        <w:rPr>
          <w:b/>
          <w:shd w:val="clear" w:color="auto" w:fill="FFFFFF"/>
          <w:lang w:val="en-US"/>
        </w:rPr>
        <w:t>June</w:t>
      </w:r>
      <w:r w:rsidR="005C0CF9" w:rsidRPr="00687CEC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46B4CA73" w:rsidR="00E17CC4" w:rsidRPr="00C3663A" w:rsidRDefault="00AB7A72" w:rsidP="00AB7A72">
            <w:pPr>
              <w:jc w:val="center"/>
              <w:rPr>
                <w:shd w:val="clear" w:color="auto" w:fill="FFFFFF"/>
              </w:rPr>
            </w:pPr>
            <w:r w:rsidRPr="00C3663A">
              <w:rPr>
                <w:color w:val="000000" w:themeColor="text1"/>
                <w:sz w:val="16"/>
                <w:szCs w:val="16"/>
              </w:rPr>
              <w:t>V</w:t>
            </w:r>
            <w:r w:rsidR="00E17CC4" w:rsidRPr="00C3663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147D4A" w:rsidRPr="00C3663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54D8E52A" w14:textId="5F68CB5D" w:rsidR="00E17CC4" w:rsidRPr="00C3663A" w:rsidRDefault="00B23BC1" w:rsidP="00B23BC1">
            <w:pPr>
              <w:jc w:val="center"/>
              <w:rPr>
                <w:shd w:val="clear" w:color="auto" w:fill="FFFFFF"/>
              </w:rPr>
            </w:pPr>
            <w:r w:rsidRPr="00C3663A">
              <w:rPr>
                <w:color w:val="000000" w:themeColor="text1"/>
                <w:sz w:val="16"/>
                <w:szCs w:val="16"/>
              </w:rPr>
              <w:t>V</w:t>
            </w:r>
            <w:r w:rsidR="006714EA" w:rsidRPr="00C3663A">
              <w:rPr>
                <w:color w:val="000000" w:themeColor="text1"/>
                <w:sz w:val="16"/>
                <w:szCs w:val="16"/>
              </w:rPr>
              <w:t>I</w:t>
            </w:r>
            <w:r w:rsidR="00E17CC4" w:rsidRPr="00C3663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DC1702" w:rsidRPr="00C3663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1FDC6E14" w14:textId="29C254F6" w:rsidR="00E17CC4" w:rsidRPr="00C3663A" w:rsidRDefault="00AB7A72" w:rsidP="00B23B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63A">
              <w:rPr>
                <w:color w:val="000000" w:themeColor="text1"/>
                <w:sz w:val="16"/>
                <w:szCs w:val="16"/>
              </w:rPr>
              <w:t>I-</w:t>
            </w:r>
            <w:r w:rsidR="00B23BC1" w:rsidRPr="00C3663A">
              <w:rPr>
                <w:color w:val="000000" w:themeColor="text1"/>
                <w:sz w:val="16"/>
                <w:szCs w:val="16"/>
              </w:rPr>
              <w:t>V</w:t>
            </w:r>
            <w:r w:rsidR="006714EA" w:rsidRPr="00C3663A">
              <w:rPr>
                <w:color w:val="000000" w:themeColor="text1"/>
                <w:sz w:val="16"/>
                <w:szCs w:val="16"/>
              </w:rPr>
              <w:t>I</w:t>
            </w:r>
            <w:r w:rsidR="00E17CC4" w:rsidRPr="00C3663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15DD2" w:rsidRPr="00C3663A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40A6F098" w:rsidR="00E17CC4" w:rsidRPr="00C3663A" w:rsidRDefault="00B23BC1" w:rsidP="006714EA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C3663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714EA" w:rsidRPr="00C3663A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615A4" w:rsidRPr="00C3663A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84773D" w:rsidRPr="00C3663A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C3663A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Pr="00C3663A" w:rsidRDefault="00E17CC4" w:rsidP="00CA7AC6">
            <w:pPr>
              <w:jc w:val="center"/>
              <w:rPr>
                <w:shd w:val="clear" w:color="auto" w:fill="FFFFFF"/>
              </w:rPr>
            </w:pPr>
            <w:r w:rsidRPr="00C3663A">
              <w:rPr>
                <w:color w:val="000000" w:themeColor="text1"/>
                <w:sz w:val="16"/>
                <w:szCs w:val="16"/>
              </w:rPr>
              <w:t>corresponding period  201</w:t>
            </w:r>
            <w:r w:rsidR="00DC1702" w:rsidRPr="00C3663A">
              <w:rPr>
                <w:color w:val="000000" w:themeColor="text1"/>
                <w:sz w:val="16"/>
                <w:szCs w:val="16"/>
              </w:rPr>
              <w:t>8</w:t>
            </w:r>
            <w:r w:rsidRPr="00C3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524E87F3" w:rsidR="00E17CC4" w:rsidRPr="00C3663A" w:rsidRDefault="00AB7A72" w:rsidP="00AB7A7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C3663A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615A4" w:rsidRPr="00C3663A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C3663A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C3663A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1F42397C" w:rsidR="00E17CC4" w:rsidRPr="00C3663A" w:rsidRDefault="00AB7A72" w:rsidP="00B23B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63A">
              <w:rPr>
                <w:color w:val="000000" w:themeColor="text1"/>
                <w:sz w:val="16"/>
                <w:szCs w:val="16"/>
              </w:rPr>
              <w:t>I-</w:t>
            </w:r>
            <w:r w:rsidR="00B23BC1" w:rsidRPr="00C3663A">
              <w:rPr>
                <w:color w:val="000000" w:themeColor="text1"/>
                <w:sz w:val="16"/>
                <w:szCs w:val="16"/>
              </w:rPr>
              <w:t>V</w:t>
            </w:r>
            <w:r w:rsidR="006714EA" w:rsidRPr="00C3663A">
              <w:rPr>
                <w:color w:val="000000" w:themeColor="text1"/>
                <w:sz w:val="16"/>
                <w:szCs w:val="16"/>
              </w:rPr>
              <w:t>I</w:t>
            </w:r>
            <w:r w:rsidR="00B15DD2" w:rsidRPr="00C3663A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B23BC1" w:rsidRPr="00C3663A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3663A" w14:paraId="0BC7C2BF" w14:textId="77777777" w:rsidTr="009816B2">
        <w:tc>
          <w:tcPr>
            <w:tcW w:w="2194" w:type="dxa"/>
          </w:tcPr>
          <w:p w14:paraId="17AD357E" w14:textId="343F19F2" w:rsidR="00C3663A" w:rsidRDefault="00C3663A" w:rsidP="00C3663A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5A01B5A9" w:rsidR="00C3663A" w:rsidRPr="00F14994" w:rsidRDefault="00C3663A" w:rsidP="008703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60A2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60A2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A178C8B" w14:textId="1EEA3F52" w:rsidR="00C3663A" w:rsidRPr="00F14994" w:rsidRDefault="00C3663A" w:rsidP="008703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452B2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452B2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47766F8" w14:textId="61DF2E96" w:rsidR="00C3663A" w:rsidRPr="00F14994" w:rsidRDefault="00C3663A" w:rsidP="008703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C4BC0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C4BC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3B613F4" w14:textId="27C5ABF4" w:rsidR="00C3663A" w:rsidRPr="00F14994" w:rsidRDefault="00C3663A" w:rsidP="008703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C4BC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C4BC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B286C02" w14:textId="0DE280A6" w:rsidR="00C3663A" w:rsidRPr="00F14994" w:rsidRDefault="00C3663A" w:rsidP="008703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244F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8703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244FD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8C43F93" w14:textId="28FCE838" w:rsidR="00C3663A" w:rsidRPr="00F14994" w:rsidRDefault="00C3663A" w:rsidP="008703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26AD9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26AD9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C3663A" w14:paraId="38906B55" w14:textId="77777777" w:rsidTr="009816B2">
        <w:tc>
          <w:tcPr>
            <w:tcW w:w="2194" w:type="dxa"/>
          </w:tcPr>
          <w:p w14:paraId="0986D2C9" w14:textId="73D339A5" w:rsidR="00C3663A" w:rsidRDefault="00C3663A" w:rsidP="00C3663A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>Construction of buildings</w:t>
            </w:r>
          </w:p>
        </w:tc>
        <w:tc>
          <w:tcPr>
            <w:tcW w:w="953" w:type="dxa"/>
            <w:vAlign w:val="center"/>
          </w:tcPr>
          <w:p w14:paraId="145121BE" w14:textId="16DC6A9F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2F3A3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7883CC2" w14:textId="2606E2B9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2F3A3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8FA3F0" w14:textId="0A3BF56D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190F046" w14:textId="5D3F3D0E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183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05E8F36" w14:textId="11C9DE4E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85288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8528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6A8E61B" w14:textId="37AB995E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68F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68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3663A" w14:paraId="20E5EC44" w14:textId="77777777" w:rsidTr="009816B2">
        <w:tc>
          <w:tcPr>
            <w:tcW w:w="2194" w:type="dxa"/>
          </w:tcPr>
          <w:p w14:paraId="17726756" w14:textId="09575BE4" w:rsidR="00C3663A" w:rsidRDefault="00C3663A" w:rsidP="00C3663A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0064ECBE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D0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D0D0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146755" w14:textId="78EE6100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6A38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A6A3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4CD2143" w14:textId="2C83866A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63C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F63C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C81EB12" w14:textId="3E967629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E25B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E25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F23E251" w14:textId="06826448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519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51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EADE98E" w14:textId="6CF13431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18F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18F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3663A" w:rsidRPr="000B506F" w14:paraId="30A5E500" w14:textId="77777777" w:rsidTr="009816B2">
        <w:tc>
          <w:tcPr>
            <w:tcW w:w="2194" w:type="dxa"/>
          </w:tcPr>
          <w:p w14:paraId="2FA5B3F6" w14:textId="776CF17F" w:rsidR="00C3663A" w:rsidRPr="00D97063" w:rsidRDefault="00C3663A" w:rsidP="00C3663A">
            <w:pPr>
              <w:rPr>
                <w:shd w:val="clear" w:color="auto" w:fill="FFFFFF"/>
              </w:rPr>
            </w:pPr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 construction activities</w:t>
            </w:r>
          </w:p>
        </w:tc>
        <w:tc>
          <w:tcPr>
            <w:tcW w:w="953" w:type="dxa"/>
            <w:vAlign w:val="center"/>
          </w:tcPr>
          <w:p w14:paraId="02F5B43F" w14:textId="5CF0DF02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06C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06C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7107A21" w14:textId="14464F35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D7EA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D7EA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E2A0208" w14:textId="4A2508F6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2563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2563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C9CC6AB" w14:textId="6593EB8B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582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6582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57E7F30" w14:textId="4139A900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773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773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0E23205" w14:textId="358E95FC" w:rsidR="00C3663A" w:rsidRPr="00F14994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532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0532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0BDB3D39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A55E347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54CF6A" w14:textId="41BCD442" w:rsidR="006F55B8" w:rsidRDefault="00CE1F47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anchorId="534E75BC" wp14:editId="01E1DC05">
            <wp:simplePos x="0" y="0"/>
            <wp:positionH relativeFrom="column">
              <wp:posOffset>-104775</wp:posOffset>
            </wp:positionH>
            <wp:positionV relativeFrom="paragraph">
              <wp:posOffset>396240</wp:posOffset>
            </wp:positionV>
            <wp:extent cx="5122545" cy="2452370"/>
            <wp:effectExtent l="0" t="0" r="1905" b="508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>
        <w:rPr>
          <w:b/>
          <w:spacing w:val="-2"/>
          <w:sz w:val="18"/>
          <w:lang w:val="en-US"/>
        </w:rPr>
        <w:t>Chart 1. P</w:t>
      </w:r>
      <w:r w:rsidR="006F55B8" w:rsidRPr="00372C76">
        <w:rPr>
          <w:b/>
          <w:spacing w:val="-2"/>
          <w:sz w:val="18"/>
          <w:lang w:val="en-US"/>
        </w:rPr>
        <w:t xml:space="preserve">rices </w:t>
      </w:r>
      <w:r w:rsidR="00FD0789">
        <w:rPr>
          <w:b/>
          <w:spacing w:val="-2"/>
          <w:sz w:val="18"/>
          <w:lang w:val="en-US"/>
        </w:rPr>
        <w:t xml:space="preserve">changes </w:t>
      </w:r>
      <w:r w:rsidR="006F55B8" w:rsidRPr="00372C76">
        <w:rPr>
          <w:b/>
          <w:spacing w:val="-2"/>
          <w:sz w:val="18"/>
          <w:lang w:val="en-US"/>
        </w:rPr>
        <w:t>of construction and assembly production</w:t>
      </w:r>
      <w:r w:rsidR="00152DEB">
        <w:rPr>
          <w:b/>
          <w:spacing w:val="-2"/>
          <w:sz w:val="18"/>
          <w:lang w:val="en-US"/>
        </w:rPr>
        <w:t xml:space="preserve"> in  2017-2019</w:t>
      </w:r>
      <w:r w:rsidR="00FD0789">
        <w:rPr>
          <w:b/>
          <w:spacing w:val="-2"/>
          <w:sz w:val="18"/>
          <w:lang w:val="en-US"/>
        </w:rPr>
        <w:t xml:space="preserve"> </w:t>
      </w:r>
      <w:r w:rsidR="006F55B8" w:rsidRPr="00372C76">
        <w:rPr>
          <w:b/>
          <w:spacing w:val="-2"/>
          <w:sz w:val="18"/>
          <w:lang w:val="en-US"/>
        </w:rPr>
        <w:t>in</w:t>
      </w:r>
      <w:r w:rsidR="00476766">
        <w:rPr>
          <w:b/>
          <w:spacing w:val="-2"/>
          <w:sz w:val="18"/>
          <w:lang w:val="en-US"/>
        </w:rPr>
        <w:t xml:space="preserve"> </w:t>
      </w:r>
      <w:r w:rsidR="00FD0789">
        <w:rPr>
          <w:b/>
          <w:spacing w:val="-2"/>
          <w:sz w:val="18"/>
          <w:lang w:val="en-US"/>
        </w:rPr>
        <w:t>relation to the previous period</w:t>
      </w:r>
    </w:p>
    <w:p w14:paraId="3A313BF6" w14:textId="66DA4B8A" w:rsidR="00CE1F47" w:rsidRDefault="00CE1F47" w:rsidP="006F55B8">
      <w:pPr>
        <w:rPr>
          <w:b/>
          <w:spacing w:val="-2"/>
          <w:sz w:val="18"/>
          <w:lang w:val="en-US"/>
        </w:rPr>
      </w:pPr>
    </w:p>
    <w:p w14:paraId="20AA8746" w14:textId="31F113BB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1776BDAC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5D2126BA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56250971" w:rsidR="0018032D" w:rsidRDefault="0018032D" w:rsidP="006F55B8">
      <w:pPr>
        <w:rPr>
          <w:b/>
          <w:spacing w:val="-2"/>
          <w:sz w:val="18"/>
          <w:lang w:val="en-US"/>
        </w:rPr>
      </w:pPr>
    </w:p>
    <w:p w14:paraId="2DF278FD" w14:textId="18FAD37F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040F62AD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798196A7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7380C78B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production</w:t>
      </w:r>
      <w:r w:rsidR="00FA47CA">
        <w:rPr>
          <w:lang w:val="en-US"/>
        </w:rPr>
        <w:t xml:space="preserve"> in 2017-2019</w:t>
      </w:r>
      <w:r w:rsidR="00FD0789">
        <w:rPr>
          <w:lang w:val="en-US"/>
        </w:rPr>
        <w:t xml:space="preserve"> in relation </w:t>
      </w:r>
      <w:r w:rsidR="006F55B8" w:rsidRPr="003D1300">
        <w:rPr>
          <w:lang w:val="en-US"/>
        </w:rPr>
        <w:t xml:space="preserve"> </w:t>
      </w:r>
    </w:p>
    <w:p w14:paraId="562B7FB8" w14:textId="2E741C67" w:rsidR="006F55B8" w:rsidRDefault="00452E19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7219F3EA" wp14:editId="23032C05">
            <wp:simplePos x="0" y="0"/>
            <wp:positionH relativeFrom="column">
              <wp:posOffset>-104775</wp:posOffset>
            </wp:positionH>
            <wp:positionV relativeFrom="paragraph">
              <wp:posOffset>234315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>to the same period of the previous year</w:t>
      </w:r>
    </w:p>
    <w:p w14:paraId="1D41A98A" w14:textId="41B81A6E" w:rsidR="00452E19" w:rsidRDefault="00452E19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876AF00" w14:textId="789099B8" w:rsidR="002C362F" w:rsidRDefault="002C362F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23C3B96" w14:textId="33A55D67" w:rsidR="0060768D" w:rsidRDefault="0060768D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34EE9DB" w14:textId="707334FA" w:rsidR="0083355E" w:rsidRDefault="0083355E" w:rsidP="0083355E">
      <w:pPr>
        <w:pStyle w:val="tytuwykresu"/>
        <w:rPr>
          <w:bCs/>
          <w:shd w:val="clear" w:color="auto" w:fill="FFFFFF"/>
          <w:lang w:val="en-US"/>
        </w:rPr>
      </w:pPr>
    </w:p>
    <w:p w14:paraId="568B4C3A" w14:textId="6BAC47D0" w:rsidR="003C4469" w:rsidRPr="009E356D" w:rsidRDefault="003C4469" w:rsidP="0083355E">
      <w:pPr>
        <w:pStyle w:val="tytuwykresu"/>
        <w:rPr>
          <w:bCs/>
          <w:shd w:val="clear" w:color="auto" w:fill="FFFFFF"/>
          <w:lang w:val="en-US"/>
        </w:rPr>
      </w:pPr>
    </w:p>
    <w:p w14:paraId="6470863A" w14:textId="2710D51E" w:rsidR="00694AF0" w:rsidRPr="009E356D" w:rsidRDefault="00694AF0" w:rsidP="00E76D26">
      <w:pPr>
        <w:rPr>
          <w:sz w:val="18"/>
          <w:lang w:val="en-US"/>
        </w:rPr>
      </w:pPr>
    </w:p>
    <w:p w14:paraId="202748B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1E1DCD42" w14:textId="1EF9FA4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E5D8426" w14:textId="6303229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4AF5165" w14:textId="503B53AC" w:rsidR="000805F6" w:rsidRDefault="006F55B8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lang w:val="en-US"/>
        </w:rPr>
        <w:t>C</w:t>
      </w:r>
      <w:r w:rsidRPr="00531555">
        <w:rPr>
          <w:lang w:val="en-US"/>
        </w:rPr>
        <w:t xml:space="preserve">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>
        <w:rPr>
          <w:bCs/>
          <w:shd w:val="clear" w:color="auto" w:fill="FFFFFF"/>
          <w:lang w:val="en-US"/>
        </w:rPr>
        <w:t xml:space="preserve">  of production and assembly construction in 201</w:t>
      </w:r>
      <w:r w:rsidR="006324F0">
        <w:rPr>
          <w:bCs/>
          <w:shd w:val="clear" w:color="auto" w:fill="FFFFFF"/>
          <w:lang w:val="en-US"/>
        </w:rPr>
        <w:t>7</w:t>
      </w:r>
      <w:r w:rsidRPr="0083355E">
        <w:rPr>
          <w:bCs/>
          <w:shd w:val="clear" w:color="auto" w:fill="FFFFFF"/>
          <w:lang w:val="en-US"/>
        </w:rPr>
        <w:t>-201</w:t>
      </w:r>
      <w:r>
        <w:rPr>
          <w:bCs/>
          <w:shd w:val="clear" w:color="auto" w:fill="FFFFFF"/>
          <w:lang w:val="en-US"/>
        </w:rPr>
        <w:t>9</w:t>
      </w:r>
      <w:r w:rsidR="006324F0">
        <w:rPr>
          <w:bCs/>
          <w:shd w:val="clear" w:color="auto" w:fill="FFFFFF"/>
          <w:lang w:val="en-US"/>
        </w:rPr>
        <w:t xml:space="preserve"> in </w:t>
      </w:r>
      <w:r w:rsidR="001D74E5">
        <w:rPr>
          <w:bCs/>
          <w:shd w:val="clear" w:color="auto" w:fill="FFFFFF"/>
          <w:lang w:val="en-US"/>
        </w:rPr>
        <w:t>relation</w:t>
      </w:r>
      <w:r w:rsidR="006324F0">
        <w:rPr>
          <w:bCs/>
          <w:shd w:val="clear" w:color="auto" w:fill="FFFFFF"/>
          <w:lang w:val="en-US"/>
        </w:rPr>
        <w:t xml:space="preserve"> to XII 2017</w:t>
      </w:r>
    </w:p>
    <w:p w14:paraId="5EC92BC7" w14:textId="30C07F79" w:rsidR="002A1382" w:rsidRDefault="002A1382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0C84BD6B" wp14:editId="30177D83">
            <wp:simplePos x="0" y="0"/>
            <wp:positionH relativeFrom="column">
              <wp:posOffset>-95250</wp:posOffset>
            </wp:positionH>
            <wp:positionV relativeFrom="paragraph">
              <wp:posOffset>142875</wp:posOffset>
            </wp:positionV>
            <wp:extent cx="5122545" cy="268859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2C99CDF6" w14:textId="2204D32A" w:rsidR="002D7386" w:rsidRDefault="002D7386" w:rsidP="006F55B8">
      <w:pPr>
        <w:pStyle w:val="tytuwykresu"/>
        <w:rPr>
          <w:bCs/>
          <w:shd w:val="clear" w:color="auto" w:fill="FFFFFF"/>
          <w:lang w:val="en-US"/>
        </w:rPr>
      </w:pPr>
    </w:p>
    <w:p w14:paraId="22A90DF1" w14:textId="2D846D7E" w:rsidR="003C4469" w:rsidRPr="005D70AA" w:rsidRDefault="003C4469" w:rsidP="006F55B8">
      <w:pPr>
        <w:pStyle w:val="tytuwykresu"/>
        <w:rPr>
          <w:noProof/>
          <w:lang w:val="en-US" w:eastAsia="pl-PL"/>
        </w:rPr>
      </w:pPr>
    </w:p>
    <w:p w14:paraId="22BB3A0D" w14:textId="3D975179" w:rsidR="00186606" w:rsidRPr="005D70AA" w:rsidRDefault="00186606" w:rsidP="006F55B8">
      <w:pPr>
        <w:pStyle w:val="tytuwykresu"/>
        <w:rPr>
          <w:noProof/>
          <w:lang w:val="en-US" w:eastAsia="pl-PL"/>
        </w:rPr>
      </w:pPr>
    </w:p>
    <w:p w14:paraId="31861D3E" w14:textId="62221E72" w:rsidR="00186606" w:rsidRDefault="00186606" w:rsidP="006F55B8">
      <w:pPr>
        <w:pStyle w:val="tytuwykresu"/>
        <w:rPr>
          <w:bCs/>
          <w:shd w:val="clear" w:color="auto" w:fill="FFFFFF"/>
          <w:lang w:val="en-US"/>
        </w:rPr>
      </w:pPr>
    </w:p>
    <w:p w14:paraId="3A1402D3" w14:textId="1A38ADEE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2CBD2681" w14:textId="65B135B1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25AE53A3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5D8AA04D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149F30D0" w14:textId="2A347FB1" w:rsidR="00724572" w:rsidRDefault="005447A3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6BC7A16D" wp14:editId="7979F188">
            <wp:simplePos x="0" y="0"/>
            <wp:positionH relativeFrom="column">
              <wp:posOffset>-95250</wp:posOffset>
            </wp:positionH>
            <wp:positionV relativeFrom="paragraph">
              <wp:posOffset>499110</wp:posOffset>
            </wp:positionV>
            <wp:extent cx="5122545" cy="291465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D96F6E" w:rsidRPr="00531555">
        <w:rPr>
          <w:lang w:val="en-US"/>
        </w:rPr>
        <w:t xml:space="preserve">Chart </w:t>
      </w:r>
      <w:r w:rsidR="00D96F6E">
        <w:rPr>
          <w:lang w:val="en-US"/>
        </w:rPr>
        <w:t>4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in 201</w:t>
      </w:r>
      <w:r w:rsidR="006E7093">
        <w:rPr>
          <w:bCs/>
          <w:shd w:val="clear" w:color="auto" w:fill="FFFFFF"/>
          <w:lang w:val="en-US"/>
        </w:rPr>
        <w:t>7</w:t>
      </w:r>
      <w:r w:rsidR="00D96F6E">
        <w:rPr>
          <w:bCs/>
          <w:shd w:val="clear" w:color="auto" w:fill="FFFFFF"/>
          <w:lang w:val="en-US"/>
        </w:rPr>
        <w:t xml:space="preserve">-2019 </w:t>
      </w:r>
      <w:r w:rsidR="006E7093">
        <w:rPr>
          <w:bCs/>
          <w:shd w:val="clear" w:color="auto" w:fill="FFFFFF"/>
          <w:lang w:val="en-US"/>
        </w:rPr>
        <w:t xml:space="preserve">        in </w:t>
      </w:r>
      <w:r w:rsidR="00F94D3C">
        <w:rPr>
          <w:bCs/>
          <w:shd w:val="clear" w:color="auto" w:fill="FFFFFF"/>
          <w:lang w:val="en-US"/>
        </w:rPr>
        <w:t>relation</w:t>
      </w:r>
      <w:r w:rsidR="006E7093">
        <w:rPr>
          <w:bCs/>
          <w:shd w:val="clear" w:color="auto" w:fill="FFFFFF"/>
          <w:lang w:val="en-US"/>
        </w:rPr>
        <w:t xml:space="preserve"> to </w:t>
      </w:r>
      <w:r w:rsidR="00D96F6E">
        <w:rPr>
          <w:bCs/>
          <w:shd w:val="clear" w:color="auto" w:fill="FFFFFF"/>
          <w:lang w:val="en-US"/>
        </w:rPr>
        <w:t>XII 2017</w:t>
      </w:r>
    </w:p>
    <w:p w14:paraId="6B690635" w14:textId="4BC0843F" w:rsidR="0041767A" w:rsidRDefault="0041767A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5E59E25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B56B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072D5AE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7A260D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23B58EA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B56B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4D12B48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D15082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D15082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D70AA" w:rsidRDefault="00C8227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D70AA" w:rsidRDefault="00C8227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C8227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C8227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C8227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C8227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bookmarkStart w:id="1" w:name="_GoBack"/>
                    <w:p w14:paraId="6470868B" w14:textId="0C8C3A36" w:rsidR="00AB6D25" w:rsidRPr="004A0097" w:rsidRDefault="0018575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"http://stat.gov.pl/en/topics/other-studies/informations-on-socio-economic-situation/statistical-bulletin-no-122017,4,83.html" </w:instrTex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12574"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Statistical Bulletin</w: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bookmarkEnd w:id="1"/>
                    <w:p w14:paraId="6470868C" w14:textId="01E45727" w:rsidR="00673C26" w:rsidRPr="004A0097" w:rsidRDefault="0018575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"http://stat.gov.pl/en/latest-statistical-news/news-releases/" </w:instrTex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12574"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News Releases</w: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963DD" w14:textId="77777777" w:rsidR="00C82276" w:rsidRDefault="00C82276" w:rsidP="000662E2">
      <w:pPr>
        <w:spacing w:after="0" w:line="240" w:lineRule="auto"/>
      </w:pPr>
      <w:r>
        <w:separator/>
      </w:r>
    </w:p>
  </w:endnote>
  <w:endnote w:type="continuationSeparator" w:id="0">
    <w:p w14:paraId="500025A3" w14:textId="77777777" w:rsidR="00C82276" w:rsidRDefault="00C8227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5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27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5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5753" w14:textId="77777777" w:rsidR="00C82276" w:rsidRDefault="00C82276" w:rsidP="000662E2">
      <w:pPr>
        <w:spacing w:after="0" w:line="240" w:lineRule="auto"/>
      </w:pPr>
      <w:r>
        <w:separator/>
      </w:r>
    </w:p>
  </w:footnote>
  <w:footnote w:type="continuationSeparator" w:id="0">
    <w:p w14:paraId="6B9F6207" w14:textId="77777777" w:rsidR="00C82276" w:rsidRDefault="00C8227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21EA3AD" w:rsidR="00F37172" w:rsidRPr="00C97596" w:rsidRDefault="006714E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21EA3AD" w:rsidR="00F37172" w:rsidRPr="00C97596" w:rsidRDefault="006714E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5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52F5"/>
    <w:rsid w:val="0004582E"/>
    <w:rsid w:val="000470AA"/>
    <w:rsid w:val="00057CA1"/>
    <w:rsid w:val="00060319"/>
    <w:rsid w:val="0006309F"/>
    <w:rsid w:val="000662E2"/>
    <w:rsid w:val="00066883"/>
    <w:rsid w:val="00074DD8"/>
    <w:rsid w:val="00074E88"/>
    <w:rsid w:val="000805F6"/>
    <w:rsid w:val="000806F7"/>
    <w:rsid w:val="00080B22"/>
    <w:rsid w:val="00082F1E"/>
    <w:rsid w:val="00097C14"/>
    <w:rsid w:val="000A1421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E0918"/>
    <w:rsid w:val="000E3D10"/>
    <w:rsid w:val="001011C3"/>
    <w:rsid w:val="00104468"/>
    <w:rsid w:val="00110D87"/>
    <w:rsid w:val="00114DB9"/>
    <w:rsid w:val="00116087"/>
    <w:rsid w:val="00125748"/>
    <w:rsid w:val="00130296"/>
    <w:rsid w:val="00136E04"/>
    <w:rsid w:val="001423B6"/>
    <w:rsid w:val="001448A7"/>
    <w:rsid w:val="00146621"/>
    <w:rsid w:val="00147D4A"/>
    <w:rsid w:val="00152DEB"/>
    <w:rsid w:val="00162325"/>
    <w:rsid w:val="00162479"/>
    <w:rsid w:val="00167C74"/>
    <w:rsid w:val="00167D4F"/>
    <w:rsid w:val="00171567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3269"/>
    <w:rsid w:val="001C3CE7"/>
    <w:rsid w:val="001D1DB4"/>
    <w:rsid w:val="001D2736"/>
    <w:rsid w:val="001D74E5"/>
    <w:rsid w:val="001E4B0C"/>
    <w:rsid w:val="001F3E98"/>
    <w:rsid w:val="00202FA0"/>
    <w:rsid w:val="002047B1"/>
    <w:rsid w:val="00205287"/>
    <w:rsid w:val="00223CE0"/>
    <w:rsid w:val="00230F07"/>
    <w:rsid w:val="002425B8"/>
    <w:rsid w:val="002574F9"/>
    <w:rsid w:val="00262B61"/>
    <w:rsid w:val="00276811"/>
    <w:rsid w:val="00282699"/>
    <w:rsid w:val="002926DF"/>
    <w:rsid w:val="00296697"/>
    <w:rsid w:val="002A1382"/>
    <w:rsid w:val="002A2462"/>
    <w:rsid w:val="002B0472"/>
    <w:rsid w:val="002B2085"/>
    <w:rsid w:val="002B6B12"/>
    <w:rsid w:val="002C362F"/>
    <w:rsid w:val="002C53D6"/>
    <w:rsid w:val="002D3B6F"/>
    <w:rsid w:val="002D7386"/>
    <w:rsid w:val="002E6140"/>
    <w:rsid w:val="002E6985"/>
    <w:rsid w:val="002E71B6"/>
    <w:rsid w:val="002F3A3F"/>
    <w:rsid w:val="002F77C8"/>
    <w:rsid w:val="00300522"/>
    <w:rsid w:val="00304674"/>
    <w:rsid w:val="00304F22"/>
    <w:rsid w:val="00306C7C"/>
    <w:rsid w:val="00307D67"/>
    <w:rsid w:val="003226E5"/>
    <w:rsid w:val="00322EDD"/>
    <w:rsid w:val="00332320"/>
    <w:rsid w:val="00333B3F"/>
    <w:rsid w:val="00347D72"/>
    <w:rsid w:val="00357611"/>
    <w:rsid w:val="00367237"/>
    <w:rsid w:val="0037077F"/>
    <w:rsid w:val="00372411"/>
    <w:rsid w:val="00373882"/>
    <w:rsid w:val="0037544A"/>
    <w:rsid w:val="003818FF"/>
    <w:rsid w:val="003843DB"/>
    <w:rsid w:val="00393761"/>
    <w:rsid w:val="00397D18"/>
    <w:rsid w:val="003A1B26"/>
    <w:rsid w:val="003A1B36"/>
    <w:rsid w:val="003B0074"/>
    <w:rsid w:val="003B1454"/>
    <w:rsid w:val="003B18B6"/>
    <w:rsid w:val="003B1E60"/>
    <w:rsid w:val="003B4F3E"/>
    <w:rsid w:val="003C1188"/>
    <w:rsid w:val="003C4469"/>
    <w:rsid w:val="003C59E0"/>
    <w:rsid w:val="003C6C8D"/>
    <w:rsid w:val="003D0E8F"/>
    <w:rsid w:val="003D4F95"/>
    <w:rsid w:val="003D5F42"/>
    <w:rsid w:val="003D60A9"/>
    <w:rsid w:val="003E3AB7"/>
    <w:rsid w:val="003F1328"/>
    <w:rsid w:val="003F2BCB"/>
    <w:rsid w:val="003F4C97"/>
    <w:rsid w:val="003F7852"/>
    <w:rsid w:val="003F7FE6"/>
    <w:rsid w:val="00400193"/>
    <w:rsid w:val="004018BB"/>
    <w:rsid w:val="004115DE"/>
    <w:rsid w:val="0041767A"/>
    <w:rsid w:val="004212E7"/>
    <w:rsid w:val="0042446D"/>
    <w:rsid w:val="00427BF8"/>
    <w:rsid w:val="00431C02"/>
    <w:rsid w:val="00435998"/>
    <w:rsid w:val="00437395"/>
    <w:rsid w:val="00442A25"/>
    <w:rsid w:val="00443A79"/>
    <w:rsid w:val="004445F9"/>
    <w:rsid w:val="00445047"/>
    <w:rsid w:val="00452E19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766"/>
    <w:rsid w:val="00484DC2"/>
    <w:rsid w:val="00493FB8"/>
    <w:rsid w:val="0049621B"/>
    <w:rsid w:val="004A0097"/>
    <w:rsid w:val="004A480E"/>
    <w:rsid w:val="004C1895"/>
    <w:rsid w:val="004C1E6E"/>
    <w:rsid w:val="004C60A2"/>
    <w:rsid w:val="004C6D40"/>
    <w:rsid w:val="004C7F1E"/>
    <w:rsid w:val="004E290B"/>
    <w:rsid w:val="004F0C3C"/>
    <w:rsid w:val="004F63FC"/>
    <w:rsid w:val="004F6D24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430E6"/>
    <w:rsid w:val="0054451B"/>
    <w:rsid w:val="005447A3"/>
    <w:rsid w:val="005520D8"/>
    <w:rsid w:val="00552169"/>
    <w:rsid w:val="00554678"/>
    <w:rsid w:val="005558BF"/>
    <w:rsid w:val="00556CF1"/>
    <w:rsid w:val="0056071F"/>
    <w:rsid w:val="00567CD6"/>
    <w:rsid w:val="005762A7"/>
    <w:rsid w:val="00584E2A"/>
    <w:rsid w:val="005916D7"/>
    <w:rsid w:val="00594DE2"/>
    <w:rsid w:val="00594EFC"/>
    <w:rsid w:val="005A0380"/>
    <w:rsid w:val="005A698C"/>
    <w:rsid w:val="005C0CF9"/>
    <w:rsid w:val="005C7D9F"/>
    <w:rsid w:val="005D70AA"/>
    <w:rsid w:val="005E0799"/>
    <w:rsid w:val="005E24D3"/>
    <w:rsid w:val="005F39E1"/>
    <w:rsid w:val="005F5A80"/>
    <w:rsid w:val="00603974"/>
    <w:rsid w:val="00603AB4"/>
    <w:rsid w:val="006044FF"/>
    <w:rsid w:val="0060659E"/>
    <w:rsid w:val="0060693B"/>
    <w:rsid w:val="0060768D"/>
    <w:rsid w:val="00607CC5"/>
    <w:rsid w:val="0061119E"/>
    <w:rsid w:val="00624EC2"/>
    <w:rsid w:val="006324F0"/>
    <w:rsid w:val="00633014"/>
    <w:rsid w:val="0063437B"/>
    <w:rsid w:val="00647C56"/>
    <w:rsid w:val="006556AD"/>
    <w:rsid w:val="006673CA"/>
    <w:rsid w:val="006714EA"/>
    <w:rsid w:val="00672F07"/>
    <w:rsid w:val="00673C26"/>
    <w:rsid w:val="006812AF"/>
    <w:rsid w:val="006819E7"/>
    <w:rsid w:val="0068327D"/>
    <w:rsid w:val="00687A52"/>
    <w:rsid w:val="00687CEC"/>
    <w:rsid w:val="00694AF0"/>
    <w:rsid w:val="006A4686"/>
    <w:rsid w:val="006B0E9E"/>
    <w:rsid w:val="006B5AE4"/>
    <w:rsid w:val="006B73D3"/>
    <w:rsid w:val="006D1507"/>
    <w:rsid w:val="006D4054"/>
    <w:rsid w:val="006E02EC"/>
    <w:rsid w:val="006E7093"/>
    <w:rsid w:val="006F55B8"/>
    <w:rsid w:val="006F5ACF"/>
    <w:rsid w:val="00706627"/>
    <w:rsid w:val="00706AB6"/>
    <w:rsid w:val="007077A2"/>
    <w:rsid w:val="00712574"/>
    <w:rsid w:val="007211B1"/>
    <w:rsid w:val="00724080"/>
    <w:rsid w:val="00724572"/>
    <w:rsid w:val="0073223E"/>
    <w:rsid w:val="00732B91"/>
    <w:rsid w:val="00746187"/>
    <w:rsid w:val="00751774"/>
    <w:rsid w:val="0076254F"/>
    <w:rsid w:val="00763CE1"/>
    <w:rsid w:val="00777FFB"/>
    <w:rsid w:val="007801F5"/>
    <w:rsid w:val="00783CA4"/>
    <w:rsid w:val="007842FB"/>
    <w:rsid w:val="00785CAE"/>
    <w:rsid w:val="007860BC"/>
    <w:rsid w:val="00786124"/>
    <w:rsid w:val="0078760F"/>
    <w:rsid w:val="00787D07"/>
    <w:rsid w:val="00793327"/>
    <w:rsid w:val="0079514B"/>
    <w:rsid w:val="007A260D"/>
    <w:rsid w:val="007A2DC1"/>
    <w:rsid w:val="007B1FBF"/>
    <w:rsid w:val="007B47EA"/>
    <w:rsid w:val="007D298F"/>
    <w:rsid w:val="007D3319"/>
    <w:rsid w:val="007D335D"/>
    <w:rsid w:val="007E3314"/>
    <w:rsid w:val="007E4B03"/>
    <w:rsid w:val="007F324B"/>
    <w:rsid w:val="0080553C"/>
    <w:rsid w:val="008059FB"/>
    <w:rsid w:val="00805B46"/>
    <w:rsid w:val="00813037"/>
    <w:rsid w:val="00825064"/>
    <w:rsid w:val="00825DC2"/>
    <w:rsid w:val="0083355E"/>
    <w:rsid w:val="00834AD3"/>
    <w:rsid w:val="00835F8C"/>
    <w:rsid w:val="00843795"/>
    <w:rsid w:val="0084773D"/>
    <w:rsid w:val="00847F0F"/>
    <w:rsid w:val="00850905"/>
    <w:rsid w:val="00852448"/>
    <w:rsid w:val="008615A4"/>
    <w:rsid w:val="0086541C"/>
    <w:rsid w:val="00870399"/>
    <w:rsid w:val="0088258A"/>
    <w:rsid w:val="00886332"/>
    <w:rsid w:val="00886BE8"/>
    <w:rsid w:val="008A0F7D"/>
    <w:rsid w:val="008A26D9"/>
    <w:rsid w:val="008B385C"/>
    <w:rsid w:val="008C0C29"/>
    <w:rsid w:val="008C2E19"/>
    <w:rsid w:val="008C3579"/>
    <w:rsid w:val="008D0448"/>
    <w:rsid w:val="008D0864"/>
    <w:rsid w:val="008D6C4E"/>
    <w:rsid w:val="008E6E2E"/>
    <w:rsid w:val="008F2B24"/>
    <w:rsid w:val="008F3638"/>
    <w:rsid w:val="008F4441"/>
    <w:rsid w:val="008F6F31"/>
    <w:rsid w:val="008F74DF"/>
    <w:rsid w:val="008F7774"/>
    <w:rsid w:val="0090601B"/>
    <w:rsid w:val="00906E46"/>
    <w:rsid w:val="009127BA"/>
    <w:rsid w:val="00915AA6"/>
    <w:rsid w:val="00920A18"/>
    <w:rsid w:val="009227A6"/>
    <w:rsid w:val="00933EC1"/>
    <w:rsid w:val="0094413F"/>
    <w:rsid w:val="009525E4"/>
    <w:rsid w:val="009530DB"/>
    <w:rsid w:val="00953162"/>
    <w:rsid w:val="00953676"/>
    <w:rsid w:val="0095512A"/>
    <w:rsid w:val="00961CBD"/>
    <w:rsid w:val="00963DE5"/>
    <w:rsid w:val="009705EE"/>
    <w:rsid w:val="00972360"/>
    <w:rsid w:val="00977927"/>
    <w:rsid w:val="0098135C"/>
    <w:rsid w:val="0098156A"/>
    <w:rsid w:val="00982727"/>
    <w:rsid w:val="00983F14"/>
    <w:rsid w:val="00984043"/>
    <w:rsid w:val="00991BAC"/>
    <w:rsid w:val="0099400C"/>
    <w:rsid w:val="009A4164"/>
    <w:rsid w:val="009A6EA0"/>
    <w:rsid w:val="009A72C1"/>
    <w:rsid w:val="009B39A7"/>
    <w:rsid w:val="009C1335"/>
    <w:rsid w:val="009C1AB2"/>
    <w:rsid w:val="009C43F9"/>
    <w:rsid w:val="009C7251"/>
    <w:rsid w:val="009D44AC"/>
    <w:rsid w:val="009D64FA"/>
    <w:rsid w:val="009E2E91"/>
    <w:rsid w:val="009E356D"/>
    <w:rsid w:val="009F5750"/>
    <w:rsid w:val="00A00F56"/>
    <w:rsid w:val="00A0276C"/>
    <w:rsid w:val="00A07544"/>
    <w:rsid w:val="00A076B9"/>
    <w:rsid w:val="00A13733"/>
    <w:rsid w:val="00A139F5"/>
    <w:rsid w:val="00A3283E"/>
    <w:rsid w:val="00A365F4"/>
    <w:rsid w:val="00A37DA6"/>
    <w:rsid w:val="00A430F9"/>
    <w:rsid w:val="00A47D80"/>
    <w:rsid w:val="00A53132"/>
    <w:rsid w:val="00A54904"/>
    <w:rsid w:val="00A563F2"/>
    <w:rsid w:val="00A566E8"/>
    <w:rsid w:val="00A612C6"/>
    <w:rsid w:val="00A72C79"/>
    <w:rsid w:val="00A810F9"/>
    <w:rsid w:val="00A83EA9"/>
    <w:rsid w:val="00A86ECC"/>
    <w:rsid w:val="00A86FCC"/>
    <w:rsid w:val="00AA38E0"/>
    <w:rsid w:val="00AA3C64"/>
    <w:rsid w:val="00AA710D"/>
    <w:rsid w:val="00AA7E3B"/>
    <w:rsid w:val="00AB07ED"/>
    <w:rsid w:val="00AB5DFF"/>
    <w:rsid w:val="00AB6D25"/>
    <w:rsid w:val="00AB7A72"/>
    <w:rsid w:val="00AC133B"/>
    <w:rsid w:val="00AC3FCE"/>
    <w:rsid w:val="00AD042D"/>
    <w:rsid w:val="00AE2D4B"/>
    <w:rsid w:val="00AE4F99"/>
    <w:rsid w:val="00B02C3C"/>
    <w:rsid w:val="00B06899"/>
    <w:rsid w:val="00B073E7"/>
    <w:rsid w:val="00B1321E"/>
    <w:rsid w:val="00B14952"/>
    <w:rsid w:val="00B15DD2"/>
    <w:rsid w:val="00B23BC1"/>
    <w:rsid w:val="00B31BD3"/>
    <w:rsid w:val="00B31E5A"/>
    <w:rsid w:val="00B33A97"/>
    <w:rsid w:val="00B364D1"/>
    <w:rsid w:val="00B41FEB"/>
    <w:rsid w:val="00B5343D"/>
    <w:rsid w:val="00B575F3"/>
    <w:rsid w:val="00B61CD9"/>
    <w:rsid w:val="00B653AB"/>
    <w:rsid w:val="00B65F9E"/>
    <w:rsid w:val="00B66B19"/>
    <w:rsid w:val="00B73953"/>
    <w:rsid w:val="00B753D0"/>
    <w:rsid w:val="00B76107"/>
    <w:rsid w:val="00B86B1F"/>
    <w:rsid w:val="00B914E9"/>
    <w:rsid w:val="00B956EE"/>
    <w:rsid w:val="00BA2BA1"/>
    <w:rsid w:val="00BA7F82"/>
    <w:rsid w:val="00BB4F09"/>
    <w:rsid w:val="00BB6B23"/>
    <w:rsid w:val="00BC6B8B"/>
    <w:rsid w:val="00BD4E33"/>
    <w:rsid w:val="00C030DE"/>
    <w:rsid w:val="00C05056"/>
    <w:rsid w:val="00C15197"/>
    <w:rsid w:val="00C16355"/>
    <w:rsid w:val="00C16D1B"/>
    <w:rsid w:val="00C22105"/>
    <w:rsid w:val="00C244B6"/>
    <w:rsid w:val="00C346CB"/>
    <w:rsid w:val="00C3663A"/>
    <w:rsid w:val="00C3702F"/>
    <w:rsid w:val="00C408E4"/>
    <w:rsid w:val="00C64A37"/>
    <w:rsid w:val="00C7158E"/>
    <w:rsid w:val="00C7250B"/>
    <w:rsid w:val="00C7346B"/>
    <w:rsid w:val="00C77C0E"/>
    <w:rsid w:val="00C82276"/>
    <w:rsid w:val="00C8780D"/>
    <w:rsid w:val="00C87CEA"/>
    <w:rsid w:val="00C91687"/>
    <w:rsid w:val="00C924A8"/>
    <w:rsid w:val="00C945FE"/>
    <w:rsid w:val="00C96FAA"/>
    <w:rsid w:val="00C97A04"/>
    <w:rsid w:val="00CA09D7"/>
    <w:rsid w:val="00CA107B"/>
    <w:rsid w:val="00CA484D"/>
    <w:rsid w:val="00CA4FB6"/>
    <w:rsid w:val="00CA5963"/>
    <w:rsid w:val="00CA7AC6"/>
    <w:rsid w:val="00CB41A7"/>
    <w:rsid w:val="00CC739E"/>
    <w:rsid w:val="00CD0972"/>
    <w:rsid w:val="00CD58B7"/>
    <w:rsid w:val="00CE1F47"/>
    <w:rsid w:val="00CE5148"/>
    <w:rsid w:val="00CF4099"/>
    <w:rsid w:val="00D00796"/>
    <w:rsid w:val="00D07AA4"/>
    <w:rsid w:val="00D15082"/>
    <w:rsid w:val="00D261A2"/>
    <w:rsid w:val="00D424A9"/>
    <w:rsid w:val="00D6001F"/>
    <w:rsid w:val="00D616D2"/>
    <w:rsid w:val="00D63B5F"/>
    <w:rsid w:val="00D64203"/>
    <w:rsid w:val="00D655F8"/>
    <w:rsid w:val="00D70EF7"/>
    <w:rsid w:val="00D76810"/>
    <w:rsid w:val="00D7685F"/>
    <w:rsid w:val="00D80ADD"/>
    <w:rsid w:val="00D83409"/>
    <w:rsid w:val="00D8397C"/>
    <w:rsid w:val="00D86BB4"/>
    <w:rsid w:val="00D909E7"/>
    <w:rsid w:val="00D94EED"/>
    <w:rsid w:val="00D96026"/>
    <w:rsid w:val="00D966B7"/>
    <w:rsid w:val="00D96F6E"/>
    <w:rsid w:val="00DA4290"/>
    <w:rsid w:val="00DA7052"/>
    <w:rsid w:val="00DA7C1C"/>
    <w:rsid w:val="00DB01D8"/>
    <w:rsid w:val="00DB0F04"/>
    <w:rsid w:val="00DB147A"/>
    <w:rsid w:val="00DB1B7A"/>
    <w:rsid w:val="00DB5987"/>
    <w:rsid w:val="00DC1702"/>
    <w:rsid w:val="00DC6708"/>
    <w:rsid w:val="00DD249C"/>
    <w:rsid w:val="00DE3CDB"/>
    <w:rsid w:val="00DE3E64"/>
    <w:rsid w:val="00DF02C7"/>
    <w:rsid w:val="00E01436"/>
    <w:rsid w:val="00E02C07"/>
    <w:rsid w:val="00E03D1A"/>
    <w:rsid w:val="00E045BD"/>
    <w:rsid w:val="00E11F26"/>
    <w:rsid w:val="00E146A4"/>
    <w:rsid w:val="00E17B77"/>
    <w:rsid w:val="00E17CC4"/>
    <w:rsid w:val="00E23103"/>
    <w:rsid w:val="00E23337"/>
    <w:rsid w:val="00E259EA"/>
    <w:rsid w:val="00E32061"/>
    <w:rsid w:val="00E37DC4"/>
    <w:rsid w:val="00E42FF9"/>
    <w:rsid w:val="00E4714C"/>
    <w:rsid w:val="00E51AEB"/>
    <w:rsid w:val="00E520BA"/>
    <w:rsid w:val="00E522A7"/>
    <w:rsid w:val="00E54452"/>
    <w:rsid w:val="00E60022"/>
    <w:rsid w:val="00E643BA"/>
    <w:rsid w:val="00E664C5"/>
    <w:rsid w:val="00E671A2"/>
    <w:rsid w:val="00E737B1"/>
    <w:rsid w:val="00E75250"/>
    <w:rsid w:val="00E76D26"/>
    <w:rsid w:val="00E86665"/>
    <w:rsid w:val="00EA41E7"/>
    <w:rsid w:val="00EB1390"/>
    <w:rsid w:val="00EB2325"/>
    <w:rsid w:val="00EB2C71"/>
    <w:rsid w:val="00EB4340"/>
    <w:rsid w:val="00EB556D"/>
    <w:rsid w:val="00EB5A7D"/>
    <w:rsid w:val="00EC7E5A"/>
    <w:rsid w:val="00ED2D68"/>
    <w:rsid w:val="00ED55C0"/>
    <w:rsid w:val="00ED682B"/>
    <w:rsid w:val="00ED6AAB"/>
    <w:rsid w:val="00EE19A1"/>
    <w:rsid w:val="00EE41D5"/>
    <w:rsid w:val="00EF37FF"/>
    <w:rsid w:val="00EF52F9"/>
    <w:rsid w:val="00F037A4"/>
    <w:rsid w:val="00F14994"/>
    <w:rsid w:val="00F27C8F"/>
    <w:rsid w:val="00F31EE3"/>
    <w:rsid w:val="00F3261F"/>
    <w:rsid w:val="00F32749"/>
    <w:rsid w:val="00F37172"/>
    <w:rsid w:val="00F4477E"/>
    <w:rsid w:val="00F52A0C"/>
    <w:rsid w:val="00F640A4"/>
    <w:rsid w:val="00F670E8"/>
    <w:rsid w:val="00F67D8F"/>
    <w:rsid w:val="00F71F2F"/>
    <w:rsid w:val="00F802BE"/>
    <w:rsid w:val="00F86024"/>
    <w:rsid w:val="00F8611A"/>
    <w:rsid w:val="00F93261"/>
    <w:rsid w:val="00F94D3C"/>
    <w:rsid w:val="00FA47CA"/>
    <w:rsid w:val="00FA480B"/>
    <w:rsid w:val="00FA5128"/>
    <w:rsid w:val="00FA699B"/>
    <w:rsid w:val="00FB1F6C"/>
    <w:rsid w:val="00FB3EAE"/>
    <w:rsid w:val="00FB42D4"/>
    <w:rsid w:val="00FB56BC"/>
    <w:rsid w:val="00FB5906"/>
    <w:rsid w:val="00FB762F"/>
    <w:rsid w:val="00FC2AED"/>
    <w:rsid w:val="00FC4EF3"/>
    <w:rsid w:val="00FC790D"/>
    <w:rsid w:val="00FD0789"/>
    <w:rsid w:val="00FD5EA7"/>
    <w:rsid w:val="00FE125F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Czerwiec2019\WYKRESY_ANG\WSTANG06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Czerwiec2019\WYKRESY_ANG\WSTANG06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Czerwiec2019\WYKRESY_ANG\WSTANG06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Czerwiec2019\WYKRESY_ANG\WSTANG06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1.0401097253851159E-2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504375063285403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4149037150360153E-2"/>
                  <c:y val="-3.49491388435683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65043750632855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4.394845332727374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1'!$A$9:$B$38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1'!$C$9:$C$38</c:f>
              <c:numCache>
                <c:formatCode>0.0</c:formatCode>
                <c:ptCount val="30"/>
                <c:pt idx="0">
                  <c:v>0</c:v>
                </c:pt>
                <c:pt idx="1">
                  <c:v>-0.1</c:v>
                </c:pt>
                <c:pt idx="2">
                  <c:v>0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0.2</c:v>
                </c:pt>
                <c:pt idx="8">
                  <c:v>0.3</c:v>
                </c:pt>
                <c:pt idx="9">
                  <c:v>0.3</c:v>
                </c:pt>
                <c:pt idx="10">
                  <c:v>0.3</c:v>
                </c:pt>
                <c:pt idx="11">
                  <c:v>0.2</c:v>
                </c:pt>
                <c:pt idx="12" formatCode="General">
                  <c:v>0.1</c:v>
                </c:pt>
                <c:pt idx="13">
                  <c:v>0.1</c:v>
                </c:pt>
                <c:pt idx="14">
                  <c:v>0.3</c:v>
                </c:pt>
                <c:pt idx="15">
                  <c:v>0.3</c:v>
                </c:pt>
                <c:pt idx="16" formatCode="General">
                  <c:v>0.3</c:v>
                </c:pt>
                <c:pt idx="17" formatCode="General">
                  <c:v>0.4</c:v>
                </c:pt>
                <c:pt idx="18" formatCode="General">
                  <c:v>0.3</c:v>
                </c:pt>
                <c:pt idx="19" formatCode="General">
                  <c:v>0.3</c:v>
                </c:pt>
                <c:pt idx="20">
                  <c:v>0.4</c:v>
                </c:pt>
                <c:pt idx="21" formatCode="General">
                  <c:v>0.4</c:v>
                </c:pt>
                <c:pt idx="22">
                  <c:v>0.4</c:v>
                </c:pt>
                <c:pt idx="23" formatCode="General">
                  <c:v>0.4</c:v>
                </c:pt>
                <c:pt idx="24" formatCode="General">
                  <c:v>0.2</c:v>
                </c:pt>
                <c:pt idx="25" formatCode="General">
                  <c:v>0.1</c:v>
                </c:pt>
                <c:pt idx="26" formatCode="General">
                  <c:v>0.3</c:v>
                </c:pt>
                <c:pt idx="27" formatCode="General">
                  <c:v>0.4</c:v>
                </c:pt>
                <c:pt idx="28" formatCode="General">
                  <c:v>0.3</c:v>
                </c:pt>
                <c:pt idx="29" formatCode="General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5913600"/>
        <c:axId val="1735910880"/>
      </c:lineChart>
      <c:catAx>
        <c:axId val="17359136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35910880"/>
        <c:crosses val="autoZero"/>
        <c:auto val="0"/>
        <c:lblAlgn val="ctr"/>
        <c:lblOffset val="12"/>
        <c:noMultiLvlLbl val="0"/>
      </c:catAx>
      <c:valAx>
        <c:axId val="1735910880"/>
        <c:scaling>
          <c:orientation val="minMax"/>
          <c:max val="0.5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3591360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2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3.702667609910533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3.386578351190668E-2"/>
                  <c:y val="-5.0102793244559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1.1787890589540941E-2"/>
                  <c:y val="-4.640684838927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2'!$A$10:$B$39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2'!$C$10:$C$39</c:f>
              <c:numCache>
                <c:formatCode>0.0</c:formatCode>
                <c:ptCount val="30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0.3</c:v>
                </c:pt>
                <c:pt idx="6">
                  <c:v>0.3</c:v>
                </c:pt>
                <c:pt idx="7">
                  <c:v>0.4</c:v>
                </c:pt>
                <c:pt idx="8">
                  <c:v>0.7</c:v>
                </c:pt>
                <c:pt idx="9">
                  <c:v>1</c:v>
                </c:pt>
                <c:pt idx="10">
                  <c:v>1.2</c:v>
                </c:pt>
                <c:pt idx="11">
                  <c:v>1.4</c:v>
                </c:pt>
                <c:pt idx="12" formatCode="General">
                  <c:v>1.5</c:v>
                </c:pt>
                <c:pt idx="13">
                  <c:v>1.7000000000000028</c:v>
                </c:pt>
                <c:pt idx="14">
                  <c:v>1.9</c:v>
                </c:pt>
                <c:pt idx="15">
                  <c:v>2.1</c:v>
                </c:pt>
                <c:pt idx="16" formatCode="General">
                  <c:v>2.4</c:v>
                </c:pt>
                <c:pt idx="17" formatCode="General">
                  <c:v>2.7999999999999972</c:v>
                </c:pt>
                <c:pt idx="18" formatCode="General">
                  <c:v>3.1</c:v>
                </c:pt>
                <c:pt idx="19" formatCode="General">
                  <c:v>3.2000000000000028</c:v>
                </c:pt>
                <c:pt idx="20">
                  <c:v>3.2999999999999972</c:v>
                </c:pt>
                <c:pt idx="21" formatCode="General">
                  <c:v>3.2999999999999972</c:v>
                </c:pt>
                <c:pt idx="22">
                  <c:v>3.4</c:v>
                </c:pt>
                <c:pt idx="23" formatCode="General">
                  <c:v>3.7000000000000028</c:v>
                </c:pt>
                <c:pt idx="24" formatCode="General">
                  <c:v>3.6</c:v>
                </c:pt>
                <c:pt idx="25" formatCode="General">
                  <c:v>3.7</c:v>
                </c:pt>
                <c:pt idx="26" formatCode="General">
                  <c:v>3.7</c:v>
                </c:pt>
                <c:pt idx="27" formatCode="General">
                  <c:v>3.8</c:v>
                </c:pt>
                <c:pt idx="28" formatCode="General">
                  <c:v>3.7</c:v>
                </c:pt>
                <c:pt idx="29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5911424"/>
        <c:axId val="1735914144"/>
      </c:lineChart>
      <c:catAx>
        <c:axId val="17359114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35914144"/>
        <c:crossesAt val="0"/>
        <c:auto val="0"/>
        <c:lblAlgn val="ctr"/>
        <c:lblOffset val="12"/>
        <c:tickLblSkip val="1"/>
        <c:noMultiLvlLbl val="0"/>
      </c:catAx>
      <c:valAx>
        <c:axId val="173591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3591142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7868656721888619E-2"/>
                  <c:y val="-0.112177377882158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75820128367756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510340486010676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820397455128917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64338541528260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82492327908225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7358372132873145E-3"/>
                  <c:y val="2.5273164186889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038228046913193E-2"/>
                  <c:y val="-8.1140158705276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3464761526006307E-2"/>
                  <c:y val="7.537610371528349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16541570412345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32701025297603E-2"/>
                  <c:y val="-6.340460488991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61118416410626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7985032434002773E-2"/>
                  <c:y val="-5.453682798223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2422823201468519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3.708133379394901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3.774311756787590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2.39099900537721E-3"/>
                  <c:y val="-4.730658077282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300654264628225E-2"/>
                      <c:h val="7.8036442893858859E-2"/>
                    </c:manualLayout>
                  </c15:layout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Wykres3!$A$10:$B$39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Wykres3!$C$10:$C$39</c:f>
              <c:numCache>
                <c:formatCode>0.0</c:formatCode>
                <c:ptCount val="30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 formatCode="General">
                  <c:v>4.2999999999999972</c:v>
                </c:pt>
                <c:pt idx="27">
                  <c:v>4.7</c:v>
                </c:pt>
                <c:pt idx="28">
                  <c:v>5</c:v>
                </c:pt>
                <c:pt idx="29">
                  <c:v>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5914688"/>
        <c:axId val="1735915232"/>
      </c:lineChart>
      <c:catAx>
        <c:axId val="17359146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35915232"/>
        <c:crossesAt val="0"/>
        <c:auto val="0"/>
        <c:lblAlgn val="ctr"/>
        <c:lblOffset val="12"/>
        <c:tickLblSkip val="1"/>
        <c:noMultiLvlLbl val="0"/>
      </c:catAx>
      <c:valAx>
        <c:axId val="1735915232"/>
        <c:scaling>
          <c:orientation val="minMax"/>
          <c:min val="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35914688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9"/>
              <c:layout>
                <c:manualLayout>
                  <c:x val="6.7992960530361371E-2"/>
                  <c:y val="2.1343744512224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wyk4_bud!$A$6:$B$35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wyk4_bud!$C$6:$C$35</c:f>
              <c:numCache>
                <c:formatCode>0.0</c:formatCode>
                <c:ptCount val="30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>
                  <c:v>4.3</c:v>
                </c:pt>
                <c:pt idx="27">
                  <c:v>4.7</c:v>
                </c:pt>
                <c:pt idx="28">
                  <c:v>5</c:v>
                </c:pt>
                <c:pt idx="29" formatCode="General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7518240"/>
        <c:axId val="168751116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3.0277528064663169E-2"/>
                  <c:y val="-4.7949367896933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wyk4_bud!$D$6:$D$35</c:f>
              <c:numCache>
                <c:formatCode>0.0</c:formatCode>
                <c:ptCount val="30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  <c:pt idx="26">
                  <c:v>4.5999999999999996</c:v>
                </c:pt>
                <c:pt idx="27">
                  <c:v>5</c:v>
                </c:pt>
                <c:pt idx="28">
                  <c:v>5.4</c:v>
                </c:pt>
                <c:pt idx="29">
                  <c:v>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3.1635056402627988E-2"/>
                  <c:y val="2.0388361569694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wyk4_bud!$E$6:$E$35</c:f>
              <c:numCache>
                <c:formatCode>0.0</c:formatCode>
                <c:ptCount val="30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  <c:pt idx="26">
                  <c:v>4</c:v>
                </c:pt>
                <c:pt idx="27">
                  <c:v>4.4000000000000004</c:v>
                </c:pt>
                <c:pt idx="28">
                  <c:v>4.7</c:v>
                </c:pt>
                <c:pt idx="29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3.0277528064663169E-2"/>
                  <c:y val="-4.93301144295466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wyk4_bud!$F$6:$F$35</c:f>
              <c:numCache>
                <c:formatCode>0.0</c:formatCode>
                <c:ptCount val="30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3</c:v>
                </c:pt>
                <c:pt idx="26">
                  <c:v>3.2</c:v>
                </c:pt>
                <c:pt idx="27">
                  <c:v>3.4</c:v>
                </c:pt>
                <c:pt idx="28">
                  <c:v>3.6</c:v>
                </c:pt>
                <c:pt idx="29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7518240"/>
        <c:axId val="1687511168"/>
      </c:lineChart>
      <c:catAx>
        <c:axId val="168751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6875111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687511168"/>
        <c:scaling>
          <c:orientation val="minMax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687518240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367927088636337"/>
          <c:w val="0.98242189051521933"/>
          <c:h val="0.1913980058642703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0.02665</cdr:x>
      <cdr:y>0.02071</cdr:y>
    </cdr:from>
    <cdr:to>
      <cdr:x>0.0814</cdr:x>
      <cdr:y>0.14253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36500" y="50800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0.03656</cdr:x>
      <cdr:y>0.03604</cdr:y>
    </cdr:from>
    <cdr:to>
      <cdr:x>0.09131</cdr:x>
      <cdr:y>0.14202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87300" y="101600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0.01425</cdr:x>
      <cdr:y>0.04133</cdr:y>
    </cdr:from>
    <cdr:to>
      <cdr:x>0.069</cdr:x>
      <cdr:y>0.15244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009" y="111121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0.12086</cdr:x>
      <cdr:y>0.11827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2906" y="121235"/>
          <a:ext cx="186219" cy="2121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0.05392</cdr:x>
      <cdr:y>0.02365</cdr:y>
    </cdr:from>
    <cdr:to>
      <cdr:x>0.10867</cdr:x>
      <cdr:y>0.12963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6209" y="66671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E64A25-277E-4AC0-A6B1-50C0FFF9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2019-02-19T09:29:00Z</cp:lastPrinted>
  <dcterms:created xsi:type="dcterms:W3CDTF">2019-07-18T07:06:00Z</dcterms:created>
  <dcterms:modified xsi:type="dcterms:W3CDTF">2019-07-18T07:06:00Z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