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77777777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production </w:t>
      </w:r>
      <w:r w:rsidRPr="00B506DC">
        <w:rPr>
          <w:lang w:val="en-GB"/>
        </w:rPr>
        <w:t>in January 2019</w:t>
      </w:r>
    </w:p>
    <w:p w14:paraId="647085B9" w14:textId="3F57AAB7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4517FBE9" w:rsidR="00825064" w:rsidRPr="00CA5963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BA770A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409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97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17F52853" w:rsidR="00825064" w:rsidRPr="00B66B19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06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073E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.</w:t>
                            </w:r>
                            <w:r w:rsidRPr="00B506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Pr="0078576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C49B588" w14:textId="77777777" w:rsidR="00825064" w:rsidRPr="00531555" w:rsidRDefault="00825064" w:rsidP="0082506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growth of producer prices in construction in comparison to the previous month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1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" fillcolor="#001d77" stroked="f">
                <v:textbox>
                  <w:txbxContent>
                    <w:p w14:paraId="4687A174" w14:textId="17F52853" w:rsidR="00825064" w:rsidRPr="00B66B19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506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073E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.</w:t>
                      </w:r>
                      <w:r w:rsidRPr="00B506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Pr="0078576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C49B588" w14:textId="77777777" w:rsidR="00825064" w:rsidRPr="00531555" w:rsidRDefault="00825064" w:rsidP="0082506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growth of producer prices in construction in comparison to the previous month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CA596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eastAsia="en-US"/>
        </w:rPr>
        <w:t>According to preliminary data in January 2019 the prices of construction and assembly production were higher by</w:t>
      </w:r>
      <w:r w:rsidR="00787D07" w:rsidRPr="00CA596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eastAsia="en-US"/>
        </w:rPr>
        <w:t xml:space="preserve"> </w:t>
      </w:r>
      <w:r w:rsidR="00825064" w:rsidRPr="00CA596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eastAsia="en-US"/>
        </w:rPr>
        <w:t xml:space="preserve">0.2% in comparison to </w:t>
      </w:r>
      <w:r w:rsidR="00B73953" w:rsidRPr="00CA596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eastAsia="en-US"/>
        </w:rPr>
        <w:t>December 2018 and by 3.7%</w:t>
      </w:r>
      <w:r w:rsidR="00886BE8" w:rsidRPr="00CA5963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lang w:eastAsia="en-US"/>
        </w:rPr>
        <w:t xml:space="preserve"> in comparison to January 2018.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77777777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05D69783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4B7AB74E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4E66963D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77777777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6DE4D68C" w:rsidR="00A37DA6" w:rsidRDefault="00A37DA6" w:rsidP="008F7774">
      <w:pPr>
        <w:rPr>
          <w:shd w:val="clear" w:color="auto" w:fill="FFFFFF"/>
          <w:lang w:val="en-US"/>
        </w:rPr>
      </w:pPr>
      <w:bookmarkStart w:id="0" w:name="_GoBack"/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to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>
        <w:rPr>
          <w:shd w:val="clear" w:color="auto" w:fill="FFFFFF"/>
          <w:lang w:val="en-US"/>
        </w:rPr>
        <w:t xml:space="preserve"> as well as in </w:t>
      </w:r>
      <w:r w:rsidRPr="007D298F">
        <w:rPr>
          <w:shd w:val="clear" w:color="auto" w:fill="FFFFFF"/>
          <w:lang w:val="en-US"/>
        </w:rPr>
        <w:t xml:space="preserve">specialised construction activities </w:t>
      </w:r>
      <w:r>
        <w:rPr>
          <w:shd w:val="clear" w:color="auto" w:fill="FFFFFF"/>
          <w:lang w:val="en-US"/>
        </w:rPr>
        <w:t>(</w:t>
      </w:r>
      <w:r w:rsidRPr="000B5EA7">
        <w:rPr>
          <w:shd w:val="clear" w:color="auto" w:fill="FFFFFF"/>
          <w:lang w:val="en-US"/>
        </w:rPr>
        <w:t>by 0.2% each).</w:t>
      </w:r>
      <w:r w:rsidR="00A00F56">
        <w:rPr>
          <w:shd w:val="clear" w:color="auto" w:fill="FFFFFF"/>
          <w:lang w:val="en-US"/>
        </w:rPr>
        <w:t xml:space="preserve"> T</w:t>
      </w:r>
      <w:r>
        <w:rPr>
          <w:shd w:val="clear" w:color="auto" w:fill="FFFFFF"/>
          <w:lang w:val="en-US"/>
        </w:rPr>
        <w:t xml:space="preserve">he prices </w:t>
      </w:r>
      <w:r w:rsidRPr="000B5EA7">
        <w:rPr>
          <w:shd w:val="clear" w:color="auto" w:fill="FFFFFF"/>
          <w:lang w:val="en-US"/>
        </w:rPr>
        <w:t>in</w:t>
      </w:r>
      <w:r w:rsidRPr="007D298F">
        <w:rPr>
          <w:shd w:val="clear" w:color="auto" w:fill="FFFFFF"/>
          <w:lang w:val="en-US"/>
        </w:rPr>
        <w:t xml:space="preserve"> civil engineering</w:t>
      </w:r>
      <w:r>
        <w:rPr>
          <w:shd w:val="clear" w:color="auto" w:fill="FFFFFF"/>
          <w:lang w:val="en-US"/>
        </w:rPr>
        <w:t xml:space="preserve"> remained unchanged</w:t>
      </w:r>
      <w:r w:rsidR="00205287">
        <w:rPr>
          <w:shd w:val="clear" w:color="auto" w:fill="FFFFFF"/>
          <w:lang w:val="en-US"/>
        </w:rPr>
        <w:t xml:space="preserve"> in comparison to the previous month</w:t>
      </w:r>
      <w:r>
        <w:rPr>
          <w:shd w:val="clear" w:color="auto" w:fill="FFFFFF"/>
          <w:lang w:val="en-US"/>
        </w:rPr>
        <w:t>.</w:t>
      </w:r>
    </w:p>
    <w:p w14:paraId="24DC2195" w14:textId="73B88B16" w:rsidR="00F93261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In comparison to </w:t>
      </w:r>
      <w:r w:rsidR="004445F9" w:rsidRPr="00FC35D5">
        <w:rPr>
          <w:shd w:val="clear" w:color="auto" w:fill="FFFFFF"/>
          <w:lang w:val="en-US"/>
        </w:rPr>
        <w:t>January 201</w:t>
      </w:r>
      <w:r>
        <w:rPr>
          <w:shd w:val="clear" w:color="auto" w:fill="FFFFFF"/>
          <w:lang w:val="en-US"/>
        </w:rPr>
        <w:t>8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>in construction of buildings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A05A34">
        <w:rPr>
          <w:shd w:val="clear" w:color="auto" w:fill="FFFFFF"/>
          <w:lang w:val="en-US"/>
        </w:rPr>
        <w:t>(by 4.3%), in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>civil engineering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726B4C">
        <w:rPr>
          <w:shd w:val="clear" w:color="auto" w:fill="FFFFFF"/>
          <w:lang w:val="en-US"/>
        </w:rPr>
        <w:t>(by 3.6%)</w:t>
      </w:r>
      <w:r w:rsidR="00F93261">
        <w:rPr>
          <w:shd w:val="clear" w:color="auto" w:fill="FFFFFF"/>
          <w:lang w:val="en-US"/>
        </w:rPr>
        <w:t xml:space="preserve"> as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r w:rsidR="00F93261" w:rsidRPr="007D298F">
        <w:rPr>
          <w:shd w:val="clear" w:color="auto" w:fill="FFFFFF"/>
          <w:lang w:val="en-US"/>
        </w:rPr>
        <w:t xml:space="preserve">specialised construction </w:t>
      </w:r>
      <w:r w:rsidR="00F93261" w:rsidRPr="00906160">
        <w:rPr>
          <w:shd w:val="clear" w:color="auto" w:fill="FFFFFF"/>
          <w:lang w:val="en-US"/>
        </w:rPr>
        <w:t>activities (by</w:t>
      </w:r>
      <w:r w:rsidR="008F7774">
        <w:rPr>
          <w:shd w:val="clear" w:color="auto" w:fill="FFFFFF"/>
          <w:lang w:val="en-US"/>
        </w:rPr>
        <w:t> </w:t>
      </w:r>
      <w:r w:rsidR="00F93261" w:rsidRPr="00906160">
        <w:rPr>
          <w:shd w:val="clear" w:color="auto" w:fill="FFFFFF"/>
          <w:lang w:val="en-US"/>
        </w:rPr>
        <w:t>2.9%).</w:t>
      </w:r>
    </w:p>
    <w:bookmarkEnd w:id="0"/>
    <w:p w14:paraId="4C6A228B" w14:textId="5683CCBD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7C32056A" w:rsidR="005C0CF9" w:rsidRDefault="006F55B8" w:rsidP="005C0CF9">
      <w:pPr>
        <w:rPr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14100E09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64110">
        <w:rPr>
          <w:b/>
          <w:shd w:val="clear" w:color="auto" w:fill="FFFFFF"/>
        </w:rPr>
        <w:t xml:space="preserve">Table 1. Price indices of </w:t>
      </w:r>
      <w:r w:rsidR="005C0CF9">
        <w:rPr>
          <w:b/>
          <w:shd w:val="clear" w:color="auto" w:fill="FFFFFF"/>
        </w:rPr>
        <w:t xml:space="preserve">construction and assembly  production </w:t>
      </w:r>
      <w:r w:rsidR="005C0CF9" w:rsidRPr="00464110">
        <w:rPr>
          <w:b/>
          <w:shd w:val="clear" w:color="auto" w:fill="FFFFFF"/>
        </w:rPr>
        <w:t xml:space="preserve"> in January 2019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145"/>
        <w:gridCol w:w="1145"/>
        <w:gridCol w:w="1145"/>
        <w:gridCol w:w="1145"/>
        <w:gridCol w:w="1145"/>
      </w:tblGrid>
      <w:tr w:rsidR="005C0CF9" w14:paraId="099A3A36" w14:textId="77777777" w:rsidTr="00FA497F">
        <w:tc>
          <w:tcPr>
            <w:tcW w:w="2194" w:type="dxa"/>
            <w:tcBorders>
              <w:bottom w:val="single" w:sz="4" w:space="0" w:color="001D77"/>
            </w:tcBorders>
          </w:tcPr>
          <w:p w14:paraId="59FDA78D" w14:textId="77777777" w:rsidR="005C0CF9" w:rsidRPr="009650A5" w:rsidRDefault="005C0CF9" w:rsidP="00FA497F"/>
        </w:tc>
        <w:tc>
          <w:tcPr>
            <w:tcW w:w="2290" w:type="dxa"/>
            <w:gridSpan w:val="2"/>
            <w:tcBorders>
              <w:bottom w:val="single" w:sz="4" w:space="0" w:color="001D77"/>
            </w:tcBorders>
            <w:vAlign w:val="center"/>
          </w:tcPr>
          <w:p w14:paraId="7311AC21" w14:textId="5EEA2D30" w:rsidR="005C0CF9" w:rsidRDefault="005C0CF9" w:rsidP="00813037">
            <w:pPr>
              <w:jc w:val="center"/>
            </w:pPr>
            <w:r>
              <w:rPr>
                <w:color w:val="000000" w:themeColor="text1"/>
                <w:sz w:val="16"/>
                <w:szCs w:val="16"/>
              </w:rPr>
              <w:t>XI</w:t>
            </w: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bottom w:val="single" w:sz="4" w:space="0" w:color="001D77"/>
            </w:tcBorders>
          </w:tcPr>
          <w:p w14:paraId="08055B03" w14:textId="77777777" w:rsidR="005C0CF9" w:rsidRDefault="005C0CF9" w:rsidP="00FA497F">
            <w:r>
              <w:rPr>
                <w:color w:val="000000" w:themeColor="text1"/>
                <w:sz w:val="16"/>
                <w:szCs w:val="16"/>
              </w:rPr>
              <w:t xml:space="preserve">I-XII </w:t>
            </w:r>
            <w:r w:rsidRPr="00FF5F5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90" w:type="dxa"/>
            <w:gridSpan w:val="2"/>
            <w:tcBorders>
              <w:bottom w:val="single" w:sz="4" w:space="0" w:color="001D77"/>
            </w:tcBorders>
          </w:tcPr>
          <w:p w14:paraId="508140A7" w14:textId="1245DA69" w:rsidR="005C0CF9" w:rsidRDefault="005C0CF9" w:rsidP="00813037">
            <w:pPr>
              <w:jc w:val="center"/>
            </w:pP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5C0CF9" w14:paraId="3AA149EC" w14:textId="77777777" w:rsidTr="00FA497F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7CB7E089" w14:textId="77777777" w:rsidR="005C0CF9" w:rsidRDefault="005C0CF9" w:rsidP="00FA497F">
            <w:pPr>
              <w:jc w:val="center"/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352DED71" w14:textId="77777777" w:rsidR="005C0CF9" w:rsidRDefault="005C0CF9" w:rsidP="00FA497F">
            <w:r>
              <w:rPr>
                <w:color w:val="000000" w:themeColor="text1"/>
                <w:sz w:val="16"/>
                <w:szCs w:val="16"/>
              </w:rPr>
              <w:t>X</w:t>
            </w:r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90" w:type="dxa"/>
            <w:gridSpan w:val="2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</w:tcPr>
          <w:p w14:paraId="3DFAE3B0" w14:textId="77777777" w:rsidR="005C0CF9" w:rsidRDefault="005C0CF9" w:rsidP="00FA497F">
            <w:r w:rsidRPr="0090601B">
              <w:rPr>
                <w:color w:val="000000" w:themeColor="text1"/>
                <w:sz w:val="16"/>
                <w:szCs w:val="16"/>
              </w:rPr>
              <w:t xml:space="preserve">corresponding period of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7=100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5CFDB665" w14:textId="77777777" w:rsidR="005C0CF9" w:rsidRDefault="005C0CF9" w:rsidP="00FA497F">
            <w:r w:rsidRPr="00FA5128">
              <w:rPr>
                <w:color w:val="000000" w:themeColor="text1"/>
                <w:sz w:val="16"/>
                <w:szCs w:val="16"/>
              </w:rPr>
              <w:t>I 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4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C4B2A45" w14:textId="77777777" w:rsidR="005C0CF9" w:rsidRDefault="005C0CF9" w:rsidP="00FA497F">
            <w:r w:rsidRPr="00FA5128">
              <w:rPr>
                <w:color w:val="000000" w:themeColor="text1"/>
                <w:sz w:val="16"/>
                <w:szCs w:val="16"/>
              </w:rPr>
              <w:t>XII 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C0CF9" w14:paraId="3310CAD7" w14:textId="77777777" w:rsidTr="00FA497F">
        <w:tc>
          <w:tcPr>
            <w:tcW w:w="7919" w:type="dxa"/>
            <w:gridSpan w:val="6"/>
            <w:tcBorders>
              <w:top w:val="single" w:sz="12" w:space="0" w:color="001D77"/>
            </w:tcBorders>
          </w:tcPr>
          <w:p w14:paraId="589DA6B1" w14:textId="10B9735D" w:rsidR="005C0CF9" w:rsidRDefault="005C0CF9" w:rsidP="003A1B26">
            <w:pPr>
              <w:jc w:val="center"/>
            </w:pPr>
            <w:r w:rsidRPr="007D298F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CONSTRUCTION AND ASSEMBL</w:t>
            </w:r>
            <w:r w:rsidR="003A1B26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Y </w:t>
            </w:r>
            <w:r w:rsidRPr="007D298F">
              <w:rPr>
                <w:b/>
                <w:color w:val="000000" w:themeColor="text1"/>
                <w:sz w:val="16"/>
                <w:szCs w:val="16"/>
                <w:lang w:val="en-US"/>
              </w:rPr>
              <w:t xml:space="preserve"> PRODUCTION</w:t>
            </w:r>
          </w:p>
        </w:tc>
      </w:tr>
      <w:tr w:rsidR="005C0CF9" w14:paraId="527F47E8" w14:textId="77777777" w:rsidTr="00FA497F">
        <w:tc>
          <w:tcPr>
            <w:tcW w:w="2194" w:type="dxa"/>
          </w:tcPr>
          <w:p w14:paraId="26425B38" w14:textId="77777777" w:rsidR="005C0CF9" w:rsidRDefault="005C0CF9" w:rsidP="00FA497F"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24743" w14:textId="1345785A" w:rsidR="005C0CF9" w:rsidRPr="008B43CA" w:rsidRDefault="005C0CF9" w:rsidP="00FA497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D76810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64BFF7" w14:textId="4B38C1E1" w:rsidR="005C0CF9" w:rsidRPr="008B43CA" w:rsidRDefault="005C0CF9" w:rsidP="00FA497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D76810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AE0B00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52C6A" w14:textId="58F3BD32" w:rsidR="005C0CF9" w:rsidRPr="008B43CA" w:rsidRDefault="005C0CF9" w:rsidP="00FA497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B5B7D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D76810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B5B7D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5B580" w14:textId="45E77853" w:rsidR="005C0CF9" w:rsidRPr="008B43CA" w:rsidRDefault="005C0CF9" w:rsidP="00FA497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82F78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D76810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82F78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02B0C4EC" w14:textId="035C95A3" w:rsidR="005C0CF9" w:rsidRPr="008B43CA" w:rsidRDefault="005C0CF9" w:rsidP="00FA497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10FC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D76810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D10F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5C0CF9" w14:paraId="631FE620" w14:textId="77777777" w:rsidTr="00FA497F">
        <w:tc>
          <w:tcPr>
            <w:tcW w:w="2194" w:type="dxa"/>
          </w:tcPr>
          <w:p w14:paraId="77F675A2" w14:textId="77777777" w:rsidR="005C0CF9" w:rsidRPr="00252E43" w:rsidRDefault="005C0CF9" w:rsidP="00FA49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Construction of buildings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0BBD57" w14:textId="248BA42A" w:rsidR="005C0CF9" w:rsidRPr="00813037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6B8540" w14:textId="689D866A" w:rsidR="005C0CF9" w:rsidRPr="00813037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3CF81" w14:textId="2613BBB5" w:rsidR="005C0CF9" w:rsidRPr="008B43CA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039A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E039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C4708" w14:textId="6079FFED" w:rsidR="005C0CF9" w:rsidRPr="008B43CA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18C7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D18C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615DB61A" w14:textId="400955E8" w:rsidR="005C0CF9" w:rsidRPr="008B43CA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A560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A560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C0CF9" w14:paraId="2DD6FA36" w14:textId="77777777" w:rsidTr="00FA497F">
        <w:tc>
          <w:tcPr>
            <w:tcW w:w="2194" w:type="dxa"/>
          </w:tcPr>
          <w:p w14:paraId="59CC3BEE" w14:textId="77777777" w:rsidR="005C0CF9" w:rsidRDefault="005C0CF9" w:rsidP="00FA497F"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3FF4B" w14:textId="20F8302E" w:rsidR="005C0CF9" w:rsidRPr="00813037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58DF3" w14:textId="4ABC0C54" w:rsidR="005C0CF9" w:rsidRPr="00813037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39BD7" w14:textId="32E674CC" w:rsidR="005C0CF9" w:rsidRPr="008B43CA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D797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D797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E449F" w14:textId="1131FD2E" w:rsidR="005C0CF9" w:rsidRPr="008B43CA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149A9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149A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1C3B6679" w14:textId="03AB6D0C" w:rsidR="005C0CF9" w:rsidRPr="008B43CA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34189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34189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5C0CF9" w14:paraId="0DE32EE1" w14:textId="77777777" w:rsidTr="00FA497F">
        <w:tc>
          <w:tcPr>
            <w:tcW w:w="2194" w:type="dxa"/>
          </w:tcPr>
          <w:p w14:paraId="2B49C3AF" w14:textId="77777777" w:rsidR="005C0CF9" w:rsidRDefault="005C0CF9" w:rsidP="00FA497F"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 construction activities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4D0CA" w14:textId="58CFED43" w:rsidR="005C0CF9" w:rsidRPr="00813037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AA269" w14:textId="6762ABCC" w:rsidR="005C0CF9" w:rsidRPr="00813037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1303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5657E" w14:textId="074B0A09" w:rsidR="005C0CF9" w:rsidRPr="008B43CA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B488B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B488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4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37A53" w14:textId="1DE80993" w:rsidR="005C0CF9" w:rsidRPr="008B43CA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1896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189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5" w:type="dxa"/>
            <w:tcBorders>
              <w:left w:val="single" w:sz="6" w:space="0" w:color="auto"/>
              <w:right w:val="nil"/>
            </w:tcBorders>
            <w:shd w:val="clear" w:color="auto" w:fill="auto"/>
            <w:vAlign w:val="center"/>
          </w:tcPr>
          <w:p w14:paraId="03E89D32" w14:textId="22164B90" w:rsidR="005C0CF9" w:rsidRPr="008B43CA" w:rsidRDefault="005C0CF9" w:rsidP="00FA497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C5D2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D7681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C5D2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</w:tbl>
    <w:p w14:paraId="5F8A2B8D" w14:textId="7B3EE2D5" w:rsidR="005C0CF9" w:rsidRDefault="005C0CF9" w:rsidP="005C0CF9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</w:p>
    <w:p w14:paraId="52B5BACE" w14:textId="3E45A2E9" w:rsidR="005C0CF9" w:rsidRPr="004018BB" w:rsidRDefault="005C0CF9" w:rsidP="005C0CF9">
      <w:pPr>
        <w:rPr>
          <w:shd w:val="clear" w:color="auto" w:fill="FFFFFF"/>
          <w:lang w:val="en-US"/>
        </w:rPr>
      </w:pPr>
    </w:p>
    <w:p w14:paraId="20CC50F9" w14:textId="4C55FEFC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77777777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24DE1B6D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09A7CF43" w14:textId="70E65EB1" w:rsidR="005358DD" w:rsidRDefault="005358DD" w:rsidP="005358DD"/>
    <w:p w14:paraId="66DE8DB2" w14:textId="1D0E83E7" w:rsidR="005C0CF9" w:rsidRDefault="005C0CF9" w:rsidP="005358DD"/>
    <w:p w14:paraId="647085BE" w14:textId="6094BD56" w:rsidR="00746187" w:rsidRPr="00531555" w:rsidRDefault="00584E2A" w:rsidP="006F55B8">
      <w:pPr>
        <w:pStyle w:val="Nagwek1"/>
        <w:rPr>
          <w:b/>
          <w:spacing w:val="-2"/>
          <w:sz w:val="18"/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54CF6A" w14:textId="77777777" w:rsidR="006F55B8" w:rsidRDefault="006F55B8" w:rsidP="006F55B8">
      <w:pPr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7568" behindDoc="0" locked="0" layoutInCell="1" allowOverlap="1" wp14:anchorId="11A5F3FF" wp14:editId="268E32FD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5122545" cy="2452370"/>
            <wp:effectExtent l="0" t="0" r="1905" b="508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>
        <w:rPr>
          <w:b/>
          <w:spacing w:val="-2"/>
          <w:sz w:val="18"/>
          <w:lang w:val="en-US"/>
        </w:rPr>
        <w:t>Chart 1. P</w:t>
      </w:r>
      <w:r w:rsidRPr="00372C76">
        <w:rPr>
          <w:b/>
          <w:spacing w:val="-2"/>
          <w:sz w:val="18"/>
          <w:lang w:val="en-US"/>
        </w:rPr>
        <w:t>rices of construction and assembly production (change in% to the previous period)</w:t>
      </w:r>
    </w:p>
    <w:p w14:paraId="3846D3FA" w14:textId="77777777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4BE7D8C2" w14:textId="77777777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18736119" w14:textId="77777777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103EDCEA" w14:textId="77777777" w:rsidR="006F55B8" w:rsidRDefault="006F55B8" w:rsidP="0083355E">
      <w:pPr>
        <w:pStyle w:val="tytuwykresu"/>
        <w:rPr>
          <w:shd w:val="clear" w:color="auto" w:fill="FFFFFF"/>
          <w:lang w:val="en-US"/>
        </w:rPr>
      </w:pPr>
    </w:p>
    <w:p w14:paraId="5385F12B" w14:textId="77777777" w:rsidR="008F7774" w:rsidRDefault="0083355E" w:rsidP="006F55B8">
      <w:pPr>
        <w:pStyle w:val="tytuwykresu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 xml:space="preserve">rices of construction and assembly production </w:t>
      </w:r>
    </w:p>
    <w:p w14:paraId="562B7FB8" w14:textId="5481F12F" w:rsidR="006F55B8" w:rsidRDefault="006F55B8" w:rsidP="008F7774">
      <w:pPr>
        <w:pStyle w:val="tytuwykresu"/>
        <w:spacing w:before="0" w:line="160" w:lineRule="exact"/>
        <w:ind w:firstLine="708"/>
        <w:rPr>
          <w:lang w:val="en-US"/>
        </w:rPr>
      </w:pPr>
      <w:r w:rsidRPr="003D1300">
        <w:rPr>
          <w:lang w:val="en-US"/>
        </w:rPr>
        <w:t>(change in</w:t>
      </w:r>
      <w:r w:rsidR="00A83EA9">
        <w:rPr>
          <w:lang w:val="en-US"/>
        </w:rPr>
        <w:t xml:space="preserve"> </w:t>
      </w:r>
      <w:r w:rsidRPr="003D1300">
        <w:rPr>
          <w:lang w:val="en-US"/>
        </w:rPr>
        <w:t>% to the same period of the previous year)</w:t>
      </w:r>
    </w:p>
    <w:p w14:paraId="634EE9DB" w14:textId="62F0C4E8" w:rsidR="0083355E" w:rsidRPr="009E356D" w:rsidRDefault="008F7774" w:rsidP="0083355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9616" behindDoc="0" locked="0" layoutInCell="1" allowOverlap="1" wp14:anchorId="5DCFA7E2" wp14:editId="52C5D256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5122545" cy="2818765"/>
            <wp:effectExtent l="0" t="0" r="1905" b="635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14:paraId="6470863A" w14:textId="77777777" w:rsidR="00694AF0" w:rsidRPr="009E356D" w:rsidRDefault="00694AF0" w:rsidP="00E76D26">
      <w:pPr>
        <w:rPr>
          <w:sz w:val="18"/>
          <w:lang w:val="en-US"/>
        </w:rPr>
      </w:pPr>
    </w:p>
    <w:p w14:paraId="202748BA" w14:textId="77777777" w:rsidR="009B39A7" w:rsidRDefault="009B39A7" w:rsidP="006F55B8">
      <w:pPr>
        <w:pStyle w:val="tytuwykresu"/>
        <w:rPr>
          <w:noProof/>
          <w:lang w:eastAsia="pl-PL"/>
        </w:rPr>
      </w:pPr>
    </w:p>
    <w:p w14:paraId="1E1DCD42" w14:textId="77777777" w:rsidR="009B39A7" w:rsidRDefault="009B39A7" w:rsidP="006F55B8">
      <w:pPr>
        <w:pStyle w:val="tytuwykresu"/>
        <w:rPr>
          <w:noProof/>
          <w:lang w:eastAsia="pl-PL"/>
        </w:rPr>
      </w:pPr>
    </w:p>
    <w:p w14:paraId="78580D9A" w14:textId="77777777" w:rsidR="009B39A7" w:rsidRDefault="009B39A7" w:rsidP="006F55B8">
      <w:pPr>
        <w:pStyle w:val="tytuwykresu"/>
        <w:rPr>
          <w:noProof/>
          <w:lang w:eastAsia="pl-PL"/>
        </w:rPr>
      </w:pPr>
    </w:p>
    <w:p w14:paraId="650EC8BA" w14:textId="77777777" w:rsidR="009B39A7" w:rsidRDefault="009B39A7" w:rsidP="006F55B8">
      <w:pPr>
        <w:pStyle w:val="tytuwykresu"/>
        <w:rPr>
          <w:noProof/>
          <w:lang w:eastAsia="pl-PL"/>
        </w:rPr>
      </w:pPr>
    </w:p>
    <w:p w14:paraId="0337641C" w14:textId="77777777" w:rsidR="009B39A7" w:rsidRDefault="009B39A7" w:rsidP="006F55B8">
      <w:pPr>
        <w:pStyle w:val="tytuwykresu"/>
        <w:rPr>
          <w:noProof/>
          <w:lang w:eastAsia="pl-PL"/>
        </w:rPr>
      </w:pPr>
    </w:p>
    <w:p w14:paraId="7F084628" w14:textId="77777777" w:rsidR="009B39A7" w:rsidRDefault="009B39A7" w:rsidP="006F55B8">
      <w:pPr>
        <w:pStyle w:val="tytuwykresu"/>
        <w:rPr>
          <w:noProof/>
          <w:lang w:eastAsia="pl-PL"/>
        </w:rPr>
      </w:pPr>
    </w:p>
    <w:p w14:paraId="7B787161" w14:textId="77777777" w:rsidR="009B39A7" w:rsidRDefault="009B39A7" w:rsidP="006F55B8">
      <w:pPr>
        <w:pStyle w:val="tytuwykresu"/>
        <w:rPr>
          <w:noProof/>
          <w:lang w:eastAsia="pl-PL"/>
        </w:rPr>
      </w:pPr>
    </w:p>
    <w:p w14:paraId="56A288F4" w14:textId="77777777" w:rsidR="009B39A7" w:rsidRDefault="009B39A7" w:rsidP="006F55B8">
      <w:pPr>
        <w:pStyle w:val="tytuwykresu"/>
        <w:rPr>
          <w:noProof/>
          <w:lang w:eastAsia="pl-PL"/>
        </w:rPr>
      </w:pPr>
    </w:p>
    <w:p w14:paraId="346CD614" w14:textId="77777777" w:rsidR="009B39A7" w:rsidRDefault="009B39A7" w:rsidP="006F55B8">
      <w:pPr>
        <w:pStyle w:val="tytuwykresu"/>
        <w:rPr>
          <w:noProof/>
          <w:lang w:eastAsia="pl-PL"/>
        </w:rPr>
      </w:pPr>
    </w:p>
    <w:p w14:paraId="4E5D8426" w14:textId="49F3C70F" w:rsidR="009B39A7" w:rsidRDefault="009B39A7" w:rsidP="006F55B8">
      <w:pPr>
        <w:pStyle w:val="tytuwykresu"/>
        <w:rPr>
          <w:noProof/>
          <w:lang w:eastAsia="pl-PL"/>
        </w:rPr>
      </w:pPr>
    </w:p>
    <w:p w14:paraId="44AF5165" w14:textId="28286424" w:rsidR="000805F6" w:rsidRDefault="000805F6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64736" behindDoc="0" locked="0" layoutInCell="1" allowOverlap="1" wp14:anchorId="12ADBF33" wp14:editId="25A104B9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F55B8">
        <w:rPr>
          <w:lang w:val="en-US"/>
        </w:rPr>
        <w:t>C</w:t>
      </w:r>
      <w:r w:rsidR="006F55B8" w:rsidRPr="00531555">
        <w:rPr>
          <w:lang w:val="en-US"/>
        </w:rPr>
        <w:t xml:space="preserve">hart </w:t>
      </w:r>
      <w:r w:rsidR="006F55B8">
        <w:rPr>
          <w:lang w:val="en-US"/>
        </w:rPr>
        <w:t>3</w:t>
      </w:r>
      <w:r w:rsidR="006F55B8" w:rsidRPr="00531555">
        <w:rPr>
          <w:lang w:val="en-US"/>
        </w:rPr>
        <w:t>.</w:t>
      </w:r>
      <w:r w:rsidR="006F55B8" w:rsidRPr="00531555">
        <w:rPr>
          <w:shd w:val="clear" w:color="auto" w:fill="FFFFFF"/>
          <w:lang w:val="en-US"/>
        </w:rPr>
        <w:t xml:space="preserve"> </w:t>
      </w:r>
      <w:r w:rsidR="006F55B8">
        <w:rPr>
          <w:shd w:val="clear" w:color="auto" w:fill="FFFFFF"/>
          <w:lang w:val="en-US"/>
        </w:rPr>
        <w:t>P</w:t>
      </w:r>
      <w:r w:rsidR="006F55B8">
        <w:rPr>
          <w:bCs/>
          <w:shd w:val="clear" w:color="auto" w:fill="FFFFFF"/>
          <w:lang w:val="en-US"/>
        </w:rPr>
        <w:t>rices  of production and assembly construction in 2018</w:t>
      </w:r>
      <w:r w:rsidR="006F55B8" w:rsidRPr="0083355E">
        <w:rPr>
          <w:bCs/>
          <w:shd w:val="clear" w:color="auto" w:fill="FFFFFF"/>
          <w:lang w:val="en-US"/>
        </w:rPr>
        <w:t>-201</w:t>
      </w:r>
      <w:r w:rsidR="006F55B8">
        <w:rPr>
          <w:bCs/>
          <w:shd w:val="clear" w:color="auto" w:fill="FFFFFF"/>
          <w:lang w:val="en-US"/>
        </w:rPr>
        <w:t>9 (XII 2017 = 100)</w:t>
      </w:r>
    </w:p>
    <w:p w14:paraId="68F62341" w14:textId="3B346512" w:rsidR="000805F6" w:rsidRDefault="000805F6" w:rsidP="006F55B8">
      <w:pPr>
        <w:pStyle w:val="tytuwykresu"/>
        <w:rPr>
          <w:bCs/>
          <w:shd w:val="clear" w:color="auto" w:fill="FFFFFF"/>
          <w:lang w:val="en-US"/>
        </w:rPr>
      </w:pPr>
    </w:p>
    <w:p w14:paraId="0C66F470" w14:textId="799291AC" w:rsidR="00D96F6E" w:rsidRDefault="006F55B8" w:rsidP="000805F6">
      <w:pPr>
        <w:pStyle w:val="tytuwykresu"/>
        <w:rPr>
          <w:lang w:val="en-US"/>
        </w:rPr>
      </w:pPr>
      <w:r w:rsidRPr="008F2B24">
        <w:rPr>
          <w:noProof/>
          <w:lang w:val="en-US" w:eastAsia="pl-PL"/>
        </w:rPr>
        <w:t xml:space="preserve"> </w:t>
      </w:r>
      <w:r w:rsidR="00D96F6E">
        <w:rPr>
          <w:lang w:val="en-US"/>
        </w:rPr>
        <w:t xml:space="preserve">              </w:t>
      </w:r>
    </w:p>
    <w:p w14:paraId="77945DFB" w14:textId="77777777" w:rsidR="009B39A7" w:rsidRDefault="009B39A7" w:rsidP="00E76D26">
      <w:pPr>
        <w:rPr>
          <w:sz w:val="18"/>
          <w:lang w:val="en-US"/>
        </w:rPr>
      </w:pPr>
    </w:p>
    <w:p w14:paraId="11E663EB" w14:textId="77777777" w:rsidR="009B39A7" w:rsidRDefault="009B39A7" w:rsidP="00E76D26">
      <w:pPr>
        <w:rPr>
          <w:sz w:val="18"/>
          <w:lang w:val="en-US"/>
        </w:rPr>
      </w:pPr>
    </w:p>
    <w:p w14:paraId="7772E6D0" w14:textId="77777777" w:rsidR="00D96F6E" w:rsidRDefault="00D96F6E" w:rsidP="00E76D26">
      <w:pPr>
        <w:rPr>
          <w:sz w:val="18"/>
          <w:lang w:val="en-US"/>
        </w:rPr>
      </w:pPr>
    </w:p>
    <w:p w14:paraId="0FD8B061" w14:textId="05BBB5C7" w:rsidR="00D96F6E" w:rsidRDefault="00D96F6E" w:rsidP="00D96F6E">
      <w:pPr>
        <w:pStyle w:val="tytuwykresu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63712" behindDoc="0" locked="0" layoutInCell="1" allowOverlap="1" wp14:anchorId="06F32BF8" wp14:editId="39EA7B72">
            <wp:simplePos x="0" y="0"/>
            <wp:positionH relativeFrom="column">
              <wp:posOffset>-104775</wp:posOffset>
            </wp:positionH>
            <wp:positionV relativeFrom="paragraph">
              <wp:posOffset>269240</wp:posOffset>
            </wp:positionV>
            <wp:extent cx="4876800" cy="3867150"/>
            <wp:effectExtent l="0" t="0" r="0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Pr="0083355E">
        <w:rPr>
          <w:shd w:val="clear" w:color="auto" w:fill="FFFFFF"/>
          <w:lang w:val="en-US"/>
        </w:rPr>
        <w:t xml:space="preserve"> </w:t>
      </w:r>
      <w:r w:rsidRPr="00531555">
        <w:rPr>
          <w:lang w:val="en-US"/>
        </w:rPr>
        <w:t xml:space="preserve">Chart </w:t>
      </w:r>
      <w:r>
        <w:rPr>
          <w:lang w:val="en-US"/>
        </w:rPr>
        <w:t>4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 w:rsidRPr="0083355E">
        <w:rPr>
          <w:bCs/>
          <w:shd w:val="clear" w:color="auto" w:fill="FFFFFF"/>
          <w:lang w:val="en-US"/>
        </w:rPr>
        <w:t xml:space="preserve">rices of  production </w:t>
      </w:r>
      <w:r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 </w:t>
      </w:r>
      <w:r>
        <w:rPr>
          <w:bCs/>
          <w:shd w:val="clear" w:color="auto" w:fill="FFFFFF"/>
          <w:lang w:val="en-US"/>
        </w:rPr>
        <w:t xml:space="preserve"> in 2018-2019 (XII 2017 = 100)</w:t>
      </w:r>
      <w:r w:rsidRPr="008F2B24">
        <w:rPr>
          <w:noProof/>
          <w:lang w:val="en-US" w:eastAsia="pl-PL"/>
        </w:rPr>
        <w:t xml:space="preserve"> </w:t>
      </w: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A54904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A54904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Bożena Kudelska</w:t>
            </w:r>
          </w:p>
          <w:p w14:paraId="64708640" w14:textId="072D5AE8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83355E" w:rsidRPr="0083355E">
              <w:rPr>
                <w:rStyle w:val="Hipercze"/>
                <w:rFonts w:ascii="Fira Sans" w:hAnsi="Fira Sans" w:cs="Arial"/>
                <w:b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23B58EA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,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A54904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24D12B48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22 608 34 91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3B1419D2" w:rsidR="000470AA" w:rsidRPr="00531555" w:rsidRDefault="008F7774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2" w:history="1">
              <w:r w:rsidRPr="00531555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0C8C3A36" w:rsidR="00AB6D25" w:rsidRPr="00531555" w:rsidRDefault="00BC4B5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BC4B5D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BC4B5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BC4B5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BC4B5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31555" w:rsidRDefault="00BC4B5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0C8C3A36" w:rsidR="00AB6D25" w:rsidRPr="00531555" w:rsidRDefault="0047392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47392F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47392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47392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47392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31555" w:rsidRDefault="0047392F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BEE8F" w14:textId="77777777" w:rsidR="00BC4B5D" w:rsidRDefault="00BC4B5D" w:rsidP="000662E2">
      <w:pPr>
        <w:spacing w:after="0" w:line="240" w:lineRule="auto"/>
      </w:pPr>
      <w:r>
        <w:separator/>
      </w:r>
    </w:p>
  </w:endnote>
  <w:endnote w:type="continuationSeparator" w:id="0">
    <w:p w14:paraId="1D32332E" w14:textId="77777777" w:rsidR="00BC4B5D" w:rsidRDefault="00BC4B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8E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B5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8E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1440" w14:textId="77777777" w:rsidR="00BC4B5D" w:rsidRDefault="00BC4B5D" w:rsidP="000662E2">
      <w:pPr>
        <w:spacing w:after="0" w:line="240" w:lineRule="auto"/>
      </w:pPr>
      <w:r>
        <w:separator/>
      </w:r>
    </w:p>
  </w:footnote>
  <w:footnote w:type="continuationSeparator" w:id="0">
    <w:p w14:paraId="13161ED7" w14:textId="77777777" w:rsidR="00BC4B5D" w:rsidRDefault="00BC4B5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0FD5E399" w:rsidR="00F37172" w:rsidRPr="00C97596" w:rsidRDefault="00A5490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0FD5E399" w:rsidR="00F37172" w:rsidRPr="00C97596" w:rsidRDefault="00A5490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5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52F5"/>
    <w:rsid w:val="0004582E"/>
    <w:rsid w:val="000470AA"/>
    <w:rsid w:val="00057CA1"/>
    <w:rsid w:val="000662E2"/>
    <w:rsid w:val="00066883"/>
    <w:rsid w:val="00074DD8"/>
    <w:rsid w:val="000805F6"/>
    <w:rsid w:val="000806F7"/>
    <w:rsid w:val="00082F1E"/>
    <w:rsid w:val="00097C14"/>
    <w:rsid w:val="000B0727"/>
    <w:rsid w:val="000C0DD6"/>
    <w:rsid w:val="000C135D"/>
    <w:rsid w:val="000C3EB1"/>
    <w:rsid w:val="000C608B"/>
    <w:rsid w:val="000D1D43"/>
    <w:rsid w:val="000D225C"/>
    <w:rsid w:val="000D2A5C"/>
    <w:rsid w:val="000E0918"/>
    <w:rsid w:val="001011C3"/>
    <w:rsid w:val="00110D87"/>
    <w:rsid w:val="00114DB9"/>
    <w:rsid w:val="00116087"/>
    <w:rsid w:val="00125748"/>
    <w:rsid w:val="00130296"/>
    <w:rsid w:val="001423B6"/>
    <w:rsid w:val="001448A7"/>
    <w:rsid w:val="00146621"/>
    <w:rsid w:val="00162325"/>
    <w:rsid w:val="00167C74"/>
    <w:rsid w:val="0018777B"/>
    <w:rsid w:val="001951DA"/>
    <w:rsid w:val="00195933"/>
    <w:rsid w:val="00196D4F"/>
    <w:rsid w:val="00197AA7"/>
    <w:rsid w:val="001C3269"/>
    <w:rsid w:val="001C3CE7"/>
    <w:rsid w:val="001D1DB4"/>
    <w:rsid w:val="001D2736"/>
    <w:rsid w:val="001E4B0C"/>
    <w:rsid w:val="00205287"/>
    <w:rsid w:val="00223CE0"/>
    <w:rsid w:val="00230F07"/>
    <w:rsid w:val="002574F9"/>
    <w:rsid w:val="00262B61"/>
    <w:rsid w:val="00276811"/>
    <w:rsid w:val="00282699"/>
    <w:rsid w:val="002926DF"/>
    <w:rsid w:val="00296697"/>
    <w:rsid w:val="002A2462"/>
    <w:rsid w:val="002B0472"/>
    <w:rsid w:val="002B6B12"/>
    <w:rsid w:val="002E6140"/>
    <w:rsid w:val="002E6985"/>
    <w:rsid w:val="002E71B6"/>
    <w:rsid w:val="002F77C8"/>
    <w:rsid w:val="00304F22"/>
    <w:rsid w:val="00306C7C"/>
    <w:rsid w:val="00322EDD"/>
    <w:rsid w:val="00332320"/>
    <w:rsid w:val="00333B3F"/>
    <w:rsid w:val="00347D72"/>
    <w:rsid w:val="00357611"/>
    <w:rsid w:val="003618EA"/>
    <w:rsid w:val="00367237"/>
    <w:rsid w:val="0037077F"/>
    <w:rsid w:val="00372411"/>
    <w:rsid w:val="00373882"/>
    <w:rsid w:val="003843DB"/>
    <w:rsid w:val="00393761"/>
    <w:rsid w:val="00397D18"/>
    <w:rsid w:val="003A1B26"/>
    <w:rsid w:val="003A1B36"/>
    <w:rsid w:val="003B0074"/>
    <w:rsid w:val="003B1454"/>
    <w:rsid w:val="003B18B6"/>
    <w:rsid w:val="003B4F3E"/>
    <w:rsid w:val="003C59E0"/>
    <w:rsid w:val="003C6C8D"/>
    <w:rsid w:val="003D4F95"/>
    <w:rsid w:val="003D5F42"/>
    <w:rsid w:val="003D60A9"/>
    <w:rsid w:val="003F4C97"/>
    <w:rsid w:val="003F7852"/>
    <w:rsid w:val="003F7FE6"/>
    <w:rsid w:val="00400193"/>
    <w:rsid w:val="004018BB"/>
    <w:rsid w:val="004212E7"/>
    <w:rsid w:val="0042446D"/>
    <w:rsid w:val="00427BF8"/>
    <w:rsid w:val="00431C02"/>
    <w:rsid w:val="00435998"/>
    <w:rsid w:val="00437395"/>
    <w:rsid w:val="00443A79"/>
    <w:rsid w:val="004445F9"/>
    <w:rsid w:val="00445047"/>
    <w:rsid w:val="00463E39"/>
    <w:rsid w:val="004657FC"/>
    <w:rsid w:val="00471E99"/>
    <w:rsid w:val="004733F6"/>
    <w:rsid w:val="00473616"/>
    <w:rsid w:val="0047392F"/>
    <w:rsid w:val="00474E69"/>
    <w:rsid w:val="00484DC2"/>
    <w:rsid w:val="0049621B"/>
    <w:rsid w:val="004C1895"/>
    <w:rsid w:val="004C6D40"/>
    <w:rsid w:val="004C7F1E"/>
    <w:rsid w:val="004F0C3C"/>
    <w:rsid w:val="004F63FC"/>
    <w:rsid w:val="00505A92"/>
    <w:rsid w:val="00514136"/>
    <w:rsid w:val="005203F1"/>
    <w:rsid w:val="00521BC3"/>
    <w:rsid w:val="00531555"/>
    <w:rsid w:val="00533632"/>
    <w:rsid w:val="005358DD"/>
    <w:rsid w:val="00541E6E"/>
    <w:rsid w:val="0054251F"/>
    <w:rsid w:val="005520D8"/>
    <w:rsid w:val="005558BF"/>
    <w:rsid w:val="00556CF1"/>
    <w:rsid w:val="005762A7"/>
    <w:rsid w:val="00584E2A"/>
    <w:rsid w:val="005916D7"/>
    <w:rsid w:val="005A698C"/>
    <w:rsid w:val="005C0CF9"/>
    <w:rsid w:val="005E0799"/>
    <w:rsid w:val="005F5A80"/>
    <w:rsid w:val="00603974"/>
    <w:rsid w:val="00603AB4"/>
    <w:rsid w:val="006044FF"/>
    <w:rsid w:val="0060659E"/>
    <w:rsid w:val="0060693B"/>
    <w:rsid w:val="00607CC5"/>
    <w:rsid w:val="00633014"/>
    <w:rsid w:val="0063437B"/>
    <w:rsid w:val="006556AD"/>
    <w:rsid w:val="006673CA"/>
    <w:rsid w:val="00673C26"/>
    <w:rsid w:val="006812AF"/>
    <w:rsid w:val="0068327D"/>
    <w:rsid w:val="00687A52"/>
    <w:rsid w:val="00694AF0"/>
    <w:rsid w:val="006A4686"/>
    <w:rsid w:val="006B0E9E"/>
    <w:rsid w:val="006B5AE4"/>
    <w:rsid w:val="006B73D3"/>
    <w:rsid w:val="006D1507"/>
    <w:rsid w:val="006D4054"/>
    <w:rsid w:val="006E02EC"/>
    <w:rsid w:val="006F55B8"/>
    <w:rsid w:val="00712574"/>
    <w:rsid w:val="007211B1"/>
    <w:rsid w:val="0073223E"/>
    <w:rsid w:val="00732B91"/>
    <w:rsid w:val="00746187"/>
    <w:rsid w:val="00751774"/>
    <w:rsid w:val="0076254F"/>
    <w:rsid w:val="007801F5"/>
    <w:rsid w:val="00783CA4"/>
    <w:rsid w:val="007842FB"/>
    <w:rsid w:val="00786124"/>
    <w:rsid w:val="00787D07"/>
    <w:rsid w:val="0079514B"/>
    <w:rsid w:val="007A2DC1"/>
    <w:rsid w:val="007D298F"/>
    <w:rsid w:val="007D3319"/>
    <w:rsid w:val="007D335D"/>
    <w:rsid w:val="007E3314"/>
    <w:rsid w:val="007E4B03"/>
    <w:rsid w:val="007F324B"/>
    <w:rsid w:val="0080553C"/>
    <w:rsid w:val="00805B46"/>
    <w:rsid w:val="00813037"/>
    <w:rsid w:val="00825064"/>
    <w:rsid w:val="00825DC2"/>
    <w:rsid w:val="0083355E"/>
    <w:rsid w:val="00834AD3"/>
    <w:rsid w:val="00843795"/>
    <w:rsid w:val="00847F0F"/>
    <w:rsid w:val="00850905"/>
    <w:rsid w:val="00852448"/>
    <w:rsid w:val="0086541C"/>
    <w:rsid w:val="0088258A"/>
    <w:rsid w:val="00886332"/>
    <w:rsid w:val="00886BE8"/>
    <w:rsid w:val="008A26D9"/>
    <w:rsid w:val="008B385C"/>
    <w:rsid w:val="008C0C29"/>
    <w:rsid w:val="008C2E19"/>
    <w:rsid w:val="008D0448"/>
    <w:rsid w:val="008D6C4E"/>
    <w:rsid w:val="008F2B24"/>
    <w:rsid w:val="008F3638"/>
    <w:rsid w:val="008F4441"/>
    <w:rsid w:val="008F6F31"/>
    <w:rsid w:val="008F74DF"/>
    <w:rsid w:val="008F7774"/>
    <w:rsid w:val="0090601B"/>
    <w:rsid w:val="00906E46"/>
    <w:rsid w:val="009127BA"/>
    <w:rsid w:val="00915AA6"/>
    <w:rsid w:val="009227A6"/>
    <w:rsid w:val="00933EC1"/>
    <w:rsid w:val="009525E4"/>
    <w:rsid w:val="009530DB"/>
    <w:rsid w:val="00953676"/>
    <w:rsid w:val="0095512A"/>
    <w:rsid w:val="009705EE"/>
    <w:rsid w:val="00977927"/>
    <w:rsid w:val="0098135C"/>
    <w:rsid w:val="0098156A"/>
    <w:rsid w:val="00982727"/>
    <w:rsid w:val="00991BAC"/>
    <w:rsid w:val="0099400C"/>
    <w:rsid w:val="009A6EA0"/>
    <w:rsid w:val="009B39A7"/>
    <w:rsid w:val="009C1335"/>
    <w:rsid w:val="009C1AB2"/>
    <w:rsid w:val="009C7251"/>
    <w:rsid w:val="009D64FA"/>
    <w:rsid w:val="009E2E91"/>
    <w:rsid w:val="009E356D"/>
    <w:rsid w:val="009F5750"/>
    <w:rsid w:val="00A00F56"/>
    <w:rsid w:val="00A13733"/>
    <w:rsid w:val="00A139F5"/>
    <w:rsid w:val="00A365F4"/>
    <w:rsid w:val="00A37DA6"/>
    <w:rsid w:val="00A47D80"/>
    <w:rsid w:val="00A53132"/>
    <w:rsid w:val="00A54904"/>
    <w:rsid w:val="00A563F2"/>
    <w:rsid w:val="00A566E8"/>
    <w:rsid w:val="00A72C79"/>
    <w:rsid w:val="00A810F9"/>
    <w:rsid w:val="00A83EA9"/>
    <w:rsid w:val="00A86ECC"/>
    <w:rsid w:val="00A86FCC"/>
    <w:rsid w:val="00AA710D"/>
    <w:rsid w:val="00AB5DFF"/>
    <w:rsid w:val="00AB6D25"/>
    <w:rsid w:val="00AC3FCE"/>
    <w:rsid w:val="00AE2D4B"/>
    <w:rsid w:val="00AE4F99"/>
    <w:rsid w:val="00B06899"/>
    <w:rsid w:val="00B073E7"/>
    <w:rsid w:val="00B1321E"/>
    <w:rsid w:val="00B14952"/>
    <w:rsid w:val="00B31BD3"/>
    <w:rsid w:val="00B31E5A"/>
    <w:rsid w:val="00B41FEB"/>
    <w:rsid w:val="00B653AB"/>
    <w:rsid w:val="00B65F9E"/>
    <w:rsid w:val="00B66B19"/>
    <w:rsid w:val="00B73953"/>
    <w:rsid w:val="00B753D0"/>
    <w:rsid w:val="00B914E9"/>
    <w:rsid w:val="00B956EE"/>
    <w:rsid w:val="00BA2BA1"/>
    <w:rsid w:val="00BA7F82"/>
    <w:rsid w:val="00BB4F09"/>
    <w:rsid w:val="00BB6B23"/>
    <w:rsid w:val="00BC4B5D"/>
    <w:rsid w:val="00BD4E33"/>
    <w:rsid w:val="00C030DE"/>
    <w:rsid w:val="00C22105"/>
    <w:rsid w:val="00C244B6"/>
    <w:rsid w:val="00C3702F"/>
    <w:rsid w:val="00C64A37"/>
    <w:rsid w:val="00C7158E"/>
    <w:rsid w:val="00C7250B"/>
    <w:rsid w:val="00C7346B"/>
    <w:rsid w:val="00C77C0E"/>
    <w:rsid w:val="00C87CEA"/>
    <w:rsid w:val="00C91687"/>
    <w:rsid w:val="00C924A8"/>
    <w:rsid w:val="00C945FE"/>
    <w:rsid w:val="00C96FAA"/>
    <w:rsid w:val="00C97A04"/>
    <w:rsid w:val="00CA09D7"/>
    <w:rsid w:val="00CA107B"/>
    <w:rsid w:val="00CA484D"/>
    <w:rsid w:val="00CA4FB6"/>
    <w:rsid w:val="00CA5963"/>
    <w:rsid w:val="00CB41A7"/>
    <w:rsid w:val="00CC739E"/>
    <w:rsid w:val="00CD58B7"/>
    <w:rsid w:val="00CE5148"/>
    <w:rsid w:val="00CF4099"/>
    <w:rsid w:val="00D00796"/>
    <w:rsid w:val="00D261A2"/>
    <w:rsid w:val="00D424A9"/>
    <w:rsid w:val="00D616D2"/>
    <w:rsid w:val="00D63B5F"/>
    <w:rsid w:val="00D64203"/>
    <w:rsid w:val="00D70EF7"/>
    <w:rsid w:val="00D76810"/>
    <w:rsid w:val="00D83409"/>
    <w:rsid w:val="00D8397C"/>
    <w:rsid w:val="00D94EED"/>
    <w:rsid w:val="00D96026"/>
    <w:rsid w:val="00D96F6E"/>
    <w:rsid w:val="00DA7C1C"/>
    <w:rsid w:val="00DB01D8"/>
    <w:rsid w:val="00DB0F04"/>
    <w:rsid w:val="00DB147A"/>
    <w:rsid w:val="00DB1B7A"/>
    <w:rsid w:val="00DC6708"/>
    <w:rsid w:val="00DD249C"/>
    <w:rsid w:val="00DE3CDB"/>
    <w:rsid w:val="00E01436"/>
    <w:rsid w:val="00E02C07"/>
    <w:rsid w:val="00E045BD"/>
    <w:rsid w:val="00E11F26"/>
    <w:rsid w:val="00E146A4"/>
    <w:rsid w:val="00E17B77"/>
    <w:rsid w:val="00E23103"/>
    <w:rsid w:val="00E23337"/>
    <w:rsid w:val="00E259EA"/>
    <w:rsid w:val="00E32061"/>
    <w:rsid w:val="00E37DC4"/>
    <w:rsid w:val="00E42FF9"/>
    <w:rsid w:val="00E4714C"/>
    <w:rsid w:val="00E51AEB"/>
    <w:rsid w:val="00E522A7"/>
    <w:rsid w:val="00E54452"/>
    <w:rsid w:val="00E664C5"/>
    <w:rsid w:val="00E671A2"/>
    <w:rsid w:val="00E76D26"/>
    <w:rsid w:val="00EB1390"/>
    <w:rsid w:val="00EB2325"/>
    <w:rsid w:val="00EB2C71"/>
    <w:rsid w:val="00EB4340"/>
    <w:rsid w:val="00EB556D"/>
    <w:rsid w:val="00EB5A7D"/>
    <w:rsid w:val="00EC7E5A"/>
    <w:rsid w:val="00ED55C0"/>
    <w:rsid w:val="00ED682B"/>
    <w:rsid w:val="00EE41D5"/>
    <w:rsid w:val="00EF37FF"/>
    <w:rsid w:val="00F037A4"/>
    <w:rsid w:val="00F27C8F"/>
    <w:rsid w:val="00F31EE3"/>
    <w:rsid w:val="00F32749"/>
    <w:rsid w:val="00F37172"/>
    <w:rsid w:val="00F4477E"/>
    <w:rsid w:val="00F670E8"/>
    <w:rsid w:val="00F67D8F"/>
    <w:rsid w:val="00F802BE"/>
    <w:rsid w:val="00F86024"/>
    <w:rsid w:val="00F8611A"/>
    <w:rsid w:val="00F93261"/>
    <w:rsid w:val="00FA5128"/>
    <w:rsid w:val="00FB1F6C"/>
    <w:rsid w:val="00FB3EAE"/>
    <w:rsid w:val="00FB42D4"/>
    <w:rsid w:val="00FB5906"/>
    <w:rsid w:val="00FB762F"/>
    <w:rsid w:val="00FC2AED"/>
    <w:rsid w:val="00FC4EF3"/>
    <w:rsid w:val="00FD5EA7"/>
    <w:rsid w:val="00FE125F"/>
    <w:rsid w:val="00FE2C94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://stat.gov.pl/en/topics/other-studies/informations-on-socio-economic-situation/statistical-bulletin-no-122017,4,83.html" TargetMode="External"/><Relationship Id="rId39" Type="http://schemas.openxmlformats.org/officeDocument/2006/relationships/footer" Target="footer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en/topics/other-studies/informations-on-socio-economic-situation/statistical-bulletin-no-122017,4,83.html" TargetMode="External"/><Relationship Id="rId37" Type="http://schemas.openxmlformats.org/officeDocument/2006/relationships/hyperlink" Target="http://stat.gov.pl/en/metainformations/glossary/terms-used-in-official-statistics/709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tycze&#324;\WYKRESY\WST01'19_20.02.2019_wyk1_wyk2_bud_AN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tycze&#324;\WYKRESY\WST01'19_20.02.2019_wyk1_wyk2_bud_ANG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stycze&#324;\WYKRESY_ANG\WST01'19_20.02.2019_wyk1_wyk2_wyk3_bud_ANG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9\Internet\stycze&#324;\WYKRESY\WST1'19_20.02.2019_wyk.4_bud_AN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BM_MC!$A$9:$B$21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BM_MC!$C$9:$C$21</c:f>
              <c:numCache>
                <c:formatCode>0.0</c:formatCode>
                <c:ptCount val="13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03965888"/>
        <c:axId val="-1903959904"/>
      </c:lineChart>
      <c:catAx>
        <c:axId val="-1903965888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3959904"/>
        <c:crosses val="autoZero"/>
        <c:auto val="0"/>
        <c:lblAlgn val="ctr"/>
        <c:lblOffset val="12"/>
        <c:noMultiLvlLbl val="0"/>
      </c:catAx>
      <c:valAx>
        <c:axId val="-1903959904"/>
        <c:scaling>
          <c:orientation val="minMax"/>
          <c:max val="0.60000000000000009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3965888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BM_AN!$A$10:$B$22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BM_AN!$C$10:$C$22</c:f>
              <c:numCache>
                <c:formatCode>0.0</c:formatCode>
                <c:ptCount val="13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03964800"/>
        <c:axId val="-1903952288"/>
      </c:lineChart>
      <c:catAx>
        <c:axId val="-190396480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3952288"/>
        <c:crossesAt val="0"/>
        <c:auto val="0"/>
        <c:lblAlgn val="ctr"/>
        <c:lblOffset val="12"/>
        <c:tickLblSkip val="1"/>
        <c:noMultiLvlLbl val="0"/>
      </c:catAx>
      <c:valAx>
        <c:axId val="-1903952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3964800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dLbls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3'!$A$10:$B$22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3'!$C$10:$C$22</c:f>
              <c:numCache>
                <c:formatCode>0.0</c:formatCode>
                <c:ptCount val="13"/>
                <c:pt idx="0" formatCode="General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101.1</c:v>
                </c:pt>
                <c:pt idx="5" formatCode="General">
                  <c:v>101.5</c:v>
                </c:pt>
                <c:pt idx="6" formatCode="General">
                  <c:v>101.8</c:v>
                </c:pt>
                <c:pt idx="7" formatCode="General">
                  <c:v>102.1</c:v>
                </c:pt>
                <c:pt idx="8">
                  <c:v>102.5</c:v>
                </c:pt>
                <c:pt idx="9" formatCode="General">
                  <c:v>102.9</c:v>
                </c:pt>
                <c:pt idx="10" formatCode="General">
                  <c:v>103.3</c:v>
                </c:pt>
                <c:pt idx="11" formatCode="General">
                  <c:v>103.7</c:v>
                </c:pt>
                <c:pt idx="12" formatCode="General">
                  <c:v>103.9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03962080"/>
        <c:axId val="-1903967520"/>
      </c:lineChart>
      <c:catAx>
        <c:axId val="-190396208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3967520"/>
        <c:crossesAt val="0"/>
        <c:auto val="0"/>
        <c:lblAlgn val="ctr"/>
        <c:lblOffset val="12"/>
        <c:tickLblSkip val="1"/>
        <c:noMultiLvlLbl val="0"/>
      </c:catAx>
      <c:valAx>
        <c:axId val="-1903967520"/>
        <c:scaling>
          <c:orientation val="minMax"/>
          <c:max val="104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903962080"/>
        <c:crossesAt val="1"/>
        <c:crossBetween val="midCat"/>
        <c:majorUnit val="1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prices of construction and assembly production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2"/>
              <c:layout>
                <c:manualLayout>
                  <c:x val="8.59375E-2"/>
                  <c:y val="1.9704433497536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wyk4_bud!$A$6:$B$18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wyk4_bud!$C$6:$C$18</c:f>
              <c:numCache>
                <c:formatCode>General</c:formatCode>
                <c:ptCount val="13"/>
                <c:pt idx="0" formatCode="0.0">
                  <c:v>100.1</c:v>
                </c:pt>
                <c:pt idx="1">
                  <c:v>100.2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  <c:pt idx="9">
                  <c:v>102.9</c:v>
                </c:pt>
                <c:pt idx="10">
                  <c:v>103.3</c:v>
                </c:pt>
                <c:pt idx="11">
                  <c:v>103.7</c:v>
                </c:pt>
                <c:pt idx="12" formatCode="0.0">
                  <c:v>103.9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903959360"/>
        <c:axId val="-190395772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construction of buildings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3.6458333333333141E-2"/>
                  <c:y val="-3.28407224958949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wyk4_bud!$D$6:$D$18</c:f>
              <c:numCache>
                <c:formatCode>0.0</c:formatCode>
                <c:ptCount val="13"/>
                <c:pt idx="0">
                  <c:v>100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102.6</c:v>
                </c:pt>
                <c:pt idx="9">
                  <c:v>103.1</c:v>
                </c:pt>
                <c:pt idx="10">
                  <c:v>103.5</c:v>
                </c:pt>
                <c:pt idx="11">
                  <c:v>103.9</c:v>
                </c:pt>
                <c:pt idx="12">
                  <c:v>104.1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civil engineering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3.6458333333333141E-2"/>
                  <c:y val="-6.56814449917901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wyk4_bud!$E$6:$E$18</c:f>
              <c:numCache>
                <c:formatCode>0.0</c:formatCode>
                <c:ptCount val="13"/>
                <c:pt idx="0">
                  <c:v>100.1</c:v>
                </c:pt>
                <c:pt idx="1">
                  <c:v>100.3</c:v>
                </c:pt>
                <c:pt idx="2">
                  <c:v>100.6</c:v>
                </c:pt>
                <c:pt idx="3">
                  <c:v>100.9</c:v>
                </c:pt>
                <c:pt idx="4">
                  <c:v>101.3</c:v>
                </c:pt>
                <c:pt idx="5">
                  <c:v>101.6</c:v>
                </c:pt>
                <c:pt idx="6">
                  <c:v>101.9</c:v>
                </c:pt>
                <c:pt idx="7">
                  <c:v>102.2</c:v>
                </c:pt>
                <c:pt idx="8">
                  <c:v>102.5</c:v>
                </c:pt>
                <c:pt idx="9">
                  <c:v>102.8</c:v>
                </c:pt>
                <c:pt idx="10">
                  <c:v>103.2</c:v>
                </c:pt>
                <c:pt idx="11">
                  <c:v>103.5</c:v>
                </c:pt>
                <c:pt idx="12">
                  <c:v>103.5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specialised construction activities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12"/>
              <c:layout>
                <c:manualLayout>
                  <c:x val="3.3854166666666664E-2"/>
                  <c:y val="-3.2840722495895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wyk4_bud!$F$6:$F$18</c:f>
              <c:numCache>
                <c:formatCode>0.0</c:formatCode>
                <c:ptCount val="13"/>
                <c:pt idx="0">
                  <c:v>100.1</c:v>
                </c:pt>
                <c:pt idx="1">
                  <c:v>100.1</c:v>
                </c:pt>
                <c:pt idx="2">
                  <c:v>100.3</c:v>
                </c:pt>
                <c:pt idx="3">
                  <c:v>100.5</c:v>
                </c:pt>
                <c:pt idx="4">
                  <c:v>100.7</c:v>
                </c:pt>
                <c:pt idx="5">
                  <c:v>101</c:v>
                </c:pt>
                <c:pt idx="6">
                  <c:v>101.3</c:v>
                </c:pt>
                <c:pt idx="7">
                  <c:v>101.5</c:v>
                </c:pt>
                <c:pt idx="8">
                  <c:v>101.9</c:v>
                </c:pt>
                <c:pt idx="9">
                  <c:v>102.3</c:v>
                </c:pt>
                <c:pt idx="10">
                  <c:v>102.6</c:v>
                </c:pt>
                <c:pt idx="11">
                  <c:v>102.8</c:v>
                </c:pt>
                <c:pt idx="12">
                  <c:v>103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903959360"/>
        <c:axId val="-1903957728"/>
      </c:lineChart>
      <c:catAx>
        <c:axId val="-1903959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-190395772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-190395772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-190395936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25E-3"/>
          <c:y val="0.75615763546798032"/>
          <c:w val="0.982421875"/>
          <c:h val="0.2364532019704433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0.01488</cdr:x>
      <cdr:y>0.02365</cdr:y>
    </cdr:from>
    <cdr:to>
      <cdr:x>0.06129</cdr:x>
      <cdr:y>0.108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6200" y="66675"/>
          <a:ext cx="237765" cy="237765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0.06269</cdr:x>
      <cdr:y>0.04433</cdr:y>
    </cdr:from>
    <cdr:to>
      <cdr:x>0.125</cdr:x>
      <cdr:y>0.10837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5726" y="171449"/>
          <a:ext cx="303873" cy="2476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69630F-E97B-46D8-A5C8-297FF2BC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2019-02-19T09:29:00Z</cp:lastPrinted>
  <dcterms:created xsi:type="dcterms:W3CDTF">2019-02-20T10:24:00Z</dcterms:created>
  <dcterms:modified xsi:type="dcterms:W3CDTF">2019-02-20T10:24:00Z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