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1DADED62" w:rsidR="003F3148" w:rsidRPr="009B4F76" w:rsidRDefault="00CE21C4" w:rsidP="00984102">
      <w:pPr>
        <w:pStyle w:val="tytuinformacji"/>
        <w:spacing w:after="20"/>
        <w:rPr>
          <w:shd w:val="clear" w:color="auto" w:fill="FFFFFF"/>
          <w:lang w:val="en-US"/>
        </w:rPr>
      </w:pPr>
      <w:r w:rsidRPr="009B4F76">
        <w:rPr>
          <w:shd w:val="clear" w:color="auto" w:fill="FFFFFF"/>
          <w:lang w:val="en-GB"/>
        </w:rPr>
        <w:t>Index</w:t>
      </w:r>
      <w:bookmarkStart w:id="0" w:name="_GoBack"/>
      <w:bookmarkEnd w:id="0"/>
      <w:r w:rsidRPr="009B4F76">
        <w:rPr>
          <w:shd w:val="clear" w:color="auto" w:fill="FFFFFF"/>
          <w:lang w:val="en-GB"/>
        </w:rPr>
        <w:t xml:space="preserve"> number</w:t>
      </w:r>
      <w:r w:rsidR="006A168E" w:rsidRPr="009B4F76">
        <w:rPr>
          <w:shd w:val="clear" w:color="auto" w:fill="FFFFFF"/>
          <w:lang w:val="en-GB"/>
        </w:rPr>
        <w:t>s</w:t>
      </w:r>
      <w:r w:rsidRPr="009B4F76">
        <w:rPr>
          <w:shd w:val="clear" w:color="auto" w:fill="FFFFFF"/>
          <w:lang w:val="en-GB"/>
        </w:rPr>
        <w:t xml:space="preserve"> of construction and assembly production in January</w:t>
      </w:r>
      <w:r w:rsidRPr="009B4F76">
        <w:rPr>
          <w:shd w:val="clear" w:color="auto" w:fill="FFFFFF"/>
          <w:lang w:val="en-US"/>
        </w:rPr>
        <w:t xml:space="preserve"> 2019</w:t>
      </w:r>
      <w:r w:rsidR="0048597E" w:rsidRPr="009B4F76">
        <w:rPr>
          <w:rStyle w:val="Odwoanieprzypisudolnego"/>
          <w:shd w:val="clear" w:color="auto" w:fill="FFFFFF"/>
        </w:rPr>
        <w:footnoteReference w:id="1"/>
      </w:r>
    </w:p>
    <w:p w14:paraId="3EA5CEF5" w14:textId="4A9B6F88" w:rsidR="00393761" w:rsidRPr="00F65062" w:rsidRDefault="00410C85" w:rsidP="00410C85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7A015921" w14:textId="6C92ADCB" w:rsidR="00D94AE6" w:rsidRPr="00F65062" w:rsidRDefault="00D94AE6" w:rsidP="000C5181">
      <w:pPr>
        <w:pStyle w:val="LID"/>
        <w:spacing w:before="0" w:after="0"/>
        <w:jc w:val="both"/>
        <w:rPr>
          <w:lang w:val="en-US"/>
        </w:rPr>
      </w:pPr>
    </w:p>
    <w:p w14:paraId="20C535CF" w14:textId="0B5B0641" w:rsidR="00C768AA" w:rsidRPr="00F65062" w:rsidRDefault="006B3384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104C" w14:textId="3CE83412" w:rsidR="002D0E0C" w:rsidRPr="00F65062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E2247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C768AA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03</w:t>
                            </w:r>
                            <w:r w:rsidR="00CE21C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768AA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</w:p>
                          <w:p w14:paraId="36F1B6F2" w14:textId="2E286EC6" w:rsidR="00CE21C4" w:rsidRPr="008B6B17" w:rsidRDefault="00CE21C4" w:rsidP="00CE21C4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January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3ACCFE2A" w14:textId="1CCE71D5" w:rsidR="002D0E0C" w:rsidRPr="00F65062" w:rsidRDefault="002D0E0C" w:rsidP="00CE21C4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14:paraId="3F9B104C" w14:textId="3CE83412" w:rsidR="002D0E0C" w:rsidRPr="00F65062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E2247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C768AA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03</w:t>
                      </w:r>
                      <w:r w:rsidR="00CE21C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768AA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</w:p>
                    <w:p w14:paraId="36F1B6F2" w14:textId="2E286EC6" w:rsidR="00CE21C4" w:rsidRPr="008B6B17" w:rsidRDefault="00CE21C4" w:rsidP="00CE21C4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January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3ACCFE2A" w14:textId="1CCE71D5" w:rsidR="002D0E0C" w:rsidRPr="00F65062" w:rsidRDefault="002D0E0C" w:rsidP="00CE21C4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88A4" w14:textId="77777777" w:rsidR="00933EC1" w:rsidRPr="00B66B19" w:rsidRDefault="00B1490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9.55pt;height:27.7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3C78D87D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316163F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4D9A88A4" w14:textId="77777777" w:rsidR="00933EC1" w:rsidRPr="00B66B19" w:rsidRDefault="006143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85pt;height:27.4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3C78D87D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316163F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1CC" w:rsidRPr="008B6B17">
        <w:rPr>
          <w:lang w:val="en-US"/>
        </w:rPr>
        <w:t>In January of 201</w:t>
      </w:r>
      <w:r w:rsidR="000E51CC">
        <w:rPr>
          <w:lang w:val="en-US"/>
        </w:rPr>
        <w:t xml:space="preserve">9 construction and assembly production in constant prices was </w:t>
      </w:r>
      <w:r w:rsidR="000E51CC" w:rsidRPr="008B6B17">
        <w:rPr>
          <w:lang w:val="en-US"/>
        </w:rPr>
        <w:t xml:space="preserve">higher than in </w:t>
      </w:r>
      <w:r w:rsidR="000E51CC" w:rsidRPr="00A47753">
        <w:rPr>
          <w:lang w:val="en-GB"/>
        </w:rPr>
        <w:t>January of 201</w:t>
      </w:r>
      <w:r w:rsidR="000E51CC">
        <w:rPr>
          <w:lang w:val="en-GB"/>
        </w:rPr>
        <w:t>8.</w:t>
      </w:r>
    </w:p>
    <w:p w14:paraId="48AE128D" w14:textId="77777777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77777777" w:rsidR="00464E16" w:rsidRPr="00F65062" w:rsidRDefault="00464E16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</w:p>
    <w:p w14:paraId="4AE70BE2" w14:textId="0B6D1D67" w:rsidR="00E56C3B" w:rsidRDefault="00E56C3B" w:rsidP="00C768AA">
      <w:pPr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>According to preliminary data, construction and assembly production (in constant prices)  carried out domestically by construction enterprise</w:t>
      </w:r>
      <w:r w:rsidR="00F05668"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 January of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3.</w:t>
      </w:r>
      <w:r>
        <w:rPr>
          <w:shd w:val="clear" w:color="auto" w:fill="FFFFFF"/>
          <w:lang w:val="en-GB"/>
        </w:rPr>
        <w:t>2</w:t>
      </w:r>
      <w:r w:rsidRPr="00B05798">
        <w:rPr>
          <w:shd w:val="clear" w:color="auto" w:fill="FFFFFF"/>
          <w:lang w:val="en-GB"/>
        </w:rPr>
        <w:t xml:space="preserve">% higher than a year before </w:t>
      </w:r>
      <w:r w:rsidR="00B97879" w:rsidRPr="00124449">
        <w:rPr>
          <w:szCs w:val="19"/>
          <w:lang w:val="en-GB"/>
        </w:rPr>
        <w:t xml:space="preserve">(against an increase by </w:t>
      </w:r>
      <w:r w:rsidR="00B97879">
        <w:rPr>
          <w:szCs w:val="19"/>
          <w:lang w:val="en-GB"/>
        </w:rPr>
        <w:t>34</w:t>
      </w:r>
      <w:r w:rsidR="00B97879" w:rsidRPr="00124449">
        <w:rPr>
          <w:szCs w:val="19"/>
          <w:lang w:val="en-GB"/>
        </w:rPr>
        <w:t>.</w:t>
      </w:r>
      <w:r w:rsidR="00B97879">
        <w:rPr>
          <w:szCs w:val="19"/>
          <w:lang w:val="en-GB"/>
        </w:rPr>
        <w:t>7</w:t>
      </w:r>
      <w:r w:rsidR="00B97879" w:rsidRPr="00124449">
        <w:rPr>
          <w:szCs w:val="19"/>
          <w:lang w:val="en-GB"/>
        </w:rPr>
        <w:t xml:space="preserve">% the year before) </w:t>
      </w:r>
      <w:r w:rsidRPr="00B05798">
        <w:rPr>
          <w:shd w:val="clear" w:color="auto" w:fill="FFFFFF"/>
          <w:lang w:val="en-GB"/>
        </w:rPr>
        <w:t xml:space="preserve">and by </w:t>
      </w:r>
      <w:r>
        <w:rPr>
          <w:shd w:val="clear" w:color="auto" w:fill="FFFFFF"/>
          <w:lang w:val="en-GB"/>
        </w:rPr>
        <w:t>61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2</w:t>
      </w:r>
      <w:r w:rsidRPr="00B05798">
        <w:rPr>
          <w:shd w:val="clear" w:color="auto" w:fill="FFFFFF"/>
          <w:lang w:val="en-GB"/>
        </w:rPr>
        <w:t>% lower in comparison to December of 201</w:t>
      </w:r>
      <w:r>
        <w:rPr>
          <w:shd w:val="clear" w:color="auto" w:fill="FFFFFF"/>
          <w:lang w:val="en-GB"/>
        </w:rPr>
        <w:t>8</w:t>
      </w:r>
      <w:r w:rsidR="00B97879">
        <w:rPr>
          <w:shd w:val="clear" w:color="auto" w:fill="FFFFFF"/>
          <w:lang w:val="en-GB"/>
        </w:rPr>
        <w:t xml:space="preserve"> </w:t>
      </w:r>
      <w:r w:rsidR="00B97879" w:rsidRPr="00124449">
        <w:rPr>
          <w:szCs w:val="19"/>
          <w:lang w:val="en-GB"/>
        </w:rPr>
        <w:t xml:space="preserve">(against a </w:t>
      </w:r>
      <w:r w:rsidR="00A577C7" w:rsidRPr="000A0139">
        <w:rPr>
          <w:szCs w:val="19"/>
          <w:lang w:val="en-GB"/>
        </w:rPr>
        <w:t>decrease</w:t>
      </w:r>
      <w:r w:rsidR="00B97879" w:rsidRPr="00124449">
        <w:rPr>
          <w:szCs w:val="19"/>
          <w:lang w:val="en-GB"/>
        </w:rPr>
        <w:t xml:space="preserve"> by </w:t>
      </w:r>
      <w:r w:rsidR="00A577C7">
        <w:rPr>
          <w:szCs w:val="19"/>
          <w:lang w:val="en-GB"/>
        </w:rPr>
        <w:t>57.8</w:t>
      </w:r>
      <w:r w:rsidR="00B97879" w:rsidRPr="00124449">
        <w:rPr>
          <w:szCs w:val="19"/>
          <w:lang w:val="en-GB"/>
        </w:rPr>
        <w:t>% the year before)</w:t>
      </w:r>
      <w:r w:rsidRPr="00B05798">
        <w:rPr>
          <w:shd w:val="clear" w:color="auto" w:fill="FFFFFF"/>
          <w:lang w:val="en-GB"/>
        </w:rPr>
        <w:t xml:space="preserve">.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347881B3" w:rsidR="00FE2F2B" w:rsidRPr="00E15CEE" w:rsidRDefault="009253E6" w:rsidP="00E15CEE">
      <w:pPr>
        <w:pStyle w:val="LID"/>
        <w:rPr>
          <w:lang w:val="en-GB"/>
        </w:rPr>
      </w:pPr>
      <w:r w:rsidRPr="00001C5B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B091ED" wp14:editId="356D0DB3">
                <wp:simplePos x="0" y="0"/>
                <wp:positionH relativeFrom="column">
                  <wp:posOffset>5226685</wp:posOffset>
                </wp:positionH>
                <wp:positionV relativeFrom="paragraph">
                  <wp:posOffset>234315</wp:posOffset>
                </wp:positionV>
                <wp:extent cx="1864360" cy="1990725"/>
                <wp:effectExtent l="0" t="0" r="0" b="0"/>
                <wp:wrapTight wrapText="bothSides">
                  <wp:wrapPolygon edited="0">
                    <wp:start x="662" y="0"/>
                    <wp:lineTo x="662" y="21290"/>
                    <wp:lineTo x="20747" y="21290"/>
                    <wp:lineTo x="20747" y="0"/>
                    <wp:lineTo x="66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76C2" w14:textId="446AC15F" w:rsidR="004316B0" w:rsidRPr="00272C03" w:rsidRDefault="00996353" w:rsidP="009253E6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In comparison to January of 2018 </w:t>
                            </w:r>
                            <w:r w:rsidRPr="00272C03">
                              <w:rPr>
                                <w:lang w:val="en"/>
                              </w:rPr>
                              <w:t xml:space="preserve">significant </w:t>
                            </w:r>
                            <w:r w:rsidR="004316B0" w:rsidRPr="00272C03">
                              <w:rPr>
                                <w:szCs w:val="19"/>
                                <w:lang w:val="en-GB"/>
                              </w:rPr>
                              <w:t>increase in construction and assembly was recorded in entities whose basic type of activity are civil engineering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91ED" id="_x0000_s1028" type="#_x0000_t202" style="position:absolute;margin-left:411.55pt;margin-top:18.45pt;width:146.8pt;height:156.7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" filled="f" stroked="f">
                <v:textbox>
                  <w:txbxContent>
                    <w:p w14:paraId="581C76C2" w14:textId="446AC15F" w:rsidR="004316B0" w:rsidRPr="00272C03" w:rsidRDefault="00996353" w:rsidP="009253E6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272C03">
                        <w:rPr>
                          <w:szCs w:val="19"/>
                          <w:lang w:val="en-GB"/>
                        </w:rPr>
                        <w:t xml:space="preserve">In comparison to January of 2018 </w:t>
                      </w:r>
                      <w:r w:rsidRPr="00272C03">
                        <w:rPr>
                          <w:lang w:val="en"/>
                        </w:rPr>
                        <w:t xml:space="preserve">significant </w:t>
                      </w:r>
                      <w:r w:rsidR="004316B0" w:rsidRPr="00272C03">
                        <w:rPr>
                          <w:szCs w:val="19"/>
                          <w:lang w:val="en-GB"/>
                        </w:rPr>
                        <w:t>increase in construction and assembly was recorded in entities whose basic type of activity are civil engineering works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15F71" w:rsidRPr="00415F71">
        <w:rPr>
          <w:shd w:val="clear" w:color="auto" w:fill="FFFFFF"/>
          <w:lang w:val="en-GB"/>
        </w:rPr>
        <w:t xml:space="preserve"> </w:t>
      </w:r>
      <w:r w:rsidR="00415F71" w:rsidRPr="00C52703">
        <w:rPr>
          <w:shd w:val="clear" w:color="auto" w:fill="FFFFFF"/>
          <w:lang w:val="en-GB"/>
        </w:rPr>
        <w:t xml:space="preserve">Table 1. Index </w:t>
      </w:r>
      <w:r w:rsidR="00415F71" w:rsidRPr="007E709C">
        <w:rPr>
          <w:shd w:val="clear" w:color="auto" w:fill="FFFFFF"/>
          <w:lang w:val="en-GB"/>
        </w:rPr>
        <w:t>number</w:t>
      </w:r>
      <w:r w:rsidR="006A168E">
        <w:rPr>
          <w:shd w:val="clear" w:color="auto" w:fill="FFFFFF"/>
          <w:lang w:val="en-GB"/>
        </w:rPr>
        <w:t>s</w:t>
      </w:r>
      <w:r w:rsidR="00415F71" w:rsidRPr="007E709C">
        <w:rPr>
          <w:shd w:val="clear" w:color="auto" w:fill="FFFFFF"/>
          <w:lang w:val="en-GB"/>
        </w:rPr>
        <w:t xml:space="preserve"> o</w:t>
      </w:r>
      <w:r w:rsidR="00415F71" w:rsidRPr="00C52703">
        <w:rPr>
          <w:shd w:val="clear" w:color="auto" w:fill="FFFFFF"/>
          <w:lang w:val="en-GB"/>
        </w:rPr>
        <w:t xml:space="preserve">f </w:t>
      </w:r>
      <w:r w:rsidR="00415F71">
        <w:rPr>
          <w:shd w:val="clear" w:color="auto" w:fill="FFFFFF"/>
          <w:lang w:val="en-GB"/>
        </w:rPr>
        <w:t xml:space="preserve">construction and </w:t>
      </w:r>
      <w:r w:rsidR="00415F71" w:rsidRPr="00C52703">
        <w:rPr>
          <w:shd w:val="clear" w:color="auto" w:fill="FFFFFF"/>
          <w:lang w:val="en-GB"/>
        </w:rPr>
        <w:t xml:space="preserve">assembly production </w:t>
      </w:r>
      <w:r w:rsidR="00415F71">
        <w:rPr>
          <w:shd w:val="clear" w:color="auto" w:fill="FFFFFF"/>
          <w:lang w:val="en-GB"/>
        </w:rPr>
        <w:t>(constant prices)</w:t>
      </w:r>
    </w:p>
    <w:tbl>
      <w:tblPr>
        <w:tblStyle w:val="Siatkatabelijasna"/>
        <w:tblpPr w:leftFromText="141" w:rightFromText="141" w:vertAnchor="text" w:horzAnchor="margin" w:tblpY="400"/>
        <w:tblW w:w="7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68"/>
        <w:gridCol w:w="2058"/>
        <w:gridCol w:w="2206"/>
      </w:tblGrid>
      <w:tr w:rsidR="00C768AA" w:rsidRPr="00FE2F2B" w14:paraId="67D28DE0" w14:textId="77777777" w:rsidTr="00C768AA">
        <w:trPr>
          <w:trHeight w:val="59"/>
        </w:trPr>
        <w:tc>
          <w:tcPr>
            <w:tcW w:w="3568" w:type="dxa"/>
            <w:vMerge w:val="restart"/>
            <w:vAlign w:val="center"/>
          </w:tcPr>
          <w:p w14:paraId="64164E24" w14:textId="5B09C9C4" w:rsidR="00C768AA" w:rsidRPr="00263373" w:rsidRDefault="004E56AD" w:rsidP="0026337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64" w:type="dxa"/>
            <w:gridSpan w:val="2"/>
            <w:vAlign w:val="center"/>
          </w:tcPr>
          <w:p w14:paraId="46C0A6FA" w14:textId="77777777" w:rsidR="00C768AA" w:rsidRPr="00263373" w:rsidRDefault="00C768AA" w:rsidP="00C768A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C768AA" w:rsidRPr="00FE2F2B" w14:paraId="56016304" w14:textId="77777777" w:rsidTr="00C768AA">
        <w:trPr>
          <w:trHeight w:val="59"/>
        </w:trPr>
        <w:tc>
          <w:tcPr>
            <w:tcW w:w="3568" w:type="dxa"/>
            <w:vMerge/>
            <w:tcBorders>
              <w:bottom w:val="single" w:sz="12" w:space="0" w:color="212492"/>
            </w:tcBorders>
            <w:vAlign w:val="center"/>
          </w:tcPr>
          <w:p w14:paraId="1399A80A" w14:textId="77777777" w:rsidR="00C768AA" w:rsidRPr="00263373" w:rsidRDefault="00C768AA" w:rsidP="00FE2F2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2058" w:type="dxa"/>
            <w:tcBorders>
              <w:bottom w:val="single" w:sz="12" w:space="0" w:color="212492"/>
            </w:tcBorders>
            <w:vAlign w:val="center"/>
          </w:tcPr>
          <w:p w14:paraId="08D03D0F" w14:textId="77777777" w:rsidR="00C768AA" w:rsidRPr="00263373" w:rsidRDefault="00C768AA" w:rsidP="00A0583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2018=100</w:t>
            </w:r>
          </w:p>
        </w:tc>
        <w:tc>
          <w:tcPr>
            <w:tcW w:w="2206" w:type="dxa"/>
            <w:tcBorders>
              <w:bottom w:val="single" w:sz="12" w:space="0" w:color="212492"/>
            </w:tcBorders>
            <w:vAlign w:val="center"/>
          </w:tcPr>
          <w:p w14:paraId="37C32F7B" w14:textId="77777777" w:rsidR="00C768AA" w:rsidRPr="00263373" w:rsidRDefault="00C768AA" w:rsidP="00C768A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768AA" w:rsidRPr="00FE2F2B" w14:paraId="3DD711FF" w14:textId="77777777" w:rsidTr="00C768AA">
        <w:trPr>
          <w:trHeight w:val="59"/>
        </w:trPr>
        <w:tc>
          <w:tcPr>
            <w:tcW w:w="3568" w:type="dxa"/>
            <w:tcBorders>
              <w:top w:val="single" w:sz="12" w:space="0" w:color="212492"/>
            </w:tcBorders>
            <w:vAlign w:val="center"/>
          </w:tcPr>
          <w:p w14:paraId="0E40686C" w14:textId="07465BBA" w:rsidR="00C768AA" w:rsidRPr="00263373" w:rsidRDefault="004E56AD" w:rsidP="00984102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rFonts w:cstheme="majorBidi"/>
                <w:b/>
                <w:color w:val="000000" w:themeColor="text1"/>
                <w:sz w:val="16"/>
                <w:szCs w:val="16"/>
                <w:lang w:val="en-GB"/>
              </w:rPr>
              <w:t>CONSTRUCTION</w:t>
            </w:r>
          </w:p>
        </w:tc>
        <w:tc>
          <w:tcPr>
            <w:tcW w:w="2058" w:type="dxa"/>
            <w:tcBorders>
              <w:top w:val="single" w:sz="12" w:space="0" w:color="212492"/>
            </w:tcBorders>
            <w:vAlign w:val="center"/>
          </w:tcPr>
          <w:p w14:paraId="57F2B426" w14:textId="326E2447" w:rsidR="00C768AA" w:rsidRPr="00263373" w:rsidRDefault="00C768AA" w:rsidP="00CA733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38</w:t>
            </w:r>
            <w:r w:rsidR="00CA7338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2206" w:type="dxa"/>
            <w:tcBorders>
              <w:top w:val="single" w:sz="12" w:space="0" w:color="212492"/>
            </w:tcBorders>
            <w:vAlign w:val="center"/>
          </w:tcPr>
          <w:p w14:paraId="14F6097F" w14:textId="18748CDF" w:rsidR="00C768AA" w:rsidRPr="00263373" w:rsidRDefault="00C768AA" w:rsidP="00CA733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</w:t>
            </w:r>
            <w:r w:rsidR="00CA7338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C768AA" w:rsidRPr="00FE2F2B" w14:paraId="3A01075A" w14:textId="77777777" w:rsidTr="00C768AA">
        <w:trPr>
          <w:trHeight w:val="59"/>
        </w:trPr>
        <w:tc>
          <w:tcPr>
            <w:tcW w:w="3568" w:type="dxa"/>
            <w:vAlign w:val="center"/>
          </w:tcPr>
          <w:p w14:paraId="7EDA3AB3" w14:textId="62172153" w:rsidR="00C768AA" w:rsidRPr="00263373" w:rsidRDefault="00DE2B76" w:rsidP="00DE2B76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="00C768AA"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="00C768AA"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058" w:type="dxa"/>
            <w:vAlign w:val="center"/>
          </w:tcPr>
          <w:p w14:paraId="150AE7C8" w14:textId="34EABE48" w:rsidR="00C768AA" w:rsidRPr="00263373" w:rsidRDefault="00C768AA" w:rsidP="00CA73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53</w:t>
            </w:r>
            <w:r w:rsidR="00CA733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2206" w:type="dxa"/>
            <w:vAlign w:val="center"/>
          </w:tcPr>
          <w:p w14:paraId="5E6A95C8" w14:textId="03941D85" w:rsidR="00C768AA" w:rsidRPr="00263373" w:rsidRDefault="00C768AA" w:rsidP="00CA73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CA733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C768AA" w:rsidRPr="00FE2F2B" w14:paraId="50F2232A" w14:textId="77777777" w:rsidTr="00C768AA">
        <w:trPr>
          <w:trHeight w:val="59"/>
        </w:trPr>
        <w:tc>
          <w:tcPr>
            <w:tcW w:w="3568" w:type="dxa"/>
            <w:vAlign w:val="center"/>
          </w:tcPr>
          <w:p w14:paraId="5483DE89" w14:textId="71DB478D" w:rsidR="00C768AA" w:rsidRPr="00263373" w:rsidRDefault="00DE2B76" w:rsidP="007641B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="00C768AA"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="00C768AA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058" w:type="dxa"/>
            <w:vAlign w:val="center"/>
          </w:tcPr>
          <w:p w14:paraId="61FD1B9D" w14:textId="11682F1F" w:rsidR="00C768AA" w:rsidRPr="00263373" w:rsidRDefault="00C768AA" w:rsidP="00CA73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24</w:t>
            </w:r>
            <w:r w:rsidR="00CA733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2206" w:type="dxa"/>
            <w:vAlign w:val="center"/>
          </w:tcPr>
          <w:p w14:paraId="46193AD0" w14:textId="28FC2E9C" w:rsidR="00C768AA" w:rsidRPr="00263373" w:rsidRDefault="00C768AA" w:rsidP="00CA73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</w:t>
            </w:r>
            <w:r w:rsidR="00CA733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C768AA" w:rsidRPr="00FE2F2B" w14:paraId="766DAF75" w14:textId="77777777" w:rsidTr="00C768AA">
        <w:trPr>
          <w:trHeight w:val="59"/>
        </w:trPr>
        <w:tc>
          <w:tcPr>
            <w:tcW w:w="3568" w:type="dxa"/>
            <w:vAlign w:val="center"/>
          </w:tcPr>
          <w:p w14:paraId="743BE7C8" w14:textId="1A01CF17" w:rsidR="00C768AA" w:rsidRPr="00DE2B76" w:rsidRDefault="00DE2B76" w:rsidP="007641BE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2058" w:type="dxa"/>
            <w:vAlign w:val="center"/>
          </w:tcPr>
          <w:p w14:paraId="3937E894" w14:textId="2DAC76BE" w:rsidR="00C768AA" w:rsidRPr="00263373" w:rsidRDefault="00C768AA" w:rsidP="00CA73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48</w:t>
            </w:r>
            <w:r w:rsidR="00CA733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2206" w:type="dxa"/>
            <w:vAlign w:val="center"/>
          </w:tcPr>
          <w:p w14:paraId="30E25899" w14:textId="55423BB0" w:rsidR="00C768AA" w:rsidRPr="00263373" w:rsidRDefault="00C768AA" w:rsidP="00CA73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</w:t>
            </w:r>
            <w:r w:rsidR="00CA733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6FA040E6" w14:textId="77777777" w:rsidR="00E7553C" w:rsidRDefault="00E7553C" w:rsidP="00BB4111">
      <w:pPr>
        <w:jc w:val="both"/>
        <w:rPr>
          <w:szCs w:val="19"/>
          <w:lang w:val="en-GB"/>
        </w:rPr>
      </w:pPr>
    </w:p>
    <w:p w14:paraId="6DEFEF4F" w14:textId="75C2234D" w:rsidR="00397E00" w:rsidRDefault="0002162A" w:rsidP="00E42947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>January</w:t>
      </w:r>
      <w:r w:rsidRPr="00124449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124449">
        <w:rPr>
          <w:szCs w:val="19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an increase in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 xml:space="preserve">production was recorded in </w:t>
      </w:r>
      <w:r w:rsidRPr="00124449">
        <w:rPr>
          <w:szCs w:val="19"/>
          <w:lang w:val="en-GB"/>
        </w:rPr>
        <w:t xml:space="preserve">entities whose basic type of activity </w:t>
      </w:r>
      <w:r>
        <w:rPr>
          <w:szCs w:val="19"/>
          <w:lang w:val="en-GB"/>
        </w:rPr>
        <w:t xml:space="preserve">are </w:t>
      </w:r>
      <w:r w:rsidRPr="00124449">
        <w:rPr>
          <w:szCs w:val="19"/>
          <w:lang w:val="en-GB"/>
        </w:rPr>
        <w:t xml:space="preserve">civil engineering works </w:t>
      </w:r>
      <w:r>
        <w:rPr>
          <w:szCs w:val="19"/>
          <w:lang w:val="en-GB"/>
        </w:rPr>
        <w:t xml:space="preserve">(15.3%) and the construction of buildings (2.3%), </w:t>
      </w:r>
      <w:r w:rsidR="00272C03">
        <w:rPr>
          <w:szCs w:val="19"/>
          <w:lang w:val="en-GB"/>
        </w:rPr>
        <w:t>whereas</w:t>
      </w:r>
      <w:r>
        <w:rPr>
          <w:szCs w:val="19"/>
          <w:lang w:val="en-GB"/>
        </w:rPr>
        <w:t xml:space="preserve"> a decrease by </w:t>
      </w:r>
      <w:r w:rsidR="008C1A47">
        <w:rPr>
          <w:szCs w:val="19"/>
          <w:lang w:val="en-GB"/>
        </w:rPr>
        <w:t>6.2% was</w:t>
      </w:r>
      <w:r w:rsidRPr="00124449">
        <w:rPr>
          <w:szCs w:val="19"/>
          <w:lang w:val="en-GB"/>
        </w:rPr>
        <w:t xml:space="preserve"> </w:t>
      </w:r>
      <w:r w:rsidR="008C1A47">
        <w:rPr>
          <w:szCs w:val="19"/>
          <w:lang w:val="en-GB"/>
        </w:rPr>
        <w:t>noted</w:t>
      </w:r>
      <w:r w:rsidRPr="00124449">
        <w:rPr>
          <w:szCs w:val="19"/>
          <w:lang w:val="en-GB"/>
        </w:rPr>
        <w:t xml:space="preserve"> in entities performing specialised construction activities.</w:t>
      </w:r>
    </w:p>
    <w:p w14:paraId="05C05411" w14:textId="71F71B1D" w:rsidR="008442C0" w:rsidRDefault="00397E00" w:rsidP="00E42947">
      <w:pPr>
        <w:rPr>
          <w:szCs w:val="19"/>
          <w:lang w:val="en-GB"/>
        </w:rPr>
      </w:pPr>
      <w:r w:rsidRPr="000A0139">
        <w:rPr>
          <w:rFonts w:cs="Arial"/>
          <w:lang w:val="en"/>
        </w:rPr>
        <w:lastRenderedPageBreak/>
        <w:t xml:space="preserve">Compared with </w:t>
      </w:r>
      <w:r>
        <w:rPr>
          <w:rFonts w:cs="Arial"/>
          <w:lang w:val="en"/>
        </w:rPr>
        <w:t>December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of 2018</w:t>
      </w:r>
      <w:r w:rsidRPr="000A0139">
        <w:rPr>
          <w:rFonts w:cs="Arial"/>
          <w:lang w:val="en"/>
        </w:rPr>
        <w:t xml:space="preserve"> the </w:t>
      </w:r>
      <w:r>
        <w:rPr>
          <w:rFonts w:cs="Arial"/>
          <w:lang w:val="en"/>
        </w:rPr>
        <w:t>decrease</w:t>
      </w:r>
      <w:r w:rsidRPr="000A0139">
        <w:rPr>
          <w:rFonts w:cs="Arial"/>
          <w:lang w:val="en"/>
        </w:rPr>
        <w:t xml:space="preserve"> of value works carried out was noted in </w:t>
      </w:r>
      <w:r>
        <w:rPr>
          <w:rFonts w:cs="Arial"/>
          <w:lang w:val="en"/>
        </w:rPr>
        <w:t xml:space="preserve">all </w:t>
      </w:r>
      <w:r w:rsidR="00247A13">
        <w:rPr>
          <w:rFonts w:cs="Arial"/>
          <w:lang w:val="en"/>
        </w:rPr>
        <w:t>divisions of construction:</w:t>
      </w:r>
      <w:r w:rsidRPr="00397E00">
        <w:rPr>
          <w:rFonts w:cs="Arial"/>
          <w:lang w:val="en"/>
        </w:rPr>
        <w:t xml:space="preserve"> </w:t>
      </w:r>
      <w:r w:rsidR="00247A13"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dealing mainly with </w:t>
      </w:r>
      <w:r w:rsidRPr="00397E00">
        <w:rPr>
          <w:szCs w:val="19"/>
          <w:lang w:val="en-GB"/>
        </w:rPr>
        <w:t xml:space="preserve">civil engineering </w:t>
      </w:r>
      <w:r w:rsidR="007625B7">
        <w:rPr>
          <w:szCs w:val="19"/>
          <w:lang w:val="en-GB"/>
        </w:rPr>
        <w:t xml:space="preserve">works </w:t>
      </w:r>
      <w:r w:rsidR="00247A13">
        <w:rPr>
          <w:szCs w:val="19"/>
          <w:lang w:val="en-GB"/>
        </w:rPr>
        <w:t>- by</w:t>
      </w:r>
      <w:r w:rsidRPr="00397E00">
        <w:rPr>
          <w:szCs w:val="19"/>
          <w:lang w:val="en-GB"/>
        </w:rPr>
        <w:t xml:space="preserve"> 75.2%, </w:t>
      </w:r>
      <w:r w:rsidR="00F6506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2F3B1ECD" wp14:editId="4BE2EEB1">
                <wp:simplePos x="0" y="0"/>
                <wp:positionH relativeFrom="column">
                  <wp:posOffset>5216056</wp:posOffset>
                </wp:positionH>
                <wp:positionV relativeFrom="page">
                  <wp:posOffset>12865</wp:posOffset>
                </wp:positionV>
                <wp:extent cx="1871980" cy="24623395"/>
                <wp:effectExtent l="0" t="0" r="0" b="8255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4623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D2E0B" w14:textId="77777777" w:rsidR="00F65062" w:rsidRDefault="00F65062" w:rsidP="00F65062">
                            <w:pPr>
                              <w:jc w:val="center"/>
                            </w:pPr>
                          </w:p>
                          <w:p w14:paraId="7B2C24AC" w14:textId="77777777" w:rsidR="00F65062" w:rsidRDefault="00F65062" w:rsidP="00F65062">
                            <w:pPr>
                              <w:jc w:val="center"/>
                            </w:pPr>
                          </w:p>
                          <w:p w14:paraId="6787E207" w14:textId="77777777" w:rsidR="00F65062" w:rsidRDefault="00F65062" w:rsidP="00F650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B1ECD" id="Prostokąt 5" o:spid="_x0000_s1029" style="position:absolute;margin-left:410.7pt;margin-top:1pt;width:147.4pt;height:1938.8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" fillcolor="#f2f2f2" stroked="f" strokeweight="1pt">
                <v:textbox>
                  <w:txbxContent>
                    <w:p w14:paraId="188D2E0B" w14:textId="77777777" w:rsidR="00F65062" w:rsidRDefault="00F65062" w:rsidP="00F65062">
                      <w:pPr>
                        <w:jc w:val="center"/>
                      </w:pPr>
                    </w:p>
                    <w:p w14:paraId="7B2C24AC" w14:textId="77777777" w:rsidR="00F65062" w:rsidRDefault="00F65062" w:rsidP="00F65062">
                      <w:pPr>
                        <w:jc w:val="center"/>
                      </w:pPr>
                    </w:p>
                    <w:p w14:paraId="6787E207" w14:textId="77777777" w:rsidR="00F65062" w:rsidRDefault="00F65062" w:rsidP="00F65062">
                      <w:pPr>
                        <w:jc w:val="center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Pr="00397E00">
        <w:rPr>
          <w:szCs w:val="19"/>
          <w:lang w:val="en-GB"/>
        </w:rPr>
        <w:t>performing spec</w:t>
      </w:r>
      <w:r w:rsidR="00DB014B">
        <w:rPr>
          <w:szCs w:val="19"/>
          <w:lang w:val="en-GB"/>
        </w:rPr>
        <w:t xml:space="preserve">ialised construction activities </w:t>
      </w:r>
      <w:r w:rsidR="00247A13">
        <w:rPr>
          <w:szCs w:val="19"/>
          <w:lang w:val="en-GB"/>
        </w:rPr>
        <w:t>–</w:t>
      </w:r>
      <w:r w:rsidR="00DB014B">
        <w:rPr>
          <w:szCs w:val="19"/>
          <w:lang w:val="en-GB"/>
        </w:rPr>
        <w:t xml:space="preserve"> </w:t>
      </w:r>
      <w:r w:rsidR="00247A13">
        <w:rPr>
          <w:szCs w:val="19"/>
          <w:lang w:val="en-GB"/>
        </w:rPr>
        <w:t xml:space="preserve">by </w:t>
      </w:r>
      <w:r w:rsidRPr="00397E00">
        <w:rPr>
          <w:szCs w:val="19"/>
          <w:lang w:val="en-GB"/>
        </w:rPr>
        <w:t xml:space="preserve">51.2% and in </w:t>
      </w:r>
      <w:r w:rsidRPr="00397E00">
        <w:rPr>
          <w:rFonts w:cs="Arial"/>
          <w:lang w:val="en"/>
        </w:rPr>
        <w:t>entities</w:t>
      </w:r>
      <w:r w:rsidRPr="00397E00">
        <w:rPr>
          <w:szCs w:val="19"/>
          <w:lang w:val="en-GB"/>
        </w:rPr>
        <w:t xml:space="preserve"> whose basic type of activity is the construction of building </w:t>
      </w:r>
      <w:r w:rsidR="00247A13">
        <w:rPr>
          <w:szCs w:val="19"/>
          <w:lang w:val="en-GB"/>
        </w:rPr>
        <w:t>–</w:t>
      </w:r>
      <w:r w:rsidR="00DB014B">
        <w:rPr>
          <w:szCs w:val="19"/>
          <w:lang w:val="en-GB"/>
        </w:rPr>
        <w:t xml:space="preserve"> </w:t>
      </w:r>
      <w:r w:rsidR="00247A13">
        <w:rPr>
          <w:szCs w:val="19"/>
          <w:lang w:val="en-GB"/>
        </w:rPr>
        <w:t xml:space="preserve">by </w:t>
      </w:r>
      <w:r w:rsidR="008442C0">
        <w:rPr>
          <w:szCs w:val="19"/>
          <w:lang w:val="en-GB"/>
        </w:rPr>
        <w:t>46.7%.</w:t>
      </w:r>
    </w:p>
    <w:p w14:paraId="3B7EE0F3" w14:textId="4E15C9E6" w:rsidR="00247A13" w:rsidRDefault="00247A13" w:rsidP="00E42947">
      <w:pPr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="003C755A" w:rsidRPr="00B05798">
        <w:rPr>
          <w:shd w:val="clear" w:color="auto" w:fill="FFFFFF"/>
          <w:lang w:val="en-GB"/>
        </w:rPr>
        <w:t>including investment</w:t>
      </w:r>
      <w:r w:rsidR="003C755A">
        <w:rPr>
          <w:shd w:val="clear" w:color="auto" w:fill="FFFFFF"/>
          <w:lang w:val="en-GB"/>
        </w:rPr>
        <w:t xml:space="preserve"> work</w:t>
      </w:r>
      <w:r w:rsidR="000B1127">
        <w:rPr>
          <w:shd w:val="clear" w:color="auto" w:fill="FFFFFF"/>
          <w:lang w:val="en-GB"/>
        </w:rPr>
        <w:t>s</w:t>
      </w:r>
      <w:r w:rsidR="003C755A">
        <w:rPr>
          <w:shd w:val="clear" w:color="auto" w:fill="FFFFFF"/>
          <w:lang w:val="en-GB"/>
        </w:rPr>
        <w:t xml:space="preserve"> in January of 2019 was by 1.9% lower than in the corresponding period of 2018 (</w:t>
      </w:r>
      <w:r w:rsidR="003C755A" w:rsidRPr="00124449">
        <w:rPr>
          <w:szCs w:val="19"/>
          <w:lang w:val="en-GB"/>
        </w:rPr>
        <w:t xml:space="preserve">against an increase by </w:t>
      </w:r>
      <w:r w:rsidR="003C755A">
        <w:rPr>
          <w:szCs w:val="19"/>
          <w:lang w:val="en-GB"/>
        </w:rPr>
        <w:t>40</w:t>
      </w:r>
      <w:r w:rsidR="003C755A" w:rsidRPr="00124449">
        <w:rPr>
          <w:szCs w:val="19"/>
          <w:lang w:val="en-GB"/>
        </w:rPr>
        <w:t>.</w:t>
      </w:r>
      <w:r w:rsidR="003C755A">
        <w:rPr>
          <w:szCs w:val="19"/>
          <w:lang w:val="en-GB"/>
        </w:rPr>
        <w:t>1</w:t>
      </w:r>
      <w:r w:rsidR="003C755A" w:rsidRPr="00124449">
        <w:rPr>
          <w:szCs w:val="19"/>
          <w:lang w:val="en-GB"/>
        </w:rPr>
        <w:t>% the year before)</w:t>
      </w:r>
      <w:r w:rsidR="00F17334">
        <w:rPr>
          <w:szCs w:val="19"/>
          <w:lang w:val="en-GB"/>
        </w:rPr>
        <w:t>,</w:t>
      </w:r>
      <w:r w:rsidR="000B1127">
        <w:rPr>
          <w:szCs w:val="19"/>
          <w:lang w:val="en-GB"/>
        </w:rPr>
        <w:t xml:space="preserve"> whereas works with a restoration character – by 12.6% (</w:t>
      </w:r>
      <w:r w:rsidR="000B1127" w:rsidRPr="00124449">
        <w:rPr>
          <w:szCs w:val="19"/>
          <w:lang w:val="en-GB"/>
        </w:rPr>
        <w:t xml:space="preserve">against an increase by </w:t>
      </w:r>
      <w:r w:rsidR="000B1127">
        <w:rPr>
          <w:szCs w:val="19"/>
          <w:lang w:val="en-GB"/>
        </w:rPr>
        <w:t>25</w:t>
      </w:r>
      <w:r w:rsidR="000B1127" w:rsidRPr="00124449">
        <w:rPr>
          <w:szCs w:val="19"/>
          <w:lang w:val="en-GB"/>
        </w:rPr>
        <w:t>.</w:t>
      </w:r>
      <w:r w:rsidR="000B1127">
        <w:rPr>
          <w:szCs w:val="19"/>
          <w:lang w:val="en-GB"/>
        </w:rPr>
        <w:t>8</w:t>
      </w:r>
      <w:r w:rsidR="000B1127" w:rsidRPr="00124449">
        <w:rPr>
          <w:szCs w:val="19"/>
          <w:lang w:val="en-GB"/>
        </w:rPr>
        <w:t>% the year before)</w:t>
      </w:r>
      <w:r w:rsidR="000B1127">
        <w:rPr>
          <w:szCs w:val="19"/>
          <w:lang w:val="en-GB"/>
        </w:rPr>
        <w:t>.</w:t>
      </w:r>
    </w:p>
    <w:p w14:paraId="1E07204F" w14:textId="77777777" w:rsidR="00035E1F" w:rsidRPr="0025135B" w:rsidRDefault="00035E1F" w:rsidP="0025135B">
      <w:pPr>
        <w:jc w:val="both"/>
        <w:rPr>
          <w:szCs w:val="19"/>
          <w:lang w:val="en-GB"/>
        </w:rPr>
      </w:pPr>
    </w:p>
    <w:p w14:paraId="4B8CA866" w14:textId="206C5C2A" w:rsidR="00446175" w:rsidRPr="00A80D3F" w:rsidRDefault="008442C0" w:rsidP="00446175">
      <w:pPr>
        <w:pStyle w:val="LID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>
        <w:rPr>
          <w:shd w:val="clear" w:color="auto" w:fill="FFFFFF"/>
          <w:lang w:val="en-GB"/>
        </w:rPr>
        <w:t xml:space="preserve">(constant prices)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45EC2C7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13C1023" w14:textId="723C9FF5" w:rsidR="00272C03" w:rsidRDefault="00272C03" w:rsidP="008442C0">
      <w:pPr>
        <w:jc w:val="both"/>
        <w:rPr>
          <w:szCs w:val="19"/>
          <w:highlight w:val="yellow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January of 2019.</w:t>
      </w:r>
    </w:p>
    <w:p w14:paraId="38B36938" w14:textId="77777777" w:rsidR="00272C03" w:rsidRDefault="00272C03" w:rsidP="008442C0">
      <w:pPr>
        <w:jc w:val="both"/>
        <w:rPr>
          <w:szCs w:val="19"/>
          <w:highlight w:val="yellow"/>
          <w:lang w:val="en-GB"/>
        </w:rPr>
      </w:pPr>
    </w:p>
    <w:p w14:paraId="06E0B41B" w14:textId="77777777" w:rsidR="00EC0CC4" w:rsidRDefault="00EC0CC4" w:rsidP="00EC0CC4">
      <w:pPr>
        <w:rPr>
          <w:szCs w:val="19"/>
          <w:lang w:val="en-GB"/>
        </w:rPr>
      </w:pPr>
      <w:r>
        <w:rPr>
          <w:szCs w:val="19"/>
          <w:lang w:val="en-GB"/>
        </w:rPr>
        <w:t xml:space="preserve">Index number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in January of 2019 is calculated in constant prices with the </w:t>
      </w:r>
      <w:r w:rsidRPr="00490DA3">
        <w:rPr>
          <w:sz w:val="18"/>
          <w:szCs w:val="18"/>
          <w:shd w:val="clear" w:color="auto" w:fill="FFFFFF"/>
          <w:lang w:val="en-GB"/>
        </w:rPr>
        <w:t xml:space="preserve">monthly </w:t>
      </w:r>
      <w:r>
        <w:rPr>
          <w:shd w:val="clear" w:color="auto" w:fill="FFFFFF"/>
          <w:lang w:val="en-GB"/>
        </w:rPr>
        <w:t xml:space="preserve">base </w:t>
      </w:r>
      <w:r w:rsidRPr="00490DA3">
        <w:rPr>
          <w:sz w:val="18"/>
          <w:szCs w:val="18"/>
          <w:shd w:val="clear" w:color="auto" w:fill="FFFFFF"/>
          <w:lang w:val="en-GB"/>
        </w:rPr>
        <w:t>2015=100</w:t>
      </w:r>
      <w:r>
        <w:rPr>
          <w:sz w:val="18"/>
          <w:szCs w:val="18"/>
          <w:shd w:val="clear" w:color="auto" w:fill="FFFFFF"/>
          <w:lang w:val="en-GB"/>
        </w:rPr>
        <w:t xml:space="preserve"> was 68.7.</w:t>
      </w:r>
    </w:p>
    <w:p w14:paraId="6756B0F7" w14:textId="77A2F42F" w:rsidR="008442C0" w:rsidRPr="008442C0" w:rsidRDefault="008442C0" w:rsidP="00E42947">
      <w:pPr>
        <w:rPr>
          <w:szCs w:val="19"/>
          <w:lang w:val="en-GB"/>
        </w:rPr>
      </w:pPr>
      <w:r w:rsidRPr="00124449">
        <w:rPr>
          <w:szCs w:val="19"/>
          <w:lang w:val="en-GB"/>
        </w:rPr>
        <w:t>After eliminating the seasonal factors, construction and assembly production reached the level by </w:t>
      </w:r>
      <w:r w:rsidR="00F16794">
        <w:rPr>
          <w:szCs w:val="19"/>
          <w:lang w:val="en-GB"/>
        </w:rPr>
        <w:t>3</w:t>
      </w:r>
      <w:r w:rsidRPr="00F16794">
        <w:rPr>
          <w:szCs w:val="19"/>
          <w:lang w:val="en-GB"/>
        </w:rPr>
        <w:t>.</w:t>
      </w:r>
      <w:r w:rsidR="00F16794" w:rsidRPr="00F16794">
        <w:rPr>
          <w:szCs w:val="19"/>
          <w:lang w:val="en-GB"/>
        </w:rPr>
        <w:t>2</w:t>
      </w:r>
      <w:r w:rsidRPr="00F16794">
        <w:rPr>
          <w:szCs w:val="19"/>
          <w:lang w:val="en-GB"/>
        </w:rPr>
        <w:t>% higher than in January of 2018 and by 0.</w:t>
      </w:r>
      <w:r w:rsidR="00F16794" w:rsidRPr="00F16794">
        <w:rPr>
          <w:szCs w:val="19"/>
          <w:lang w:val="en-GB"/>
        </w:rPr>
        <w:t>3</w:t>
      </w:r>
      <w:r w:rsidRPr="00F16794">
        <w:rPr>
          <w:szCs w:val="19"/>
          <w:lang w:val="en-GB"/>
        </w:rPr>
        <w:t xml:space="preserve">% lower in comparison to </w:t>
      </w:r>
      <w:r w:rsidRPr="00F16794">
        <w:rPr>
          <w:shd w:val="clear" w:color="auto" w:fill="FFFFFF"/>
          <w:lang w:val="en-GB"/>
        </w:rPr>
        <w:t>December</w:t>
      </w:r>
      <w:r w:rsidRPr="00F16794">
        <w:rPr>
          <w:szCs w:val="19"/>
          <w:lang w:val="en-GB"/>
        </w:rPr>
        <w:t xml:space="preserve"> of</w:t>
      </w:r>
      <w:r w:rsidR="008C0FA1">
        <w:rPr>
          <w:szCs w:val="19"/>
          <w:lang w:val="en-GB"/>
        </w:rPr>
        <w:t> </w:t>
      </w:r>
      <w:r w:rsidRPr="00F16794">
        <w:rPr>
          <w:szCs w:val="19"/>
          <w:lang w:val="en-GB"/>
        </w:rPr>
        <w:t>2018.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6C208C2D" w14:textId="24791063" w:rsidR="00F17334" w:rsidRDefault="009E5005" w:rsidP="00397E00">
      <w:pPr>
        <w:jc w:val="both"/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 </w:t>
      </w:r>
    </w:p>
    <w:p w14:paraId="3943B6B3" w14:textId="77777777" w:rsidR="00F17334" w:rsidRPr="00F17334" w:rsidRDefault="00F17334" w:rsidP="00F17334">
      <w:pPr>
        <w:rPr>
          <w:szCs w:val="19"/>
          <w:lang w:val="en-GB"/>
        </w:rPr>
      </w:pPr>
    </w:p>
    <w:p w14:paraId="1848C81A" w14:textId="77777777" w:rsidR="00F17334" w:rsidRPr="00F17334" w:rsidRDefault="00F17334" w:rsidP="00F17334">
      <w:pPr>
        <w:rPr>
          <w:szCs w:val="19"/>
          <w:lang w:val="en-GB"/>
        </w:rPr>
      </w:pPr>
    </w:p>
    <w:p w14:paraId="6C1E6932" w14:textId="77777777" w:rsidR="00F17334" w:rsidRPr="00F17334" w:rsidRDefault="00F17334" w:rsidP="00F17334">
      <w:pPr>
        <w:rPr>
          <w:szCs w:val="19"/>
          <w:lang w:val="en-GB"/>
        </w:rPr>
      </w:pPr>
    </w:p>
    <w:p w14:paraId="537666B4" w14:textId="65B69CEC" w:rsidR="00F17334" w:rsidRDefault="00F17334" w:rsidP="00F17334">
      <w:pPr>
        <w:rPr>
          <w:szCs w:val="19"/>
          <w:lang w:val="en-GB"/>
        </w:rPr>
      </w:pPr>
    </w:p>
    <w:p w14:paraId="29AEEA05" w14:textId="69A59DF5" w:rsidR="00F17334" w:rsidRDefault="00F17334" w:rsidP="00F17334">
      <w:pPr>
        <w:tabs>
          <w:tab w:val="left" w:pos="4919"/>
        </w:tabs>
        <w:rPr>
          <w:szCs w:val="19"/>
          <w:lang w:val="en-GB"/>
        </w:rPr>
      </w:pPr>
      <w:r>
        <w:rPr>
          <w:szCs w:val="19"/>
          <w:lang w:val="en-GB"/>
        </w:rPr>
        <w:tab/>
      </w:r>
    </w:p>
    <w:p w14:paraId="0F263EE3" w14:textId="481BB2C2" w:rsidR="009E5005" w:rsidRPr="00F17334" w:rsidRDefault="00F17334" w:rsidP="00F17334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>
        <w:rPr>
          <w:szCs w:val="19"/>
          <w:lang w:val="en-GB"/>
        </w:rPr>
        <w:tab/>
      </w: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7A4DA8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4D2A6CB4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7C6C33">
              <w:rPr>
                <w:rFonts w:cs="Arial"/>
                <w:color w:val="000000" w:themeColor="text1"/>
                <w:sz w:val="20"/>
              </w:rPr>
              <w:t xml:space="preserve">+48 </w:t>
            </w:r>
            <w:r w:rsidRPr="00A80D3F">
              <w:rPr>
                <w:rFonts w:cs="Arial"/>
                <w:color w:val="000000" w:themeColor="text1"/>
                <w:sz w:val="20"/>
              </w:rPr>
              <w:t>81 533 23 01</w:t>
            </w:r>
          </w:p>
          <w:p w14:paraId="0FE58FC1" w14:textId="74C8ABD6" w:rsidR="00793137" w:rsidRPr="009B4F76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</w:rPr>
            </w:pPr>
            <w:r w:rsidRPr="009B4F76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 xml:space="preserve">e-mail: </w:t>
            </w:r>
            <w:hyperlink r:id="rId20" w:history="1">
              <w:r w:rsidRPr="009B4F76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BBBB113" w14:textId="4BAD29D3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7C6C33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7C6C33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22 608 30 09</w:t>
            </w:r>
          </w:p>
          <w:p w14:paraId="2007EABB" w14:textId="6AC4BB1B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80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A80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A80D3F" w:rsidRDefault="00793137" w:rsidP="00793137">
      <w:pPr>
        <w:rPr>
          <w:sz w:val="20"/>
        </w:rPr>
      </w:pPr>
    </w:p>
    <w:p w14:paraId="2A7BE3F5" w14:textId="77777777" w:rsidR="00793137" w:rsidRPr="00A80D3F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7C6C33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54F80633" w:rsidR="00793137" w:rsidRPr="00C52703" w:rsidRDefault="007C6C33" w:rsidP="00F13547">
            <w:pPr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</w:t>
            </w:r>
            <w:r w:rsidR="00793137" w:rsidRPr="00C52703">
              <w:rPr>
                <w:b/>
                <w:sz w:val="20"/>
                <w:lang w:val="en-GB"/>
              </w:rPr>
              <w:t xml:space="preserve">el.: </w:t>
            </w:r>
            <w:r>
              <w:rPr>
                <w:sz w:val="20"/>
                <w:lang w:val="en-GB"/>
              </w:rPr>
              <w:t>+48 22 608 34 91, +48 22</w:t>
            </w:r>
            <w:r w:rsidR="00793137" w:rsidRPr="00C52703">
              <w:rPr>
                <w:sz w:val="20"/>
                <w:lang w:val="en-GB"/>
              </w:rPr>
              <w:t xml:space="preserve"> 608 38 04 </w:t>
            </w:r>
          </w:p>
          <w:p w14:paraId="1A47A5F5" w14:textId="77777777" w:rsidR="00793137" w:rsidRPr="009B4F76" w:rsidRDefault="00793137" w:rsidP="00F13547">
            <w:pPr>
              <w:rPr>
                <w:b/>
                <w:sz w:val="18"/>
                <w:lang w:val="en-GB"/>
              </w:rPr>
            </w:pPr>
            <w:r w:rsidRPr="009B4F76">
              <w:rPr>
                <w:b/>
                <w:sz w:val="20"/>
                <w:lang w:val="en-GB"/>
              </w:rPr>
              <w:t xml:space="preserve">e-mail: </w:t>
            </w:r>
            <w:hyperlink r:id="rId22" w:history="1">
              <w:r w:rsidRPr="009B4F76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595FD922">
                <wp:simplePos x="0" y="0"/>
                <wp:positionH relativeFrom="margin">
                  <wp:posOffset>19050</wp:posOffset>
                </wp:positionH>
                <wp:positionV relativeFrom="paragraph">
                  <wp:posOffset>422275</wp:posOffset>
                </wp:positionV>
                <wp:extent cx="5541010" cy="4443095"/>
                <wp:effectExtent l="0" t="0" r="2159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7777777" w:rsidR="00793137" w:rsidRPr="001A6866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"http://stat.gov.pl/en/topics/other-studies/informations-on-socio-economic-situation/statistical-bulletin-no-112018,4,95.html"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Pr="001A686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77777777" w:rsidR="00793137" w:rsidRPr="00B45526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"tat.gov.pl/en/topics/other-studies/informations-on-socio-economic-situation/socio-economic-situation-of-the-country-in-november-2018,1,91.html"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77777777" w:rsidR="00793137" w:rsidRPr="0099652B" w:rsidRDefault="00B14909" w:rsidP="0079313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hyperlink r:id="rId26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Knowledge Database - Construction</w:t>
                              </w:r>
                            </w:hyperlink>
                          </w:p>
                          <w:p w14:paraId="2C280821" w14:textId="77777777" w:rsidR="00793137" w:rsidRPr="0099652B" w:rsidRDefault="00B14909" w:rsidP="00793137">
                            <w:pPr>
                              <w:rPr>
                                <w:lang w:val="en-US"/>
                              </w:rPr>
                            </w:pPr>
                            <w:hyperlink r:id="rId27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99652B" w:rsidRDefault="00B14909" w:rsidP="0079313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99652B" w:rsidRDefault="00B1490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99652B" w:rsidRDefault="00B14909" w:rsidP="0079313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99652B" w:rsidRDefault="00B14909" w:rsidP="0079313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99652B" w:rsidRDefault="00B1490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375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25pt;width:436.3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7777777" w:rsidR="00793137" w:rsidRPr="001A6866" w:rsidRDefault="00793137" w:rsidP="0079313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"http://stat.gov.pl/en/topics/other-studies/informations-on-socio-economic-situation/statistical-bulletin-no-112018,4,95.html"</w:instrText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Pr="001A6866">
                        <w:rPr>
                          <w:rStyle w:val="Hipercze"/>
                          <w:rFonts w:cstheme="minorBidi"/>
                          <w:lang w:val="en-US"/>
                        </w:rPr>
                        <w:t>Statistical Bulletin</w:t>
                      </w:r>
                    </w:p>
                    <w:p w14:paraId="4E6A20AB" w14:textId="77777777" w:rsidR="00793137" w:rsidRPr="00B45526" w:rsidRDefault="00793137" w:rsidP="0079313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"tat.gov.pl/en/topics/other-studies/informations-on-socio-economic-situation/socio-economic-situation-of-the-country-in-november-2018,1,91.html"</w:instrText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77777777" w:rsidR="00793137" w:rsidRPr="0099652B" w:rsidRDefault="00CB41D7" w:rsidP="0079313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hyperlink r:id="rId33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Knowledge Database - Construction</w:t>
                        </w:r>
                      </w:hyperlink>
                    </w:p>
                    <w:p w14:paraId="2C280821" w14:textId="77777777" w:rsidR="00793137" w:rsidRPr="0099652B" w:rsidRDefault="00CB41D7" w:rsidP="00793137">
                      <w:pPr>
                        <w:rPr>
                          <w:lang w:val="en-US"/>
                        </w:rPr>
                      </w:pPr>
                      <w:hyperlink r:id="rId34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99652B" w:rsidRDefault="00CB41D7" w:rsidP="00793137">
                      <w:pPr>
                        <w:rPr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99652B" w:rsidRDefault="00CB41D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Local Data Bank</w:t>
                        </w:r>
                      </w:hyperlink>
                      <w:r w:rsidR="0079313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99652B" w:rsidRDefault="00CB41D7" w:rsidP="00793137">
                      <w:pPr>
                        <w:rPr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99652B" w:rsidRDefault="00CB41D7" w:rsidP="00793137">
                      <w:pPr>
                        <w:rPr>
                          <w:u w:val="single"/>
                          <w:lang w:val="en-US"/>
                        </w:rPr>
                      </w:pPr>
                      <w:hyperlink r:id="rId38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99652B" w:rsidRDefault="00CB41D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0"/>
      <w:footerReference w:type="even" r:id="rId41"/>
      <w:footerReference w:type="default" r:id="rId42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E98B6" w14:textId="77777777" w:rsidR="00B14909" w:rsidRDefault="00B14909" w:rsidP="000662E2">
      <w:pPr>
        <w:spacing w:after="0" w:line="240" w:lineRule="auto"/>
      </w:pPr>
      <w:r>
        <w:separator/>
      </w:r>
    </w:p>
  </w:endnote>
  <w:endnote w:type="continuationSeparator" w:id="0">
    <w:p w14:paraId="6F5ADA0C" w14:textId="77777777" w:rsidR="00B14909" w:rsidRDefault="00B1490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C33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C33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C33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5EFB6" w14:textId="77777777" w:rsidR="00B14909" w:rsidRDefault="00B14909" w:rsidP="000662E2">
      <w:pPr>
        <w:spacing w:after="0" w:line="240" w:lineRule="auto"/>
      </w:pPr>
      <w:r>
        <w:separator/>
      </w:r>
    </w:p>
  </w:footnote>
  <w:footnote w:type="continuationSeparator" w:id="0">
    <w:p w14:paraId="7F010BF7" w14:textId="77777777" w:rsidR="00B14909" w:rsidRDefault="00B14909" w:rsidP="000662E2">
      <w:pPr>
        <w:spacing w:after="0" w:line="240" w:lineRule="auto"/>
      </w:pPr>
      <w:r>
        <w:continuationSeparator/>
      </w:r>
    </w:p>
  </w:footnote>
  <w:footnote w:id="1">
    <w:p w14:paraId="77310EB3" w14:textId="049DC238" w:rsidR="0048597E" w:rsidRPr="00F65062" w:rsidRDefault="0048597E" w:rsidP="0048597E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="00F17334">
        <w:rPr>
          <w:sz w:val="16"/>
          <w:szCs w:val="16"/>
          <w:lang w:val="en-GB"/>
        </w:rPr>
        <w:t xml:space="preserve"> </w:t>
      </w:r>
      <w:r w:rsidR="00734007"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 xml:space="preserve">, </w:t>
      </w:r>
      <w:r w:rsidR="0002162A" w:rsidRPr="00F65062">
        <w:rPr>
          <w:sz w:val="16"/>
          <w:szCs w:val="16"/>
          <w:shd w:val="clear" w:color="auto" w:fill="FFFFFF"/>
          <w:lang w:val="en-US"/>
        </w:rPr>
        <w:t>whose the main type of activity is included in the section F "Construction"</w:t>
      </w:r>
      <w:r w:rsidRPr="00F65062">
        <w:rPr>
          <w:sz w:val="16"/>
          <w:szCs w:val="16"/>
          <w:shd w:val="clear" w:color="auto" w:fill="FFFFFF"/>
          <w:lang w:val="en-US"/>
        </w:rPr>
        <w:t xml:space="preserve"> </w:t>
      </w:r>
      <w:r w:rsidR="0002162A" w:rsidRPr="00F65062">
        <w:rPr>
          <w:sz w:val="16"/>
          <w:szCs w:val="16"/>
          <w:shd w:val="clear" w:color="auto" w:fill="FFFFFF"/>
          <w:lang w:val="en-US"/>
        </w:rPr>
        <w:t>in accordance with the Polish Classification of Activities (PKD 2007).</w:t>
      </w:r>
    </w:p>
    <w:p w14:paraId="71D3D349" w14:textId="4D4DDFDA" w:rsidR="003A2E51" w:rsidRPr="00F65062" w:rsidRDefault="003A2E51" w:rsidP="0048597E">
      <w:pPr>
        <w:spacing w:before="0" w:after="0"/>
        <w:jc w:val="both"/>
        <w:rPr>
          <w:sz w:val="15"/>
          <w:szCs w:val="15"/>
          <w:shd w:val="clear" w:color="auto" w:fill="FFFFFF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24" name="Obraz 2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1944EDFA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3138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45165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1944EDFA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3138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45165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35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59EE"/>
    <w:rsid w:val="0000709F"/>
    <w:rsid w:val="000108B8"/>
    <w:rsid w:val="0001184D"/>
    <w:rsid w:val="00013323"/>
    <w:rsid w:val="00014D99"/>
    <w:rsid w:val="000152F5"/>
    <w:rsid w:val="0001763A"/>
    <w:rsid w:val="0002162A"/>
    <w:rsid w:val="00022514"/>
    <w:rsid w:val="00023FB7"/>
    <w:rsid w:val="00025739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7220F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3E3B"/>
    <w:rsid w:val="000E4472"/>
    <w:rsid w:val="000E51CC"/>
    <w:rsid w:val="000F21E9"/>
    <w:rsid w:val="000F40A3"/>
    <w:rsid w:val="000F5DD1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6243"/>
    <w:rsid w:val="001C170D"/>
    <w:rsid w:val="001C199B"/>
    <w:rsid w:val="001C235E"/>
    <w:rsid w:val="001C29D5"/>
    <w:rsid w:val="001C2FA1"/>
    <w:rsid w:val="001C3269"/>
    <w:rsid w:val="001C6CAC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4694"/>
    <w:rsid w:val="00231107"/>
    <w:rsid w:val="002338F4"/>
    <w:rsid w:val="00233D39"/>
    <w:rsid w:val="002376C0"/>
    <w:rsid w:val="00247A13"/>
    <w:rsid w:val="0025135B"/>
    <w:rsid w:val="00253A97"/>
    <w:rsid w:val="002564ED"/>
    <w:rsid w:val="002568AB"/>
    <w:rsid w:val="002574F9"/>
    <w:rsid w:val="002625E8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6DF"/>
    <w:rsid w:val="00296697"/>
    <w:rsid w:val="002A7A55"/>
    <w:rsid w:val="002B046F"/>
    <w:rsid w:val="002B0472"/>
    <w:rsid w:val="002B1035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F3148"/>
    <w:rsid w:val="003F3518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15F71"/>
    <w:rsid w:val="004212E7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621B"/>
    <w:rsid w:val="004974CF"/>
    <w:rsid w:val="0049750D"/>
    <w:rsid w:val="004A0666"/>
    <w:rsid w:val="004B43DE"/>
    <w:rsid w:val="004B7D05"/>
    <w:rsid w:val="004C1895"/>
    <w:rsid w:val="004C36E2"/>
    <w:rsid w:val="004C3C80"/>
    <w:rsid w:val="004C46FE"/>
    <w:rsid w:val="004C6D40"/>
    <w:rsid w:val="004D0DE7"/>
    <w:rsid w:val="004D7AD5"/>
    <w:rsid w:val="004D7C62"/>
    <w:rsid w:val="004E1477"/>
    <w:rsid w:val="004E1777"/>
    <w:rsid w:val="004E56AD"/>
    <w:rsid w:val="004E5769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3F50"/>
    <w:rsid w:val="0052546F"/>
    <w:rsid w:val="005265C1"/>
    <w:rsid w:val="00527A71"/>
    <w:rsid w:val="00533632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722E0"/>
    <w:rsid w:val="00575940"/>
    <w:rsid w:val="00575D28"/>
    <w:rsid w:val="005762A7"/>
    <w:rsid w:val="00581325"/>
    <w:rsid w:val="005871A3"/>
    <w:rsid w:val="00591462"/>
    <w:rsid w:val="005916D7"/>
    <w:rsid w:val="00591EBB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4BBC"/>
    <w:rsid w:val="005E0799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7289"/>
    <w:rsid w:val="006673CA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5AF9"/>
    <w:rsid w:val="00706CDB"/>
    <w:rsid w:val="00707FD2"/>
    <w:rsid w:val="00711E1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4E61"/>
    <w:rsid w:val="007B5CF4"/>
    <w:rsid w:val="007C42CE"/>
    <w:rsid w:val="007C6C33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709C"/>
    <w:rsid w:val="007E7131"/>
    <w:rsid w:val="007F324B"/>
    <w:rsid w:val="00801E4E"/>
    <w:rsid w:val="0080553C"/>
    <w:rsid w:val="00805B46"/>
    <w:rsid w:val="008132D9"/>
    <w:rsid w:val="00814BB0"/>
    <w:rsid w:val="00823814"/>
    <w:rsid w:val="00825DC2"/>
    <w:rsid w:val="00825FBA"/>
    <w:rsid w:val="008301CC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E2301"/>
    <w:rsid w:val="008E571A"/>
    <w:rsid w:val="008E6266"/>
    <w:rsid w:val="008F1896"/>
    <w:rsid w:val="008F3638"/>
    <w:rsid w:val="008F4063"/>
    <w:rsid w:val="008F4330"/>
    <w:rsid w:val="008F6F31"/>
    <w:rsid w:val="008F74DF"/>
    <w:rsid w:val="00900CD4"/>
    <w:rsid w:val="0090415A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4A1B"/>
    <w:rsid w:val="009B4F76"/>
    <w:rsid w:val="009C0A9B"/>
    <w:rsid w:val="009C1335"/>
    <w:rsid w:val="009C164E"/>
    <w:rsid w:val="009C1AB2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477B"/>
    <w:rsid w:val="00A24AC8"/>
    <w:rsid w:val="00A326FE"/>
    <w:rsid w:val="00A365F4"/>
    <w:rsid w:val="00A36F0A"/>
    <w:rsid w:val="00A40159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69DB"/>
    <w:rsid w:val="00AA0BAD"/>
    <w:rsid w:val="00AA710D"/>
    <w:rsid w:val="00AB3023"/>
    <w:rsid w:val="00AB3A8D"/>
    <w:rsid w:val="00AB543C"/>
    <w:rsid w:val="00AB6D25"/>
    <w:rsid w:val="00AB710D"/>
    <w:rsid w:val="00AC144D"/>
    <w:rsid w:val="00AD4E69"/>
    <w:rsid w:val="00AD6497"/>
    <w:rsid w:val="00AE02E0"/>
    <w:rsid w:val="00AE1CD1"/>
    <w:rsid w:val="00AE2D4B"/>
    <w:rsid w:val="00AE454D"/>
    <w:rsid w:val="00AE4F99"/>
    <w:rsid w:val="00B04E87"/>
    <w:rsid w:val="00B05A62"/>
    <w:rsid w:val="00B06A0A"/>
    <w:rsid w:val="00B06BC2"/>
    <w:rsid w:val="00B132C3"/>
    <w:rsid w:val="00B14909"/>
    <w:rsid w:val="00B14952"/>
    <w:rsid w:val="00B15AC0"/>
    <w:rsid w:val="00B31E5A"/>
    <w:rsid w:val="00B3222E"/>
    <w:rsid w:val="00B3651B"/>
    <w:rsid w:val="00B36965"/>
    <w:rsid w:val="00B46B52"/>
    <w:rsid w:val="00B5685C"/>
    <w:rsid w:val="00B65014"/>
    <w:rsid w:val="00B653AB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914E9"/>
    <w:rsid w:val="00B956EE"/>
    <w:rsid w:val="00B97879"/>
    <w:rsid w:val="00BA2BA1"/>
    <w:rsid w:val="00BB36CB"/>
    <w:rsid w:val="00BB4111"/>
    <w:rsid w:val="00BB4E3C"/>
    <w:rsid w:val="00BB4F09"/>
    <w:rsid w:val="00BB74B8"/>
    <w:rsid w:val="00BD4E33"/>
    <w:rsid w:val="00BD79BE"/>
    <w:rsid w:val="00BE3861"/>
    <w:rsid w:val="00BE4949"/>
    <w:rsid w:val="00BF0999"/>
    <w:rsid w:val="00C030DE"/>
    <w:rsid w:val="00C03EDB"/>
    <w:rsid w:val="00C05229"/>
    <w:rsid w:val="00C07443"/>
    <w:rsid w:val="00C13062"/>
    <w:rsid w:val="00C22105"/>
    <w:rsid w:val="00C22167"/>
    <w:rsid w:val="00C24322"/>
    <w:rsid w:val="00C244B6"/>
    <w:rsid w:val="00C2742C"/>
    <w:rsid w:val="00C275DE"/>
    <w:rsid w:val="00C313AB"/>
    <w:rsid w:val="00C31800"/>
    <w:rsid w:val="00C3702F"/>
    <w:rsid w:val="00C41253"/>
    <w:rsid w:val="00C414B5"/>
    <w:rsid w:val="00C47E1B"/>
    <w:rsid w:val="00C47E3B"/>
    <w:rsid w:val="00C50490"/>
    <w:rsid w:val="00C5101E"/>
    <w:rsid w:val="00C558B4"/>
    <w:rsid w:val="00C55B0D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41D7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7A8D"/>
    <w:rsid w:val="00D20E52"/>
    <w:rsid w:val="00D25E71"/>
    <w:rsid w:val="00D261A2"/>
    <w:rsid w:val="00D41ABA"/>
    <w:rsid w:val="00D52A54"/>
    <w:rsid w:val="00D56874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E5C"/>
    <w:rsid w:val="00D942BC"/>
    <w:rsid w:val="00D94AE6"/>
    <w:rsid w:val="00D94EED"/>
    <w:rsid w:val="00D96026"/>
    <w:rsid w:val="00DA0269"/>
    <w:rsid w:val="00DA64F9"/>
    <w:rsid w:val="00DA7C1C"/>
    <w:rsid w:val="00DB014B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5CEE"/>
    <w:rsid w:val="00E17B77"/>
    <w:rsid w:val="00E20DFD"/>
    <w:rsid w:val="00E22474"/>
    <w:rsid w:val="00E23337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505C9"/>
    <w:rsid w:val="00E51AEB"/>
    <w:rsid w:val="00E52002"/>
    <w:rsid w:val="00E522A7"/>
    <w:rsid w:val="00E54452"/>
    <w:rsid w:val="00E56C3B"/>
    <w:rsid w:val="00E576E8"/>
    <w:rsid w:val="00E61EE5"/>
    <w:rsid w:val="00E664C5"/>
    <w:rsid w:val="00E671A2"/>
    <w:rsid w:val="00E72B2E"/>
    <w:rsid w:val="00E73157"/>
    <w:rsid w:val="00E7553C"/>
    <w:rsid w:val="00E76D26"/>
    <w:rsid w:val="00E8291F"/>
    <w:rsid w:val="00E966AB"/>
    <w:rsid w:val="00E97E10"/>
    <w:rsid w:val="00EA2A04"/>
    <w:rsid w:val="00EA397A"/>
    <w:rsid w:val="00EB1390"/>
    <w:rsid w:val="00EB1C36"/>
    <w:rsid w:val="00EB2C71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Budownictwo.aspx" TargetMode="External"/><Relationship Id="rId39" Type="http://schemas.openxmlformats.org/officeDocument/2006/relationships/hyperlink" Target="http://stat.gov.pl/en/metainformations/glossary/terms-used-in-official-statistics/1310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Z.Kurlej@stat.gov.pl" TargetMode="External"/><Relationship Id="rId29" Type="http://schemas.openxmlformats.org/officeDocument/2006/relationships/hyperlink" Target="https://bdl.stat.gov.pl/BDL/dane/podgrup/temat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metainformations/glossary/terms-used-in-official-statistics/1310,term.html" TargetMode="External"/><Relationship Id="rId37" Type="http://schemas.openxmlformats.org/officeDocument/2006/relationships/hyperlink" Target="http://stat.gov.pl/en/metainformations/glossary/terms-used-in-official-statistics/701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://stat.gov.pl/en/poland-macroeconomic-indicators/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31" Type="http://schemas.openxmlformats.org/officeDocument/2006/relationships/hyperlink" Target="http://stat.gov.pl/en/metainformations/glossary/terms-used-in-official-statistics/1170,term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metainformations/glossary/terms-used-in-official-statistics/701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://swaid.stat.gov.pl/EN/SitePagesDBW/Budownictwo.aspx" TargetMode="External"/><Relationship Id="rId38" Type="http://schemas.openxmlformats.org/officeDocument/2006/relationships/hyperlink" Target="http://stat.gov.pl/en/metainformations/glossary/terms-used-in-official-statistics/1170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General</c:formatCode>
                <c:ptCount val="12"/>
                <c:pt idx="0" formatCode="0.0">
                  <c:v>68.7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46865616"/>
        <c:axId val="-1446876496"/>
      </c:lineChart>
      <c:catAx>
        <c:axId val="-144686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6876496"/>
        <c:crossesAt val="100"/>
        <c:auto val="1"/>
        <c:lblAlgn val="ctr"/>
        <c:lblOffset val="100"/>
        <c:noMultiLvlLbl val="0"/>
      </c:catAx>
      <c:valAx>
        <c:axId val="-144687649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4686561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8B4D07B7-D6A3-4368-8FE8-8658DDC0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construction-assembly production in January 2019</dc:title>
  <dc:subject/>
  <cp:keywords/>
  <dc:description/>
  <cp:revision>69</cp:revision>
  <cp:lastPrinted>2019-02-18T12:00:00Z</cp:lastPrinted>
  <dcterms:created xsi:type="dcterms:W3CDTF">2019-02-18T10:21:00Z</dcterms:created>
  <dcterms:modified xsi:type="dcterms:W3CDTF">2019-02-20T13:38:00Z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