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4F73AD" w:rsidRDefault="00CC5F6E" w:rsidP="00AD4947">
      <w:pPr>
        <w:pStyle w:val="tytuinformacji"/>
        <w:rPr>
          <w:sz w:val="32"/>
          <w:lang w:val="en-GB"/>
        </w:rPr>
      </w:pPr>
      <w:bookmarkStart w:id="0" w:name="_GoBack"/>
      <w:bookmarkEnd w:id="0"/>
      <w:r w:rsidRPr="004F73AD">
        <w:rPr>
          <w:lang w:val="en-GB"/>
        </w:rPr>
        <w:t xml:space="preserve">Flash estimate of the consumer price index </w:t>
      </w:r>
      <w:r w:rsidR="0022735A" w:rsidRPr="004F73AD">
        <w:rPr>
          <w:lang w:val="en-GB"/>
        </w:rPr>
        <w:br/>
      </w:r>
      <w:r w:rsidR="00A400C2" w:rsidRPr="004F73AD">
        <w:rPr>
          <w:lang w:val="en-GB"/>
        </w:rPr>
        <w:t>in July 2019</w:t>
      </w:r>
      <w:r w:rsidR="009C156D" w:rsidRPr="004F73AD">
        <w:rPr>
          <w:lang w:val="en-GB"/>
        </w:rPr>
        <w:br/>
      </w:r>
    </w:p>
    <w:p w:rsidR="003F5245" w:rsidRPr="004F73AD" w:rsidRDefault="00622953" w:rsidP="003F5245">
      <w:pPr>
        <w:pStyle w:val="LID"/>
        <w:rPr>
          <w:lang w:val="en-GB"/>
        </w:rPr>
      </w:pPr>
      <w:r w:rsidRPr="004F73AD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EAA7C05" wp14:editId="2D64AF8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D32B9F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   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01B6A" w:rsidRPr="00D32B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9C156D" w:rsidRPr="00D32B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1B21BA" w:rsidRPr="006F3769" w:rsidRDefault="001B21BA" w:rsidP="001B21BA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no change</w:t>
                            </w:r>
                            <w:r w:rsidRPr="006F3769">
                              <w:rPr>
                                <w:lang w:val="en-GB"/>
                              </w:rPr>
                              <w:t xml:space="preserve"> compared</w:t>
                            </w:r>
                          </w:p>
                          <w:p w:rsidR="001B21BA" w:rsidRPr="006F3769" w:rsidRDefault="001B21BA" w:rsidP="001B21BA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 w:rsidRPr="006F3769">
                              <w:rPr>
                                <w:lang w:val="en-GB"/>
                              </w:rPr>
                              <w:t>with the previous month</w:t>
                            </w:r>
                          </w:p>
                          <w:p w:rsidR="009C156D" w:rsidRPr="00D538E4" w:rsidRDefault="009C156D" w:rsidP="001B21B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54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D32B9F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   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01B6A" w:rsidRPr="00D32B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9C156D" w:rsidRPr="00D32B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1B21BA" w:rsidRPr="006F3769" w:rsidRDefault="001B21BA" w:rsidP="001B21BA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no change</w:t>
                      </w:r>
                      <w:r w:rsidRPr="006F3769">
                        <w:rPr>
                          <w:lang w:val="en-GB"/>
                        </w:rPr>
                        <w:t xml:space="preserve"> co</w:t>
                      </w:r>
                      <w:r w:rsidRPr="006F3769">
                        <w:rPr>
                          <w:lang w:val="en-GB"/>
                        </w:rPr>
                        <w:t>m</w:t>
                      </w:r>
                      <w:r w:rsidRPr="006F3769">
                        <w:rPr>
                          <w:lang w:val="en-GB"/>
                        </w:rPr>
                        <w:t>pared</w:t>
                      </w:r>
                    </w:p>
                    <w:p w:rsidR="001B21BA" w:rsidRPr="006F3769" w:rsidRDefault="001B21BA" w:rsidP="001B21BA">
                      <w:pPr>
                        <w:pStyle w:val="tekstnaniebieskimtle"/>
                        <w:rPr>
                          <w:lang w:val="en-GB"/>
                        </w:rPr>
                      </w:pPr>
                      <w:r w:rsidRPr="006F3769">
                        <w:rPr>
                          <w:lang w:val="en-GB"/>
                        </w:rPr>
                        <w:t>with the previous month</w:t>
                      </w:r>
                    </w:p>
                    <w:p w:rsidR="009C156D" w:rsidRPr="00D538E4" w:rsidRDefault="009C156D" w:rsidP="001B21B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735A" w:rsidRPr="004F73AD">
        <w:rPr>
          <w:lang w:val="en-GB" w:eastAsia="en-GB"/>
        </w:rPr>
        <w:t xml:space="preserve">Consumer prices according to the flash estimate in July </w:t>
      </w:r>
      <w:r w:rsidR="009C156D" w:rsidRPr="004F73AD">
        <w:rPr>
          <w:lang w:val="en-GB"/>
        </w:rPr>
        <w:t>201</w:t>
      </w:r>
      <w:r w:rsidR="00E8329E" w:rsidRPr="004F73AD">
        <w:rPr>
          <w:lang w:val="en-GB"/>
        </w:rPr>
        <w:t>9</w:t>
      </w:r>
      <w:r w:rsidR="00F46343" w:rsidRPr="004F73AD">
        <w:rPr>
          <w:lang w:val="en-GB"/>
        </w:rPr>
        <w:t>,</w:t>
      </w:r>
      <w:r w:rsidR="009C156D" w:rsidRPr="004F73AD">
        <w:rPr>
          <w:lang w:val="en-GB"/>
        </w:rPr>
        <w:t xml:space="preserve"> </w:t>
      </w:r>
      <w:r w:rsidR="00F46343" w:rsidRPr="004F73AD">
        <w:rPr>
          <w:lang w:val="en-GB"/>
        </w:rPr>
        <w:t>compared with the previous month, remained at the same level (price index 100,0),</w:t>
      </w:r>
      <w:r w:rsidR="00E8329E" w:rsidRPr="004F73AD">
        <w:rPr>
          <w:lang w:val="en-GB"/>
        </w:rPr>
        <w:t xml:space="preserve"> </w:t>
      </w:r>
      <w:r w:rsidR="00F46343" w:rsidRPr="004F73AD">
        <w:rPr>
          <w:lang w:val="en-GB"/>
        </w:rPr>
        <w:t>and compared with the corresponding month of the previous year increased by</w:t>
      </w:r>
      <w:r w:rsidR="009C156D" w:rsidRPr="004F73AD">
        <w:rPr>
          <w:lang w:val="en-GB"/>
        </w:rPr>
        <w:t xml:space="preserve"> </w:t>
      </w:r>
      <w:r w:rsidR="00B63A9C" w:rsidRPr="004F73AD">
        <w:rPr>
          <w:lang w:val="en-GB"/>
        </w:rPr>
        <w:t>2</w:t>
      </w:r>
      <w:r w:rsidR="009C156D" w:rsidRPr="004F73AD">
        <w:rPr>
          <w:lang w:val="en-GB"/>
        </w:rPr>
        <w:t>,</w:t>
      </w:r>
      <w:r w:rsidR="00D32B9F" w:rsidRPr="004F73AD">
        <w:rPr>
          <w:lang w:val="en-GB"/>
        </w:rPr>
        <w:t>9</w:t>
      </w:r>
      <w:r w:rsidR="009C156D" w:rsidRPr="004F73AD">
        <w:rPr>
          <w:lang w:val="en-GB"/>
        </w:rPr>
        <w:t>% (</w:t>
      </w:r>
      <w:r w:rsidR="004F73AD">
        <w:rPr>
          <w:lang w:val="en-GB"/>
        </w:rPr>
        <w:t>price index</w:t>
      </w:r>
      <w:r w:rsidR="009C156D" w:rsidRPr="004F73AD">
        <w:rPr>
          <w:lang w:val="en-GB"/>
        </w:rPr>
        <w:t xml:space="preserve"> 10</w:t>
      </w:r>
      <w:r w:rsidR="00B63A9C" w:rsidRPr="004F73AD">
        <w:rPr>
          <w:lang w:val="en-GB"/>
        </w:rPr>
        <w:t>2</w:t>
      </w:r>
      <w:r w:rsidR="009C156D" w:rsidRPr="004F73AD">
        <w:rPr>
          <w:lang w:val="en-GB"/>
        </w:rPr>
        <w:t>,</w:t>
      </w:r>
      <w:r w:rsidR="00D32B9F" w:rsidRPr="004F73AD">
        <w:rPr>
          <w:lang w:val="en-GB"/>
        </w:rPr>
        <w:t>9</w:t>
      </w:r>
      <w:r w:rsidR="009C156D" w:rsidRPr="004F73AD">
        <w:rPr>
          <w:lang w:val="en-GB"/>
        </w:rPr>
        <w:t>).</w:t>
      </w:r>
    </w:p>
    <w:p w:rsidR="009C156D" w:rsidRPr="004F73AD" w:rsidRDefault="009C156D" w:rsidP="003F5245">
      <w:pPr>
        <w:pStyle w:val="LID"/>
        <w:rPr>
          <w:lang w:val="en-GB"/>
        </w:rPr>
      </w:pPr>
    </w:p>
    <w:p w:rsidR="006A07DC" w:rsidRPr="004F73AD" w:rsidRDefault="006A07DC" w:rsidP="00FA5BDD">
      <w:pPr>
        <w:pStyle w:val="LID"/>
        <w:rPr>
          <w:lang w:val="en-GB"/>
        </w:rPr>
      </w:pPr>
    </w:p>
    <w:p w:rsidR="00AD4947" w:rsidRPr="004F73AD" w:rsidRDefault="00F62CA0" w:rsidP="00D538E4">
      <w:pPr>
        <w:pStyle w:val="tytuwykresu"/>
        <w:rPr>
          <w:lang w:val="en-GB"/>
        </w:rPr>
      </w:pPr>
      <w:r w:rsidRPr="004F73AD">
        <w:rPr>
          <w:lang w:val="en-GB"/>
        </w:rPr>
        <w:t xml:space="preserve">Table 1. Flash estimate of the consumer price index July </w:t>
      </w:r>
      <w:r w:rsidR="00E8329E" w:rsidRPr="004F73AD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4F73AD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4F73AD" w:rsidRDefault="00F62CA0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4F73AD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D62A6B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2019</w:t>
            </w:r>
          </w:p>
        </w:tc>
      </w:tr>
      <w:tr w:rsidR="003279D3" w:rsidRPr="004F73AD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BF10BE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D62A6B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2018</w:t>
            </w:r>
            <w:r w:rsidR="003279D3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4F73AD" w:rsidRDefault="00301B6A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V</w:t>
            </w:r>
            <w:r w:rsidR="000C2BC6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I</w:t>
            </w:r>
            <w:r w:rsidR="00E8329E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 xml:space="preserve"> 2019</w:t>
            </w:r>
            <w:r w:rsidR="003279D3"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=100</w:t>
            </w:r>
          </w:p>
        </w:tc>
      </w:tr>
      <w:tr w:rsidR="00F62CA0" w:rsidRPr="004F73AD" w:rsidTr="00435875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62CA0" w:rsidRPr="004F73AD" w:rsidRDefault="00F62CA0" w:rsidP="00F62CA0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62CA0" w:rsidRPr="004F73AD" w:rsidRDefault="00F62CA0" w:rsidP="00F62CA0">
            <w:pPr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62CA0" w:rsidRPr="004F73AD" w:rsidRDefault="00F62CA0" w:rsidP="00F62CA0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</w:r>
            <w:r w:rsidRPr="004F73AD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ab/>
              <w:t>100,0</w:t>
            </w:r>
          </w:p>
        </w:tc>
      </w:tr>
      <w:tr w:rsidR="00F62CA0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62CA0" w:rsidRPr="004F73AD" w:rsidRDefault="00F62CA0" w:rsidP="00F62CA0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106,8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100,3</w:t>
            </w:r>
          </w:p>
        </w:tc>
      </w:tr>
      <w:tr w:rsidR="00F62CA0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62CA0" w:rsidRPr="004F73AD" w:rsidRDefault="00F62CA0" w:rsidP="00F62CA0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99,0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100,0</w:t>
            </w:r>
          </w:p>
        </w:tc>
      </w:tr>
      <w:tr w:rsidR="00F62CA0" w:rsidRPr="004F73AD" w:rsidTr="00435875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62CA0" w:rsidRPr="004F73AD" w:rsidRDefault="00F62CA0" w:rsidP="00F62CA0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62CA0" w:rsidRPr="004F73AD" w:rsidRDefault="00F62CA0" w:rsidP="00F62CA0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F73AD">
              <w:rPr>
                <w:rFonts w:cs="Arial"/>
                <w:color w:val="000000"/>
                <w:sz w:val="16"/>
                <w:szCs w:val="16"/>
                <w:lang w:val="en-GB"/>
              </w:rPr>
              <w:t>98,4</w:t>
            </w:r>
          </w:p>
        </w:tc>
      </w:tr>
    </w:tbl>
    <w:p w:rsidR="003279D3" w:rsidRPr="004F73AD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685123" w:rsidRPr="004F73AD" w:rsidRDefault="00F051CF" w:rsidP="00F051CF">
      <w:pPr>
        <w:tabs>
          <w:tab w:val="left" w:pos="4935"/>
        </w:tabs>
        <w:ind w:left="709" w:hanging="709"/>
        <w:rPr>
          <w:b/>
          <w:noProof/>
          <w:szCs w:val="19"/>
          <w:lang w:val="en-GB" w:eastAsia="pl-PL"/>
        </w:rPr>
      </w:pPr>
      <w:r w:rsidRPr="004F73AD">
        <w:rPr>
          <w:b/>
          <w:noProof/>
          <w:szCs w:val="19"/>
          <w:lang w:val="en-GB" w:eastAsia="pl-PL"/>
        </w:rPr>
        <w:t>Chart 1. Consumer prices*</w:t>
      </w:r>
      <w:r w:rsidR="00D87084" w:rsidRPr="004F73AD">
        <w:rPr>
          <w:b/>
          <w:noProof/>
          <w:szCs w:val="19"/>
          <w:lang w:val="en-GB" w:eastAsia="pl-PL"/>
        </w:rPr>
        <w:t xml:space="preserve"> </w:t>
      </w:r>
      <w:r w:rsidR="003B5C99" w:rsidRPr="004F73AD">
        <w:rPr>
          <w:b/>
          <w:noProof/>
          <w:szCs w:val="19"/>
          <w:lang w:val="en-GB" w:eastAsia="pl-PL"/>
        </w:rPr>
        <w:tab/>
      </w:r>
      <w:r w:rsidR="006039C0" w:rsidRPr="004F73AD">
        <w:rPr>
          <w:b/>
          <w:noProof/>
          <w:szCs w:val="19"/>
          <w:lang w:val="en-GB" w:eastAsia="pl-PL"/>
        </w:rPr>
        <w:br/>
      </w:r>
      <w:r w:rsidR="003B5C99" w:rsidRPr="004F73AD">
        <w:rPr>
          <w:b/>
          <w:noProof/>
          <w:szCs w:val="19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0AAF5EA3" wp14:editId="04CE3F5A">
            <wp:simplePos x="0" y="0"/>
            <wp:positionH relativeFrom="column">
              <wp:posOffset>0</wp:posOffset>
            </wp:positionH>
            <wp:positionV relativeFrom="line">
              <wp:posOffset>259080</wp:posOffset>
            </wp:positionV>
            <wp:extent cx="5086800" cy="28224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3AD">
        <w:rPr>
          <w:b/>
          <w:noProof/>
          <w:szCs w:val="19"/>
          <w:lang w:val="en-GB" w:eastAsia="pl-PL"/>
        </w:rPr>
        <w:t>(change in % compared with the corresponding period of the previous year)</w:t>
      </w:r>
    </w:p>
    <w:p w:rsidR="00B50227" w:rsidRPr="004F73AD" w:rsidRDefault="00B50227" w:rsidP="006039C0">
      <w:pPr>
        <w:rPr>
          <w:b/>
          <w:noProof/>
          <w:szCs w:val="19"/>
          <w:highlight w:val="yellow"/>
          <w:lang w:val="en-GB" w:eastAsia="pl-PL"/>
        </w:rPr>
      </w:pPr>
    </w:p>
    <w:p w:rsidR="003F5245" w:rsidRPr="004F73AD" w:rsidRDefault="00B93CB1" w:rsidP="007356A6">
      <w:pPr>
        <w:spacing w:before="360"/>
        <w:rPr>
          <w:noProof/>
          <w:sz w:val="16"/>
          <w:szCs w:val="19"/>
          <w:lang w:val="en-GB" w:eastAsia="pl-PL"/>
        </w:rPr>
      </w:pPr>
      <w:r w:rsidRPr="004F73AD">
        <w:rPr>
          <w:noProof/>
          <w:sz w:val="16"/>
          <w:szCs w:val="19"/>
          <w:lang w:val="en-GB" w:eastAsia="pl-PL"/>
        </w:rPr>
        <w:t xml:space="preserve">* </w:t>
      </w:r>
      <w:r w:rsidR="00F051CF" w:rsidRPr="004F73AD">
        <w:rPr>
          <w:noProof/>
          <w:sz w:val="16"/>
          <w:szCs w:val="19"/>
          <w:lang w:val="en-GB" w:eastAsia="pl-PL"/>
        </w:rPr>
        <w:t>Final data with the exception of the information prepared according to the flash estimate in July 2019.</w:t>
      </w:r>
    </w:p>
    <w:p w:rsidR="003F5245" w:rsidRPr="004F73AD" w:rsidRDefault="003F5245" w:rsidP="006039C0">
      <w:pPr>
        <w:rPr>
          <w:b/>
          <w:noProof/>
          <w:szCs w:val="19"/>
          <w:lang w:val="en-GB" w:eastAsia="pl-PL"/>
        </w:rPr>
      </w:pPr>
    </w:p>
    <w:p w:rsidR="005E2988" w:rsidRPr="004F73AD" w:rsidRDefault="005E2988" w:rsidP="006039C0">
      <w:pPr>
        <w:rPr>
          <w:b/>
          <w:noProof/>
          <w:szCs w:val="19"/>
          <w:lang w:val="en-GB" w:eastAsia="pl-PL"/>
        </w:rPr>
        <w:sectPr w:rsidR="005E2988" w:rsidRPr="004F73AD" w:rsidSect="00EF7B36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4F73AD" w:rsidTr="00106181">
        <w:trPr>
          <w:trHeight w:val="1912"/>
        </w:trPr>
        <w:tc>
          <w:tcPr>
            <w:tcW w:w="4248" w:type="dxa"/>
          </w:tcPr>
          <w:p w:rsidR="00D13F32" w:rsidRPr="004F73AD" w:rsidRDefault="00D13F32" w:rsidP="00D13F32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:rsidR="00D13F32" w:rsidRPr="004F73AD" w:rsidRDefault="00D13F32" w:rsidP="00D13F32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D13F32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D13F32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4F73AD" w:rsidRDefault="00D13F32" w:rsidP="00D13F32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F73AD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17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D13F32" w:rsidRPr="004F73AD" w:rsidRDefault="00D13F32" w:rsidP="00D13F3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D13F32" w:rsidRPr="004F73AD" w:rsidRDefault="00D13F32" w:rsidP="00A734D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F73AD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of Statistics Poland </w:t>
            </w:r>
          </w:p>
          <w:p w:rsidR="00883763" w:rsidRPr="004F73AD" w:rsidRDefault="00883763" w:rsidP="00D13F3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Karolina </w:t>
            </w:r>
            <w:r w:rsidR="00C4622B" w:rsidRPr="004F73AD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Banaszek</w:t>
            </w:r>
          </w:p>
          <w:p w:rsidR="002A3881" w:rsidRPr="004F73AD" w:rsidRDefault="002A3881" w:rsidP="002A388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F73AD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4F73AD" w:rsidRDefault="002A3881" w:rsidP="002A388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4F73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4F73AD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4F73AD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4F73AD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A734DE" w:rsidRPr="004F73AD" w:rsidRDefault="00A734DE" w:rsidP="00A734DE">
            <w:pPr>
              <w:spacing w:before="0"/>
              <w:rPr>
                <w:b/>
                <w:sz w:val="20"/>
                <w:lang w:val="en-GB"/>
              </w:rPr>
            </w:pPr>
            <w:r w:rsidRPr="004F73AD">
              <w:rPr>
                <w:b/>
                <w:sz w:val="20"/>
                <w:lang w:val="en-GB"/>
              </w:rPr>
              <w:t>Press Office</w:t>
            </w:r>
          </w:p>
          <w:p w:rsidR="00A734DE" w:rsidRPr="004F73AD" w:rsidRDefault="004F73AD" w:rsidP="00A734DE">
            <w:pPr>
              <w:rPr>
                <w:sz w:val="20"/>
                <w:lang w:val="en-GB"/>
              </w:rPr>
            </w:pPr>
            <w:r w:rsidRPr="004F73AD">
              <w:rPr>
                <w:rFonts w:cs="Arial"/>
                <w:color w:val="000000" w:themeColor="text1"/>
                <w:sz w:val="20"/>
                <w:lang w:val="en-GB"/>
              </w:rPr>
              <w:t>Tel:</w:t>
            </w:r>
            <w:r w:rsidR="00A734DE" w:rsidRPr="004F73AD">
              <w:rPr>
                <w:b/>
                <w:sz w:val="20"/>
                <w:lang w:val="en-GB"/>
              </w:rPr>
              <w:t xml:space="preserve"> </w:t>
            </w:r>
            <w:r w:rsidR="00A734DE" w:rsidRPr="004F73AD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4F73AD" w:rsidRDefault="00A734DE" w:rsidP="00A734DE">
            <w:pPr>
              <w:rPr>
                <w:b/>
                <w:sz w:val="18"/>
                <w:lang w:val="en-GB"/>
              </w:rPr>
            </w:pPr>
            <w:r w:rsidRPr="004F73AD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9" w:history="1">
              <w:r w:rsidRPr="004F73AD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76112A5" wp14:editId="621531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4F73AD" w:rsidRDefault="0054766C" w:rsidP="000470AA">
            <w:pPr>
              <w:rPr>
                <w:sz w:val="18"/>
                <w:lang w:val="en-GB"/>
              </w:rPr>
            </w:pPr>
            <w:hyperlink r:id="rId21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4F73A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621B3142" wp14:editId="483DA9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F73AD" w:rsidRDefault="0054766C" w:rsidP="000470AA">
            <w:pPr>
              <w:rPr>
                <w:sz w:val="18"/>
                <w:lang w:val="en-GB"/>
              </w:rPr>
            </w:pPr>
            <w:hyperlink r:id="rId23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4F73AD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4F73AD" w:rsidRDefault="000470AA" w:rsidP="000470AA">
            <w:pPr>
              <w:rPr>
                <w:sz w:val="18"/>
                <w:lang w:val="en-GB"/>
              </w:rPr>
            </w:pPr>
            <w:r w:rsidRPr="004F73AD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0AC2FEE" wp14:editId="68B7809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4F73AD" w:rsidRDefault="0054766C" w:rsidP="000470AA">
            <w:pPr>
              <w:rPr>
                <w:sz w:val="20"/>
                <w:lang w:val="en-GB"/>
              </w:rPr>
            </w:pPr>
            <w:hyperlink r:id="rId25" w:history="1"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E86738" w:rsidRPr="004F73AD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4F73AD" w:rsidRDefault="00622953" w:rsidP="00E76D26">
      <w:pPr>
        <w:rPr>
          <w:sz w:val="18"/>
          <w:lang w:val="en-GB"/>
        </w:rPr>
      </w:pPr>
      <w:r w:rsidRPr="004F73AD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2CD3DD4" wp14:editId="76C9E7EC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E86738" w:rsidRPr="00941435" w:rsidRDefault="00E86738" w:rsidP="00E8673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E86738" w:rsidRPr="00941435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54766C" w:rsidP="00E8673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E86738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E86738" w:rsidRPr="00941435" w:rsidRDefault="00E86738" w:rsidP="00E8673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E86738" w:rsidRPr="00941435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E86738" w:rsidP="00E8673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4F73AD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B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F1E8B7" wp14:editId="6B7997E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C5A0E9" wp14:editId="62BAC742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7B2D28" wp14:editId="3A802CE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1D7F3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1D7F3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1D7F33">
      <w:rPr>
        <w:noProof/>
        <w:lang w:val="en-GB" w:eastAsia="en-GB"/>
      </w:rPr>
      <w:drawing>
        <wp:inline distT="0" distB="0" distL="0" distR="0" wp14:anchorId="624662F1" wp14:editId="414EA206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AA9E4B" wp14:editId="2C875C1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0C2BC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A371FF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0C2BC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A371FF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5pt;visibility:visible" o:bullet="t">
        <v:imagedata r:id="rId1" o:title=""/>
      </v:shape>
    </w:pict>
  </w:numPicBullet>
  <w:numPicBullet w:numPicBulletId="1">
    <w:pict>
      <v:shape id="_x0000_i1027" type="#_x0000_t75" style="width:123.7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21BA"/>
    <w:rsid w:val="001C3269"/>
    <w:rsid w:val="001D1DB4"/>
    <w:rsid w:val="001D7F33"/>
    <w:rsid w:val="001E1D94"/>
    <w:rsid w:val="001E7DBB"/>
    <w:rsid w:val="0022735A"/>
    <w:rsid w:val="002574F9"/>
    <w:rsid w:val="00262B61"/>
    <w:rsid w:val="00276811"/>
    <w:rsid w:val="00276C9A"/>
    <w:rsid w:val="00282699"/>
    <w:rsid w:val="002926DF"/>
    <w:rsid w:val="00296697"/>
    <w:rsid w:val="002A3881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22EDD"/>
    <w:rsid w:val="003279D3"/>
    <w:rsid w:val="00332320"/>
    <w:rsid w:val="00347D72"/>
    <w:rsid w:val="00357611"/>
    <w:rsid w:val="00362835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E053C"/>
    <w:rsid w:val="004E6396"/>
    <w:rsid w:val="004F0C3C"/>
    <w:rsid w:val="004F529E"/>
    <w:rsid w:val="004F63FC"/>
    <w:rsid w:val="004F73AD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4766C"/>
    <w:rsid w:val="005520D8"/>
    <w:rsid w:val="00556698"/>
    <w:rsid w:val="00556CF1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59D5"/>
    <w:rsid w:val="007162EB"/>
    <w:rsid w:val="007211B1"/>
    <w:rsid w:val="00733D55"/>
    <w:rsid w:val="007356A6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08F3"/>
    <w:rsid w:val="0079514B"/>
    <w:rsid w:val="007A2DC1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00C2"/>
    <w:rsid w:val="00A460E6"/>
    <w:rsid w:val="00A46BD5"/>
    <w:rsid w:val="00A47D80"/>
    <w:rsid w:val="00A51E49"/>
    <w:rsid w:val="00A53132"/>
    <w:rsid w:val="00A563F2"/>
    <w:rsid w:val="00A566E8"/>
    <w:rsid w:val="00A61BA6"/>
    <w:rsid w:val="00A734DE"/>
    <w:rsid w:val="00A76691"/>
    <w:rsid w:val="00A810F9"/>
    <w:rsid w:val="00A8672C"/>
    <w:rsid w:val="00A86ECC"/>
    <w:rsid w:val="00A86FCC"/>
    <w:rsid w:val="00AA710D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10BE"/>
    <w:rsid w:val="00C00EDA"/>
    <w:rsid w:val="00C030DE"/>
    <w:rsid w:val="00C22105"/>
    <w:rsid w:val="00C244B6"/>
    <w:rsid w:val="00C24B3B"/>
    <w:rsid w:val="00C27D75"/>
    <w:rsid w:val="00C3702F"/>
    <w:rsid w:val="00C4500A"/>
    <w:rsid w:val="00C4622B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5F6E"/>
    <w:rsid w:val="00CC739E"/>
    <w:rsid w:val="00CD1E2E"/>
    <w:rsid w:val="00CD58B7"/>
    <w:rsid w:val="00CF4099"/>
    <w:rsid w:val="00D00796"/>
    <w:rsid w:val="00D02D2C"/>
    <w:rsid w:val="00D13F32"/>
    <w:rsid w:val="00D22C1B"/>
    <w:rsid w:val="00D261A2"/>
    <w:rsid w:val="00D32B9F"/>
    <w:rsid w:val="00D478C0"/>
    <w:rsid w:val="00D532FB"/>
    <w:rsid w:val="00D538E4"/>
    <w:rsid w:val="00D616D2"/>
    <w:rsid w:val="00D62A6B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8329E"/>
    <w:rsid w:val="00E86738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51CF"/>
    <w:rsid w:val="00F12FEC"/>
    <w:rsid w:val="00F14886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46343"/>
    <w:rsid w:val="00F62CA0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en/latest-statistical-news/communications-and-announcements/" TargetMode="External"/><Relationship Id="rId39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711,term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chart" Target="charts/chart1.xml"/><Relationship Id="rId17" Type="http://schemas.openxmlformats.org/officeDocument/2006/relationships/hyperlink" Target="mailto:a.bobel@stat.gov.pl" TargetMode="Externa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4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6.png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latest-statistical-news/news-releas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communications-and-announcements/" TargetMode="External"/><Relationship Id="rId43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058686484414167E-2"/>
                  <c:y val="1.5091036662721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264844679891E-3"/>
                  <c:y val="1.56264214164023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0025551797861E-2"/>
                  <c:y val="2.34293669540088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2.1689325938064725E-2"/>
                  <c:y val="-4.3025223647979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1.8688802998360343E-2"/>
                  <c:y val="-2.989564373924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0706260344659732E-2"/>
                  <c:y val="-2.4252797016043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57085968610992E-2"/>
                  <c:y val="-2.53015400680669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642058611130302E-2"/>
                  <c:y val="2.8967865791458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5.0060486273245476E-2"/>
                  <c:y val="4.4721057871867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(+FE)'!$B$26:$B$44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(+FE)'!$C$26:$C$44</c:f>
              <c:numCache>
                <c:formatCode>0.0</c:formatCode>
                <c:ptCount val="19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5760"/>
        <c:axId val="92278784"/>
      </c:lineChart>
      <c:dateAx>
        <c:axId val="134457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278784"/>
        <c:crossesAt val="0"/>
        <c:auto val="0"/>
        <c:lblOffset val="100"/>
        <c:baseTimeUnit val="days"/>
      </c:dateAx>
      <c:valAx>
        <c:axId val="9227878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34457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0.71217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8667" y="2615596"/>
          <a:ext cx="3333750" cy="2058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0.71217</cdr:x>
      <cdr:y>0.92328</cdr:y>
    </cdr:from>
    <cdr:to>
      <cdr:x>0.93469</cdr:x>
      <cdr:y>0.98875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72417" y="2605012"/>
          <a:ext cx="1147468" cy="184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0.61008</cdr:x>
      <cdr:y>0.86735</cdr:y>
    </cdr:from>
    <cdr:to>
      <cdr:x>0.61034</cdr:x>
      <cdr:y>0.95497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V="1">
          <a:off x="3103099" y="2447609"/>
          <a:ext cx="1322" cy="24725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978" y="1016404"/>
          <a:ext cx="4395884" cy="5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0.54166</cdr:x>
      <cdr:y>0.18439</cdr:y>
    </cdr:from>
    <cdr:to>
      <cdr:x>0.7779</cdr:x>
      <cdr:y>0.2807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55069" y="520342"/>
          <a:ext cx="1201599" cy="27178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0.65169</cdr:x>
      <cdr:y>0.24978</cdr:y>
    </cdr:from>
    <cdr:to>
      <cdr:x>0.70599</cdr:x>
      <cdr:y>0.35104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3314700" y="704851"/>
          <a:ext cx="276225" cy="28575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0.45332</cdr:x>
      <cdr:y>0.15527</cdr:y>
    </cdr:from>
    <cdr:to>
      <cdr:x>0.54682</cdr:x>
      <cdr:y>0.23787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305726" y="438163"/>
          <a:ext cx="475574" cy="2330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0.45265</cdr:x>
      <cdr:y>0.23792</cdr:y>
    </cdr:from>
    <cdr:to>
      <cdr:x>0.61533</cdr:x>
      <cdr:y>0.55858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302332" y="671388"/>
          <a:ext cx="827448" cy="90488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0.28329</cdr:x>
      <cdr:y>0.19509</cdr:y>
    </cdr:from>
    <cdr:to>
      <cdr:x>0.52497</cdr:x>
      <cdr:y>0.31478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1440901" y="550532"/>
          <a:ext cx="1229269" cy="3377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D3A09E-BB3E-405B-861F-5EDA76ED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estimate of the consumer price index in July 2019</dc:title>
  <dc:subject/>
  <dc:creator>GUS</dc:creator>
  <cp:keywords/>
  <dc:description/>
  <cp:lastPrinted>2019-04-29T11:54:00Z</cp:lastPrinted>
  <dcterms:created xsi:type="dcterms:W3CDTF">2019-04-29T08:38:00Z</dcterms:created>
  <dcterms:modified xsi:type="dcterms:W3CDTF">2019-07-30T10:40:00Z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