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EA7" w:rsidRDefault="002A03FC" w:rsidP="00074DD8">
      <w:pPr>
        <w:pStyle w:val="tytuinformacji"/>
        <w:rPr>
          <w:shd w:val="clear" w:color="auto" w:fill="FFFFFF"/>
          <w:lang w:val="en-US"/>
        </w:rPr>
      </w:pPr>
      <w:r w:rsidRPr="00A55231">
        <w:rPr>
          <w:shd w:val="clear" w:color="auto" w:fill="FFFFFF"/>
          <w:lang w:val="en-US"/>
        </w:rPr>
        <w:t xml:space="preserve">Real estate sales in </w:t>
      </w:r>
      <w:r w:rsidR="001B2EA7">
        <w:rPr>
          <w:shd w:val="clear" w:color="auto" w:fill="FFFFFF"/>
          <w:lang w:val="en-US"/>
        </w:rPr>
        <w:t>2018</w:t>
      </w:r>
    </w:p>
    <w:p w:rsidR="00393761" w:rsidRPr="00371AA7" w:rsidRDefault="00D635D2" w:rsidP="00074DD8">
      <w:pPr>
        <w:pStyle w:val="tytuinformacji"/>
        <w:rPr>
          <w:sz w:val="32"/>
          <w:lang w:val="en-US"/>
        </w:rPr>
      </w:pPr>
      <w:r>
        <w:rPr>
          <w:noProof/>
          <w:sz w:val="19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6" o:spid="_x0000_s1028" type="#_x0000_t202" style="position:absolute;margin-left:417.55pt;margin-top:19.35pt;width:135.85pt;height:102.4pt;z-index:-251531264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" filled="f" stroked="f">
            <v:textbox>
              <w:txbxContent>
                <w:p w:rsidR="002A03FC" w:rsidRPr="00124567" w:rsidRDefault="002A03FC" w:rsidP="002A03FC">
                  <w:pPr>
                    <w:pStyle w:val="tekstzboku"/>
                    <w:rPr>
                      <w:lang w:val="en-US"/>
                    </w:rPr>
                  </w:pPr>
                  <w:r w:rsidRPr="00124567">
                    <w:rPr>
                      <w:lang w:val="en-US"/>
                    </w:rPr>
                    <w:t>The highest increase in the n</w:t>
                  </w:r>
                  <w:r>
                    <w:rPr>
                      <w:lang w:val="en-US"/>
                    </w:rPr>
                    <w:t xml:space="preserve">umber of notarial deeds concerned the sales of properties built-up with residential </w:t>
                  </w:r>
                  <w:r w:rsidR="0054548F">
                    <w:rPr>
                      <w:lang w:val="en-US"/>
                    </w:rPr>
                    <w:t>buildings (by 12</w:t>
                  </w:r>
                  <w:r w:rsidR="00CC7B33">
                    <w:rPr>
                      <w:lang w:val="en-US"/>
                    </w:rPr>
                    <w:t>.</w:t>
                  </w:r>
                  <w:r w:rsidR="0068419B">
                    <w:rPr>
                      <w:lang w:val="en-US"/>
                    </w:rPr>
                    <w:t>5%)</w:t>
                  </w:r>
                </w:p>
                <w:p w:rsidR="009B46C8" w:rsidRPr="00F53E18" w:rsidRDefault="009B46C8" w:rsidP="00907E1E">
                  <w:pPr>
                    <w:pStyle w:val="tekstzboku"/>
                    <w:rPr>
                      <w:lang w:val="en-US"/>
                    </w:rPr>
                  </w:pPr>
                </w:p>
              </w:txbxContent>
            </v:textbox>
            <w10:wrap type="tight"/>
          </v:shape>
        </w:pict>
      </w:r>
    </w:p>
    <w:p w:rsidR="00AB397C" w:rsidRDefault="00D635D2" w:rsidP="00BD5E55">
      <w:pPr>
        <w:pStyle w:val="LID"/>
        <w:spacing w:after="0"/>
        <w:rPr>
          <w:lang w:val="en-US"/>
        </w:rPr>
      </w:pPr>
      <w:r>
        <w:pict>
          <v:shape id="_x0000_s1027" type="#_x0000_t202" style="position:absolute;margin-left:0;margin-top:6.5pt;width:2in;height:93.4pt;z-index:251676672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" fillcolor="#001d77" stroked="f">
            <v:textbox>
              <w:txbxContent>
                <w:p w:rsidR="002A03FC" w:rsidRPr="00A55231" w:rsidRDefault="009B46C8" w:rsidP="002A03FC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  <w:lang w:val="en-US"/>
                    </w:rPr>
                  </w:pPr>
                  <w:r>
                    <w:rPr>
                      <w:rFonts w:asciiTheme="minorHAnsi" w:hAnsiTheme="minorHAnsi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>
                        <wp:extent cx="333375" cy="333375"/>
                        <wp:effectExtent l="0" t="0" r="9525" b="9525"/>
                        <wp:docPr id="4" name="Obraz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2775E">
                    <w:rPr>
                      <w:noProof/>
                      <w:color w:val="001D77"/>
                      <w:lang w:val="en-US" w:eastAsia="pl-PL"/>
                    </w:rPr>
                    <w:t xml:space="preserve"> </w:t>
                  </w:r>
                  <w:r w:rsidR="001B2EA7" w:rsidRPr="00354F47">
                    <w:rPr>
                      <w:rFonts w:ascii="Fira Sans SemiBold" w:hAnsi="Fira Sans SemiBold"/>
                      <w:color w:val="FFFFFF" w:themeColor="background1"/>
                      <w:sz w:val="72"/>
                      <w:lang w:val="en-US"/>
                    </w:rPr>
                    <w:t>7.6</w:t>
                  </w:r>
                  <w:r w:rsidR="00D34D76">
                    <w:rPr>
                      <w:rFonts w:ascii="Fira Sans SemiBold" w:hAnsi="Fira Sans SemiBold"/>
                      <w:color w:val="FFFFFF" w:themeColor="background1"/>
                      <w:sz w:val="72"/>
                      <w:lang w:val="en-US"/>
                    </w:rPr>
                    <w:t>%</w:t>
                  </w:r>
                </w:p>
                <w:p w:rsidR="002A03FC" w:rsidRPr="008F4D65" w:rsidRDefault="002A03FC" w:rsidP="002A03FC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  <w:lang w:val="en-US"/>
                    </w:rPr>
                  </w:pPr>
                  <w:r w:rsidRPr="008F4D65">
                    <w:rPr>
                      <w:lang w:val="en-US"/>
                    </w:rPr>
                    <w:t xml:space="preserve">Increase </w:t>
                  </w:r>
                  <w:r>
                    <w:rPr>
                      <w:lang w:val="en-US"/>
                    </w:rPr>
                    <w:t>in</w:t>
                  </w:r>
                  <w:r w:rsidRPr="008F4D65">
                    <w:rPr>
                      <w:lang w:val="en-US"/>
                    </w:rPr>
                    <w:t xml:space="preserve"> the number of notarial deeds </w:t>
                  </w:r>
                  <w:r>
                    <w:rPr>
                      <w:lang w:val="en-US"/>
                    </w:rPr>
                    <w:t>related to real estate sales</w:t>
                  </w:r>
                </w:p>
                <w:p w:rsidR="009B46C8" w:rsidRPr="00371AA7" w:rsidRDefault="009B46C8" w:rsidP="002A03FC">
                  <w:pPr>
                    <w:spacing w:after="0" w:line="240" w:lineRule="auto"/>
                    <w:rPr>
                      <w:color w:val="FFFFFF" w:themeColor="background1"/>
                      <w:sz w:val="18"/>
                      <w:szCs w:val="20"/>
                      <w:lang w:val="en-US"/>
                    </w:rPr>
                  </w:pPr>
                </w:p>
              </w:txbxContent>
            </v:textbox>
            <w10:wrap type="square" anchorx="margin"/>
          </v:shape>
        </w:pict>
      </w:r>
      <w:r w:rsidR="001B2EA7">
        <w:rPr>
          <w:lang w:val="en-US"/>
        </w:rPr>
        <w:t>525</w:t>
      </w:r>
      <w:r w:rsidR="002A03FC">
        <w:rPr>
          <w:lang w:val="en-US"/>
        </w:rPr>
        <w:t>.</w:t>
      </w:r>
      <w:r w:rsidR="002A03FC" w:rsidRPr="00CE65E4">
        <w:rPr>
          <w:lang w:val="en-US"/>
        </w:rPr>
        <w:t xml:space="preserve">1 thous. </w:t>
      </w:r>
      <w:r w:rsidR="002A03FC">
        <w:rPr>
          <w:lang w:val="en-US"/>
        </w:rPr>
        <w:t>notarial deeds relating</w:t>
      </w:r>
      <w:r w:rsidR="002A03FC" w:rsidRPr="00CE65E4">
        <w:rPr>
          <w:lang w:val="en-US"/>
        </w:rPr>
        <w:t xml:space="preserve"> to </w:t>
      </w:r>
      <w:r w:rsidR="002A03FC">
        <w:rPr>
          <w:lang w:val="en-US"/>
        </w:rPr>
        <w:t>real estate sales were concluded</w:t>
      </w:r>
      <w:r w:rsidR="001B2EA7">
        <w:rPr>
          <w:lang w:val="en-US"/>
        </w:rPr>
        <w:t xml:space="preserve"> in 2018</w:t>
      </w:r>
      <w:r w:rsidR="002A03FC" w:rsidRPr="00CE65E4">
        <w:rPr>
          <w:lang w:val="en-US"/>
        </w:rPr>
        <w:t xml:space="preserve">, </w:t>
      </w:r>
      <w:r w:rsidR="002A03FC">
        <w:rPr>
          <w:lang w:val="en-US"/>
        </w:rPr>
        <w:t>by</w:t>
      </w:r>
      <w:r w:rsidR="0054548F">
        <w:rPr>
          <w:lang w:val="en-US"/>
        </w:rPr>
        <w:t xml:space="preserve"> 7</w:t>
      </w:r>
      <w:r w:rsidR="002A03FC">
        <w:rPr>
          <w:lang w:val="en-US"/>
        </w:rPr>
        <w:t>.</w:t>
      </w:r>
      <w:r w:rsidR="0054548F">
        <w:rPr>
          <w:lang w:val="en-US"/>
        </w:rPr>
        <w:t>6</w:t>
      </w:r>
      <w:r w:rsidR="002A03FC" w:rsidRPr="00CE65E4">
        <w:rPr>
          <w:lang w:val="en-US"/>
        </w:rPr>
        <w:t xml:space="preserve">% </w:t>
      </w:r>
      <w:r w:rsidR="002A03FC">
        <w:rPr>
          <w:lang w:val="en-US"/>
        </w:rPr>
        <w:t>more than in the previous year</w:t>
      </w:r>
      <w:r w:rsidR="002A03FC" w:rsidRPr="00CE65E4">
        <w:rPr>
          <w:lang w:val="en-US"/>
        </w:rPr>
        <w:t>.</w:t>
      </w:r>
      <w:r w:rsidR="002A03FC">
        <w:rPr>
          <w:lang w:val="en-US"/>
        </w:rPr>
        <w:t xml:space="preserve"> Compared to</w:t>
      </w:r>
      <w:r w:rsidR="0054548F">
        <w:rPr>
          <w:lang w:val="en-US"/>
        </w:rPr>
        <w:t xml:space="preserve"> 2017</w:t>
      </w:r>
      <w:r w:rsidR="002A03FC" w:rsidRPr="00CE65E4">
        <w:rPr>
          <w:lang w:val="en-US"/>
        </w:rPr>
        <w:t xml:space="preserve"> the highest increase </w:t>
      </w:r>
      <w:r w:rsidR="002A03FC">
        <w:rPr>
          <w:lang w:val="en-US"/>
        </w:rPr>
        <w:t>in</w:t>
      </w:r>
      <w:r w:rsidR="002A03FC" w:rsidRPr="00CE65E4">
        <w:rPr>
          <w:lang w:val="en-US"/>
        </w:rPr>
        <w:t xml:space="preserve"> the number of n</w:t>
      </w:r>
      <w:r w:rsidR="002A03FC">
        <w:rPr>
          <w:lang w:val="en-US"/>
        </w:rPr>
        <w:t xml:space="preserve">otarial deeds concerned sales of properties buit-up with residential buildings (by </w:t>
      </w:r>
      <w:r w:rsidR="0054548F">
        <w:rPr>
          <w:shd w:val="clear" w:color="auto" w:fill="FFFFFF"/>
          <w:lang w:val="en-US"/>
        </w:rPr>
        <w:t>12</w:t>
      </w:r>
      <w:r w:rsidR="002A03FC">
        <w:rPr>
          <w:shd w:val="clear" w:color="auto" w:fill="FFFFFF"/>
          <w:lang w:val="en-US"/>
        </w:rPr>
        <w:t>.</w:t>
      </w:r>
      <w:r w:rsidR="002A03FC" w:rsidRPr="00CE65E4">
        <w:rPr>
          <w:shd w:val="clear" w:color="auto" w:fill="FFFFFF"/>
          <w:lang w:val="en-US"/>
        </w:rPr>
        <w:t xml:space="preserve">5%), </w:t>
      </w:r>
      <w:r w:rsidR="002A03FC">
        <w:rPr>
          <w:shd w:val="clear" w:color="auto" w:fill="FFFFFF"/>
          <w:lang w:val="en-US"/>
        </w:rPr>
        <w:t>sales of premises (by</w:t>
      </w:r>
      <w:r w:rsidR="0054548F">
        <w:rPr>
          <w:shd w:val="clear" w:color="auto" w:fill="FFFFFF"/>
          <w:lang w:val="en-US"/>
        </w:rPr>
        <w:t xml:space="preserve"> 9</w:t>
      </w:r>
      <w:r w:rsidR="002A03FC">
        <w:rPr>
          <w:shd w:val="clear" w:color="auto" w:fill="FFFFFF"/>
          <w:lang w:val="en-US"/>
        </w:rPr>
        <w:t>.</w:t>
      </w:r>
      <w:r w:rsidR="0054548F">
        <w:rPr>
          <w:shd w:val="clear" w:color="auto" w:fill="FFFFFF"/>
          <w:lang w:val="en-US"/>
        </w:rPr>
        <w:t>7</w:t>
      </w:r>
      <w:r w:rsidR="002A03FC">
        <w:rPr>
          <w:shd w:val="clear" w:color="auto" w:fill="FFFFFF"/>
          <w:lang w:val="en-US"/>
        </w:rPr>
        <w:t>%), sales of land properties (by</w:t>
      </w:r>
      <w:r w:rsidR="0054548F">
        <w:rPr>
          <w:shd w:val="clear" w:color="auto" w:fill="FFFFFF"/>
          <w:lang w:val="en-US"/>
        </w:rPr>
        <w:t xml:space="preserve"> 9</w:t>
      </w:r>
      <w:r w:rsidR="002A03FC">
        <w:rPr>
          <w:shd w:val="clear" w:color="auto" w:fill="FFFFFF"/>
          <w:lang w:val="en-US"/>
        </w:rPr>
        <w:t>.</w:t>
      </w:r>
      <w:r w:rsidR="0054548F">
        <w:rPr>
          <w:shd w:val="clear" w:color="auto" w:fill="FFFFFF"/>
          <w:lang w:val="en-US"/>
        </w:rPr>
        <w:t>7</w:t>
      </w:r>
      <w:r w:rsidR="002A03FC" w:rsidRPr="00CE65E4">
        <w:rPr>
          <w:shd w:val="clear" w:color="auto" w:fill="FFFFFF"/>
          <w:lang w:val="en-US"/>
        </w:rPr>
        <w:t xml:space="preserve">%) </w:t>
      </w:r>
      <w:r w:rsidR="002A03FC">
        <w:rPr>
          <w:shd w:val="clear" w:color="auto" w:fill="FFFFFF"/>
          <w:lang w:val="en-US"/>
        </w:rPr>
        <w:t xml:space="preserve">and sales </w:t>
      </w:r>
      <w:r w:rsidR="0054548F" w:rsidRPr="0054548F">
        <w:rPr>
          <w:lang w:val="en-US"/>
        </w:rPr>
        <w:t>of other properties</w:t>
      </w:r>
      <w:r w:rsidR="002A03FC">
        <w:rPr>
          <w:shd w:val="clear" w:color="auto" w:fill="FFFFFF"/>
          <w:lang w:val="en-US"/>
        </w:rPr>
        <w:t xml:space="preserve"> (by</w:t>
      </w:r>
      <w:r w:rsidR="0054548F">
        <w:rPr>
          <w:shd w:val="clear" w:color="auto" w:fill="FFFFFF"/>
          <w:lang w:val="en-US"/>
        </w:rPr>
        <w:t xml:space="preserve"> 6</w:t>
      </w:r>
      <w:r w:rsidR="002A03FC">
        <w:rPr>
          <w:shd w:val="clear" w:color="auto" w:fill="FFFFFF"/>
          <w:lang w:val="en-US"/>
        </w:rPr>
        <w:t>.</w:t>
      </w:r>
      <w:r w:rsidR="0054548F">
        <w:rPr>
          <w:shd w:val="clear" w:color="auto" w:fill="FFFFFF"/>
          <w:lang w:val="en-US"/>
        </w:rPr>
        <w:t>8</w:t>
      </w:r>
      <w:r w:rsidR="002A03FC" w:rsidRPr="00CE65E4">
        <w:rPr>
          <w:shd w:val="clear" w:color="auto" w:fill="FFFFFF"/>
          <w:lang w:val="en-US"/>
        </w:rPr>
        <w:t xml:space="preserve">%). </w:t>
      </w:r>
      <w:r w:rsidR="002A03FC">
        <w:rPr>
          <w:shd w:val="clear" w:color="auto" w:fill="FFFFFF"/>
          <w:lang w:val="en-US"/>
        </w:rPr>
        <w:t>The largest</w:t>
      </w:r>
      <w:r w:rsidR="002A03FC" w:rsidRPr="008C3A31">
        <w:rPr>
          <w:shd w:val="clear" w:color="auto" w:fill="FFFFFF"/>
          <w:lang w:val="en-US"/>
        </w:rPr>
        <w:t xml:space="preserve"> decrease was recorded in the c</w:t>
      </w:r>
      <w:r w:rsidR="002A03FC">
        <w:rPr>
          <w:shd w:val="clear" w:color="auto" w:fill="FFFFFF"/>
          <w:lang w:val="en-US"/>
        </w:rPr>
        <w:t xml:space="preserve">ase of notarial deeds on the </w:t>
      </w:r>
      <w:r w:rsidR="0054548F" w:rsidRPr="0054548F">
        <w:rPr>
          <w:lang w:val="en-US"/>
        </w:rPr>
        <w:t>sales of properties to the State Treasury or local self-government bodies</w:t>
      </w:r>
      <w:r w:rsidR="0054548F">
        <w:rPr>
          <w:shd w:val="clear" w:color="auto" w:fill="FFFFFF"/>
          <w:lang w:val="en-US"/>
        </w:rPr>
        <w:t xml:space="preserve"> </w:t>
      </w:r>
      <w:r w:rsidR="002A03FC">
        <w:rPr>
          <w:shd w:val="clear" w:color="auto" w:fill="FFFFFF"/>
          <w:lang w:val="en-US"/>
        </w:rPr>
        <w:t>(by</w:t>
      </w:r>
      <w:r w:rsidR="0054548F">
        <w:rPr>
          <w:shd w:val="clear" w:color="auto" w:fill="FFFFFF"/>
          <w:lang w:val="en-US"/>
        </w:rPr>
        <w:t xml:space="preserve"> 9</w:t>
      </w:r>
      <w:r w:rsidR="002A03FC">
        <w:rPr>
          <w:shd w:val="clear" w:color="auto" w:fill="FFFFFF"/>
          <w:lang w:val="en-US"/>
        </w:rPr>
        <w:t>.</w:t>
      </w:r>
      <w:r w:rsidR="0054548F">
        <w:rPr>
          <w:shd w:val="clear" w:color="auto" w:fill="FFFFFF"/>
          <w:lang w:val="en-US"/>
        </w:rPr>
        <w:t>9</w:t>
      </w:r>
      <w:r w:rsidR="002A03FC" w:rsidRPr="008C3A31">
        <w:rPr>
          <w:shd w:val="clear" w:color="auto" w:fill="FFFFFF"/>
          <w:lang w:val="en-US"/>
        </w:rPr>
        <w:t xml:space="preserve">%) </w:t>
      </w:r>
      <w:r w:rsidR="002A03FC">
        <w:rPr>
          <w:shd w:val="clear" w:color="auto" w:fill="FFFFFF"/>
          <w:lang w:val="en-US"/>
        </w:rPr>
        <w:t xml:space="preserve">and the </w:t>
      </w:r>
      <w:r w:rsidR="0054548F" w:rsidRPr="0054548F">
        <w:rPr>
          <w:lang w:val="en-US"/>
        </w:rPr>
        <w:t>transfer of properties by the State Treasury or local  self-government bodies for perpetual usufruct with the sale of building</w:t>
      </w:r>
      <w:r w:rsidR="0054548F">
        <w:rPr>
          <w:shd w:val="clear" w:color="auto" w:fill="FFFFFF"/>
          <w:lang w:val="en-US"/>
        </w:rPr>
        <w:t xml:space="preserve"> </w:t>
      </w:r>
      <w:r w:rsidR="002A03FC">
        <w:rPr>
          <w:shd w:val="clear" w:color="auto" w:fill="FFFFFF"/>
          <w:lang w:val="en-US"/>
        </w:rPr>
        <w:t>(by</w:t>
      </w:r>
      <w:r w:rsidR="002A03FC" w:rsidRPr="008C3A31">
        <w:rPr>
          <w:shd w:val="clear" w:color="auto" w:fill="FFFFFF"/>
          <w:lang w:val="en-US"/>
        </w:rPr>
        <w:t> </w:t>
      </w:r>
      <w:r w:rsidR="0054548F">
        <w:rPr>
          <w:shd w:val="clear" w:color="auto" w:fill="FFFFFF"/>
          <w:lang w:val="en-US"/>
        </w:rPr>
        <w:t>8</w:t>
      </w:r>
      <w:r w:rsidR="002A03FC">
        <w:rPr>
          <w:shd w:val="clear" w:color="auto" w:fill="FFFFFF"/>
          <w:lang w:val="en-US"/>
        </w:rPr>
        <w:t>.</w:t>
      </w:r>
      <w:r w:rsidR="0054548F">
        <w:rPr>
          <w:shd w:val="clear" w:color="auto" w:fill="FFFFFF"/>
          <w:lang w:val="en-US"/>
        </w:rPr>
        <w:t>4</w:t>
      </w:r>
      <w:r w:rsidR="002A03FC" w:rsidRPr="008C3A31">
        <w:rPr>
          <w:shd w:val="clear" w:color="auto" w:fill="FFFFFF"/>
          <w:lang w:val="en-US"/>
        </w:rPr>
        <w:t>%</w:t>
      </w:r>
      <w:r w:rsidR="002A03FC">
        <w:rPr>
          <w:shd w:val="clear" w:color="auto" w:fill="FFFFFF"/>
          <w:lang w:val="en-US"/>
        </w:rPr>
        <w:t>).</w:t>
      </w:r>
    </w:p>
    <w:p w:rsidR="00E25608" w:rsidRDefault="00E25608" w:rsidP="00BD5E55">
      <w:pPr>
        <w:pStyle w:val="Nagwek1"/>
        <w:rPr>
          <w:rFonts w:ascii="Fira Sans" w:hAnsi="Fira Sans"/>
          <w:b/>
          <w:color w:val="auto"/>
          <w:sz w:val="18"/>
          <w:szCs w:val="18"/>
          <w:lang w:val="en-US"/>
        </w:rPr>
      </w:pPr>
    </w:p>
    <w:p w:rsidR="00CC7C9C" w:rsidRDefault="002A03FC" w:rsidP="00BD5E55">
      <w:pPr>
        <w:pStyle w:val="Nagwek1"/>
        <w:rPr>
          <w:color w:val="auto"/>
          <w:sz w:val="18"/>
          <w:szCs w:val="18"/>
          <w:lang w:val="en-US"/>
        </w:rPr>
      </w:pPr>
      <w:r w:rsidRPr="00124567">
        <w:rPr>
          <w:rFonts w:ascii="Fira Sans" w:hAnsi="Fira Sans"/>
          <w:b/>
          <w:color w:val="auto"/>
          <w:sz w:val="18"/>
          <w:szCs w:val="18"/>
          <w:lang w:val="en-US"/>
        </w:rPr>
        <w:t xml:space="preserve">Table 1. </w:t>
      </w:r>
      <w:r>
        <w:rPr>
          <w:color w:val="auto"/>
          <w:sz w:val="18"/>
          <w:szCs w:val="18"/>
          <w:lang w:val="en-US"/>
        </w:rPr>
        <w:t>N</w:t>
      </w:r>
      <w:r w:rsidRPr="00124567">
        <w:rPr>
          <w:color w:val="auto"/>
          <w:sz w:val="18"/>
          <w:szCs w:val="18"/>
          <w:lang w:val="en-US"/>
        </w:rPr>
        <w:t>otarial deeds r</w:t>
      </w:r>
      <w:r>
        <w:rPr>
          <w:color w:val="auto"/>
          <w:sz w:val="18"/>
          <w:szCs w:val="18"/>
          <w:lang w:val="en-US"/>
        </w:rPr>
        <w:t>elated to real estate sales</w:t>
      </w:r>
      <w:r w:rsidRPr="00124567">
        <w:rPr>
          <w:color w:val="auto"/>
          <w:sz w:val="18"/>
          <w:szCs w:val="18"/>
          <w:lang w:val="en-US"/>
        </w:rPr>
        <w:t xml:space="preserve"> con</w:t>
      </w:r>
      <w:r>
        <w:rPr>
          <w:color w:val="auto"/>
          <w:sz w:val="18"/>
          <w:szCs w:val="18"/>
          <w:lang w:val="en-US"/>
        </w:rPr>
        <w:t>cluded</w:t>
      </w:r>
      <w:r w:rsidR="001B2EA7">
        <w:rPr>
          <w:color w:val="auto"/>
          <w:sz w:val="18"/>
          <w:szCs w:val="18"/>
          <w:lang w:val="en-US"/>
        </w:rPr>
        <w:t xml:space="preserve"> in 2018</w:t>
      </w:r>
    </w:p>
    <w:tbl>
      <w:tblPr>
        <w:tblStyle w:val="Siatkatabelijasna10"/>
        <w:tblpPr w:leftFromText="141" w:rightFromText="141" w:vertAnchor="text" w:horzAnchor="margin" w:tblpXSpec="center" w:tblpY="5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5637"/>
        <w:gridCol w:w="1324"/>
        <w:gridCol w:w="1322"/>
      </w:tblGrid>
      <w:tr w:rsidR="002A03FC" w:rsidRPr="00907E1E" w:rsidTr="00E33750">
        <w:trPr>
          <w:trHeight w:val="510"/>
        </w:trPr>
        <w:tc>
          <w:tcPr>
            <w:tcW w:w="3403" w:type="pct"/>
            <w:tcBorders>
              <w:bottom w:val="single" w:sz="12" w:space="0" w:color="002060"/>
            </w:tcBorders>
            <w:vAlign w:val="center"/>
          </w:tcPr>
          <w:p w:rsidR="002A03FC" w:rsidRPr="00907E1E" w:rsidRDefault="002A03FC" w:rsidP="00E33750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8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8"/>
              </w:rPr>
              <w:t>SPECIFICATION</w:t>
            </w:r>
          </w:p>
        </w:tc>
        <w:tc>
          <w:tcPr>
            <w:tcW w:w="799" w:type="pct"/>
            <w:tcBorders>
              <w:bottom w:val="single" w:sz="12" w:space="0" w:color="002060"/>
            </w:tcBorders>
            <w:vAlign w:val="center"/>
          </w:tcPr>
          <w:p w:rsidR="002A03FC" w:rsidRPr="00907E1E" w:rsidRDefault="001B2EA7" w:rsidP="00E33750">
            <w:pPr>
              <w:jc w:val="center"/>
              <w:rPr>
                <w:color w:val="000000" w:themeColor="text1"/>
                <w:sz w:val="16"/>
                <w:szCs w:val="18"/>
              </w:rPr>
            </w:pPr>
            <w:r>
              <w:rPr>
                <w:color w:val="000000" w:themeColor="text1"/>
                <w:sz w:val="16"/>
                <w:szCs w:val="18"/>
              </w:rPr>
              <w:t>2018</w:t>
            </w:r>
          </w:p>
        </w:tc>
        <w:tc>
          <w:tcPr>
            <w:tcW w:w="798" w:type="pct"/>
            <w:tcBorders>
              <w:bottom w:val="single" w:sz="12" w:space="0" w:color="002060"/>
            </w:tcBorders>
            <w:vAlign w:val="center"/>
          </w:tcPr>
          <w:p w:rsidR="002A03FC" w:rsidRPr="00907E1E" w:rsidRDefault="001B2EA7" w:rsidP="00E33750">
            <w:pPr>
              <w:jc w:val="center"/>
              <w:rPr>
                <w:color w:val="000000" w:themeColor="text1"/>
                <w:sz w:val="16"/>
                <w:szCs w:val="18"/>
              </w:rPr>
            </w:pPr>
            <w:r>
              <w:rPr>
                <w:color w:val="000000" w:themeColor="text1"/>
                <w:sz w:val="16"/>
                <w:szCs w:val="18"/>
              </w:rPr>
              <w:t>2017</w:t>
            </w:r>
            <w:r w:rsidR="002A03FC" w:rsidRPr="00907E1E">
              <w:rPr>
                <w:color w:val="000000" w:themeColor="text1"/>
                <w:sz w:val="16"/>
                <w:szCs w:val="18"/>
              </w:rPr>
              <w:t xml:space="preserve"> = 100</w:t>
            </w:r>
          </w:p>
        </w:tc>
      </w:tr>
      <w:tr w:rsidR="001B2EA7" w:rsidRPr="00907E1E" w:rsidTr="00DF2660">
        <w:trPr>
          <w:trHeight w:val="510"/>
        </w:trPr>
        <w:tc>
          <w:tcPr>
            <w:tcW w:w="3403" w:type="pct"/>
            <w:tcBorders>
              <w:top w:val="single" w:sz="12" w:space="0" w:color="002060"/>
            </w:tcBorders>
            <w:vAlign w:val="center"/>
          </w:tcPr>
          <w:p w:rsidR="001B2EA7" w:rsidRPr="00907E1E" w:rsidRDefault="001B2EA7" w:rsidP="001B2EA7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b/>
                <w:color w:val="000000" w:themeColor="text1"/>
                <w:sz w:val="16"/>
                <w:szCs w:val="18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8"/>
              </w:rPr>
              <w:t>TOTAL</w:t>
            </w:r>
          </w:p>
        </w:tc>
        <w:tc>
          <w:tcPr>
            <w:tcW w:w="799" w:type="pct"/>
            <w:tcBorders>
              <w:top w:val="single" w:sz="12" w:space="0" w:color="002060"/>
            </w:tcBorders>
          </w:tcPr>
          <w:p w:rsidR="001B2EA7" w:rsidRPr="00F07602" w:rsidRDefault="001B2EA7" w:rsidP="001B2EA7">
            <w:pPr>
              <w:jc w:val="right"/>
              <w:rPr>
                <w:b/>
                <w:sz w:val="16"/>
                <w:szCs w:val="16"/>
              </w:rPr>
            </w:pPr>
            <w:r w:rsidRPr="00F07602">
              <w:rPr>
                <w:b/>
                <w:sz w:val="16"/>
                <w:szCs w:val="16"/>
              </w:rPr>
              <w:t>525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07602">
              <w:rPr>
                <w:b/>
                <w:sz w:val="16"/>
                <w:szCs w:val="16"/>
              </w:rPr>
              <w:t>082</w:t>
            </w:r>
          </w:p>
        </w:tc>
        <w:tc>
          <w:tcPr>
            <w:tcW w:w="798" w:type="pct"/>
            <w:tcBorders>
              <w:top w:val="single" w:sz="12" w:space="0" w:color="002060"/>
            </w:tcBorders>
          </w:tcPr>
          <w:p w:rsidR="001B2EA7" w:rsidRPr="00F07602" w:rsidRDefault="001B2EA7" w:rsidP="001B2EA7">
            <w:pPr>
              <w:jc w:val="right"/>
              <w:rPr>
                <w:b/>
                <w:sz w:val="16"/>
                <w:szCs w:val="16"/>
              </w:rPr>
            </w:pPr>
            <w:r w:rsidRPr="00F07602">
              <w:rPr>
                <w:b/>
                <w:sz w:val="16"/>
                <w:szCs w:val="16"/>
              </w:rPr>
              <w:t>107</w:t>
            </w:r>
            <w:r w:rsidR="00CC7B33">
              <w:rPr>
                <w:b/>
                <w:sz w:val="16"/>
                <w:szCs w:val="16"/>
              </w:rPr>
              <w:t>.</w:t>
            </w:r>
            <w:r w:rsidRPr="00F07602">
              <w:rPr>
                <w:b/>
                <w:sz w:val="16"/>
                <w:szCs w:val="16"/>
              </w:rPr>
              <w:t>6</w:t>
            </w:r>
          </w:p>
        </w:tc>
      </w:tr>
      <w:tr w:rsidR="001B2EA7" w:rsidRPr="00907E1E" w:rsidTr="00E33750">
        <w:trPr>
          <w:trHeight w:val="510"/>
        </w:trPr>
        <w:tc>
          <w:tcPr>
            <w:tcW w:w="3403" w:type="pct"/>
          </w:tcPr>
          <w:p w:rsidR="001B2EA7" w:rsidRPr="00907E1E" w:rsidRDefault="001B2EA7" w:rsidP="001B2EA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Sales of premises</w:t>
            </w:r>
          </w:p>
        </w:tc>
        <w:tc>
          <w:tcPr>
            <w:tcW w:w="799" w:type="pct"/>
          </w:tcPr>
          <w:p w:rsidR="001B2EA7" w:rsidRPr="00F07602" w:rsidRDefault="001B2EA7" w:rsidP="001B2EA7">
            <w:pPr>
              <w:jc w:val="right"/>
              <w:rPr>
                <w:sz w:val="16"/>
                <w:szCs w:val="16"/>
              </w:rPr>
            </w:pPr>
            <w:r w:rsidRPr="00F07602">
              <w:rPr>
                <w:sz w:val="16"/>
                <w:szCs w:val="16"/>
              </w:rPr>
              <w:t>209</w:t>
            </w:r>
            <w:r>
              <w:rPr>
                <w:sz w:val="16"/>
                <w:szCs w:val="16"/>
              </w:rPr>
              <w:t xml:space="preserve"> </w:t>
            </w:r>
            <w:r w:rsidRPr="00F07602">
              <w:rPr>
                <w:sz w:val="16"/>
                <w:szCs w:val="16"/>
              </w:rPr>
              <w:t>997</w:t>
            </w:r>
          </w:p>
        </w:tc>
        <w:tc>
          <w:tcPr>
            <w:tcW w:w="798" w:type="pct"/>
          </w:tcPr>
          <w:p w:rsidR="001B2EA7" w:rsidRPr="00F07602" w:rsidRDefault="001B2EA7" w:rsidP="00CC7B33">
            <w:pPr>
              <w:jc w:val="right"/>
              <w:rPr>
                <w:sz w:val="16"/>
                <w:szCs w:val="16"/>
              </w:rPr>
            </w:pPr>
            <w:r w:rsidRPr="00F07602">
              <w:rPr>
                <w:sz w:val="16"/>
                <w:szCs w:val="16"/>
              </w:rPr>
              <w:t>109</w:t>
            </w:r>
            <w:r w:rsidR="00CC7B33">
              <w:rPr>
                <w:sz w:val="16"/>
                <w:szCs w:val="16"/>
              </w:rPr>
              <w:t>.</w:t>
            </w:r>
            <w:r w:rsidRPr="00F07602">
              <w:rPr>
                <w:sz w:val="16"/>
                <w:szCs w:val="16"/>
              </w:rPr>
              <w:t>7</w:t>
            </w:r>
          </w:p>
        </w:tc>
      </w:tr>
      <w:tr w:rsidR="001B2EA7" w:rsidRPr="00907E1E" w:rsidTr="00E33750">
        <w:trPr>
          <w:trHeight w:val="510"/>
        </w:trPr>
        <w:tc>
          <w:tcPr>
            <w:tcW w:w="3403" w:type="pct"/>
          </w:tcPr>
          <w:p w:rsidR="001B2EA7" w:rsidRPr="00907E1E" w:rsidRDefault="001B2EA7" w:rsidP="001B2EA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Sales of land properties</w:t>
            </w:r>
          </w:p>
        </w:tc>
        <w:tc>
          <w:tcPr>
            <w:tcW w:w="799" w:type="pct"/>
          </w:tcPr>
          <w:p w:rsidR="001B2EA7" w:rsidRPr="00F07602" w:rsidRDefault="001B2EA7" w:rsidP="001B2EA7">
            <w:pPr>
              <w:jc w:val="right"/>
              <w:rPr>
                <w:sz w:val="16"/>
                <w:szCs w:val="16"/>
              </w:rPr>
            </w:pPr>
            <w:r w:rsidRPr="00F07602">
              <w:rPr>
                <w:sz w:val="16"/>
                <w:szCs w:val="16"/>
              </w:rPr>
              <w:t>103</w:t>
            </w:r>
            <w:r>
              <w:rPr>
                <w:sz w:val="16"/>
                <w:szCs w:val="16"/>
              </w:rPr>
              <w:t xml:space="preserve"> </w:t>
            </w:r>
            <w:r w:rsidRPr="00F07602">
              <w:rPr>
                <w:sz w:val="16"/>
                <w:szCs w:val="16"/>
              </w:rPr>
              <w:t>737</w:t>
            </w:r>
          </w:p>
        </w:tc>
        <w:tc>
          <w:tcPr>
            <w:tcW w:w="798" w:type="pct"/>
          </w:tcPr>
          <w:p w:rsidR="001B2EA7" w:rsidRPr="00F07602" w:rsidRDefault="001B2EA7" w:rsidP="001B2EA7">
            <w:pPr>
              <w:jc w:val="right"/>
              <w:rPr>
                <w:sz w:val="16"/>
                <w:szCs w:val="16"/>
              </w:rPr>
            </w:pPr>
            <w:r w:rsidRPr="00F07602">
              <w:rPr>
                <w:sz w:val="16"/>
                <w:szCs w:val="16"/>
              </w:rPr>
              <w:t>109</w:t>
            </w:r>
            <w:r w:rsidR="00CC7B33">
              <w:rPr>
                <w:sz w:val="16"/>
                <w:szCs w:val="16"/>
              </w:rPr>
              <w:t>.</w:t>
            </w:r>
            <w:r w:rsidRPr="00F07602">
              <w:rPr>
                <w:sz w:val="16"/>
                <w:szCs w:val="16"/>
              </w:rPr>
              <w:t>7</w:t>
            </w:r>
          </w:p>
        </w:tc>
      </w:tr>
      <w:tr w:rsidR="001B2EA7" w:rsidRPr="00907E1E" w:rsidTr="00E33750">
        <w:trPr>
          <w:trHeight w:val="510"/>
        </w:trPr>
        <w:tc>
          <w:tcPr>
            <w:tcW w:w="3403" w:type="pct"/>
          </w:tcPr>
          <w:p w:rsidR="001B2EA7" w:rsidRPr="00907E1E" w:rsidRDefault="001B2EA7" w:rsidP="001B2EA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Sales of agricultural land</w:t>
            </w:r>
          </w:p>
        </w:tc>
        <w:tc>
          <w:tcPr>
            <w:tcW w:w="799" w:type="pct"/>
          </w:tcPr>
          <w:p w:rsidR="001B2EA7" w:rsidRPr="00F07602" w:rsidRDefault="001B2EA7" w:rsidP="001B2EA7">
            <w:pPr>
              <w:jc w:val="right"/>
              <w:rPr>
                <w:sz w:val="16"/>
                <w:szCs w:val="16"/>
              </w:rPr>
            </w:pPr>
            <w:r w:rsidRPr="00F07602">
              <w:rPr>
                <w:sz w:val="16"/>
                <w:szCs w:val="16"/>
              </w:rPr>
              <w:t>57</w:t>
            </w:r>
            <w:r>
              <w:rPr>
                <w:sz w:val="16"/>
                <w:szCs w:val="16"/>
              </w:rPr>
              <w:t xml:space="preserve"> </w:t>
            </w:r>
            <w:r w:rsidRPr="00F07602">
              <w:rPr>
                <w:sz w:val="16"/>
                <w:szCs w:val="16"/>
              </w:rPr>
              <w:t>780</w:t>
            </w:r>
          </w:p>
        </w:tc>
        <w:tc>
          <w:tcPr>
            <w:tcW w:w="798" w:type="pct"/>
          </w:tcPr>
          <w:p w:rsidR="001B2EA7" w:rsidRPr="00F07602" w:rsidRDefault="001B2EA7" w:rsidP="001B2EA7">
            <w:pPr>
              <w:jc w:val="right"/>
              <w:rPr>
                <w:sz w:val="16"/>
                <w:szCs w:val="16"/>
              </w:rPr>
            </w:pPr>
            <w:r w:rsidRPr="00F07602">
              <w:rPr>
                <w:sz w:val="16"/>
                <w:szCs w:val="16"/>
              </w:rPr>
              <w:t>100</w:t>
            </w:r>
            <w:r w:rsidR="00CC7B33">
              <w:rPr>
                <w:sz w:val="16"/>
                <w:szCs w:val="16"/>
              </w:rPr>
              <w:t>.</w:t>
            </w:r>
            <w:r w:rsidRPr="00F07602">
              <w:rPr>
                <w:sz w:val="16"/>
                <w:szCs w:val="16"/>
              </w:rPr>
              <w:t>5</w:t>
            </w:r>
          </w:p>
        </w:tc>
      </w:tr>
      <w:tr w:rsidR="001B2EA7" w:rsidRPr="00907E1E" w:rsidTr="00E33750">
        <w:trPr>
          <w:trHeight w:val="510"/>
        </w:trPr>
        <w:tc>
          <w:tcPr>
            <w:tcW w:w="3403" w:type="pct"/>
          </w:tcPr>
          <w:p w:rsidR="001B2EA7" w:rsidRPr="00124567" w:rsidRDefault="001B2EA7" w:rsidP="001B2EA7">
            <w:pPr>
              <w:rPr>
                <w:sz w:val="16"/>
                <w:szCs w:val="18"/>
                <w:lang w:val="en-US"/>
              </w:rPr>
            </w:pPr>
            <w:r w:rsidRPr="00124567">
              <w:rPr>
                <w:sz w:val="16"/>
                <w:szCs w:val="18"/>
                <w:lang w:val="en-US"/>
              </w:rPr>
              <w:t>Sale</w:t>
            </w:r>
            <w:r>
              <w:rPr>
                <w:sz w:val="16"/>
                <w:szCs w:val="18"/>
                <w:lang w:val="en-US"/>
              </w:rPr>
              <w:t>s</w:t>
            </w:r>
            <w:r w:rsidRPr="00124567">
              <w:rPr>
                <w:sz w:val="16"/>
                <w:szCs w:val="18"/>
                <w:lang w:val="en-US"/>
              </w:rPr>
              <w:t xml:space="preserve"> of properties bui</w:t>
            </w:r>
            <w:r>
              <w:rPr>
                <w:sz w:val="16"/>
                <w:szCs w:val="18"/>
                <w:lang w:val="en-US"/>
              </w:rPr>
              <w:t>l</w:t>
            </w:r>
            <w:r w:rsidRPr="00124567">
              <w:rPr>
                <w:sz w:val="16"/>
                <w:szCs w:val="18"/>
                <w:lang w:val="en-US"/>
              </w:rPr>
              <w:t>t-u</w:t>
            </w:r>
            <w:r>
              <w:rPr>
                <w:sz w:val="16"/>
                <w:szCs w:val="18"/>
                <w:lang w:val="en-US"/>
              </w:rPr>
              <w:t>p with residential buildings</w:t>
            </w:r>
          </w:p>
        </w:tc>
        <w:tc>
          <w:tcPr>
            <w:tcW w:w="799" w:type="pct"/>
          </w:tcPr>
          <w:p w:rsidR="001B2EA7" w:rsidRPr="00F07602" w:rsidRDefault="001B2EA7" w:rsidP="001B2EA7">
            <w:pPr>
              <w:jc w:val="right"/>
              <w:rPr>
                <w:sz w:val="16"/>
                <w:szCs w:val="16"/>
              </w:rPr>
            </w:pPr>
            <w:r w:rsidRPr="00F07602">
              <w:rPr>
                <w:sz w:val="16"/>
                <w:szCs w:val="16"/>
              </w:rPr>
              <w:t>53</w:t>
            </w:r>
            <w:r>
              <w:rPr>
                <w:sz w:val="16"/>
                <w:szCs w:val="16"/>
              </w:rPr>
              <w:t xml:space="preserve"> </w:t>
            </w:r>
            <w:r w:rsidRPr="00F07602">
              <w:rPr>
                <w:sz w:val="16"/>
                <w:szCs w:val="16"/>
              </w:rPr>
              <w:t>871</w:t>
            </w:r>
          </w:p>
        </w:tc>
        <w:tc>
          <w:tcPr>
            <w:tcW w:w="798" w:type="pct"/>
          </w:tcPr>
          <w:p w:rsidR="001B2EA7" w:rsidRPr="00F07602" w:rsidRDefault="001B2EA7" w:rsidP="001B2EA7">
            <w:pPr>
              <w:jc w:val="right"/>
              <w:rPr>
                <w:sz w:val="16"/>
                <w:szCs w:val="16"/>
              </w:rPr>
            </w:pPr>
            <w:r w:rsidRPr="00F07602">
              <w:rPr>
                <w:sz w:val="16"/>
                <w:szCs w:val="16"/>
              </w:rPr>
              <w:t>112</w:t>
            </w:r>
            <w:r w:rsidR="00CC7B33">
              <w:rPr>
                <w:sz w:val="16"/>
                <w:szCs w:val="16"/>
              </w:rPr>
              <w:t>.</w:t>
            </w:r>
            <w:r w:rsidRPr="00F07602">
              <w:rPr>
                <w:sz w:val="16"/>
                <w:szCs w:val="16"/>
              </w:rPr>
              <w:t>5</w:t>
            </w:r>
          </w:p>
        </w:tc>
      </w:tr>
      <w:tr w:rsidR="001B2EA7" w:rsidRPr="00907E1E" w:rsidTr="00E33750">
        <w:trPr>
          <w:trHeight w:val="510"/>
        </w:trPr>
        <w:tc>
          <w:tcPr>
            <w:tcW w:w="3403" w:type="pct"/>
          </w:tcPr>
          <w:p w:rsidR="001B2EA7" w:rsidRPr="00124567" w:rsidRDefault="001B2EA7" w:rsidP="001B2EA7">
            <w:pPr>
              <w:rPr>
                <w:sz w:val="16"/>
                <w:szCs w:val="18"/>
                <w:lang w:val="en-US"/>
              </w:rPr>
            </w:pPr>
            <w:r w:rsidRPr="00124567">
              <w:rPr>
                <w:sz w:val="16"/>
                <w:szCs w:val="18"/>
                <w:lang w:val="en-US"/>
              </w:rPr>
              <w:t>Sale</w:t>
            </w:r>
            <w:r>
              <w:rPr>
                <w:sz w:val="16"/>
                <w:szCs w:val="18"/>
                <w:lang w:val="en-US"/>
              </w:rPr>
              <w:t>s</w:t>
            </w:r>
            <w:r w:rsidRPr="00124567">
              <w:rPr>
                <w:sz w:val="16"/>
                <w:szCs w:val="18"/>
                <w:lang w:val="en-US"/>
              </w:rPr>
              <w:t xml:space="preserve"> of cooperative ownership r</w:t>
            </w:r>
            <w:r>
              <w:rPr>
                <w:sz w:val="16"/>
                <w:szCs w:val="18"/>
                <w:lang w:val="en-US"/>
              </w:rPr>
              <w:t>ight to premises</w:t>
            </w:r>
          </w:p>
        </w:tc>
        <w:tc>
          <w:tcPr>
            <w:tcW w:w="799" w:type="pct"/>
          </w:tcPr>
          <w:p w:rsidR="001B2EA7" w:rsidRPr="00F07602" w:rsidRDefault="001B2EA7" w:rsidP="001B2EA7">
            <w:pPr>
              <w:jc w:val="right"/>
              <w:rPr>
                <w:sz w:val="16"/>
                <w:szCs w:val="16"/>
              </w:rPr>
            </w:pPr>
            <w:r w:rsidRPr="00F07602">
              <w:rPr>
                <w:sz w:val="16"/>
                <w:szCs w:val="16"/>
              </w:rPr>
              <w:t>48</w:t>
            </w:r>
            <w:r>
              <w:rPr>
                <w:sz w:val="16"/>
                <w:szCs w:val="16"/>
              </w:rPr>
              <w:t xml:space="preserve"> </w:t>
            </w:r>
            <w:r w:rsidRPr="00F07602">
              <w:rPr>
                <w:sz w:val="16"/>
                <w:szCs w:val="16"/>
              </w:rPr>
              <w:t>918</w:t>
            </w:r>
          </w:p>
        </w:tc>
        <w:tc>
          <w:tcPr>
            <w:tcW w:w="798" w:type="pct"/>
          </w:tcPr>
          <w:p w:rsidR="001B2EA7" w:rsidRPr="00F07602" w:rsidRDefault="001B2EA7" w:rsidP="001B2EA7">
            <w:pPr>
              <w:jc w:val="right"/>
              <w:rPr>
                <w:sz w:val="16"/>
                <w:szCs w:val="16"/>
              </w:rPr>
            </w:pPr>
            <w:r w:rsidRPr="00F07602">
              <w:rPr>
                <w:sz w:val="16"/>
                <w:szCs w:val="16"/>
              </w:rPr>
              <w:t>103</w:t>
            </w:r>
            <w:r w:rsidR="00CC7B33">
              <w:rPr>
                <w:sz w:val="16"/>
                <w:szCs w:val="16"/>
              </w:rPr>
              <w:t>.</w:t>
            </w:r>
            <w:r w:rsidRPr="00F07602">
              <w:rPr>
                <w:sz w:val="16"/>
                <w:szCs w:val="16"/>
              </w:rPr>
              <w:t>6</w:t>
            </w:r>
          </w:p>
        </w:tc>
      </w:tr>
      <w:tr w:rsidR="001B2EA7" w:rsidRPr="00907E1E" w:rsidTr="00E33750">
        <w:trPr>
          <w:trHeight w:val="510"/>
        </w:trPr>
        <w:tc>
          <w:tcPr>
            <w:tcW w:w="3403" w:type="pct"/>
          </w:tcPr>
          <w:p w:rsidR="001B2EA7" w:rsidRPr="00907E1E" w:rsidRDefault="001B2EA7" w:rsidP="001B2EA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Sales of</w:t>
            </w:r>
            <w:r w:rsidRPr="000F5CA9">
              <w:rPr>
                <w:sz w:val="16"/>
                <w:szCs w:val="18"/>
                <w:lang w:val="en-US"/>
              </w:rPr>
              <w:t xml:space="preserve"> other</w:t>
            </w:r>
            <w:r>
              <w:rPr>
                <w:sz w:val="16"/>
                <w:szCs w:val="18"/>
              </w:rPr>
              <w:t xml:space="preserve"> properties</w:t>
            </w:r>
          </w:p>
        </w:tc>
        <w:tc>
          <w:tcPr>
            <w:tcW w:w="799" w:type="pct"/>
          </w:tcPr>
          <w:p w:rsidR="001B2EA7" w:rsidRPr="00F07602" w:rsidRDefault="001B2EA7" w:rsidP="001B2EA7">
            <w:pPr>
              <w:jc w:val="right"/>
              <w:rPr>
                <w:sz w:val="16"/>
                <w:szCs w:val="16"/>
              </w:rPr>
            </w:pPr>
            <w:r w:rsidRPr="00F07602"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 xml:space="preserve"> </w:t>
            </w:r>
            <w:r w:rsidRPr="00F07602">
              <w:rPr>
                <w:sz w:val="16"/>
                <w:szCs w:val="16"/>
              </w:rPr>
              <w:t>153</w:t>
            </w:r>
          </w:p>
        </w:tc>
        <w:tc>
          <w:tcPr>
            <w:tcW w:w="798" w:type="pct"/>
          </w:tcPr>
          <w:p w:rsidR="001B2EA7" w:rsidRPr="00F07602" w:rsidRDefault="001B2EA7" w:rsidP="001B2EA7">
            <w:pPr>
              <w:jc w:val="right"/>
              <w:rPr>
                <w:sz w:val="16"/>
                <w:szCs w:val="16"/>
              </w:rPr>
            </w:pPr>
            <w:r w:rsidRPr="00F07602">
              <w:rPr>
                <w:sz w:val="16"/>
                <w:szCs w:val="16"/>
              </w:rPr>
              <w:t>106</w:t>
            </w:r>
            <w:r w:rsidR="00CC7B33">
              <w:rPr>
                <w:sz w:val="16"/>
                <w:szCs w:val="16"/>
              </w:rPr>
              <w:t>.</w:t>
            </w:r>
            <w:r w:rsidRPr="00F07602">
              <w:rPr>
                <w:sz w:val="16"/>
                <w:szCs w:val="16"/>
              </w:rPr>
              <w:t>8</w:t>
            </w:r>
          </w:p>
        </w:tc>
      </w:tr>
      <w:tr w:rsidR="001B2EA7" w:rsidRPr="00907E1E" w:rsidTr="00E33750">
        <w:trPr>
          <w:trHeight w:val="510"/>
        </w:trPr>
        <w:tc>
          <w:tcPr>
            <w:tcW w:w="3403" w:type="pct"/>
          </w:tcPr>
          <w:p w:rsidR="001B2EA7" w:rsidRPr="00124567" w:rsidRDefault="001B2EA7" w:rsidP="001B2EA7">
            <w:pPr>
              <w:rPr>
                <w:sz w:val="16"/>
                <w:szCs w:val="18"/>
                <w:lang w:val="en-US"/>
              </w:rPr>
            </w:pPr>
            <w:r w:rsidRPr="00124567">
              <w:rPr>
                <w:sz w:val="16"/>
                <w:szCs w:val="18"/>
                <w:lang w:val="en-US"/>
              </w:rPr>
              <w:t>Sale</w:t>
            </w:r>
            <w:r>
              <w:rPr>
                <w:sz w:val="16"/>
                <w:szCs w:val="18"/>
                <w:lang w:val="en-US"/>
              </w:rPr>
              <w:t>s</w:t>
            </w:r>
            <w:r w:rsidRPr="00124567">
              <w:rPr>
                <w:sz w:val="16"/>
                <w:szCs w:val="18"/>
                <w:lang w:val="en-US"/>
              </w:rPr>
              <w:t xml:space="preserve"> of other bui</w:t>
            </w:r>
            <w:r>
              <w:rPr>
                <w:sz w:val="16"/>
                <w:szCs w:val="18"/>
                <w:lang w:val="en-US"/>
              </w:rPr>
              <w:t>l</w:t>
            </w:r>
            <w:r w:rsidRPr="00124567">
              <w:rPr>
                <w:sz w:val="16"/>
                <w:szCs w:val="18"/>
                <w:lang w:val="en-US"/>
              </w:rPr>
              <w:t>t-u</w:t>
            </w:r>
            <w:r>
              <w:rPr>
                <w:sz w:val="16"/>
                <w:szCs w:val="18"/>
                <w:lang w:val="en-US"/>
              </w:rPr>
              <w:t>p properties</w:t>
            </w:r>
          </w:p>
        </w:tc>
        <w:tc>
          <w:tcPr>
            <w:tcW w:w="799" w:type="pct"/>
          </w:tcPr>
          <w:p w:rsidR="001B2EA7" w:rsidRPr="00F07602" w:rsidRDefault="001B2EA7" w:rsidP="001B2EA7">
            <w:pPr>
              <w:jc w:val="right"/>
              <w:rPr>
                <w:sz w:val="16"/>
                <w:szCs w:val="16"/>
              </w:rPr>
            </w:pPr>
            <w:r w:rsidRPr="00F07602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 xml:space="preserve"> </w:t>
            </w:r>
            <w:r w:rsidRPr="00F07602">
              <w:rPr>
                <w:sz w:val="16"/>
                <w:szCs w:val="16"/>
              </w:rPr>
              <w:t>853</w:t>
            </w:r>
          </w:p>
        </w:tc>
        <w:tc>
          <w:tcPr>
            <w:tcW w:w="798" w:type="pct"/>
          </w:tcPr>
          <w:p w:rsidR="001B2EA7" w:rsidRPr="00F07602" w:rsidRDefault="001B2EA7" w:rsidP="001B2EA7">
            <w:pPr>
              <w:jc w:val="right"/>
              <w:rPr>
                <w:sz w:val="16"/>
                <w:szCs w:val="16"/>
              </w:rPr>
            </w:pPr>
            <w:r w:rsidRPr="00F07602">
              <w:rPr>
                <w:sz w:val="16"/>
                <w:szCs w:val="16"/>
              </w:rPr>
              <w:t>102</w:t>
            </w:r>
            <w:r w:rsidR="00CC7B33">
              <w:rPr>
                <w:sz w:val="16"/>
                <w:szCs w:val="16"/>
              </w:rPr>
              <w:t>.</w:t>
            </w:r>
            <w:r w:rsidRPr="00F07602">
              <w:rPr>
                <w:sz w:val="16"/>
                <w:szCs w:val="16"/>
              </w:rPr>
              <w:t>9</w:t>
            </w:r>
          </w:p>
        </w:tc>
      </w:tr>
      <w:tr w:rsidR="001B2EA7" w:rsidRPr="00907E1E" w:rsidTr="00E33750">
        <w:trPr>
          <w:trHeight w:val="510"/>
        </w:trPr>
        <w:tc>
          <w:tcPr>
            <w:tcW w:w="3403" w:type="pct"/>
          </w:tcPr>
          <w:p w:rsidR="001B2EA7" w:rsidRPr="00124567" w:rsidRDefault="001B2EA7" w:rsidP="001B2EA7">
            <w:pPr>
              <w:rPr>
                <w:sz w:val="16"/>
                <w:szCs w:val="18"/>
                <w:lang w:val="en-US"/>
              </w:rPr>
            </w:pPr>
            <w:r w:rsidRPr="00124567">
              <w:rPr>
                <w:sz w:val="16"/>
                <w:szCs w:val="18"/>
                <w:lang w:val="en-US"/>
              </w:rPr>
              <w:t>Sale</w:t>
            </w:r>
            <w:r>
              <w:rPr>
                <w:sz w:val="16"/>
                <w:szCs w:val="18"/>
                <w:lang w:val="en-US"/>
              </w:rPr>
              <w:t>s</w:t>
            </w:r>
            <w:r w:rsidRPr="00124567">
              <w:rPr>
                <w:sz w:val="16"/>
                <w:szCs w:val="18"/>
                <w:lang w:val="en-US"/>
              </w:rPr>
              <w:t xml:space="preserve"> of perpetual us</w:t>
            </w:r>
            <w:r>
              <w:rPr>
                <w:sz w:val="16"/>
                <w:szCs w:val="18"/>
                <w:lang w:val="en-US"/>
              </w:rPr>
              <w:t>u</w:t>
            </w:r>
            <w:r w:rsidRPr="00124567">
              <w:rPr>
                <w:sz w:val="16"/>
                <w:szCs w:val="18"/>
                <w:lang w:val="en-US"/>
              </w:rPr>
              <w:t>fruct r</w:t>
            </w:r>
            <w:r>
              <w:rPr>
                <w:sz w:val="16"/>
                <w:szCs w:val="18"/>
                <w:lang w:val="en-US"/>
              </w:rPr>
              <w:t>ight</w:t>
            </w:r>
          </w:p>
        </w:tc>
        <w:tc>
          <w:tcPr>
            <w:tcW w:w="799" w:type="pct"/>
          </w:tcPr>
          <w:p w:rsidR="001B2EA7" w:rsidRPr="00F07602" w:rsidRDefault="001B2EA7" w:rsidP="001B2EA7">
            <w:pPr>
              <w:jc w:val="right"/>
              <w:rPr>
                <w:sz w:val="16"/>
                <w:szCs w:val="16"/>
              </w:rPr>
            </w:pPr>
            <w:r w:rsidRPr="00F0760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</w:t>
            </w:r>
            <w:r w:rsidRPr="00F07602">
              <w:rPr>
                <w:sz w:val="16"/>
                <w:szCs w:val="16"/>
              </w:rPr>
              <w:t>573</w:t>
            </w:r>
          </w:p>
        </w:tc>
        <w:tc>
          <w:tcPr>
            <w:tcW w:w="798" w:type="pct"/>
          </w:tcPr>
          <w:p w:rsidR="001B2EA7" w:rsidRPr="00F07602" w:rsidRDefault="001B2EA7" w:rsidP="001B2EA7">
            <w:pPr>
              <w:jc w:val="right"/>
              <w:rPr>
                <w:sz w:val="16"/>
                <w:szCs w:val="16"/>
              </w:rPr>
            </w:pPr>
            <w:r w:rsidRPr="00F07602">
              <w:rPr>
                <w:sz w:val="16"/>
                <w:szCs w:val="16"/>
              </w:rPr>
              <w:t>95</w:t>
            </w:r>
            <w:r w:rsidR="00CC7B33">
              <w:rPr>
                <w:sz w:val="16"/>
                <w:szCs w:val="16"/>
              </w:rPr>
              <w:t>.</w:t>
            </w:r>
            <w:r w:rsidRPr="00F07602">
              <w:rPr>
                <w:sz w:val="16"/>
                <w:szCs w:val="16"/>
              </w:rPr>
              <w:t>4</w:t>
            </w:r>
          </w:p>
        </w:tc>
      </w:tr>
      <w:tr w:rsidR="001B2EA7" w:rsidRPr="00907E1E" w:rsidTr="00E33750">
        <w:trPr>
          <w:trHeight w:val="510"/>
        </w:trPr>
        <w:tc>
          <w:tcPr>
            <w:tcW w:w="3403" w:type="pct"/>
          </w:tcPr>
          <w:p w:rsidR="001B2EA7" w:rsidRPr="00124567" w:rsidRDefault="001B2EA7" w:rsidP="001B2EA7">
            <w:pPr>
              <w:rPr>
                <w:sz w:val="16"/>
                <w:szCs w:val="18"/>
                <w:lang w:val="en-US"/>
              </w:rPr>
            </w:pPr>
            <w:r w:rsidRPr="00124567">
              <w:rPr>
                <w:sz w:val="16"/>
                <w:szCs w:val="18"/>
                <w:lang w:val="en-US"/>
              </w:rPr>
              <w:t>Sale</w:t>
            </w:r>
            <w:r>
              <w:rPr>
                <w:sz w:val="16"/>
                <w:szCs w:val="18"/>
                <w:lang w:val="en-US"/>
              </w:rPr>
              <w:t>s</w:t>
            </w:r>
            <w:r w:rsidRPr="00124567">
              <w:rPr>
                <w:sz w:val="16"/>
                <w:szCs w:val="18"/>
                <w:lang w:val="en-US"/>
              </w:rPr>
              <w:t xml:space="preserve"> of properties to t</w:t>
            </w:r>
            <w:r>
              <w:rPr>
                <w:sz w:val="16"/>
                <w:szCs w:val="18"/>
                <w:lang w:val="en-US"/>
              </w:rPr>
              <w:t>he State Treasury or local self-government bodies</w:t>
            </w:r>
          </w:p>
        </w:tc>
        <w:tc>
          <w:tcPr>
            <w:tcW w:w="799" w:type="pct"/>
          </w:tcPr>
          <w:p w:rsidR="001B2EA7" w:rsidRPr="00F07602" w:rsidRDefault="001B2EA7" w:rsidP="001B2EA7">
            <w:pPr>
              <w:jc w:val="right"/>
              <w:rPr>
                <w:sz w:val="16"/>
                <w:szCs w:val="16"/>
              </w:rPr>
            </w:pPr>
            <w:r w:rsidRPr="00F0760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Pr="00F07602">
              <w:rPr>
                <w:sz w:val="16"/>
                <w:szCs w:val="16"/>
              </w:rPr>
              <w:t>829</w:t>
            </w:r>
          </w:p>
        </w:tc>
        <w:tc>
          <w:tcPr>
            <w:tcW w:w="798" w:type="pct"/>
          </w:tcPr>
          <w:p w:rsidR="001B2EA7" w:rsidRPr="00F07602" w:rsidRDefault="001B2EA7" w:rsidP="001B2EA7">
            <w:pPr>
              <w:jc w:val="right"/>
              <w:rPr>
                <w:sz w:val="16"/>
                <w:szCs w:val="16"/>
              </w:rPr>
            </w:pPr>
            <w:r w:rsidRPr="00F07602">
              <w:rPr>
                <w:sz w:val="16"/>
                <w:szCs w:val="16"/>
              </w:rPr>
              <w:t>90</w:t>
            </w:r>
            <w:r w:rsidR="00CC7B33">
              <w:rPr>
                <w:sz w:val="16"/>
                <w:szCs w:val="16"/>
              </w:rPr>
              <w:t>.</w:t>
            </w:r>
            <w:r w:rsidRPr="00F07602">
              <w:rPr>
                <w:sz w:val="16"/>
                <w:szCs w:val="16"/>
              </w:rPr>
              <w:t>1</w:t>
            </w:r>
          </w:p>
        </w:tc>
      </w:tr>
      <w:tr w:rsidR="001B2EA7" w:rsidRPr="00907E1E" w:rsidTr="00E33750">
        <w:trPr>
          <w:trHeight w:val="510"/>
        </w:trPr>
        <w:tc>
          <w:tcPr>
            <w:tcW w:w="3403" w:type="pct"/>
          </w:tcPr>
          <w:p w:rsidR="001B2EA7" w:rsidRPr="00124567" w:rsidRDefault="001B2EA7" w:rsidP="001B2EA7">
            <w:pPr>
              <w:rPr>
                <w:sz w:val="16"/>
                <w:szCs w:val="18"/>
                <w:lang w:val="en-US"/>
              </w:rPr>
            </w:pPr>
            <w:r w:rsidRPr="00124567">
              <w:rPr>
                <w:sz w:val="16"/>
                <w:szCs w:val="18"/>
                <w:lang w:val="en-US"/>
              </w:rPr>
              <w:t xml:space="preserve">Transfer of properties by </w:t>
            </w:r>
            <w:r>
              <w:rPr>
                <w:sz w:val="16"/>
                <w:szCs w:val="18"/>
                <w:lang w:val="en-US"/>
              </w:rPr>
              <w:t xml:space="preserve">the </w:t>
            </w:r>
            <w:r w:rsidRPr="00124567">
              <w:rPr>
                <w:sz w:val="16"/>
                <w:szCs w:val="18"/>
                <w:lang w:val="en-US"/>
              </w:rPr>
              <w:t>S</w:t>
            </w:r>
            <w:r>
              <w:rPr>
                <w:sz w:val="16"/>
                <w:szCs w:val="18"/>
                <w:lang w:val="en-US"/>
              </w:rPr>
              <w:t>tate Treasury or local  self-government bodies for perpetual usufruct with the sale of building</w:t>
            </w:r>
          </w:p>
        </w:tc>
        <w:tc>
          <w:tcPr>
            <w:tcW w:w="799" w:type="pct"/>
          </w:tcPr>
          <w:p w:rsidR="001B2EA7" w:rsidRPr="00F07602" w:rsidRDefault="001B2EA7" w:rsidP="001B2EA7">
            <w:pPr>
              <w:jc w:val="right"/>
              <w:rPr>
                <w:sz w:val="16"/>
                <w:szCs w:val="16"/>
              </w:rPr>
            </w:pPr>
            <w:r w:rsidRPr="00F07602">
              <w:rPr>
                <w:sz w:val="16"/>
                <w:szCs w:val="16"/>
              </w:rPr>
              <w:t>371</w:t>
            </w:r>
          </w:p>
        </w:tc>
        <w:tc>
          <w:tcPr>
            <w:tcW w:w="798" w:type="pct"/>
          </w:tcPr>
          <w:p w:rsidR="001B2EA7" w:rsidRPr="00F07602" w:rsidRDefault="001B2EA7" w:rsidP="001B2EA7">
            <w:pPr>
              <w:jc w:val="right"/>
              <w:rPr>
                <w:sz w:val="16"/>
                <w:szCs w:val="16"/>
              </w:rPr>
            </w:pPr>
            <w:r w:rsidRPr="00F07602">
              <w:rPr>
                <w:sz w:val="16"/>
                <w:szCs w:val="16"/>
              </w:rPr>
              <w:t>91</w:t>
            </w:r>
            <w:r w:rsidR="00CC7B33">
              <w:rPr>
                <w:sz w:val="16"/>
                <w:szCs w:val="16"/>
              </w:rPr>
              <w:t>.</w:t>
            </w:r>
            <w:r w:rsidRPr="00F07602">
              <w:rPr>
                <w:sz w:val="16"/>
                <w:szCs w:val="16"/>
              </w:rPr>
              <w:t>6</w:t>
            </w:r>
          </w:p>
        </w:tc>
      </w:tr>
    </w:tbl>
    <w:p w:rsidR="002A03FC" w:rsidRPr="006976FD" w:rsidRDefault="002A03FC" w:rsidP="002A03FC">
      <w:pPr>
        <w:pStyle w:val="Akapitzlist"/>
        <w:spacing w:line="260" w:lineRule="exact"/>
        <w:ind w:left="0"/>
        <w:rPr>
          <w:sz w:val="16"/>
          <w:shd w:val="clear" w:color="auto" w:fill="FFFFFF"/>
          <w:lang w:val="en-US"/>
        </w:rPr>
      </w:pPr>
      <w:r w:rsidRPr="006976FD">
        <w:rPr>
          <w:sz w:val="16"/>
          <w:shd w:val="clear" w:color="auto" w:fill="FFFFFF"/>
          <w:lang w:val="en-US"/>
        </w:rPr>
        <w:t>Source: Ministry of Justice data</w:t>
      </w:r>
    </w:p>
    <w:p w:rsidR="002A03FC" w:rsidRDefault="002A03FC" w:rsidP="002A03FC">
      <w:pPr>
        <w:pStyle w:val="LID"/>
        <w:rPr>
          <w:b w:val="0"/>
          <w:lang w:val="en-US"/>
        </w:rPr>
      </w:pPr>
    </w:p>
    <w:p w:rsidR="00E25608" w:rsidRDefault="00E25608" w:rsidP="002A03FC">
      <w:pPr>
        <w:pStyle w:val="LID"/>
        <w:rPr>
          <w:b w:val="0"/>
          <w:lang w:val="en-US"/>
        </w:rPr>
      </w:pPr>
    </w:p>
    <w:p w:rsidR="002A03FC" w:rsidRDefault="002A03FC" w:rsidP="002A03FC">
      <w:pPr>
        <w:pStyle w:val="LID"/>
        <w:rPr>
          <w:b w:val="0"/>
          <w:lang w:val="en-US"/>
        </w:rPr>
      </w:pPr>
      <w:r w:rsidRPr="00BC582C">
        <w:rPr>
          <w:b w:val="0"/>
          <w:lang w:val="en-US"/>
        </w:rPr>
        <w:lastRenderedPageBreak/>
        <w:t xml:space="preserve">According to data from </w:t>
      </w:r>
      <w:r>
        <w:rPr>
          <w:b w:val="0"/>
          <w:lang w:val="en-US"/>
        </w:rPr>
        <w:t xml:space="preserve">the </w:t>
      </w:r>
      <w:r w:rsidRPr="00BC582C">
        <w:rPr>
          <w:b w:val="0"/>
          <w:lang w:val="en-US"/>
        </w:rPr>
        <w:t>Register of Real Estate Prices and Values (RCiWN</w:t>
      </w:r>
      <w:r w:rsidRPr="00F302CA">
        <w:rPr>
          <w:b w:val="0"/>
          <w:lang w:val="en-US"/>
        </w:rPr>
        <w:t xml:space="preserve">), </w:t>
      </w:r>
      <w:r w:rsidR="00F302CA" w:rsidRPr="00F302CA">
        <w:rPr>
          <w:b w:val="0"/>
          <w:lang w:val="en-US"/>
        </w:rPr>
        <w:t>over</w:t>
      </w:r>
      <w:r w:rsidRPr="00F302CA">
        <w:rPr>
          <w:b w:val="0"/>
          <w:lang w:val="en-US"/>
        </w:rPr>
        <w:t xml:space="preserve"> 4</w:t>
      </w:r>
      <w:r w:rsidR="00F302CA" w:rsidRPr="00F302CA">
        <w:rPr>
          <w:b w:val="0"/>
          <w:lang w:val="en-US"/>
        </w:rPr>
        <w:t>70</w:t>
      </w:r>
      <w:r w:rsidRPr="00F302CA">
        <w:rPr>
          <w:b w:val="0"/>
          <w:lang w:val="en-US"/>
        </w:rPr>
        <w:t xml:space="preserve"> thous. real estate transactions were concluded in </w:t>
      </w:r>
      <w:r w:rsidR="00495088" w:rsidRPr="00F302CA">
        <w:rPr>
          <w:b w:val="0"/>
          <w:lang w:val="en-US"/>
        </w:rPr>
        <w:t>2018</w:t>
      </w:r>
      <w:r w:rsidRPr="00F302CA">
        <w:rPr>
          <w:b w:val="0"/>
          <w:lang w:val="en-US"/>
        </w:rPr>
        <w:t xml:space="preserve">, i.e. </w:t>
      </w:r>
      <w:r w:rsidR="00F302CA" w:rsidRPr="00F302CA">
        <w:rPr>
          <w:b w:val="0"/>
          <w:lang w:val="en-US"/>
        </w:rPr>
        <w:t>11.2</w:t>
      </w:r>
      <w:r w:rsidRPr="00F302CA">
        <w:rPr>
          <w:b w:val="0"/>
          <w:lang w:val="en-US"/>
        </w:rPr>
        <w:t xml:space="preserve">% more than in the provious year. The value of transactions was </w:t>
      </w:r>
      <w:r w:rsidR="00F302CA" w:rsidRPr="00F302CA">
        <w:rPr>
          <w:b w:val="0"/>
          <w:lang w:val="en-US"/>
        </w:rPr>
        <w:t>by 18.5% higher</w:t>
      </w:r>
      <w:r w:rsidRPr="00F302CA">
        <w:rPr>
          <w:b w:val="0"/>
          <w:lang w:val="en-US"/>
        </w:rPr>
        <w:t xml:space="preserve"> and amounted to </w:t>
      </w:r>
      <w:r w:rsidR="00F302CA" w:rsidRPr="00F302CA">
        <w:rPr>
          <w:b w:val="0"/>
          <w:lang w:val="en-US"/>
        </w:rPr>
        <w:t>over PLN 121</w:t>
      </w:r>
      <w:r w:rsidRPr="00F302CA">
        <w:rPr>
          <w:b w:val="0"/>
          <w:lang w:val="en-US"/>
        </w:rPr>
        <w:t xml:space="preserve"> bn.</w:t>
      </w:r>
    </w:p>
    <w:p w:rsidR="00E25608" w:rsidRDefault="00E25608" w:rsidP="002A03FC">
      <w:pPr>
        <w:pStyle w:val="LID"/>
        <w:rPr>
          <w:sz w:val="18"/>
          <w:szCs w:val="18"/>
          <w:lang w:val="en-US"/>
        </w:rPr>
      </w:pPr>
    </w:p>
    <w:p w:rsidR="00E25608" w:rsidRPr="00BC582C" w:rsidRDefault="00E25608" w:rsidP="002A03FC">
      <w:pPr>
        <w:pStyle w:val="LID"/>
        <w:rPr>
          <w:lang w:val="en-US"/>
        </w:rPr>
      </w:pPr>
      <w:r w:rsidRPr="00DA006E">
        <w:rPr>
          <w:sz w:val="18"/>
          <w:szCs w:val="18"/>
          <w:lang w:val="en-US"/>
        </w:rPr>
        <w:t xml:space="preserve">Table 2. Real estate </w:t>
      </w:r>
      <w:r>
        <w:rPr>
          <w:sz w:val="18"/>
          <w:szCs w:val="18"/>
          <w:lang w:val="en-US"/>
        </w:rPr>
        <w:t>sales</w:t>
      </w:r>
      <w:r w:rsidRPr="00DA006E">
        <w:rPr>
          <w:sz w:val="18"/>
          <w:szCs w:val="18"/>
          <w:lang w:val="en-US"/>
        </w:rPr>
        <w:t xml:space="preserve"> (</w:t>
      </w:r>
      <w:r>
        <w:rPr>
          <w:sz w:val="18"/>
          <w:szCs w:val="18"/>
          <w:lang w:val="en-US"/>
        </w:rPr>
        <w:t>according to the</w:t>
      </w:r>
      <w:r w:rsidRPr="00DA006E">
        <w:rPr>
          <w:sz w:val="18"/>
          <w:szCs w:val="18"/>
          <w:lang w:val="en-US"/>
        </w:rPr>
        <w:t xml:space="preserve"> RCiWN</w:t>
      </w:r>
      <w:r>
        <w:rPr>
          <w:sz w:val="18"/>
          <w:szCs w:val="18"/>
          <w:lang w:val="en-US"/>
        </w:rPr>
        <w:t>,</w:t>
      </w:r>
      <w:r w:rsidRPr="00DA006E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state as of April</w:t>
      </w:r>
      <w:r w:rsidRPr="00DA006E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25th, 2019</w:t>
      </w:r>
      <w:r w:rsidRPr="00DA006E">
        <w:rPr>
          <w:sz w:val="18"/>
          <w:szCs w:val="18"/>
          <w:lang w:val="en-US"/>
        </w:rPr>
        <w:t>)</w:t>
      </w:r>
    </w:p>
    <w:p w:rsidR="002A03FC" w:rsidRPr="00DA006E" w:rsidRDefault="002A03FC" w:rsidP="002A03FC">
      <w:pPr>
        <w:pStyle w:val="LID"/>
        <w:rPr>
          <w:b w:val="0"/>
          <w:lang w:val="en-US"/>
        </w:rPr>
      </w:pPr>
    </w:p>
    <w:tbl>
      <w:tblPr>
        <w:tblStyle w:val="Siatkatabelijasna2"/>
        <w:tblpPr w:leftFromText="141" w:rightFromText="141" w:vertAnchor="text" w:horzAnchor="margin" w:tblpYSpec="top"/>
        <w:tblW w:w="8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552"/>
        <w:gridCol w:w="992"/>
        <w:gridCol w:w="851"/>
        <w:gridCol w:w="992"/>
        <w:gridCol w:w="850"/>
        <w:gridCol w:w="851"/>
        <w:gridCol w:w="1002"/>
      </w:tblGrid>
      <w:tr w:rsidR="002A03FC" w:rsidRPr="00263373" w:rsidTr="00E33750">
        <w:trPr>
          <w:trHeight w:val="57"/>
        </w:trPr>
        <w:tc>
          <w:tcPr>
            <w:tcW w:w="2552" w:type="dxa"/>
            <w:vMerge w:val="restart"/>
            <w:vAlign w:val="center"/>
          </w:tcPr>
          <w:p w:rsidR="002A03FC" w:rsidRPr="000F5CA9" w:rsidRDefault="002A03FC" w:rsidP="00E33750">
            <w:pPr>
              <w:jc w:val="center"/>
              <w:rPr>
                <w:b/>
                <w:sz w:val="16"/>
                <w:szCs w:val="18"/>
                <w:shd w:val="clear" w:color="auto" w:fill="FFFFFF"/>
                <w:lang w:val="en-AU"/>
              </w:rPr>
            </w:pPr>
            <w:r w:rsidRPr="00F302CA">
              <w:rPr>
                <w:bCs/>
                <w:sz w:val="16"/>
                <w:szCs w:val="18"/>
                <w:shd w:val="clear" w:color="auto" w:fill="FFFFFF"/>
                <w:lang w:val="en-GB"/>
              </w:rPr>
              <w:t>SPECIFICATION</w:t>
            </w:r>
          </w:p>
        </w:tc>
        <w:tc>
          <w:tcPr>
            <w:tcW w:w="2835" w:type="dxa"/>
            <w:gridSpan w:val="3"/>
            <w:tcBorders>
              <w:bottom w:val="single" w:sz="4" w:space="0" w:color="212492"/>
            </w:tcBorders>
            <w:vAlign w:val="center"/>
          </w:tcPr>
          <w:p w:rsidR="002A03FC" w:rsidRPr="000F5CA9" w:rsidRDefault="002A03FC" w:rsidP="00E33750">
            <w:pPr>
              <w:jc w:val="center"/>
              <w:rPr>
                <w:sz w:val="16"/>
                <w:szCs w:val="18"/>
                <w:shd w:val="clear" w:color="auto" w:fill="FFFFFF"/>
                <w:lang w:val="en-AU"/>
              </w:rPr>
            </w:pPr>
            <w:r w:rsidRPr="000F5CA9">
              <w:rPr>
                <w:sz w:val="16"/>
                <w:szCs w:val="18"/>
                <w:shd w:val="clear" w:color="auto" w:fill="FFFFFF"/>
                <w:lang w:val="en-AU"/>
              </w:rPr>
              <w:t>Number</w:t>
            </w:r>
            <w:r w:rsidRPr="00F302CA">
              <w:rPr>
                <w:sz w:val="16"/>
                <w:szCs w:val="18"/>
                <w:shd w:val="clear" w:color="auto" w:fill="FFFFFF"/>
                <w:lang w:val="en-GB"/>
              </w:rPr>
              <w:t xml:space="preserve"> of</w:t>
            </w:r>
            <w:r w:rsidRPr="000F5CA9">
              <w:rPr>
                <w:sz w:val="16"/>
                <w:szCs w:val="18"/>
                <w:shd w:val="clear" w:color="auto" w:fill="FFFFFF"/>
                <w:lang w:val="en-AU"/>
              </w:rPr>
              <w:t xml:space="preserve"> transactions</w:t>
            </w:r>
          </w:p>
        </w:tc>
        <w:tc>
          <w:tcPr>
            <w:tcW w:w="2703" w:type="dxa"/>
            <w:gridSpan w:val="3"/>
            <w:tcBorders>
              <w:bottom w:val="single" w:sz="4" w:space="0" w:color="212492"/>
            </w:tcBorders>
            <w:vAlign w:val="center"/>
          </w:tcPr>
          <w:p w:rsidR="002A03FC" w:rsidRPr="00263373" w:rsidRDefault="002A03FC" w:rsidP="00E3375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0F5CA9">
              <w:rPr>
                <w:sz w:val="16"/>
                <w:szCs w:val="18"/>
                <w:shd w:val="clear" w:color="auto" w:fill="FFFFFF"/>
                <w:lang w:val="en-AU"/>
              </w:rPr>
              <w:t>Value</w:t>
            </w:r>
            <w:r>
              <w:rPr>
                <w:sz w:val="16"/>
                <w:szCs w:val="18"/>
                <w:shd w:val="clear" w:color="auto" w:fill="FFFFFF"/>
              </w:rPr>
              <w:t xml:space="preserve"> of</w:t>
            </w:r>
            <w:r w:rsidRPr="000F5CA9">
              <w:rPr>
                <w:sz w:val="16"/>
                <w:szCs w:val="18"/>
                <w:shd w:val="clear" w:color="auto" w:fill="FFFFFF"/>
                <w:lang w:val="en-US"/>
              </w:rPr>
              <w:t xml:space="preserve"> transactions</w:t>
            </w:r>
          </w:p>
        </w:tc>
      </w:tr>
      <w:tr w:rsidR="002A03FC" w:rsidRPr="00263373" w:rsidTr="00E33750">
        <w:trPr>
          <w:trHeight w:val="57"/>
        </w:trPr>
        <w:tc>
          <w:tcPr>
            <w:tcW w:w="2552" w:type="dxa"/>
            <w:vMerge/>
            <w:vAlign w:val="center"/>
          </w:tcPr>
          <w:p w:rsidR="002A03FC" w:rsidRPr="00263373" w:rsidRDefault="002A03FC" w:rsidP="00E33750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2A03FC" w:rsidRPr="00495088" w:rsidRDefault="00495088" w:rsidP="00E3375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2017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2A03FC" w:rsidRPr="00495088" w:rsidRDefault="00495088" w:rsidP="00E3375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2018</w:t>
            </w:r>
          </w:p>
        </w:tc>
        <w:tc>
          <w:tcPr>
            <w:tcW w:w="992" w:type="dxa"/>
            <w:vMerge w:val="restart"/>
            <w:tcBorders>
              <w:top w:val="single" w:sz="4" w:space="0" w:color="212492"/>
            </w:tcBorders>
            <w:vAlign w:val="center"/>
          </w:tcPr>
          <w:p w:rsidR="002A03FC" w:rsidRPr="00495088" w:rsidRDefault="00495088" w:rsidP="00E3375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2017</w:t>
            </w:r>
            <w:r w:rsidR="002A03FC" w:rsidRPr="00495088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2A03FC" w:rsidRPr="00495088" w:rsidRDefault="00495088" w:rsidP="00E3375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2017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2A03FC" w:rsidRPr="00495088" w:rsidRDefault="00495088" w:rsidP="00E3375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2018</w:t>
            </w:r>
          </w:p>
        </w:tc>
        <w:tc>
          <w:tcPr>
            <w:tcW w:w="1002" w:type="dxa"/>
            <w:vMerge w:val="restart"/>
            <w:tcBorders>
              <w:top w:val="single" w:sz="4" w:space="0" w:color="212492"/>
            </w:tcBorders>
            <w:vAlign w:val="center"/>
          </w:tcPr>
          <w:p w:rsidR="002A03FC" w:rsidRPr="00495088" w:rsidRDefault="00495088" w:rsidP="00E3375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2017</w:t>
            </w:r>
            <w:r w:rsidR="002A03FC" w:rsidRPr="00495088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2A03FC" w:rsidRPr="00263373" w:rsidTr="00E33750">
        <w:trPr>
          <w:trHeight w:val="57"/>
        </w:trPr>
        <w:tc>
          <w:tcPr>
            <w:tcW w:w="2552" w:type="dxa"/>
            <w:vMerge/>
            <w:tcBorders>
              <w:bottom w:val="single" w:sz="12" w:space="0" w:color="212492"/>
            </w:tcBorders>
            <w:vAlign w:val="center"/>
          </w:tcPr>
          <w:p w:rsidR="002A03FC" w:rsidRPr="00263373" w:rsidRDefault="002A03FC" w:rsidP="00E33750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2A03FC" w:rsidRPr="00495088" w:rsidRDefault="002A03FC" w:rsidP="00E3375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495088">
              <w:rPr>
                <w:sz w:val="16"/>
                <w:szCs w:val="18"/>
                <w:shd w:val="clear" w:color="auto" w:fill="FFFFFF"/>
              </w:rPr>
              <w:t>in pcs</w:t>
            </w:r>
          </w:p>
        </w:tc>
        <w:tc>
          <w:tcPr>
            <w:tcW w:w="992" w:type="dxa"/>
            <w:vMerge/>
            <w:tcBorders>
              <w:bottom w:val="single" w:sz="12" w:space="0" w:color="212492"/>
            </w:tcBorders>
            <w:vAlign w:val="center"/>
          </w:tcPr>
          <w:p w:rsidR="002A03FC" w:rsidRPr="00495088" w:rsidRDefault="002A03FC" w:rsidP="00E3375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2A03FC" w:rsidRPr="00495088" w:rsidRDefault="002A03FC" w:rsidP="00E3375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495088">
              <w:rPr>
                <w:sz w:val="16"/>
                <w:szCs w:val="18"/>
                <w:shd w:val="clear" w:color="auto" w:fill="FFFFFF"/>
              </w:rPr>
              <w:t>in PLN mln</w:t>
            </w:r>
          </w:p>
        </w:tc>
        <w:tc>
          <w:tcPr>
            <w:tcW w:w="1002" w:type="dxa"/>
            <w:vMerge/>
            <w:tcBorders>
              <w:bottom w:val="single" w:sz="12" w:space="0" w:color="212492"/>
            </w:tcBorders>
            <w:vAlign w:val="center"/>
          </w:tcPr>
          <w:p w:rsidR="002A03FC" w:rsidRPr="00495088" w:rsidRDefault="002A03FC" w:rsidP="00E33750">
            <w:pPr>
              <w:jc w:val="center"/>
              <w:rPr>
                <w:sz w:val="16"/>
                <w:szCs w:val="18"/>
                <w:shd w:val="clear" w:color="auto" w:fill="FFFFFF"/>
              </w:rPr>
            </w:pPr>
          </w:p>
        </w:tc>
      </w:tr>
      <w:tr w:rsidR="00495088" w:rsidRPr="00263373" w:rsidTr="00C440F3">
        <w:trPr>
          <w:trHeight w:val="57"/>
        </w:trPr>
        <w:tc>
          <w:tcPr>
            <w:tcW w:w="2552" w:type="dxa"/>
            <w:tcBorders>
              <w:top w:val="single" w:sz="12" w:space="0" w:color="212492"/>
            </w:tcBorders>
            <w:vAlign w:val="center"/>
          </w:tcPr>
          <w:p w:rsidR="00495088" w:rsidRPr="00263373" w:rsidRDefault="00495088" w:rsidP="00495088">
            <w:pPr>
              <w:jc w:val="both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TOTAL</w:t>
            </w:r>
          </w:p>
        </w:tc>
        <w:tc>
          <w:tcPr>
            <w:tcW w:w="992" w:type="dxa"/>
            <w:tcBorders>
              <w:top w:val="single" w:sz="12" w:space="0" w:color="212492"/>
            </w:tcBorders>
          </w:tcPr>
          <w:p w:rsidR="00495088" w:rsidRPr="009E508B" w:rsidRDefault="00495088" w:rsidP="00495088">
            <w:pPr>
              <w:jc w:val="right"/>
            </w:pPr>
            <w:r w:rsidRPr="00495088">
              <w:rPr>
                <w:b/>
                <w:sz w:val="16"/>
                <w:szCs w:val="18"/>
                <w:shd w:val="clear" w:color="auto" w:fill="FFFFFF"/>
              </w:rPr>
              <w:t>422950</w:t>
            </w:r>
          </w:p>
        </w:tc>
        <w:tc>
          <w:tcPr>
            <w:tcW w:w="851" w:type="dxa"/>
            <w:tcBorders>
              <w:top w:val="single" w:sz="12" w:space="0" w:color="212492"/>
            </w:tcBorders>
            <w:vAlign w:val="center"/>
          </w:tcPr>
          <w:p w:rsidR="00495088" w:rsidRPr="00495088" w:rsidRDefault="00F302CA" w:rsidP="00495088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470214</w:t>
            </w:r>
          </w:p>
        </w:tc>
        <w:tc>
          <w:tcPr>
            <w:tcW w:w="992" w:type="dxa"/>
            <w:tcBorders>
              <w:top w:val="single" w:sz="12" w:space="0" w:color="212492"/>
            </w:tcBorders>
            <w:vAlign w:val="center"/>
          </w:tcPr>
          <w:p w:rsidR="00495088" w:rsidRPr="00495088" w:rsidRDefault="00F302CA" w:rsidP="00495088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111.2</w:t>
            </w:r>
          </w:p>
        </w:tc>
        <w:tc>
          <w:tcPr>
            <w:tcW w:w="850" w:type="dxa"/>
            <w:tcBorders>
              <w:top w:val="single" w:sz="12" w:space="0" w:color="212492"/>
            </w:tcBorders>
            <w:vAlign w:val="center"/>
          </w:tcPr>
          <w:p w:rsidR="00495088" w:rsidRPr="00495088" w:rsidRDefault="00495088" w:rsidP="00495088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 w:rsidRPr="00495088">
              <w:rPr>
                <w:b/>
                <w:sz w:val="16"/>
                <w:szCs w:val="18"/>
                <w:shd w:val="clear" w:color="auto" w:fill="FFFFFF"/>
              </w:rPr>
              <w:t>102234</w:t>
            </w:r>
          </w:p>
        </w:tc>
        <w:tc>
          <w:tcPr>
            <w:tcW w:w="851" w:type="dxa"/>
            <w:tcBorders>
              <w:top w:val="single" w:sz="12" w:space="0" w:color="212492"/>
            </w:tcBorders>
            <w:vAlign w:val="center"/>
          </w:tcPr>
          <w:p w:rsidR="00495088" w:rsidRPr="00495088" w:rsidRDefault="00F302CA" w:rsidP="00495088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121136</w:t>
            </w:r>
          </w:p>
        </w:tc>
        <w:tc>
          <w:tcPr>
            <w:tcW w:w="1002" w:type="dxa"/>
            <w:tcBorders>
              <w:top w:val="single" w:sz="12" w:space="0" w:color="212492"/>
            </w:tcBorders>
            <w:vAlign w:val="center"/>
          </w:tcPr>
          <w:p w:rsidR="00495088" w:rsidRPr="00495088" w:rsidRDefault="00F302CA" w:rsidP="00495088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118.5</w:t>
            </w:r>
          </w:p>
        </w:tc>
      </w:tr>
      <w:tr w:rsidR="00495088" w:rsidRPr="00263373" w:rsidTr="00C440F3">
        <w:trPr>
          <w:trHeight w:val="57"/>
        </w:trPr>
        <w:tc>
          <w:tcPr>
            <w:tcW w:w="2552" w:type="dxa"/>
            <w:vAlign w:val="center"/>
          </w:tcPr>
          <w:p w:rsidR="00495088" w:rsidRPr="00263373" w:rsidRDefault="00495088" w:rsidP="00495088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Premises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</w:tcPr>
          <w:p w:rsidR="00495088" w:rsidRPr="00495088" w:rsidRDefault="00495088" w:rsidP="0049508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 w:rsidRPr="00495088">
              <w:rPr>
                <w:sz w:val="16"/>
                <w:szCs w:val="18"/>
                <w:shd w:val="clear" w:color="auto" w:fill="FFFFFF"/>
              </w:rPr>
              <w:t>204396</w:t>
            </w:r>
          </w:p>
        </w:tc>
        <w:tc>
          <w:tcPr>
            <w:tcW w:w="851" w:type="dxa"/>
            <w:vAlign w:val="center"/>
          </w:tcPr>
          <w:p w:rsidR="00495088" w:rsidRPr="00495088" w:rsidRDefault="00F302CA" w:rsidP="0049508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229776</w:t>
            </w:r>
          </w:p>
        </w:tc>
        <w:tc>
          <w:tcPr>
            <w:tcW w:w="992" w:type="dxa"/>
            <w:vAlign w:val="center"/>
          </w:tcPr>
          <w:p w:rsidR="00495088" w:rsidRPr="00495088" w:rsidRDefault="00F302CA" w:rsidP="0049508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112.4</w:t>
            </w:r>
          </w:p>
        </w:tc>
        <w:tc>
          <w:tcPr>
            <w:tcW w:w="850" w:type="dxa"/>
            <w:vAlign w:val="center"/>
          </w:tcPr>
          <w:p w:rsidR="00495088" w:rsidRPr="00495088" w:rsidRDefault="00495088" w:rsidP="0049508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 w:rsidRPr="00495088">
              <w:rPr>
                <w:sz w:val="16"/>
                <w:szCs w:val="18"/>
                <w:shd w:val="clear" w:color="auto" w:fill="FFFFFF"/>
              </w:rPr>
              <w:t>50124</w:t>
            </w:r>
          </w:p>
        </w:tc>
        <w:tc>
          <w:tcPr>
            <w:tcW w:w="851" w:type="dxa"/>
            <w:vAlign w:val="center"/>
          </w:tcPr>
          <w:p w:rsidR="00495088" w:rsidRPr="00495088" w:rsidRDefault="00F302CA" w:rsidP="0049508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59564</w:t>
            </w:r>
          </w:p>
        </w:tc>
        <w:tc>
          <w:tcPr>
            <w:tcW w:w="1002" w:type="dxa"/>
            <w:vAlign w:val="center"/>
          </w:tcPr>
          <w:p w:rsidR="00495088" w:rsidRPr="00495088" w:rsidRDefault="00F302CA" w:rsidP="0049508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118.8</w:t>
            </w:r>
          </w:p>
        </w:tc>
      </w:tr>
      <w:tr w:rsidR="00495088" w:rsidRPr="00263373" w:rsidTr="00C440F3">
        <w:trPr>
          <w:trHeight w:val="57"/>
        </w:trPr>
        <w:tc>
          <w:tcPr>
            <w:tcW w:w="2552" w:type="dxa"/>
            <w:vAlign w:val="center"/>
          </w:tcPr>
          <w:p w:rsidR="00495088" w:rsidRPr="00263373" w:rsidRDefault="00495088" w:rsidP="00495088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 xml:space="preserve">Built-up properties </w:t>
            </w:r>
            <w:r w:rsidR="00F302CA">
              <w:rPr>
                <w:sz w:val="16"/>
                <w:szCs w:val="18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495088" w:rsidRPr="009E508B" w:rsidRDefault="00495088" w:rsidP="00495088">
            <w:pPr>
              <w:jc w:val="right"/>
            </w:pPr>
            <w:r w:rsidRPr="00495088">
              <w:rPr>
                <w:sz w:val="16"/>
                <w:szCs w:val="18"/>
                <w:shd w:val="clear" w:color="auto" w:fill="FFFFFF"/>
              </w:rPr>
              <w:t>71314</w:t>
            </w:r>
          </w:p>
        </w:tc>
        <w:tc>
          <w:tcPr>
            <w:tcW w:w="851" w:type="dxa"/>
            <w:vAlign w:val="center"/>
          </w:tcPr>
          <w:p w:rsidR="00495088" w:rsidRPr="00495088" w:rsidRDefault="00F302CA" w:rsidP="0049508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79947</w:t>
            </w:r>
          </w:p>
        </w:tc>
        <w:tc>
          <w:tcPr>
            <w:tcW w:w="992" w:type="dxa"/>
            <w:vAlign w:val="center"/>
          </w:tcPr>
          <w:p w:rsidR="00495088" w:rsidRPr="00495088" w:rsidRDefault="00F302CA" w:rsidP="0049508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112.1</w:t>
            </w:r>
          </w:p>
        </w:tc>
        <w:tc>
          <w:tcPr>
            <w:tcW w:w="850" w:type="dxa"/>
            <w:vAlign w:val="center"/>
          </w:tcPr>
          <w:p w:rsidR="00495088" w:rsidRPr="00495088" w:rsidRDefault="00495088" w:rsidP="0049508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 w:rsidRPr="00495088">
              <w:rPr>
                <w:sz w:val="16"/>
                <w:szCs w:val="18"/>
                <w:shd w:val="clear" w:color="auto" w:fill="FFFFFF"/>
              </w:rPr>
              <w:t>30010</w:t>
            </w:r>
          </w:p>
        </w:tc>
        <w:tc>
          <w:tcPr>
            <w:tcW w:w="851" w:type="dxa"/>
            <w:vAlign w:val="center"/>
          </w:tcPr>
          <w:p w:rsidR="00495088" w:rsidRPr="00495088" w:rsidRDefault="00F302CA" w:rsidP="0049508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35212</w:t>
            </w:r>
          </w:p>
        </w:tc>
        <w:tc>
          <w:tcPr>
            <w:tcW w:w="1002" w:type="dxa"/>
            <w:vAlign w:val="center"/>
          </w:tcPr>
          <w:p w:rsidR="00495088" w:rsidRPr="00495088" w:rsidRDefault="00F302CA" w:rsidP="0049508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117.3</w:t>
            </w:r>
          </w:p>
        </w:tc>
      </w:tr>
      <w:tr w:rsidR="00495088" w:rsidRPr="00263373" w:rsidTr="00C440F3">
        <w:trPr>
          <w:trHeight w:val="57"/>
        </w:trPr>
        <w:tc>
          <w:tcPr>
            <w:tcW w:w="2552" w:type="dxa"/>
            <w:vAlign w:val="center"/>
          </w:tcPr>
          <w:p w:rsidR="00495088" w:rsidRPr="00263373" w:rsidRDefault="00495088" w:rsidP="00495088">
            <w:pPr>
              <w:spacing w:after="0" w:line="240" w:lineRule="auto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Land properties</w:t>
            </w:r>
          </w:p>
        </w:tc>
        <w:tc>
          <w:tcPr>
            <w:tcW w:w="992" w:type="dxa"/>
          </w:tcPr>
          <w:p w:rsidR="00495088" w:rsidRDefault="00495088" w:rsidP="00495088">
            <w:pPr>
              <w:spacing w:line="240" w:lineRule="auto"/>
              <w:jc w:val="right"/>
            </w:pPr>
            <w:r w:rsidRPr="00495088">
              <w:rPr>
                <w:sz w:val="16"/>
                <w:szCs w:val="18"/>
                <w:shd w:val="clear" w:color="auto" w:fill="FFFFFF"/>
              </w:rPr>
              <w:t>147240</w:t>
            </w:r>
          </w:p>
        </w:tc>
        <w:tc>
          <w:tcPr>
            <w:tcW w:w="851" w:type="dxa"/>
            <w:vAlign w:val="center"/>
          </w:tcPr>
          <w:p w:rsidR="00495088" w:rsidRPr="00495088" w:rsidRDefault="00F302CA" w:rsidP="00495088">
            <w:pPr>
              <w:spacing w:line="240" w:lineRule="auto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160491</w:t>
            </w:r>
          </w:p>
        </w:tc>
        <w:tc>
          <w:tcPr>
            <w:tcW w:w="992" w:type="dxa"/>
            <w:vAlign w:val="center"/>
          </w:tcPr>
          <w:p w:rsidR="00495088" w:rsidRPr="00495088" w:rsidRDefault="00F302CA" w:rsidP="00495088">
            <w:pPr>
              <w:spacing w:line="240" w:lineRule="auto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109.0</w:t>
            </w:r>
          </w:p>
        </w:tc>
        <w:tc>
          <w:tcPr>
            <w:tcW w:w="850" w:type="dxa"/>
            <w:vAlign w:val="center"/>
          </w:tcPr>
          <w:p w:rsidR="00495088" w:rsidRPr="00495088" w:rsidRDefault="00495088" w:rsidP="00495088">
            <w:pPr>
              <w:spacing w:line="240" w:lineRule="auto"/>
              <w:jc w:val="right"/>
              <w:rPr>
                <w:sz w:val="16"/>
                <w:szCs w:val="18"/>
                <w:shd w:val="clear" w:color="auto" w:fill="FFFFFF"/>
              </w:rPr>
            </w:pPr>
            <w:r w:rsidRPr="00495088">
              <w:rPr>
                <w:sz w:val="16"/>
                <w:szCs w:val="18"/>
                <w:shd w:val="clear" w:color="auto" w:fill="FFFFFF"/>
              </w:rPr>
              <w:t>22100</w:t>
            </w:r>
          </w:p>
        </w:tc>
        <w:tc>
          <w:tcPr>
            <w:tcW w:w="851" w:type="dxa"/>
            <w:vAlign w:val="center"/>
          </w:tcPr>
          <w:p w:rsidR="00495088" w:rsidRPr="00495088" w:rsidRDefault="00F302CA" w:rsidP="00495088">
            <w:pPr>
              <w:spacing w:line="240" w:lineRule="auto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26360</w:t>
            </w:r>
          </w:p>
        </w:tc>
        <w:tc>
          <w:tcPr>
            <w:tcW w:w="1002" w:type="dxa"/>
            <w:vAlign w:val="center"/>
          </w:tcPr>
          <w:p w:rsidR="00495088" w:rsidRPr="00495088" w:rsidRDefault="00F302CA" w:rsidP="00495088">
            <w:pPr>
              <w:spacing w:line="240" w:lineRule="auto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119.3</w:t>
            </w:r>
          </w:p>
        </w:tc>
      </w:tr>
    </w:tbl>
    <w:p w:rsidR="002A03FC" w:rsidRPr="003C054B" w:rsidRDefault="00F302CA" w:rsidP="002A03FC">
      <w:pPr>
        <w:pStyle w:val="Tekstprzypisudolnego"/>
        <w:rPr>
          <w:lang w:val="en-US"/>
        </w:rPr>
      </w:pPr>
      <w:r w:rsidRPr="00F302CA">
        <w:rPr>
          <w:sz w:val="16"/>
          <w:szCs w:val="18"/>
          <w:vertAlign w:val="superscript"/>
          <w:lang w:val="en-GB"/>
        </w:rPr>
        <w:t>1</w:t>
      </w:r>
      <w:r w:rsidR="002A03FC">
        <w:rPr>
          <w:sz w:val="16"/>
          <w:szCs w:val="18"/>
          <w:lang w:val="en-US"/>
        </w:rPr>
        <w:t xml:space="preserve"> P</w:t>
      </w:r>
      <w:r w:rsidR="002A03FC" w:rsidRPr="003C054B">
        <w:rPr>
          <w:sz w:val="16"/>
          <w:szCs w:val="18"/>
          <w:lang w:val="en-US"/>
        </w:rPr>
        <w:t>roperties built-up with residential buildings, bu</w:t>
      </w:r>
      <w:r w:rsidR="002A03FC">
        <w:rPr>
          <w:sz w:val="16"/>
          <w:szCs w:val="18"/>
          <w:lang w:val="en-US"/>
        </w:rPr>
        <w:t>ilt</w:t>
      </w:r>
      <w:r w:rsidR="002A03FC" w:rsidRPr="003C054B">
        <w:rPr>
          <w:sz w:val="16"/>
          <w:szCs w:val="18"/>
          <w:lang w:val="en-US"/>
        </w:rPr>
        <w:t>-up agricultural land, ot</w:t>
      </w:r>
      <w:r w:rsidR="002A03FC">
        <w:rPr>
          <w:sz w:val="16"/>
          <w:szCs w:val="18"/>
          <w:lang w:val="en-US"/>
        </w:rPr>
        <w:t>her built-up properties and buildings are included.</w:t>
      </w:r>
    </w:p>
    <w:p w:rsidR="00E25608" w:rsidRDefault="00D635D2" w:rsidP="002A03FC">
      <w:pPr>
        <w:rPr>
          <w:szCs w:val="19"/>
          <w:lang w:val="en-US"/>
        </w:rPr>
      </w:pPr>
      <w:r>
        <w:rPr>
          <w:b/>
          <w:noProof/>
          <w:sz w:val="18"/>
          <w:szCs w:val="18"/>
        </w:rPr>
        <w:pict>
          <v:shape id="_x0000_s1041" type="#_x0000_t202" style="position:absolute;margin-left:417.05pt;margin-top:14.55pt;width:126.85pt;height:65.5pt;z-index:-251528192;visibility:visible;mso-wrap-distance-top:3.6pt;mso-wrap-distance-bottom:3.6pt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" filled="f" stroked="f">
            <v:textbox style="mso-next-textbox:#_x0000_s1041">
              <w:txbxContent>
                <w:p w:rsidR="002A03FC" w:rsidRPr="003C054B" w:rsidRDefault="00495088" w:rsidP="002A03FC">
                  <w:pPr>
                    <w:pStyle w:val="tekstzboku"/>
                    <w:rPr>
                      <w:lang w:val="en-US"/>
                    </w:rPr>
                  </w:pPr>
                  <w:r w:rsidRPr="00495088">
                    <w:rPr>
                      <w:lang w:val="en-US"/>
                    </w:rPr>
                    <w:t>In 2018</w:t>
                  </w:r>
                  <w:r w:rsidR="002A03FC" w:rsidRPr="00495088">
                    <w:rPr>
                      <w:lang w:val="en-US"/>
                    </w:rPr>
                    <w:t xml:space="preserve"> the largest part of real estate transact</w:t>
                  </w:r>
                  <w:r w:rsidR="0068419B" w:rsidRPr="00495088">
                    <w:rPr>
                      <w:lang w:val="en-US"/>
                    </w:rPr>
                    <w:t xml:space="preserve">ions concerned premises </w:t>
                  </w:r>
                  <w:r w:rsidR="00F302CA" w:rsidRPr="00F302CA">
                    <w:rPr>
                      <w:lang w:val="en-US"/>
                    </w:rPr>
                    <w:t>(48.9</w:t>
                  </w:r>
                  <w:r w:rsidR="0068419B" w:rsidRPr="00F302CA">
                    <w:rPr>
                      <w:lang w:val="en-US"/>
                    </w:rPr>
                    <w:t>%)</w:t>
                  </w:r>
                </w:p>
                <w:p w:rsidR="009B46C8" w:rsidRPr="00C04936" w:rsidRDefault="009B46C8" w:rsidP="00F364DD">
                  <w:pPr>
                    <w:pStyle w:val="tekstzboku"/>
                    <w:rPr>
                      <w:lang w:val="en-US"/>
                    </w:rPr>
                  </w:pPr>
                </w:p>
              </w:txbxContent>
            </v:textbox>
            <w10:wrap type="tight"/>
          </v:shape>
        </w:pict>
      </w:r>
    </w:p>
    <w:p w:rsidR="002A03FC" w:rsidRPr="002A03FC" w:rsidRDefault="002A03FC" w:rsidP="002A03FC">
      <w:pPr>
        <w:rPr>
          <w:lang w:val="en-US" w:eastAsia="pl-PL"/>
        </w:rPr>
      </w:pPr>
      <w:r w:rsidRPr="00495088">
        <w:rPr>
          <w:szCs w:val="19"/>
          <w:lang w:val="en-US"/>
        </w:rPr>
        <w:t xml:space="preserve">The largest share of premises in the total number of real estate transactions was recorded in </w:t>
      </w:r>
      <w:r w:rsidR="00CC7B33">
        <w:rPr>
          <w:szCs w:val="19"/>
          <w:lang w:val="en-US"/>
        </w:rPr>
        <w:t xml:space="preserve">the </w:t>
      </w:r>
      <w:r w:rsidR="00CA23AC">
        <w:rPr>
          <w:szCs w:val="19"/>
          <w:lang w:val="en-US"/>
        </w:rPr>
        <w:t xml:space="preserve">pomorskie, </w:t>
      </w:r>
      <w:r w:rsidRPr="00CA23AC">
        <w:rPr>
          <w:szCs w:val="19"/>
          <w:lang w:val="en-US"/>
        </w:rPr>
        <w:t xml:space="preserve">dolnoslaskie, mazowieckie </w:t>
      </w:r>
      <w:r w:rsidR="00CC7B33">
        <w:rPr>
          <w:szCs w:val="19"/>
          <w:lang w:val="en-US"/>
        </w:rPr>
        <w:t>and</w:t>
      </w:r>
      <w:r w:rsidR="00CC7B33" w:rsidRPr="00CA23AC">
        <w:rPr>
          <w:szCs w:val="19"/>
          <w:lang w:val="en-US"/>
        </w:rPr>
        <w:t xml:space="preserve"> </w:t>
      </w:r>
      <w:r w:rsidRPr="00CA23AC">
        <w:rPr>
          <w:szCs w:val="19"/>
          <w:lang w:val="en-US"/>
        </w:rPr>
        <w:t xml:space="preserve">zachodniopomorskie </w:t>
      </w:r>
      <w:r w:rsidRPr="00495088">
        <w:rPr>
          <w:szCs w:val="19"/>
          <w:lang w:val="en-US"/>
        </w:rPr>
        <w:t xml:space="preserve">voivodships. The largest share of land properties was recorded in </w:t>
      </w:r>
      <w:r w:rsidR="00CC7B33">
        <w:rPr>
          <w:szCs w:val="19"/>
          <w:lang w:val="en-US"/>
        </w:rPr>
        <w:t xml:space="preserve">the </w:t>
      </w:r>
      <w:r w:rsidRPr="00CA23AC">
        <w:rPr>
          <w:szCs w:val="19"/>
          <w:lang w:val="en-US"/>
        </w:rPr>
        <w:t xml:space="preserve">podkarpackie, </w:t>
      </w:r>
      <w:r w:rsidR="00CA23AC" w:rsidRPr="00CA23AC">
        <w:rPr>
          <w:szCs w:val="19"/>
          <w:lang w:val="en-US"/>
        </w:rPr>
        <w:t xml:space="preserve">lubelskie and </w:t>
      </w:r>
      <w:r w:rsidRPr="00CA23AC">
        <w:rPr>
          <w:szCs w:val="19"/>
          <w:lang w:val="en-US"/>
        </w:rPr>
        <w:t xml:space="preserve">swietokrzyskie </w:t>
      </w:r>
      <w:r w:rsidRPr="00495088">
        <w:rPr>
          <w:szCs w:val="19"/>
          <w:lang w:val="en-US"/>
        </w:rPr>
        <w:t>voivodships.</w:t>
      </w:r>
    </w:p>
    <w:p w:rsidR="002A03FC" w:rsidRDefault="002A03FC" w:rsidP="000E27C8">
      <w:pPr>
        <w:spacing w:before="240"/>
        <w:rPr>
          <w:b/>
          <w:sz w:val="18"/>
          <w:szCs w:val="18"/>
          <w:shd w:val="clear" w:color="auto" w:fill="FFFFFF"/>
          <w:lang w:val="en-US"/>
        </w:rPr>
      </w:pPr>
      <w:r w:rsidRPr="00495088">
        <w:rPr>
          <w:b/>
          <w:sz w:val="18"/>
          <w:szCs w:val="18"/>
          <w:lang w:val="en-US"/>
        </w:rPr>
        <w:t>Chart 1.</w:t>
      </w:r>
      <w:r w:rsidRPr="00495088">
        <w:rPr>
          <w:b/>
          <w:sz w:val="18"/>
          <w:szCs w:val="18"/>
          <w:shd w:val="clear" w:color="auto" w:fill="FFFFFF"/>
          <w:lang w:val="en-US"/>
        </w:rPr>
        <w:t xml:space="preserve"> Quantity structure of real estate transaction</w:t>
      </w:r>
      <w:r w:rsidR="00495088">
        <w:rPr>
          <w:b/>
          <w:sz w:val="18"/>
          <w:szCs w:val="18"/>
          <w:shd w:val="clear" w:color="auto" w:fill="FFFFFF"/>
          <w:lang w:val="en-US"/>
        </w:rPr>
        <w:t>s by type in voivodships in 2018</w:t>
      </w:r>
    </w:p>
    <w:p w:rsidR="00E25608" w:rsidRDefault="00306323" w:rsidP="006E095C">
      <w:pPr>
        <w:spacing w:before="0" w:after="160" w:line="259" w:lineRule="auto"/>
        <w:rPr>
          <w:b/>
          <w:spacing w:val="-2"/>
          <w:sz w:val="18"/>
          <w:shd w:val="clear" w:color="auto" w:fill="FFFFFF"/>
          <w:lang w:val="en-US"/>
        </w:rPr>
      </w:pPr>
      <w:r>
        <w:rPr>
          <w:noProof/>
          <w:lang w:eastAsia="pl-PL"/>
        </w:rPr>
        <w:drawing>
          <wp:inline distT="0" distB="0" distL="0" distR="0" wp14:anchorId="4988851E" wp14:editId="7955397A">
            <wp:extent cx="5040000" cy="3420000"/>
            <wp:effectExtent l="0" t="0" r="0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5608" w:rsidRDefault="00E25608" w:rsidP="006E095C">
      <w:pPr>
        <w:spacing w:before="0" w:after="160" w:line="259" w:lineRule="auto"/>
        <w:rPr>
          <w:b/>
          <w:spacing w:val="-2"/>
          <w:sz w:val="18"/>
          <w:shd w:val="clear" w:color="auto" w:fill="FFFFFF"/>
          <w:lang w:val="en-US"/>
        </w:rPr>
      </w:pPr>
    </w:p>
    <w:p w:rsidR="00306323" w:rsidRDefault="00306323" w:rsidP="006E095C">
      <w:pPr>
        <w:spacing w:before="0" w:after="160" w:line="259" w:lineRule="auto"/>
        <w:rPr>
          <w:b/>
          <w:spacing w:val="-2"/>
          <w:sz w:val="18"/>
          <w:shd w:val="clear" w:color="auto" w:fill="FFFFFF"/>
          <w:lang w:val="en-US"/>
        </w:rPr>
      </w:pPr>
    </w:p>
    <w:p w:rsidR="002A03FC" w:rsidRDefault="00D635D2" w:rsidP="006E095C">
      <w:pPr>
        <w:spacing w:before="0" w:after="160" w:line="259" w:lineRule="auto"/>
        <w:rPr>
          <w:b/>
          <w:spacing w:val="-2"/>
          <w:sz w:val="18"/>
          <w:shd w:val="clear" w:color="auto" w:fill="FFFFFF"/>
          <w:lang w:val="en-US"/>
        </w:rPr>
      </w:pPr>
      <w:r>
        <w:rPr>
          <w:b/>
          <w:noProof/>
          <w:sz w:val="18"/>
          <w:szCs w:val="18"/>
          <w:lang w:eastAsia="pl-PL"/>
        </w:rPr>
        <w:pict>
          <v:shape id="_x0000_s1042" type="#_x0000_t202" style="position:absolute;margin-left:414.8pt;margin-top:-7.2pt;width:135.85pt;height:114.55pt;z-index:-251527168;visibility:visible;mso-wrap-distance-top:3.6pt;mso-wrap-distance-bottom:3.6pt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" filled="f" stroked="f">
            <v:textbox>
              <w:txbxContent>
                <w:p w:rsidR="002A03FC" w:rsidRPr="0056658F" w:rsidRDefault="002A03FC" w:rsidP="002A03FC">
                  <w:pPr>
                    <w:pStyle w:val="tekstzboku"/>
                    <w:rPr>
                      <w:lang w:val="en-US"/>
                    </w:rPr>
                  </w:pPr>
                  <w:r w:rsidRPr="0056658F">
                    <w:rPr>
                      <w:lang w:val="en-US"/>
                    </w:rPr>
                    <w:t>Prices of residential premis</w:t>
                  </w:r>
                  <w:r w:rsidR="00FC4DEA">
                    <w:rPr>
                      <w:lang w:val="en-US"/>
                    </w:rPr>
                    <w:t>es in 2018 increased by 6.5</w:t>
                  </w:r>
                  <w:r>
                    <w:rPr>
                      <w:lang w:val="en-US"/>
                    </w:rPr>
                    <w:t>% (</w:t>
                  </w:r>
                  <w:r w:rsidR="00FC4DEA">
                    <w:rPr>
                      <w:lang w:val="en-US"/>
                    </w:rPr>
                    <w:t>on primary market – by 5</w:t>
                  </w:r>
                  <w:r>
                    <w:rPr>
                      <w:lang w:val="en-US"/>
                    </w:rPr>
                    <w:t>.</w:t>
                  </w:r>
                  <w:r w:rsidR="00FC4DEA">
                    <w:rPr>
                      <w:lang w:val="en-US"/>
                    </w:rPr>
                    <w:t>5</w:t>
                  </w:r>
                  <w:r w:rsidRPr="0056658F">
                    <w:rPr>
                      <w:lang w:val="en-US"/>
                    </w:rPr>
                    <w:t xml:space="preserve">% </w:t>
                  </w:r>
                  <w:r w:rsidR="00FC4DEA">
                    <w:rPr>
                      <w:lang w:val="en-US"/>
                    </w:rPr>
                    <w:t>and on secondary market – by 7</w:t>
                  </w:r>
                  <w:r>
                    <w:rPr>
                      <w:lang w:val="en-US"/>
                    </w:rPr>
                    <w:t>.</w:t>
                  </w:r>
                  <w:r w:rsidR="00FC4DEA">
                    <w:rPr>
                      <w:lang w:val="en-US"/>
                    </w:rPr>
                    <w:t>6</w:t>
                  </w:r>
                  <w:r w:rsidRPr="0056658F">
                    <w:rPr>
                      <w:lang w:val="en-US"/>
                    </w:rPr>
                    <w:t>%)</w:t>
                  </w:r>
                  <w:r>
                    <w:rPr>
                      <w:lang w:val="en-US"/>
                    </w:rPr>
                    <w:t xml:space="preserve"> in comparison to  the previous year</w:t>
                  </w:r>
                </w:p>
                <w:p w:rsidR="009B46C8" w:rsidRPr="00A01C7B" w:rsidRDefault="009B46C8" w:rsidP="006F46FF">
                  <w:pPr>
                    <w:pStyle w:val="tekstzboku"/>
                    <w:rPr>
                      <w:lang w:val="en-US"/>
                    </w:rPr>
                  </w:pPr>
                </w:p>
              </w:txbxContent>
            </v:textbox>
            <w10:wrap type="tight"/>
          </v:shape>
        </w:pict>
      </w:r>
      <w:r w:rsidR="002A03FC" w:rsidRPr="00A55231">
        <w:rPr>
          <w:b/>
          <w:spacing w:val="-2"/>
          <w:sz w:val="18"/>
          <w:shd w:val="clear" w:color="auto" w:fill="FFFFFF"/>
          <w:lang w:val="en-US"/>
        </w:rPr>
        <w:t xml:space="preserve">Table 3. </w:t>
      </w:r>
      <w:r w:rsidR="002A03FC" w:rsidRPr="00334DFE">
        <w:rPr>
          <w:b/>
          <w:spacing w:val="-2"/>
          <w:sz w:val="18"/>
          <w:shd w:val="clear" w:color="auto" w:fill="FFFFFF"/>
          <w:lang w:val="en-US"/>
        </w:rPr>
        <w:t xml:space="preserve">Price indices of residential premises in </w:t>
      </w:r>
      <w:r w:rsidR="00FC4DEA">
        <w:rPr>
          <w:b/>
          <w:spacing w:val="-2"/>
          <w:sz w:val="18"/>
          <w:shd w:val="clear" w:color="auto" w:fill="FFFFFF"/>
          <w:lang w:val="en-US"/>
        </w:rPr>
        <w:t>2018</w:t>
      </w:r>
    </w:p>
    <w:tbl>
      <w:tblPr>
        <w:tblStyle w:val="Siatkatabelijasna11"/>
        <w:tblW w:w="7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507"/>
        <w:gridCol w:w="1908"/>
        <w:gridCol w:w="1909"/>
      </w:tblGrid>
      <w:tr w:rsidR="00354F47" w:rsidRPr="00437A70" w:rsidTr="008F13B2">
        <w:trPr>
          <w:trHeight w:val="57"/>
        </w:trPr>
        <w:tc>
          <w:tcPr>
            <w:tcW w:w="3507" w:type="dxa"/>
            <w:vMerge w:val="restart"/>
            <w:vAlign w:val="center"/>
          </w:tcPr>
          <w:p w:rsidR="00354F47" w:rsidRPr="00437A70" w:rsidRDefault="00354F47" w:rsidP="00E33750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817" w:type="dxa"/>
            <w:gridSpan w:val="2"/>
            <w:vAlign w:val="center"/>
          </w:tcPr>
          <w:p w:rsidR="00354F47" w:rsidRPr="00437A70" w:rsidRDefault="00354F47" w:rsidP="00E33750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2018</w:t>
            </w:r>
          </w:p>
        </w:tc>
      </w:tr>
      <w:tr w:rsidR="00354F47" w:rsidRPr="00437A70" w:rsidTr="00354F47">
        <w:trPr>
          <w:trHeight w:val="57"/>
        </w:trPr>
        <w:tc>
          <w:tcPr>
            <w:tcW w:w="3507" w:type="dxa"/>
            <w:vMerge/>
            <w:tcBorders>
              <w:bottom w:val="single" w:sz="12" w:space="0" w:color="212492"/>
            </w:tcBorders>
            <w:vAlign w:val="center"/>
          </w:tcPr>
          <w:p w:rsidR="00354F47" w:rsidRPr="00437A70" w:rsidRDefault="00354F47" w:rsidP="00E33750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08" w:type="dxa"/>
            <w:tcBorders>
              <w:bottom w:val="single" w:sz="12" w:space="0" w:color="212492"/>
            </w:tcBorders>
            <w:vAlign w:val="center"/>
          </w:tcPr>
          <w:p w:rsidR="00354F47" w:rsidRPr="00437A70" w:rsidRDefault="00354F47" w:rsidP="00E3375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previous year</w:t>
            </w:r>
            <w:r w:rsidRPr="00437A70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909" w:type="dxa"/>
            <w:tcBorders>
              <w:bottom w:val="single" w:sz="12" w:space="0" w:color="212492"/>
            </w:tcBorders>
            <w:vAlign w:val="center"/>
          </w:tcPr>
          <w:p w:rsidR="00354F47" w:rsidRPr="00437A70" w:rsidRDefault="00354F47" w:rsidP="00E3375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37A70">
              <w:rPr>
                <w:color w:val="000000" w:themeColor="text1"/>
                <w:sz w:val="16"/>
                <w:szCs w:val="16"/>
              </w:rPr>
              <w:t>2015=100</w:t>
            </w:r>
          </w:p>
        </w:tc>
      </w:tr>
      <w:tr w:rsidR="00354F47" w:rsidRPr="00437A70" w:rsidTr="00354F47">
        <w:trPr>
          <w:trHeight w:val="57"/>
        </w:trPr>
        <w:tc>
          <w:tcPr>
            <w:tcW w:w="3507" w:type="dxa"/>
            <w:vAlign w:val="center"/>
          </w:tcPr>
          <w:p w:rsidR="00354F47" w:rsidRPr="00437A70" w:rsidRDefault="00354F47" w:rsidP="00FC4DE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b/>
                <w:color w:val="000000" w:themeColor="text1"/>
                <w:sz w:val="18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8"/>
                <w:szCs w:val="16"/>
              </w:rPr>
              <w:t>TOTAL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54F47" w:rsidRPr="00F11C03" w:rsidRDefault="00354F47" w:rsidP="00FC4DEA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106.</w:t>
            </w:r>
            <w:r w:rsidRPr="00F11C03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354F47" w:rsidRPr="00F11C03" w:rsidRDefault="00354F47" w:rsidP="00FC4DE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112.</w:t>
            </w:r>
            <w:r w:rsidRPr="00F11C03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</w:tr>
      <w:tr w:rsidR="00354F47" w:rsidRPr="00437A70" w:rsidTr="00354F47">
        <w:trPr>
          <w:trHeight w:val="57"/>
        </w:trPr>
        <w:tc>
          <w:tcPr>
            <w:tcW w:w="3507" w:type="dxa"/>
            <w:vAlign w:val="center"/>
          </w:tcPr>
          <w:p w:rsidR="00354F47" w:rsidRPr="00437A70" w:rsidRDefault="00354F47" w:rsidP="00FC4DE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Primary market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54F47" w:rsidRPr="00F11C03" w:rsidRDefault="00354F47" w:rsidP="00FC4DE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105.</w:t>
            </w:r>
            <w:r w:rsidRPr="00F11C03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354F47" w:rsidRPr="00F11C03" w:rsidRDefault="00354F47" w:rsidP="00FC4DE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110.</w:t>
            </w:r>
            <w:r w:rsidRPr="00F11C03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354F47" w:rsidRPr="00437A70" w:rsidTr="00354F47">
        <w:trPr>
          <w:trHeight w:val="57"/>
        </w:trPr>
        <w:tc>
          <w:tcPr>
            <w:tcW w:w="3507" w:type="dxa"/>
            <w:vAlign w:val="center"/>
          </w:tcPr>
          <w:p w:rsidR="00354F47" w:rsidRPr="00437A70" w:rsidRDefault="00354F47" w:rsidP="00FC4DEA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Secondary market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354F47" w:rsidRPr="00F11C03" w:rsidRDefault="00354F47" w:rsidP="00FC4DE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107.</w:t>
            </w:r>
            <w:r w:rsidRPr="00F11C03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4F47" w:rsidRPr="00F11C03" w:rsidRDefault="00354F47" w:rsidP="00FC4DE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115.</w:t>
            </w:r>
            <w:r w:rsidRPr="00F11C03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:rsidR="002A03FC" w:rsidRDefault="002A03FC" w:rsidP="006E095C">
      <w:pPr>
        <w:spacing w:before="0" w:after="160" w:line="259" w:lineRule="auto"/>
        <w:rPr>
          <w:b/>
          <w:spacing w:val="-2"/>
          <w:sz w:val="18"/>
          <w:shd w:val="clear" w:color="auto" w:fill="FFFFFF"/>
          <w:lang w:val="en-US"/>
        </w:rPr>
      </w:pPr>
    </w:p>
    <w:p w:rsidR="0087115A" w:rsidRPr="002A03FC" w:rsidRDefault="0087115A" w:rsidP="006E095C">
      <w:pPr>
        <w:spacing w:before="0" w:after="160" w:line="259" w:lineRule="auto"/>
        <w:rPr>
          <w:b/>
          <w:spacing w:val="-2"/>
          <w:sz w:val="18"/>
          <w:shd w:val="clear" w:color="auto" w:fill="FFFFFF"/>
          <w:lang w:val="en-US"/>
        </w:rPr>
      </w:pPr>
    </w:p>
    <w:p w:rsidR="00FA4D32" w:rsidRDefault="002A03FC" w:rsidP="005A45AB">
      <w:pPr>
        <w:spacing w:before="0" w:after="160" w:line="259" w:lineRule="auto"/>
        <w:rPr>
          <w:b/>
          <w:sz w:val="18"/>
          <w:lang w:val="en-US"/>
        </w:rPr>
      </w:pPr>
      <w:r w:rsidRPr="00A55231">
        <w:rPr>
          <w:b/>
          <w:sz w:val="18"/>
          <w:lang w:val="en-US"/>
        </w:rPr>
        <w:t xml:space="preserve">Chart 2. </w:t>
      </w:r>
      <w:r>
        <w:rPr>
          <w:b/>
          <w:sz w:val="18"/>
          <w:lang w:val="en-US"/>
        </w:rPr>
        <w:t>Prices</w:t>
      </w:r>
      <w:r w:rsidRPr="008A682E">
        <w:rPr>
          <w:b/>
          <w:sz w:val="18"/>
          <w:lang w:val="en-US"/>
        </w:rPr>
        <w:t xml:space="preserve"> of residential premises (change in</w:t>
      </w:r>
      <w:r>
        <w:rPr>
          <w:b/>
          <w:sz w:val="18"/>
          <w:lang w:val="en-US"/>
        </w:rPr>
        <w:t xml:space="preserve"> % compared with the previous year</w:t>
      </w:r>
      <w:r w:rsidRPr="008A682E">
        <w:rPr>
          <w:b/>
          <w:sz w:val="18"/>
          <w:lang w:val="en-US"/>
        </w:rPr>
        <w:t>)</w:t>
      </w:r>
    </w:p>
    <w:p w:rsidR="002A03FC" w:rsidRPr="002D72B8" w:rsidRDefault="00FA4D32" w:rsidP="005A45AB">
      <w:pPr>
        <w:spacing w:before="0" w:after="160" w:line="259" w:lineRule="auto"/>
        <w:rPr>
          <w:b/>
          <w:sz w:val="18"/>
          <w:lang w:val="en-US"/>
        </w:rPr>
      </w:pPr>
      <w:r>
        <w:rPr>
          <w:noProof/>
          <w:lang w:eastAsia="pl-PL"/>
        </w:rPr>
        <w:drawing>
          <wp:inline distT="0" distB="0" distL="0" distR="0" wp14:anchorId="47AF9931" wp14:editId="1FDB55EE">
            <wp:extent cx="5122545" cy="2829560"/>
            <wp:effectExtent l="0" t="0" r="0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A03FC" w:rsidRPr="00304B36" w:rsidRDefault="002A03FC" w:rsidP="002A03FC">
      <w:pPr>
        <w:rPr>
          <w:b/>
          <w:sz w:val="18"/>
          <w:lang w:val="en-US"/>
        </w:rPr>
      </w:pPr>
      <w:r w:rsidRPr="00304B36">
        <w:rPr>
          <w:b/>
          <w:sz w:val="18"/>
          <w:lang w:val="en-US"/>
        </w:rPr>
        <w:t xml:space="preserve">Chart 3. </w:t>
      </w:r>
      <w:r>
        <w:rPr>
          <w:b/>
          <w:sz w:val="18"/>
          <w:lang w:val="en-US"/>
        </w:rPr>
        <w:t>Prices</w:t>
      </w:r>
      <w:r w:rsidRPr="008A682E">
        <w:rPr>
          <w:b/>
          <w:sz w:val="18"/>
          <w:lang w:val="en-US"/>
        </w:rPr>
        <w:t xml:space="preserve"> of residential premises </w:t>
      </w:r>
      <w:r w:rsidRPr="00304B36">
        <w:rPr>
          <w:b/>
          <w:sz w:val="18"/>
          <w:lang w:val="en-US"/>
        </w:rPr>
        <w:t>(</w:t>
      </w:r>
      <w:r w:rsidRPr="008A682E">
        <w:rPr>
          <w:b/>
          <w:sz w:val="18"/>
          <w:lang w:val="en-US"/>
        </w:rPr>
        <w:t>change in</w:t>
      </w:r>
      <w:r>
        <w:rPr>
          <w:b/>
          <w:sz w:val="18"/>
          <w:lang w:val="en-US"/>
        </w:rPr>
        <w:t xml:space="preserve"> % compared with </w:t>
      </w:r>
      <w:r w:rsidR="00354F47">
        <w:rPr>
          <w:b/>
          <w:sz w:val="18"/>
          <w:lang w:val="en-US"/>
        </w:rPr>
        <w:t>2015</w:t>
      </w:r>
      <w:r w:rsidRPr="00304B36">
        <w:rPr>
          <w:b/>
          <w:sz w:val="18"/>
          <w:lang w:val="en-US"/>
        </w:rPr>
        <w:t>)</w:t>
      </w:r>
    </w:p>
    <w:p w:rsidR="0087115A" w:rsidRPr="00730963" w:rsidRDefault="00354F47" w:rsidP="005A45AB">
      <w:pPr>
        <w:spacing w:before="0" w:after="160" w:line="259" w:lineRule="auto"/>
        <w:rPr>
          <w:b/>
          <w:sz w:val="18"/>
          <w:szCs w:val="18"/>
          <w:lang w:val="en-US"/>
        </w:rPr>
      </w:pPr>
      <w:r>
        <w:rPr>
          <w:noProof/>
          <w:lang w:eastAsia="pl-PL"/>
        </w:rPr>
        <w:drawing>
          <wp:inline distT="0" distB="0" distL="0" distR="0" wp14:anchorId="2F9595D9" wp14:editId="40145D30">
            <wp:extent cx="5122545" cy="2529840"/>
            <wp:effectExtent l="0" t="0" r="0" b="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bookmarkStart w:id="0" w:name="_GoBack"/>
      <w:bookmarkEnd w:id="0"/>
    </w:p>
    <w:p w:rsidR="00F352F0" w:rsidRPr="00730963" w:rsidRDefault="00F352F0" w:rsidP="005A45AB">
      <w:pPr>
        <w:spacing w:before="0" w:after="160" w:line="259" w:lineRule="auto"/>
        <w:rPr>
          <w:b/>
          <w:sz w:val="18"/>
          <w:szCs w:val="18"/>
          <w:lang w:val="en-US"/>
        </w:rPr>
      </w:pPr>
    </w:p>
    <w:p w:rsidR="00E01393" w:rsidRPr="00354F47" w:rsidRDefault="00E01393" w:rsidP="00E76D26">
      <w:pPr>
        <w:rPr>
          <w:b/>
          <w:sz w:val="18"/>
          <w:szCs w:val="18"/>
          <w:shd w:val="clear" w:color="auto" w:fill="FFFFFF"/>
          <w:lang w:val="en-US"/>
        </w:rPr>
      </w:pPr>
    </w:p>
    <w:p w:rsidR="0059548E" w:rsidRPr="00354F47" w:rsidRDefault="0059548E" w:rsidP="00E76D26">
      <w:pPr>
        <w:rPr>
          <w:sz w:val="18"/>
          <w:lang w:val="en-US"/>
        </w:rPr>
        <w:sectPr w:rsidR="0059548E" w:rsidRPr="00354F47" w:rsidSect="003B18B6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354F47" w:rsidRDefault="000470AA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9"/>
        <w:gridCol w:w="3924"/>
      </w:tblGrid>
      <w:tr w:rsidR="00CA7351" w:rsidRPr="00371AA7" w:rsidTr="00F53E18">
        <w:trPr>
          <w:trHeight w:val="1912"/>
        </w:trPr>
        <w:tc>
          <w:tcPr>
            <w:tcW w:w="4379" w:type="dxa"/>
          </w:tcPr>
          <w:p w:rsidR="00EF53D1" w:rsidRPr="004802D4" w:rsidRDefault="00EF53D1" w:rsidP="00EF53D1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4802D4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:rsidR="00EF53D1" w:rsidRPr="004802D4" w:rsidRDefault="00EF53D1" w:rsidP="00EF53D1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4802D4">
              <w:rPr>
                <w:rFonts w:cs="Arial"/>
                <w:b/>
                <w:color w:val="000000" w:themeColor="text1"/>
                <w:sz w:val="20"/>
                <w:lang w:val="en-US"/>
              </w:rPr>
              <w:t>Tr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ade and Services Department</w:t>
            </w:r>
          </w:p>
          <w:p w:rsidR="00EF53D1" w:rsidRPr="004802D4" w:rsidRDefault="00EF53D1" w:rsidP="00EF53D1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4802D4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Renata Rechnio</w:t>
            </w:r>
          </w:p>
          <w:p w:rsidR="00EF53D1" w:rsidRPr="008F3638" w:rsidRDefault="00EF53D1" w:rsidP="00EF53D1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608 38</w:t>
            </w:r>
            <w:r w:rsidR="00B714E0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02</w:t>
            </w:r>
          </w:p>
          <w:p w:rsidR="00CA7351" w:rsidRPr="00072575" w:rsidRDefault="00EF53D1" w:rsidP="00EF53D1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  <w:r w:rsidRPr="00072575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 w:rsidRPr="00B62AC7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u w:val="single"/>
                <w:lang w:val="en-US"/>
              </w:rPr>
              <w:t>R.Rechnio@stat.gov.pl</w:t>
            </w:r>
          </w:p>
        </w:tc>
        <w:tc>
          <w:tcPr>
            <w:tcW w:w="3942" w:type="dxa"/>
          </w:tcPr>
          <w:p w:rsidR="00EF53D1" w:rsidRPr="004802D4" w:rsidRDefault="00EF53D1" w:rsidP="00EF53D1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4802D4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Pr="004802D4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Pr="004802D4">
              <w:rPr>
                <w:rFonts w:cs="Arial"/>
                <w:b/>
                <w:color w:val="000000" w:themeColor="text1"/>
                <w:sz w:val="20"/>
                <w:lang w:val="en-US"/>
              </w:rPr>
              <w:t>The S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pokes</w:t>
            </w:r>
            <w:r w:rsidR="00E834A1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person for the President of 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Statistics Poland</w:t>
            </w:r>
          </w:p>
          <w:p w:rsidR="00EF53D1" w:rsidRPr="00A55231" w:rsidRDefault="00F4231F" w:rsidP="00EF53D1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:rsidR="00EF53D1" w:rsidRPr="008F3638" w:rsidRDefault="00EF53D1" w:rsidP="00EF53D1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22 608 34</w:t>
            </w:r>
            <w:r w:rsidR="00B714E0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75,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22 608 30</w:t>
            </w:r>
            <w:r w:rsidR="00B714E0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CA7351" w:rsidRPr="00C2775E" w:rsidRDefault="00EF53D1" w:rsidP="00EF53D1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C2775E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r w:rsidRPr="00B62AC7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u w:val="single"/>
              </w:rPr>
              <w:t>rzecznik@stat.gov.pl</w:t>
            </w:r>
          </w:p>
        </w:tc>
      </w:tr>
    </w:tbl>
    <w:p w:rsidR="00CA7351" w:rsidRPr="00C2775E" w:rsidRDefault="00CA7351" w:rsidP="00CA7351">
      <w:pPr>
        <w:rPr>
          <w:sz w:val="20"/>
        </w:rPr>
      </w:pPr>
    </w:p>
    <w:p w:rsidR="00CA7351" w:rsidRPr="00C2775E" w:rsidRDefault="00CA7351" w:rsidP="00CA7351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CA7351" w:rsidRPr="006976FD" w:rsidTr="00F53E18">
        <w:trPr>
          <w:trHeight w:val="610"/>
        </w:trPr>
        <w:tc>
          <w:tcPr>
            <w:tcW w:w="2721" w:type="pct"/>
            <w:vMerge w:val="restart"/>
            <w:vAlign w:val="center"/>
          </w:tcPr>
          <w:p w:rsidR="00EF53D1" w:rsidRPr="00A55231" w:rsidRDefault="00EF53D1" w:rsidP="00EF53D1">
            <w:pPr>
              <w:rPr>
                <w:b/>
                <w:sz w:val="20"/>
                <w:lang w:val="en-US"/>
              </w:rPr>
            </w:pPr>
            <w:r w:rsidRPr="00A55231">
              <w:rPr>
                <w:b/>
                <w:sz w:val="20"/>
                <w:lang w:val="en-US"/>
              </w:rPr>
              <w:t>Press Office</w:t>
            </w:r>
          </w:p>
          <w:p w:rsidR="00EF53D1" w:rsidRPr="00A55231" w:rsidRDefault="00B62AC7" w:rsidP="00EF53D1">
            <w:pPr>
              <w:rPr>
                <w:sz w:val="20"/>
                <w:lang w:val="en-US"/>
              </w:rPr>
            </w:pPr>
            <w:r w:rsidRPr="00B62AC7">
              <w:rPr>
                <w:sz w:val="20"/>
                <w:lang w:val="en-US"/>
              </w:rPr>
              <w:t>Tel</w:t>
            </w:r>
            <w:r>
              <w:rPr>
                <w:b/>
                <w:sz w:val="20"/>
                <w:lang w:val="en-US"/>
              </w:rPr>
              <w:t xml:space="preserve">: </w:t>
            </w:r>
            <w:r w:rsidR="00EF53D1" w:rsidRPr="00A55231">
              <w:rPr>
                <w:sz w:val="20"/>
                <w:lang w:val="en-US"/>
              </w:rPr>
              <w:t>+48</w:t>
            </w:r>
            <w:r w:rsidR="00EF53D1" w:rsidRPr="00A55231">
              <w:rPr>
                <w:b/>
                <w:sz w:val="20"/>
                <w:lang w:val="en-US"/>
              </w:rPr>
              <w:t xml:space="preserve"> </w:t>
            </w:r>
            <w:r w:rsidR="00EF53D1" w:rsidRPr="00A55231">
              <w:rPr>
                <w:sz w:val="20"/>
                <w:lang w:val="en-US"/>
              </w:rPr>
              <w:t xml:space="preserve">22 608 34 91, +48 22 608 38 04 </w:t>
            </w:r>
          </w:p>
          <w:p w:rsidR="00CA7351" w:rsidRPr="00EE456A" w:rsidRDefault="00EF53D1" w:rsidP="00EF53D1">
            <w:pPr>
              <w:rPr>
                <w:sz w:val="18"/>
                <w:lang w:val="en-US"/>
              </w:rPr>
            </w:pPr>
            <w:r w:rsidRPr="00EE456A">
              <w:rPr>
                <w:b/>
                <w:sz w:val="20"/>
                <w:lang w:val="en-US"/>
              </w:rPr>
              <w:t>e-mail:</w:t>
            </w:r>
            <w:r w:rsidRPr="00EE456A">
              <w:rPr>
                <w:sz w:val="20"/>
                <w:lang w:val="en-US"/>
              </w:rPr>
              <w:t xml:space="preserve"> </w:t>
            </w:r>
            <w:r w:rsidRPr="00B62AC7">
              <w:rPr>
                <w:b/>
                <w:sz w:val="20"/>
                <w:u w:val="single"/>
                <w:lang w:val="en-US"/>
              </w:rPr>
              <w:t>obslugaprasowa@stat.gov.pl</w:t>
            </w:r>
          </w:p>
        </w:tc>
        <w:tc>
          <w:tcPr>
            <w:tcW w:w="369" w:type="pct"/>
            <w:vAlign w:val="center"/>
          </w:tcPr>
          <w:p w:rsidR="00CA7351" w:rsidRPr="00EE456A" w:rsidRDefault="00CA7351" w:rsidP="00CA7351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  <w:r w:rsidRPr="00B62AC7">
              <w:rPr>
                <w:sz w:val="20"/>
                <w:lang w:val="en-US"/>
              </w:rPr>
              <w:t>www.stat.gov.pl</w:t>
            </w:r>
            <w:r w:rsidR="006B3F47">
              <w:rPr>
                <w:sz w:val="20"/>
                <w:lang w:val="en-US"/>
              </w:rPr>
              <w:t>/en/</w:t>
            </w:r>
          </w:p>
        </w:tc>
      </w:tr>
      <w:tr w:rsidR="00CA7351" w:rsidRPr="00B62AC7" w:rsidTr="00F53E18">
        <w:trPr>
          <w:trHeight w:val="436"/>
        </w:trPr>
        <w:tc>
          <w:tcPr>
            <w:tcW w:w="2721" w:type="pct"/>
            <w:vMerge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CA7351" w:rsidRPr="00B62AC7" w:rsidRDefault="006B3F47" w:rsidP="00CA7351">
            <w:pPr>
              <w:rPr>
                <w:sz w:val="18"/>
                <w:lang w:val="en-US"/>
              </w:rPr>
            </w:pPr>
            <w:r>
              <w:rPr>
                <w:sz w:val="20"/>
                <w:lang w:val="en-US"/>
              </w:rPr>
              <w:t>@StatPoland</w:t>
            </w:r>
          </w:p>
        </w:tc>
      </w:tr>
      <w:tr w:rsidR="00CA7351" w:rsidRPr="00B62AC7" w:rsidTr="00F53E18">
        <w:trPr>
          <w:trHeight w:val="436"/>
        </w:trPr>
        <w:tc>
          <w:tcPr>
            <w:tcW w:w="2721" w:type="pct"/>
            <w:vMerge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CA7351" w:rsidRPr="00B62AC7" w:rsidRDefault="00CA7351" w:rsidP="00CA7351">
            <w:pPr>
              <w:rPr>
                <w:sz w:val="20"/>
                <w:lang w:val="en-US"/>
              </w:rPr>
            </w:pPr>
            <w:r w:rsidRPr="00B62AC7">
              <w:rPr>
                <w:sz w:val="20"/>
                <w:lang w:val="en-US"/>
              </w:rPr>
              <w:t>@GlownyUrzadStatystyczny</w:t>
            </w:r>
          </w:p>
        </w:tc>
      </w:tr>
    </w:tbl>
    <w:p w:rsidR="00D261A2" w:rsidRPr="00B62AC7" w:rsidRDefault="00D635D2" w:rsidP="00E76D26">
      <w:pPr>
        <w:rPr>
          <w:sz w:val="18"/>
          <w:lang w:val="en-US"/>
        </w:rPr>
      </w:pPr>
      <w:r>
        <w:rPr>
          <w:noProof/>
          <w:sz w:val="18"/>
          <w:lang w:eastAsia="pl-PL"/>
        </w:rPr>
        <w:pict>
          <v:shape id="_x0000_s1029" type="#_x0000_t202" style="position:absolute;margin-left:1.5pt;margin-top:33.5pt;width:516.5pt;height:349.85pt;z-index:251691008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+4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kNjKT62YYP1&#10;I2nvcNwC2lo6tOh+cdbTBlTc/9yBk5zpz5b6t5jO53FlkjEv3s/IcKeezakHrCCoigfOxuM6pDWL&#10;VC1eUZ8blTrwwuRAmSY7SXjYwrg6p3aKevlXrJ4A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G61f7g+AgAAcwQAAA4A&#10;AAAAAAAAAAAAAAAALgIAAGRycy9lMm9Eb2MueG1sUEsBAi0AFAAGAAgAAAAhAG7AMXzfAAAACQEA&#10;AA8AAAAAAAAAAAAAAAAAmAQAAGRycy9kb3ducmV2LnhtbFBLBQYAAAAABAAEAPMAAACkBQAAAAA=&#10;" fillcolor="#f2f2f2 [3052]" strokecolor="white [3212]">
            <v:textbox style="mso-next-textbox:#_x0000_s1029">
              <w:txbxContent>
                <w:p w:rsidR="009B46C8" w:rsidRDefault="009B46C8" w:rsidP="00AB6D25">
                  <w:pPr>
                    <w:rPr>
                      <w:b/>
                    </w:rPr>
                  </w:pPr>
                </w:p>
                <w:p w:rsidR="009B46C8" w:rsidRPr="00C2775E" w:rsidRDefault="009B46C8" w:rsidP="00EF53D1">
                  <w:pPr>
                    <w:rPr>
                      <w:b/>
                      <w:lang w:val="en-US"/>
                    </w:rPr>
                  </w:pPr>
                  <w:r w:rsidRPr="00C2775E">
                    <w:rPr>
                      <w:b/>
                      <w:lang w:val="en-US"/>
                    </w:rPr>
                    <w:t>Related information</w:t>
                  </w:r>
                </w:p>
                <w:p w:rsidR="009B46C8" w:rsidRPr="00B62AC7" w:rsidRDefault="00D635D2" w:rsidP="00EF53D1">
                  <w:pPr>
                    <w:rPr>
                      <w:color w:val="001D77"/>
                      <w:sz w:val="18"/>
                      <w:szCs w:val="18"/>
                      <w:lang w:val="en-US"/>
                    </w:rPr>
                  </w:pPr>
                  <w:hyperlink r:id="rId22" w:history="1">
                    <w:r w:rsidR="009B46C8" w:rsidRPr="00B62AC7">
                      <w:rPr>
                        <w:rStyle w:val="Hipercze"/>
                        <w:rFonts w:cstheme="minorBidi"/>
                        <w:color w:val="001D77"/>
                        <w:sz w:val="18"/>
                        <w:szCs w:val="18"/>
                        <w:lang w:val="en-US"/>
                      </w:rPr>
                      <w:t>Price indices of residential premises by voivodships</w:t>
                    </w:r>
                  </w:hyperlink>
                </w:p>
                <w:p w:rsidR="009B46C8" w:rsidRPr="00B62AC7" w:rsidRDefault="00D635D2" w:rsidP="00EF53D1">
                  <w:pPr>
                    <w:rPr>
                      <w:color w:val="001D77"/>
                      <w:sz w:val="18"/>
                      <w:szCs w:val="18"/>
                      <w:lang w:val="en-US"/>
                    </w:rPr>
                  </w:pPr>
                  <w:hyperlink r:id="rId23" w:history="1">
                    <w:r w:rsidR="009B46C8" w:rsidRPr="00B62AC7">
                      <w:rPr>
                        <w:rStyle w:val="Hipercze"/>
                        <w:rFonts w:cstheme="minorBidi"/>
                        <w:color w:val="001D77"/>
                        <w:sz w:val="18"/>
                        <w:szCs w:val="18"/>
                        <w:lang w:val="en-US"/>
                      </w:rPr>
                      <w:t>Price of one square meter of usable floor space of a residential building</w:t>
                    </w:r>
                  </w:hyperlink>
                </w:p>
                <w:p w:rsidR="009B46C8" w:rsidRPr="00B62AC7" w:rsidRDefault="00D635D2" w:rsidP="00CA7351">
                  <w:pPr>
                    <w:rPr>
                      <w:rFonts w:cs="Arial"/>
                      <w:color w:val="001D77"/>
                      <w:sz w:val="18"/>
                      <w:szCs w:val="30"/>
                      <w:u w:val="single"/>
                      <w:shd w:val="clear" w:color="auto" w:fill="F0F0F0"/>
                      <w:lang w:val="en-US"/>
                    </w:rPr>
                  </w:pPr>
                  <w:hyperlink r:id="rId24" w:history="1">
                    <w:r w:rsidR="009B46C8" w:rsidRPr="00B62AC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Real Estate Sales in 2017</w:t>
                    </w:r>
                  </w:hyperlink>
                </w:p>
                <w:p w:rsidR="009B46C8" w:rsidRPr="00EF53D1" w:rsidRDefault="009B46C8" w:rsidP="00CA7351">
                  <w:pPr>
                    <w:rPr>
                      <w:b/>
                      <w:color w:val="000000" w:themeColor="text1"/>
                      <w:szCs w:val="24"/>
                      <w:lang w:val="en-US"/>
                    </w:rPr>
                  </w:pPr>
                </w:p>
                <w:p w:rsidR="009B46C8" w:rsidRPr="004802D4" w:rsidRDefault="009B46C8" w:rsidP="00EF53D1">
                  <w:pPr>
                    <w:rPr>
                      <w:b/>
                      <w:color w:val="000000" w:themeColor="text1"/>
                      <w:szCs w:val="24"/>
                      <w:lang w:val="en-US"/>
                    </w:rPr>
                  </w:pPr>
                  <w:r w:rsidRPr="004802D4">
                    <w:rPr>
                      <w:b/>
                      <w:color w:val="000000" w:themeColor="text1"/>
                      <w:szCs w:val="24"/>
                      <w:lang w:val="en-US"/>
                    </w:rPr>
                    <w:t>Data available in databases</w:t>
                  </w:r>
                </w:p>
                <w:p w:rsidR="009B46C8" w:rsidRPr="00B62AC7" w:rsidRDefault="00D635D2" w:rsidP="00CA7351">
                  <w:pPr>
                    <w:rPr>
                      <w:rFonts w:cs="Fira Sans"/>
                      <w:color w:val="001D77"/>
                      <w:sz w:val="18"/>
                      <w:szCs w:val="18"/>
                      <w:lang w:val="en-US"/>
                    </w:rPr>
                  </w:pPr>
                  <w:hyperlink r:id="rId25" w:history="1">
                    <w:r w:rsidR="009B46C8" w:rsidRPr="00B62AC7">
                      <w:rPr>
                        <w:rStyle w:val="Hipercze"/>
                        <w:rFonts w:cs="Fira Sans"/>
                        <w:color w:val="001D77"/>
                        <w:sz w:val="18"/>
                        <w:szCs w:val="18"/>
                        <w:lang w:val="en-US"/>
                      </w:rPr>
                      <w:t>Knowledge Databases (DBW) Prices</w:t>
                    </w:r>
                  </w:hyperlink>
                </w:p>
                <w:p w:rsidR="009B46C8" w:rsidRPr="00C2775E" w:rsidRDefault="009B46C8" w:rsidP="00CA7351">
                  <w:pPr>
                    <w:rPr>
                      <w:b/>
                      <w:color w:val="000000" w:themeColor="text1"/>
                      <w:szCs w:val="24"/>
                      <w:lang w:val="en-US"/>
                    </w:rPr>
                  </w:pPr>
                </w:p>
                <w:p w:rsidR="009B46C8" w:rsidRPr="004802D4" w:rsidRDefault="009B46C8" w:rsidP="00EF53D1">
                  <w:pPr>
                    <w:rPr>
                      <w:b/>
                      <w:color w:val="000000" w:themeColor="text1"/>
                      <w:szCs w:val="24"/>
                      <w:lang w:val="en-US"/>
                    </w:rPr>
                  </w:pPr>
                  <w:r w:rsidRPr="004802D4">
                    <w:rPr>
                      <w:b/>
                      <w:color w:val="000000" w:themeColor="text1"/>
                      <w:szCs w:val="24"/>
                      <w:lang w:val="en-US"/>
                    </w:rPr>
                    <w:t>Te</w:t>
                  </w:r>
                  <w:r>
                    <w:rPr>
                      <w:b/>
                      <w:color w:val="000000" w:themeColor="text1"/>
                      <w:szCs w:val="24"/>
                      <w:lang w:val="en-US"/>
                    </w:rPr>
                    <w:t>rms used in official statistics</w:t>
                  </w:r>
                </w:p>
                <w:p w:rsidR="009B46C8" w:rsidRPr="00B62AC7" w:rsidRDefault="00D635D2" w:rsidP="00EF53D1">
                  <w:pPr>
                    <w:rPr>
                      <w:color w:val="001D77"/>
                      <w:lang w:val="en-US"/>
                    </w:rPr>
                  </w:pPr>
                  <w:hyperlink r:id="rId26" w:history="1">
                    <w:r w:rsidR="009B46C8" w:rsidRPr="00B62AC7">
                      <w:rPr>
                        <w:rStyle w:val="Hipercze"/>
                        <w:rFonts w:cstheme="minorBidi"/>
                        <w:color w:val="001D77"/>
                        <w:lang w:val="en-US"/>
                      </w:rPr>
                      <w:t>Real estate turnover</w:t>
                    </w:r>
                  </w:hyperlink>
                </w:p>
                <w:p w:rsidR="009B46C8" w:rsidRPr="00B62AC7" w:rsidRDefault="00D635D2" w:rsidP="00EF53D1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27" w:history="1">
                    <w:r w:rsidR="009B46C8" w:rsidRPr="00B62AC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Register of Real Estate Prices and Values</w:t>
                    </w:r>
                  </w:hyperlink>
                </w:p>
                <w:p w:rsidR="009B46C8" w:rsidRPr="00B62AC7" w:rsidRDefault="00D635D2" w:rsidP="00EF53D1">
                  <w:pPr>
                    <w:spacing w:line="240" w:lineRule="auto"/>
                    <w:rPr>
                      <w:rFonts w:cs="Arial"/>
                      <w:color w:val="001D77"/>
                      <w:sz w:val="18"/>
                      <w:szCs w:val="30"/>
                      <w:u w:val="single"/>
                      <w:shd w:val="clear" w:color="auto" w:fill="F0F0F0"/>
                      <w:lang w:val="en-US"/>
                    </w:rPr>
                  </w:pPr>
                  <w:hyperlink r:id="rId28" w:history="1">
                    <w:r w:rsidR="009B46C8" w:rsidRPr="00B62AC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Premises</w:t>
                    </w:r>
                  </w:hyperlink>
                </w:p>
                <w:p w:rsidR="009B46C8" w:rsidRPr="00B86DF8" w:rsidRDefault="009B46C8" w:rsidP="00AB6D25">
                  <w:pPr>
                    <w:rPr>
                      <w:rFonts w:cs="Arial"/>
                      <w:color w:val="001D77"/>
                      <w:sz w:val="18"/>
                      <w:szCs w:val="30"/>
                      <w:u w:val="single"/>
                      <w:shd w:val="clear" w:color="auto" w:fill="F0F0F0"/>
                      <w:lang w:val="en-US"/>
                    </w:rPr>
                  </w:pPr>
                </w:p>
              </w:txbxContent>
            </v:textbox>
            <w10:wrap type="square" anchorx="margin"/>
          </v:shape>
        </w:pict>
      </w:r>
    </w:p>
    <w:sectPr w:rsidR="00D261A2" w:rsidRPr="00B62AC7" w:rsidSect="003B18B6">
      <w:headerReference w:type="default" r:id="rId29"/>
      <w:footerReference w:type="default" r:id="rId3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5D2" w:rsidRDefault="00D635D2" w:rsidP="000662E2">
      <w:pPr>
        <w:spacing w:after="0" w:line="240" w:lineRule="auto"/>
      </w:pPr>
      <w:r>
        <w:separator/>
      </w:r>
    </w:p>
  </w:endnote>
  <w:endnote w:type="continuationSeparator" w:id="0">
    <w:p w:rsidR="00D635D2" w:rsidRDefault="00D635D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DejaVu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:rsidR="009B46C8" w:rsidRDefault="00E47048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92FE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:rsidR="009B46C8" w:rsidRDefault="00E47048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92F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9B46C8" w:rsidRDefault="00E47048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92FE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5D2" w:rsidRDefault="00D635D2" w:rsidP="000662E2">
      <w:pPr>
        <w:spacing w:after="0" w:line="240" w:lineRule="auto"/>
      </w:pPr>
      <w:r>
        <w:separator/>
      </w:r>
    </w:p>
  </w:footnote>
  <w:footnote w:type="continuationSeparator" w:id="0">
    <w:p w:rsidR="00D635D2" w:rsidRDefault="00D635D2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C8" w:rsidRDefault="00D635D2">
    <w:pPr>
      <w:pStyle w:val="Nagwek"/>
    </w:pPr>
    <w:r>
      <w:rPr>
        <w:noProof/>
        <w:lang w:eastAsia="pl-PL"/>
      </w:rPr>
      <w:pict>
        <v:rect id="Prostokąt 24" o:spid="_x0000_s2058" style="position:absolute;margin-left:410.6pt;margin-top:-14.05pt;width:147.6pt;height:1785.8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<v:path arrowok="t"/>
        </v:rect>
      </w:pict>
    </w:r>
  </w:p>
  <w:p w:rsidR="009B46C8" w:rsidRDefault="009B46C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C8" w:rsidRDefault="009B46C8">
    <w:pPr>
      <w:pStyle w:val="Nagwek"/>
      <w:rPr>
        <w:noProof/>
        <w:lang w:eastAsia="pl-PL"/>
      </w:rPr>
    </w:pPr>
    <w:r w:rsidRPr="00981C2B">
      <w:rPr>
        <w:noProof/>
        <w:lang w:eastAsia="pl-PL"/>
      </w:rPr>
      <w:drawing>
        <wp:inline distT="0" distB="0" distL="0" distR="0">
          <wp:extent cx="2080803" cy="719653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ang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803" cy="719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35D2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11pt;margin-top:61.65pt;width:112.8pt;height:26.5pt;z-index:25166950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<v:textbox>
            <w:txbxContent>
              <w:p w:rsidR="009B46C8" w:rsidRPr="00C97596" w:rsidRDefault="001B2EA7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31.07</w:t>
                </w:r>
                <w:r w:rsidR="002F6F06">
                  <w:rPr>
                    <w:rFonts w:ascii="Fira Sans SemiBold" w:hAnsi="Fira Sans SemiBold"/>
                    <w:color w:val="001D77"/>
                  </w:rPr>
                  <w:t>.2019</w:t>
                </w:r>
              </w:p>
            </w:txbxContent>
          </v:textbox>
        </v:shape>
      </w:pict>
    </w:r>
    <w:r w:rsidR="00D635D2">
      <w:rPr>
        <w:noProof/>
        <w:lang w:eastAsia="pl-PL"/>
      </w:rPr>
      <w:pict>
        <v:shape id="Schemat blokowy: opóźnienie 6" o:spid="_x0000_s2057" style="position:absolute;margin-left:396.6pt;margin-top:15.65pt;width:162.25pt;height:28.15pt;flip:x;z-index:251668480;visibility:visible;mso-position-horizontal-relative:text;mso-position-vertical-relative:text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>
            <w:txbxContent>
              <w:p w:rsidR="009B46C8" w:rsidRPr="003C6C8D" w:rsidRDefault="009B46C8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NEWS RELEASES</w:t>
                </w:r>
              </w:p>
            </w:txbxContent>
          </v:textbox>
        </v:shape>
      </w:pict>
    </w:r>
    <w:r w:rsidR="00D635D2">
      <w:rPr>
        <w:noProof/>
        <w:lang w:eastAsia="pl-PL"/>
      </w:rPr>
      <w:pict>
        <v:rect id="Prostokąt 10" o:spid="_x0000_s2056" style="position:absolute;margin-left:411.1pt;margin-top:40.3pt;width:147.4pt;height:1803.55pt;z-index:251666432;visibility:visible;mso-position-horizontal:absolute;mso-position-horizontal-relative:text;mso-position-vertical-relative:text;mso-width-relative:margin;mso-height-relative:margin;v-text-anchor:middle" wrapcoords="-110 0 -110 21591 21600 21591 21600 0 -110 0" fillcolor="#f2f2f2" stroked="f" strokeweight="1pt">
          <v:path arrowok="t"/>
        </v:r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C8" w:rsidRDefault="009B46C8">
    <w:pPr>
      <w:pStyle w:val="Nagwek"/>
    </w:pPr>
  </w:p>
  <w:p w:rsidR="009B46C8" w:rsidRDefault="009B46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123.1pt;height:125.55pt;visibility:visible;mso-wrap-style:square" o:bullet="t">
        <v:imagedata r:id="rId1" o:title=""/>
      </v:shape>
    </w:pict>
  </w:numPicBullet>
  <w:numPicBullet w:numPicBulletId="1">
    <w:pict>
      <v:shape id="_x0000_i1085" type="#_x0000_t75" style="width:123.7pt;height:125.5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05E2"/>
    <w:rsid w:val="00001C5B"/>
    <w:rsid w:val="00003437"/>
    <w:rsid w:val="0000709F"/>
    <w:rsid w:val="000108B8"/>
    <w:rsid w:val="00015039"/>
    <w:rsid w:val="000152F5"/>
    <w:rsid w:val="000359A8"/>
    <w:rsid w:val="0004582E"/>
    <w:rsid w:val="000470AA"/>
    <w:rsid w:val="00053CA1"/>
    <w:rsid w:val="00053FC8"/>
    <w:rsid w:val="000574B9"/>
    <w:rsid w:val="00057CA1"/>
    <w:rsid w:val="00057DB8"/>
    <w:rsid w:val="000662E2"/>
    <w:rsid w:val="00066883"/>
    <w:rsid w:val="00074DD8"/>
    <w:rsid w:val="000806F7"/>
    <w:rsid w:val="000841E8"/>
    <w:rsid w:val="00087F0A"/>
    <w:rsid w:val="000904CB"/>
    <w:rsid w:val="00097840"/>
    <w:rsid w:val="000A2B95"/>
    <w:rsid w:val="000B0727"/>
    <w:rsid w:val="000B670C"/>
    <w:rsid w:val="000C03C0"/>
    <w:rsid w:val="000C135D"/>
    <w:rsid w:val="000D1D43"/>
    <w:rsid w:val="000D225C"/>
    <w:rsid w:val="000D2A5C"/>
    <w:rsid w:val="000D6F7D"/>
    <w:rsid w:val="000E0918"/>
    <w:rsid w:val="000E27C8"/>
    <w:rsid w:val="000E729C"/>
    <w:rsid w:val="000F4033"/>
    <w:rsid w:val="000F6D5A"/>
    <w:rsid w:val="001003B7"/>
    <w:rsid w:val="001011C3"/>
    <w:rsid w:val="001034CE"/>
    <w:rsid w:val="00110D87"/>
    <w:rsid w:val="001121DF"/>
    <w:rsid w:val="00114DB9"/>
    <w:rsid w:val="00116087"/>
    <w:rsid w:val="00116B3F"/>
    <w:rsid w:val="00117B13"/>
    <w:rsid w:val="00124E28"/>
    <w:rsid w:val="00126565"/>
    <w:rsid w:val="00130296"/>
    <w:rsid w:val="00140AD8"/>
    <w:rsid w:val="001423B6"/>
    <w:rsid w:val="00144766"/>
    <w:rsid w:val="001448A7"/>
    <w:rsid w:val="001461CC"/>
    <w:rsid w:val="00146621"/>
    <w:rsid w:val="00162325"/>
    <w:rsid w:val="00171C8A"/>
    <w:rsid w:val="001951DA"/>
    <w:rsid w:val="00195BF1"/>
    <w:rsid w:val="001A0198"/>
    <w:rsid w:val="001A297A"/>
    <w:rsid w:val="001A3839"/>
    <w:rsid w:val="001B12D0"/>
    <w:rsid w:val="001B2EA7"/>
    <w:rsid w:val="001C3269"/>
    <w:rsid w:val="001D1DB4"/>
    <w:rsid w:val="001E1388"/>
    <w:rsid w:val="001F043B"/>
    <w:rsid w:val="001F6AC4"/>
    <w:rsid w:val="00200AEC"/>
    <w:rsid w:val="00202CB0"/>
    <w:rsid w:val="00213227"/>
    <w:rsid w:val="002535A3"/>
    <w:rsid w:val="002574F1"/>
    <w:rsid w:val="002574F9"/>
    <w:rsid w:val="00262B61"/>
    <w:rsid w:val="00266F56"/>
    <w:rsid w:val="00276811"/>
    <w:rsid w:val="00282699"/>
    <w:rsid w:val="0028505D"/>
    <w:rsid w:val="00287AF2"/>
    <w:rsid w:val="00291813"/>
    <w:rsid w:val="002926DF"/>
    <w:rsid w:val="00293B62"/>
    <w:rsid w:val="002940EF"/>
    <w:rsid w:val="00296697"/>
    <w:rsid w:val="002A03FC"/>
    <w:rsid w:val="002A160D"/>
    <w:rsid w:val="002A453B"/>
    <w:rsid w:val="002B0472"/>
    <w:rsid w:val="002B04E4"/>
    <w:rsid w:val="002B3B27"/>
    <w:rsid w:val="002B6B12"/>
    <w:rsid w:val="002D2BEB"/>
    <w:rsid w:val="002D5D8C"/>
    <w:rsid w:val="002D72B8"/>
    <w:rsid w:val="002E46B7"/>
    <w:rsid w:val="002E6140"/>
    <w:rsid w:val="002E6985"/>
    <w:rsid w:val="002E71B6"/>
    <w:rsid w:val="002F6F06"/>
    <w:rsid w:val="002F77C8"/>
    <w:rsid w:val="0030246A"/>
    <w:rsid w:val="00304F22"/>
    <w:rsid w:val="00306323"/>
    <w:rsid w:val="00306C7C"/>
    <w:rsid w:val="00322EDD"/>
    <w:rsid w:val="00332320"/>
    <w:rsid w:val="00333542"/>
    <w:rsid w:val="00344C07"/>
    <w:rsid w:val="00347D72"/>
    <w:rsid w:val="00354F47"/>
    <w:rsid w:val="003563F6"/>
    <w:rsid w:val="00357611"/>
    <w:rsid w:val="003601A9"/>
    <w:rsid w:val="0036562A"/>
    <w:rsid w:val="00367237"/>
    <w:rsid w:val="0037077F"/>
    <w:rsid w:val="00371102"/>
    <w:rsid w:val="00371AA7"/>
    <w:rsid w:val="00372411"/>
    <w:rsid w:val="00373882"/>
    <w:rsid w:val="003843DB"/>
    <w:rsid w:val="00393761"/>
    <w:rsid w:val="00397D18"/>
    <w:rsid w:val="003A1B36"/>
    <w:rsid w:val="003B1454"/>
    <w:rsid w:val="003B18B6"/>
    <w:rsid w:val="003B46F7"/>
    <w:rsid w:val="003B56C8"/>
    <w:rsid w:val="003C59E0"/>
    <w:rsid w:val="003C6C8D"/>
    <w:rsid w:val="003D14C1"/>
    <w:rsid w:val="003D4F95"/>
    <w:rsid w:val="003D5F42"/>
    <w:rsid w:val="003D60A9"/>
    <w:rsid w:val="003D6185"/>
    <w:rsid w:val="003F4C97"/>
    <w:rsid w:val="003F7FE6"/>
    <w:rsid w:val="00400193"/>
    <w:rsid w:val="00403C1A"/>
    <w:rsid w:val="00416BEF"/>
    <w:rsid w:val="004178B0"/>
    <w:rsid w:val="004212E7"/>
    <w:rsid w:val="00423C60"/>
    <w:rsid w:val="0042446D"/>
    <w:rsid w:val="00427BF8"/>
    <w:rsid w:val="004313A1"/>
    <w:rsid w:val="00431C02"/>
    <w:rsid w:val="00431FFC"/>
    <w:rsid w:val="004347C3"/>
    <w:rsid w:val="00437162"/>
    <w:rsid w:val="00437395"/>
    <w:rsid w:val="00437A70"/>
    <w:rsid w:val="00445047"/>
    <w:rsid w:val="00462BE1"/>
    <w:rsid w:val="00463E39"/>
    <w:rsid w:val="004657FC"/>
    <w:rsid w:val="004733F6"/>
    <w:rsid w:val="00474E69"/>
    <w:rsid w:val="00480C23"/>
    <w:rsid w:val="00483BBF"/>
    <w:rsid w:val="00495088"/>
    <w:rsid w:val="0049621B"/>
    <w:rsid w:val="004A3D09"/>
    <w:rsid w:val="004C03B9"/>
    <w:rsid w:val="004C1895"/>
    <w:rsid w:val="004C6D40"/>
    <w:rsid w:val="004D4E8A"/>
    <w:rsid w:val="004E0A1B"/>
    <w:rsid w:val="004E6E19"/>
    <w:rsid w:val="004F0C3C"/>
    <w:rsid w:val="004F407F"/>
    <w:rsid w:val="004F5944"/>
    <w:rsid w:val="004F63FC"/>
    <w:rsid w:val="00505A92"/>
    <w:rsid w:val="0051704F"/>
    <w:rsid w:val="005203F1"/>
    <w:rsid w:val="00521BC3"/>
    <w:rsid w:val="00522E01"/>
    <w:rsid w:val="00525655"/>
    <w:rsid w:val="00531FB4"/>
    <w:rsid w:val="005326DA"/>
    <w:rsid w:val="00533632"/>
    <w:rsid w:val="00541E6E"/>
    <w:rsid w:val="0054251F"/>
    <w:rsid w:val="00544C28"/>
    <w:rsid w:val="0054548F"/>
    <w:rsid w:val="00550D92"/>
    <w:rsid w:val="005520D8"/>
    <w:rsid w:val="00556CF1"/>
    <w:rsid w:val="00563A09"/>
    <w:rsid w:val="005734D3"/>
    <w:rsid w:val="00573E8B"/>
    <w:rsid w:val="005762A7"/>
    <w:rsid w:val="00577B61"/>
    <w:rsid w:val="00577E69"/>
    <w:rsid w:val="005916D7"/>
    <w:rsid w:val="0059548E"/>
    <w:rsid w:val="005A45AB"/>
    <w:rsid w:val="005A4B04"/>
    <w:rsid w:val="005A698C"/>
    <w:rsid w:val="005A77FF"/>
    <w:rsid w:val="005B370F"/>
    <w:rsid w:val="005B4788"/>
    <w:rsid w:val="005B71CD"/>
    <w:rsid w:val="005D0622"/>
    <w:rsid w:val="005E0799"/>
    <w:rsid w:val="005E2468"/>
    <w:rsid w:val="005E3B8D"/>
    <w:rsid w:val="005F2681"/>
    <w:rsid w:val="005F5A2A"/>
    <w:rsid w:val="005F5A80"/>
    <w:rsid w:val="005F65FB"/>
    <w:rsid w:val="00602ECE"/>
    <w:rsid w:val="006044FF"/>
    <w:rsid w:val="00607CC5"/>
    <w:rsid w:val="0061700A"/>
    <w:rsid w:val="006228D1"/>
    <w:rsid w:val="00633014"/>
    <w:rsid w:val="0063437B"/>
    <w:rsid w:val="0064187B"/>
    <w:rsid w:val="0064699F"/>
    <w:rsid w:val="00652F27"/>
    <w:rsid w:val="00653B61"/>
    <w:rsid w:val="00663083"/>
    <w:rsid w:val="006673CA"/>
    <w:rsid w:val="00672450"/>
    <w:rsid w:val="00673C26"/>
    <w:rsid w:val="006812AF"/>
    <w:rsid w:val="0068327D"/>
    <w:rsid w:val="0068419B"/>
    <w:rsid w:val="00687D47"/>
    <w:rsid w:val="00694AF0"/>
    <w:rsid w:val="006976FD"/>
    <w:rsid w:val="006A2E32"/>
    <w:rsid w:val="006A4686"/>
    <w:rsid w:val="006B0714"/>
    <w:rsid w:val="006B0E9E"/>
    <w:rsid w:val="006B20B0"/>
    <w:rsid w:val="006B3F47"/>
    <w:rsid w:val="006B5AE4"/>
    <w:rsid w:val="006B7192"/>
    <w:rsid w:val="006C24D2"/>
    <w:rsid w:val="006C50D6"/>
    <w:rsid w:val="006C723C"/>
    <w:rsid w:val="006D1507"/>
    <w:rsid w:val="006D4054"/>
    <w:rsid w:val="006E01B6"/>
    <w:rsid w:val="006E02EC"/>
    <w:rsid w:val="006E095C"/>
    <w:rsid w:val="006F46FF"/>
    <w:rsid w:val="006F57E5"/>
    <w:rsid w:val="0070110C"/>
    <w:rsid w:val="007068CE"/>
    <w:rsid w:val="00713D6B"/>
    <w:rsid w:val="007211B1"/>
    <w:rsid w:val="00730963"/>
    <w:rsid w:val="007343FA"/>
    <w:rsid w:val="00746187"/>
    <w:rsid w:val="00746E58"/>
    <w:rsid w:val="0076254F"/>
    <w:rsid w:val="007704D1"/>
    <w:rsid w:val="00773983"/>
    <w:rsid w:val="0077463A"/>
    <w:rsid w:val="007801F5"/>
    <w:rsid w:val="00783415"/>
    <w:rsid w:val="00783CA4"/>
    <w:rsid w:val="007842FB"/>
    <w:rsid w:val="00785DE5"/>
    <w:rsid w:val="00786124"/>
    <w:rsid w:val="0079514B"/>
    <w:rsid w:val="007A2DC1"/>
    <w:rsid w:val="007B0DC0"/>
    <w:rsid w:val="007B0E88"/>
    <w:rsid w:val="007B6C60"/>
    <w:rsid w:val="007C36C0"/>
    <w:rsid w:val="007D3319"/>
    <w:rsid w:val="007D335D"/>
    <w:rsid w:val="007D787C"/>
    <w:rsid w:val="007E2C09"/>
    <w:rsid w:val="007E3314"/>
    <w:rsid w:val="007E4B03"/>
    <w:rsid w:val="007F324B"/>
    <w:rsid w:val="0080553C"/>
    <w:rsid w:val="00805B46"/>
    <w:rsid w:val="00807A9E"/>
    <w:rsid w:val="008115B1"/>
    <w:rsid w:val="0081720D"/>
    <w:rsid w:val="0082084A"/>
    <w:rsid w:val="00825DC2"/>
    <w:rsid w:val="00834AD3"/>
    <w:rsid w:val="00836A8E"/>
    <w:rsid w:val="00843795"/>
    <w:rsid w:val="008464A2"/>
    <w:rsid w:val="00847F0F"/>
    <w:rsid w:val="00852448"/>
    <w:rsid w:val="00855753"/>
    <w:rsid w:val="0087115A"/>
    <w:rsid w:val="00871864"/>
    <w:rsid w:val="00877C40"/>
    <w:rsid w:val="0088088D"/>
    <w:rsid w:val="0088258A"/>
    <w:rsid w:val="0088490C"/>
    <w:rsid w:val="00885566"/>
    <w:rsid w:val="00886332"/>
    <w:rsid w:val="008A080B"/>
    <w:rsid w:val="008A26D9"/>
    <w:rsid w:val="008A6DEF"/>
    <w:rsid w:val="008B15C2"/>
    <w:rsid w:val="008B6C72"/>
    <w:rsid w:val="008C0C29"/>
    <w:rsid w:val="008C3AD3"/>
    <w:rsid w:val="008D0769"/>
    <w:rsid w:val="008D1A46"/>
    <w:rsid w:val="008D6BB0"/>
    <w:rsid w:val="008F3638"/>
    <w:rsid w:val="008F4441"/>
    <w:rsid w:val="008F6F31"/>
    <w:rsid w:val="008F74DF"/>
    <w:rsid w:val="0090392A"/>
    <w:rsid w:val="00907E1E"/>
    <w:rsid w:val="009127BA"/>
    <w:rsid w:val="00916910"/>
    <w:rsid w:val="00921153"/>
    <w:rsid w:val="009227A6"/>
    <w:rsid w:val="00923C49"/>
    <w:rsid w:val="00933EC1"/>
    <w:rsid w:val="009530DB"/>
    <w:rsid w:val="00953676"/>
    <w:rsid w:val="0096551C"/>
    <w:rsid w:val="009705EE"/>
    <w:rsid w:val="00977927"/>
    <w:rsid w:val="0098135C"/>
    <w:rsid w:val="0098156A"/>
    <w:rsid w:val="00981C2B"/>
    <w:rsid w:val="009828B9"/>
    <w:rsid w:val="009856EA"/>
    <w:rsid w:val="009866EF"/>
    <w:rsid w:val="00990C87"/>
    <w:rsid w:val="00991BAC"/>
    <w:rsid w:val="0099386D"/>
    <w:rsid w:val="00993B2B"/>
    <w:rsid w:val="00996EC5"/>
    <w:rsid w:val="009A6EA0"/>
    <w:rsid w:val="009B46C8"/>
    <w:rsid w:val="009C1335"/>
    <w:rsid w:val="009C1AB2"/>
    <w:rsid w:val="009C3C87"/>
    <w:rsid w:val="009C7251"/>
    <w:rsid w:val="009D7487"/>
    <w:rsid w:val="009D7EA7"/>
    <w:rsid w:val="009E09D9"/>
    <w:rsid w:val="009E181A"/>
    <w:rsid w:val="009E2E91"/>
    <w:rsid w:val="009F7474"/>
    <w:rsid w:val="00A01C7B"/>
    <w:rsid w:val="00A07E99"/>
    <w:rsid w:val="00A119BE"/>
    <w:rsid w:val="00A1305E"/>
    <w:rsid w:val="00A139F5"/>
    <w:rsid w:val="00A260AD"/>
    <w:rsid w:val="00A26FE1"/>
    <w:rsid w:val="00A32458"/>
    <w:rsid w:val="00A365F4"/>
    <w:rsid w:val="00A36A68"/>
    <w:rsid w:val="00A42229"/>
    <w:rsid w:val="00A4228F"/>
    <w:rsid w:val="00A42BEF"/>
    <w:rsid w:val="00A47D80"/>
    <w:rsid w:val="00A53132"/>
    <w:rsid w:val="00A563F2"/>
    <w:rsid w:val="00A566E8"/>
    <w:rsid w:val="00A57627"/>
    <w:rsid w:val="00A65754"/>
    <w:rsid w:val="00A665AD"/>
    <w:rsid w:val="00A810F9"/>
    <w:rsid w:val="00A86ECC"/>
    <w:rsid w:val="00A86FCC"/>
    <w:rsid w:val="00A92FE7"/>
    <w:rsid w:val="00AA6B32"/>
    <w:rsid w:val="00AA710D"/>
    <w:rsid w:val="00AB1D28"/>
    <w:rsid w:val="00AB2FF4"/>
    <w:rsid w:val="00AB397C"/>
    <w:rsid w:val="00AB6D25"/>
    <w:rsid w:val="00AD13BB"/>
    <w:rsid w:val="00AD2379"/>
    <w:rsid w:val="00AD25B8"/>
    <w:rsid w:val="00AD30C3"/>
    <w:rsid w:val="00AD3EDF"/>
    <w:rsid w:val="00AD4ECB"/>
    <w:rsid w:val="00AD70D1"/>
    <w:rsid w:val="00AE2D4B"/>
    <w:rsid w:val="00AE3070"/>
    <w:rsid w:val="00AE4F99"/>
    <w:rsid w:val="00B0437F"/>
    <w:rsid w:val="00B05AE7"/>
    <w:rsid w:val="00B0739B"/>
    <w:rsid w:val="00B11B69"/>
    <w:rsid w:val="00B12F6E"/>
    <w:rsid w:val="00B14952"/>
    <w:rsid w:val="00B31E5A"/>
    <w:rsid w:val="00B47416"/>
    <w:rsid w:val="00B55189"/>
    <w:rsid w:val="00B62AC7"/>
    <w:rsid w:val="00B653AB"/>
    <w:rsid w:val="00B65F9E"/>
    <w:rsid w:val="00B66B19"/>
    <w:rsid w:val="00B67457"/>
    <w:rsid w:val="00B714E0"/>
    <w:rsid w:val="00B73097"/>
    <w:rsid w:val="00B76A98"/>
    <w:rsid w:val="00B7755D"/>
    <w:rsid w:val="00B83925"/>
    <w:rsid w:val="00B86DF8"/>
    <w:rsid w:val="00B870B3"/>
    <w:rsid w:val="00B914E9"/>
    <w:rsid w:val="00B94D3E"/>
    <w:rsid w:val="00B956EE"/>
    <w:rsid w:val="00BA00F2"/>
    <w:rsid w:val="00BA2BA1"/>
    <w:rsid w:val="00BA3562"/>
    <w:rsid w:val="00BA474D"/>
    <w:rsid w:val="00BA6018"/>
    <w:rsid w:val="00BB2630"/>
    <w:rsid w:val="00BB4F09"/>
    <w:rsid w:val="00BB5809"/>
    <w:rsid w:val="00BD4E33"/>
    <w:rsid w:val="00BD5E55"/>
    <w:rsid w:val="00BE22CE"/>
    <w:rsid w:val="00BF0C5F"/>
    <w:rsid w:val="00BF5920"/>
    <w:rsid w:val="00C030DE"/>
    <w:rsid w:val="00C04936"/>
    <w:rsid w:val="00C1695A"/>
    <w:rsid w:val="00C22105"/>
    <w:rsid w:val="00C244B6"/>
    <w:rsid w:val="00C25A0A"/>
    <w:rsid w:val="00C2775E"/>
    <w:rsid w:val="00C3032C"/>
    <w:rsid w:val="00C356C0"/>
    <w:rsid w:val="00C366D2"/>
    <w:rsid w:val="00C3702F"/>
    <w:rsid w:val="00C44EB3"/>
    <w:rsid w:val="00C4500A"/>
    <w:rsid w:val="00C45AAB"/>
    <w:rsid w:val="00C47F04"/>
    <w:rsid w:val="00C55682"/>
    <w:rsid w:val="00C56EEC"/>
    <w:rsid w:val="00C64A37"/>
    <w:rsid w:val="00C7158E"/>
    <w:rsid w:val="00C7250B"/>
    <w:rsid w:val="00C72FC4"/>
    <w:rsid w:val="00C7346B"/>
    <w:rsid w:val="00C737F5"/>
    <w:rsid w:val="00C7541C"/>
    <w:rsid w:val="00C77C0E"/>
    <w:rsid w:val="00C85CE7"/>
    <w:rsid w:val="00C90318"/>
    <w:rsid w:val="00C91687"/>
    <w:rsid w:val="00C924A8"/>
    <w:rsid w:val="00C93808"/>
    <w:rsid w:val="00C945FE"/>
    <w:rsid w:val="00C96FAA"/>
    <w:rsid w:val="00C97A04"/>
    <w:rsid w:val="00CA107B"/>
    <w:rsid w:val="00CA23AC"/>
    <w:rsid w:val="00CA484D"/>
    <w:rsid w:val="00CA4FB6"/>
    <w:rsid w:val="00CA7351"/>
    <w:rsid w:val="00CB1805"/>
    <w:rsid w:val="00CC20A6"/>
    <w:rsid w:val="00CC739E"/>
    <w:rsid w:val="00CC7B33"/>
    <w:rsid w:val="00CC7C9C"/>
    <w:rsid w:val="00CD1D82"/>
    <w:rsid w:val="00CD5410"/>
    <w:rsid w:val="00CD58B7"/>
    <w:rsid w:val="00CF3D9C"/>
    <w:rsid w:val="00CF4099"/>
    <w:rsid w:val="00D00796"/>
    <w:rsid w:val="00D11B38"/>
    <w:rsid w:val="00D156B6"/>
    <w:rsid w:val="00D23DF2"/>
    <w:rsid w:val="00D24CF3"/>
    <w:rsid w:val="00D261A2"/>
    <w:rsid w:val="00D30B17"/>
    <w:rsid w:val="00D340FA"/>
    <w:rsid w:val="00D346A4"/>
    <w:rsid w:val="00D34D76"/>
    <w:rsid w:val="00D430A0"/>
    <w:rsid w:val="00D434D0"/>
    <w:rsid w:val="00D616D2"/>
    <w:rsid w:val="00D635D2"/>
    <w:rsid w:val="00D63B5F"/>
    <w:rsid w:val="00D70EF7"/>
    <w:rsid w:val="00D74B00"/>
    <w:rsid w:val="00D8397C"/>
    <w:rsid w:val="00D84AB9"/>
    <w:rsid w:val="00D94EED"/>
    <w:rsid w:val="00D96026"/>
    <w:rsid w:val="00DA399D"/>
    <w:rsid w:val="00DA7A12"/>
    <w:rsid w:val="00DA7C1C"/>
    <w:rsid w:val="00DB147A"/>
    <w:rsid w:val="00DB1B7A"/>
    <w:rsid w:val="00DC1228"/>
    <w:rsid w:val="00DC6708"/>
    <w:rsid w:val="00DE0F55"/>
    <w:rsid w:val="00DE5CD1"/>
    <w:rsid w:val="00E01393"/>
    <w:rsid w:val="00E01436"/>
    <w:rsid w:val="00E025F8"/>
    <w:rsid w:val="00E045BD"/>
    <w:rsid w:val="00E07DBA"/>
    <w:rsid w:val="00E17B77"/>
    <w:rsid w:val="00E23337"/>
    <w:rsid w:val="00E25608"/>
    <w:rsid w:val="00E259EA"/>
    <w:rsid w:val="00E32061"/>
    <w:rsid w:val="00E33AFB"/>
    <w:rsid w:val="00E36CE6"/>
    <w:rsid w:val="00E42FF9"/>
    <w:rsid w:val="00E47048"/>
    <w:rsid w:val="00E4714C"/>
    <w:rsid w:val="00E47437"/>
    <w:rsid w:val="00E51AEB"/>
    <w:rsid w:val="00E522A7"/>
    <w:rsid w:val="00E54452"/>
    <w:rsid w:val="00E56DF4"/>
    <w:rsid w:val="00E664C5"/>
    <w:rsid w:val="00E671A2"/>
    <w:rsid w:val="00E728B9"/>
    <w:rsid w:val="00E75984"/>
    <w:rsid w:val="00E76D26"/>
    <w:rsid w:val="00E80DC2"/>
    <w:rsid w:val="00E82CFE"/>
    <w:rsid w:val="00E834A1"/>
    <w:rsid w:val="00E866C0"/>
    <w:rsid w:val="00E9407E"/>
    <w:rsid w:val="00E945B7"/>
    <w:rsid w:val="00E970BA"/>
    <w:rsid w:val="00EA11F2"/>
    <w:rsid w:val="00EA5966"/>
    <w:rsid w:val="00EA6148"/>
    <w:rsid w:val="00EB1390"/>
    <w:rsid w:val="00EB2C71"/>
    <w:rsid w:val="00EB4340"/>
    <w:rsid w:val="00EB556D"/>
    <w:rsid w:val="00EB5A7D"/>
    <w:rsid w:val="00EB780E"/>
    <w:rsid w:val="00EC646D"/>
    <w:rsid w:val="00ED5044"/>
    <w:rsid w:val="00ED55C0"/>
    <w:rsid w:val="00ED682B"/>
    <w:rsid w:val="00EE41D5"/>
    <w:rsid w:val="00EE456A"/>
    <w:rsid w:val="00EE4611"/>
    <w:rsid w:val="00EF3DC7"/>
    <w:rsid w:val="00EF4160"/>
    <w:rsid w:val="00EF53D1"/>
    <w:rsid w:val="00F037A4"/>
    <w:rsid w:val="00F111EF"/>
    <w:rsid w:val="00F11DE6"/>
    <w:rsid w:val="00F12112"/>
    <w:rsid w:val="00F140E4"/>
    <w:rsid w:val="00F27C8F"/>
    <w:rsid w:val="00F302CA"/>
    <w:rsid w:val="00F31DFD"/>
    <w:rsid w:val="00F32749"/>
    <w:rsid w:val="00F352F0"/>
    <w:rsid w:val="00F364DD"/>
    <w:rsid w:val="00F37172"/>
    <w:rsid w:val="00F413E7"/>
    <w:rsid w:val="00F4231F"/>
    <w:rsid w:val="00F4477E"/>
    <w:rsid w:val="00F50E87"/>
    <w:rsid w:val="00F53E18"/>
    <w:rsid w:val="00F655C8"/>
    <w:rsid w:val="00F6670A"/>
    <w:rsid w:val="00F67D8F"/>
    <w:rsid w:val="00F70A90"/>
    <w:rsid w:val="00F802BE"/>
    <w:rsid w:val="00F80E93"/>
    <w:rsid w:val="00F83BF4"/>
    <w:rsid w:val="00F86024"/>
    <w:rsid w:val="00F8611A"/>
    <w:rsid w:val="00F94B6A"/>
    <w:rsid w:val="00F95B4F"/>
    <w:rsid w:val="00FA4D32"/>
    <w:rsid w:val="00FA5128"/>
    <w:rsid w:val="00FA6812"/>
    <w:rsid w:val="00FB42D4"/>
    <w:rsid w:val="00FB5906"/>
    <w:rsid w:val="00FB762F"/>
    <w:rsid w:val="00FC2AED"/>
    <w:rsid w:val="00FC370E"/>
    <w:rsid w:val="00FC4DEA"/>
    <w:rsid w:val="00FC4E4F"/>
    <w:rsid w:val="00FC5121"/>
    <w:rsid w:val="00FD22C1"/>
    <w:rsid w:val="00FD5EA7"/>
    <w:rsid w:val="00FE1D60"/>
    <w:rsid w:val="00F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0A50AD04-4EC8-4292-BF35-7B04571D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">
    <w:name w:val="Siatka tabeli — jasna2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">
    <w:name w:val="Siatka tabeli — jasna11"/>
    <w:basedOn w:val="Standardowy"/>
    <w:uiPriority w:val="40"/>
    <w:rsid w:val="00437A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80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80B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80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B2F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18" Type="http://schemas.openxmlformats.org/officeDocument/2006/relationships/footer" Target="footer2.xml"/><Relationship Id="rId26" Type="http://schemas.openxmlformats.org/officeDocument/2006/relationships/hyperlink" Target="http://stat.gov.pl/en/metainformations/glossary/terms-used-in-official-statistics/966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header" Target="header2.xml"/><Relationship Id="rId25" Type="http://schemas.openxmlformats.org/officeDocument/2006/relationships/hyperlink" Target="http://swaid.stat.gov.pl/EN/SitePagesDBW/Ceny.aspx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6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en/topics/municipal-infrastructure/municipal-infrastructure/real-estate-sales-in-2017,2,10.html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://stat.gov.pl/en/latest-statistical-news/communications-and-announcements/list-of-communiques-and-announcements/price-of-one-square-meter-of-usable-floor-space-of-a-residential-building-in-the-third-quarter-of-2018,270,20.html" TargetMode="External"/><Relationship Id="rId28" Type="http://schemas.openxmlformats.org/officeDocument/2006/relationships/hyperlink" Target="http://stat.gov.pl/en/metainformations/glossary/terms-used-in-official-statistics/1984,term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hyperlink" Target="http://stat.gov.pl/en/latest-statistical-news/communications-and-announcements/8,2019,category.html" TargetMode="External"/><Relationship Id="rId27" Type="http://schemas.openxmlformats.org/officeDocument/2006/relationships/hyperlink" Target="http://stat.gov.pl/en/metainformations/glossary/terms-used-in-official-statistics/3015,term.html" TargetMode="Externa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3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wykres_1_ang!$B$2</c:f>
              <c:strCache>
                <c:ptCount val="1"/>
                <c:pt idx="0">
                  <c:v>premises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wykres_1_ang!$A$3:$A$19</c:f>
              <c:strCache>
                <c:ptCount val="17"/>
                <c:pt idx="0">
                  <c:v>Polska</c:v>
                </c:pt>
                <c:pt idx="1">
                  <c:v>dolnoslaskie</c:v>
                </c:pt>
                <c:pt idx="2">
                  <c:v>kujawsko-pomorskie</c:v>
                </c:pt>
                <c:pt idx="3">
                  <c:v>lubelskie</c:v>
                </c:pt>
                <c:pt idx="4">
                  <c:v>lubuskie</c:v>
                </c:pt>
                <c:pt idx="5">
                  <c:v>lodzkie</c:v>
                </c:pt>
                <c:pt idx="6">
                  <c:v>malopolskie</c:v>
                </c:pt>
                <c:pt idx="7">
                  <c:v>mazowieckie</c:v>
                </c:pt>
                <c:pt idx="8">
                  <c:v>opolskie</c:v>
                </c:pt>
                <c:pt idx="9">
                  <c:v>podkarpackie</c:v>
                </c:pt>
                <c:pt idx="10">
                  <c:v>podlaskie</c:v>
                </c:pt>
                <c:pt idx="11">
                  <c:v>pomorskie</c:v>
                </c:pt>
                <c:pt idx="12">
                  <c:v>slaskie</c:v>
                </c:pt>
                <c:pt idx="13">
                  <c:v>swietokrzyskie</c:v>
                </c:pt>
                <c:pt idx="14">
                  <c:v>warminsko-mazurskie</c:v>
                </c:pt>
                <c:pt idx="15">
                  <c:v>wielkopolskie</c:v>
                </c:pt>
                <c:pt idx="16">
                  <c:v>zachodniopomorskie</c:v>
                </c:pt>
              </c:strCache>
            </c:strRef>
          </c:cat>
          <c:val>
            <c:numRef>
              <c:f>wykres_1_ang!$B$3:$B$19</c:f>
              <c:numCache>
                <c:formatCode>[$-1010409]General</c:formatCode>
                <c:ptCount val="17"/>
                <c:pt idx="0">
                  <c:v>48.9</c:v>
                </c:pt>
                <c:pt idx="1">
                  <c:v>58.9</c:v>
                </c:pt>
                <c:pt idx="2">
                  <c:v>46.4</c:v>
                </c:pt>
                <c:pt idx="3">
                  <c:v>32.9</c:v>
                </c:pt>
                <c:pt idx="4">
                  <c:v>48.6</c:v>
                </c:pt>
                <c:pt idx="5">
                  <c:v>44.3</c:v>
                </c:pt>
                <c:pt idx="6">
                  <c:v>44.6</c:v>
                </c:pt>
                <c:pt idx="7">
                  <c:v>58</c:v>
                </c:pt>
                <c:pt idx="8">
                  <c:v>41.9</c:v>
                </c:pt>
                <c:pt idx="9">
                  <c:v>27.6</c:v>
                </c:pt>
                <c:pt idx="10">
                  <c:v>39.299999999999997</c:v>
                </c:pt>
                <c:pt idx="11">
                  <c:v>61.9</c:v>
                </c:pt>
                <c:pt idx="12">
                  <c:v>46.3</c:v>
                </c:pt>
                <c:pt idx="13">
                  <c:v>29</c:v>
                </c:pt>
                <c:pt idx="14">
                  <c:v>49.9</c:v>
                </c:pt>
                <c:pt idx="15">
                  <c:v>45.6</c:v>
                </c:pt>
                <c:pt idx="16">
                  <c:v>56.4</c:v>
                </c:pt>
              </c:numCache>
            </c:numRef>
          </c:val>
        </c:ser>
        <c:ser>
          <c:idx val="1"/>
          <c:order val="1"/>
          <c:tx>
            <c:strRef>
              <c:f>wykres_1_ang!$C$2</c:f>
              <c:strCache>
                <c:ptCount val="1"/>
                <c:pt idx="0">
                  <c:v>built-up properties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wykres_1_ang!$A$3:$A$19</c:f>
              <c:strCache>
                <c:ptCount val="17"/>
                <c:pt idx="0">
                  <c:v>Polska</c:v>
                </c:pt>
                <c:pt idx="1">
                  <c:v>dolnoslaskie</c:v>
                </c:pt>
                <c:pt idx="2">
                  <c:v>kujawsko-pomorskie</c:v>
                </c:pt>
                <c:pt idx="3">
                  <c:v>lubelskie</c:v>
                </c:pt>
                <c:pt idx="4">
                  <c:v>lubuskie</c:v>
                </c:pt>
                <c:pt idx="5">
                  <c:v>lodzkie</c:v>
                </c:pt>
                <c:pt idx="6">
                  <c:v>malopolskie</c:v>
                </c:pt>
                <c:pt idx="7">
                  <c:v>mazowieckie</c:v>
                </c:pt>
                <c:pt idx="8">
                  <c:v>opolskie</c:v>
                </c:pt>
                <c:pt idx="9">
                  <c:v>podkarpackie</c:v>
                </c:pt>
                <c:pt idx="10">
                  <c:v>podlaskie</c:v>
                </c:pt>
                <c:pt idx="11">
                  <c:v>pomorskie</c:v>
                </c:pt>
                <c:pt idx="12">
                  <c:v>slaskie</c:v>
                </c:pt>
                <c:pt idx="13">
                  <c:v>swietokrzyskie</c:v>
                </c:pt>
                <c:pt idx="14">
                  <c:v>warminsko-mazurskie</c:v>
                </c:pt>
                <c:pt idx="15">
                  <c:v>wielkopolskie</c:v>
                </c:pt>
                <c:pt idx="16">
                  <c:v>zachodniopomorskie</c:v>
                </c:pt>
              </c:strCache>
            </c:strRef>
          </c:cat>
          <c:val>
            <c:numRef>
              <c:f>wykres_1_ang!$C$3:$C$19</c:f>
              <c:numCache>
                <c:formatCode>[$-1010409]General</c:formatCode>
                <c:ptCount val="17"/>
                <c:pt idx="0">
                  <c:v>17</c:v>
                </c:pt>
                <c:pt idx="1">
                  <c:v>17.899999999999999</c:v>
                </c:pt>
                <c:pt idx="2">
                  <c:v>18.600000000000001</c:v>
                </c:pt>
                <c:pt idx="3">
                  <c:v>16.7</c:v>
                </c:pt>
                <c:pt idx="4">
                  <c:v>17.8</c:v>
                </c:pt>
                <c:pt idx="5">
                  <c:v>18.100000000000001</c:v>
                </c:pt>
                <c:pt idx="6">
                  <c:v>14.8</c:v>
                </c:pt>
                <c:pt idx="7">
                  <c:v>13.9</c:v>
                </c:pt>
                <c:pt idx="8">
                  <c:v>20.100000000000001</c:v>
                </c:pt>
                <c:pt idx="9">
                  <c:v>17</c:v>
                </c:pt>
                <c:pt idx="10">
                  <c:v>18.8</c:v>
                </c:pt>
                <c:pt idx="11">
                  <c:v>12.2</c:v>
                </c:pt>
                <c:pt idx="12">
                  <c:v>22.8</c:v>
                </c:pt>
                <c:pt idx="13">
                  <c:v>21.4</c:v>
                </c:pt>
                <c:pt idx="14">
                  <c:v>16.7</c:v>
                </c:pt>
                <c:pt idx="15">
                  <c:v>18</c:v>
                </c:pt>
                <c:pt idx="16">
                  <c:v>15.6</c:v>
                </c:pt>
              </c:numCache>
            </c:numRef>
          </c:val>
        </c:ser>
        <c:ser>
          <c:idx val="2"/>
          <c:order val="2"/>
          <c:tx>
            <c:strRef>
              <c:f>wykres_1_ang!$D$2</c:f>
              <c:strCache>
                <c:ptCount val="1"/>
                <c:pt idx="0">
                  <c:v>land properties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invertIfNegative val="0"/>
          <c:dPt>
            <c:idx val="8"/>
            <c:invertIfNegative val="0"/>
            <c:bubble3D val="0"/>
          </c:dPt>
          <c:cat>
            <c:strRef>
              <c:f>wykres_1_ang!$A$3:$A$19</c:f>
              <c:strCache>
                <c:ptCount val="17"/>
                <c:pt idx="0">
                  <c:v>Polska</c:v>
                </c:pt>
                <c:pt idx="1">
                  <c:v>dolnoslaskie</c:v>
                </c:pt>
                <c:pt idx="2">
                  <c:v>kujawsko-pomorskie</c:v>
                </c:pt>
                <c:pt idx="3">
                  <c:v>lubelskie</c:v>
                </c:pt>
                <c:pt idx="4">
                  <c:v>lubuskie</c:v>
                </c:pt>
                <c:pt idx="5">
                  <c:v>lodzkie</c:v>
                </c:pt>
                <c:pt idx="6">
                  <c:v>malopolskie</c:v>
                </c:pt>
                <c:pt idx="7">
                  <c:v>mazowieckie</c:v>
                </c:pt>
                <c:pt idx="8">
                  <c:v>opolskie</c:v>
                </c:pt>
                <c:pt idx="9">
                  <c:v>podkarpackie</c:v>
                </c:pt>
                <c:pt idx="10">
                  <c:v>podlaskie</c:v>
                </c:pt>
                <c:pt idx="11">
                  <c:v>pomorskie</c:v>
                </c:pt>
                <c:pt idx="12">
                  <c:v>slaskie</c:v>
                </c:pt>
                <c:pt idx="13">
                  <c:v>swietokrzyskie</c:v>
                </c:pt>
                <c:pt idx="14">
                  <c:v>warminsko-mazurskie</c:v>
                </c:pt>
                <c:pt idx="15">
                  <c:v>wielkopolskie</c:v>
                </c:pt>
                <c:pt idx="16">
                  <c:v>zachodniopomorskie</c:v>
                </c:pt>
              </c:strCache>
            </c:strRef>
          </c:cat>
          <c:val>
            <c:numRef>
              <c:f>wykres_1_ang!$D$3:$D$19</c:f>
              <c:numCache>
                <c:formatCode>[$-1010409]General</c:formatCode>
                <c:ptCount val="17"/>
                <c:pt idx="0">
                  <c:v>34.1</c:v>
                </c:pt>
                <c:pt idx="1">
                  <c:v>23.2</c:v>
                </c:pt>
                <c:pt idx="2">
                  <c:v>35</c:v>
                </c:pt>
                <c:pt idx="3">
                  <c:v>50.4</c:v>
                </c:pt>
                <c:pt idx="4">
                  <c:v>33.6</c:v>
                </c:pt>
                <c:pt idx="5">
                  <c:v>37.6</c:v>
                </c:pt>
                <c:pt idx="6">
                  <c:v>40.6</c:v>
                </c:pt>
                <c:pt idx="7">
                  <c:v>28.1</c:v>
                </c:pt>
                <c:pt idx="8">
                  <c:v>38</c:v>
                </c:pt>
                <c:pt idx="9">
                  <c:v>55.4</c:v>
                </c:pt>
                <c:pt idx="10">
                  <c:v>41.9</c:v>
                </c:pt>
                <c:pt idx="11">
                  <c:v>25.9</c:v>
                </c:pt>
                <c:pt idx="12">
                  <c:v>30.9</c:v>
                </c:pt>
                <c:pt idx="13">
                  <c:v>49.6</c:v>
                </c:pt>
                <c:pt idx="14">
                  <c:v>33.4</c:v>
                </c:pt>
                <c:pt idx="15">
                  <c:v>36.4</c:v>
                </c:pt>
                <c:pt idx="16">
                  <c:v>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708864640"/>
        <c:axId val="-708866816"/>
      </c:barChart>
      <c:catAx>
        <c:axId val="-708864640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708866816"/>
        <c:crosses val="autoZero"/>
        <c:auto val="1"/>
        <c:lblAlgn val="ctr"/>
        <c:lblOffset val="100"/>
        <c:noMultiLvlLbl val="0"/>
      </c:catAx>
      <c:valAx>
        <c:axId val="-708866816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708864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wykres_2_ang!$A$8</c:f>
              <c:strCache>
                <c:ptCount val="1"/>
                <c:pt idx="0">
                  <c:v>total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none"/>
          </c:marker>
          <c:cat>
            <c:numRef>
              <c:f>wykres_2_ang!$B$7:$I$7</c:f>
              <c:numCache>
                <c:formatCode>General</c:formatCode>
                <c:ptCount val="8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</c:numCache>
            </c:numRef>
          </c:cat>
          <c:val>
            <c:numRef>
              <c:f>wykres_2_ang!$B$8:$I$8</c:f>
              <c:numCache>
                <c:formatCode>General</c:formatCode>
                <c:ptCount val="8"/>
                <c:pt idx="0">
                  <c:v>9.9999999999994316E-2</c:v>
                </c:pt>
                <c:pt idx="1">
                  <c:v>-3.5</c:v>
                </c:pt>
                <c:pt idx="2">
                  <c:v>-4.2999999999999972</c:v>
                </c:pt>
                <c:pt idx="3">
                  <c:v>1</c:v>
                </c:pt>
                <c:pt idx="4">
                  <c:v>1.5</c:v>
                </c:pt>
                <c:pt idx="5">
                  <c:v>1.7999999999999972</c:v>
                </c:pt>
                <c:pt idx="6">
                  <c:v>3.7999999999999972</c:v>
                </c:pt>
                <c:pt idx="7">
                  <c:v>6.5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wykres_2_ang!$A$9</c:f>
              <c:strCache>
                <c:ptCount val="1"/>
                <c:pt idx="0">
                  <c:v>primary market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numRef>
              <c:f>wykres_2_ang!$B$7:$I$7</c:f>
              <c:numCache>
                <c:formatCode>General</c:formatCode>
                <c:ptCount val="8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</c:numCache>
            </c:numRef>
          </c:cat>
          <c:val>
            <c:numRef>
              <c:f>wykres_2_ang!$B$9:$I$9</c:f>
              <c:numCache>
                <c:formatCode>General</c:formatCode>
                <c:ptCount val="8"/>
                <c:pt idx="0">
                  <c:v>1.0999999999999943</c:v>
                </c:pt>
                <c:pt idx="1">
                  <c:v>-0.5</c:v>
                </c:pt>
                <c:pt idx="2">
                  <c:v>-4.9000000000000057</c:v>
                </c:pt>
                <c:pt idx="3">
                  <c:v>0.5</c:v>
                </c:pt>
                <c:pt idx="4">
                  <c:v>2.5999999999999943</c:v>
                </c:pt>
                <c:pt idx="5">
                  <c:v>1.0999999999999943</c:v>
                </c:pt>
                <c:pt idx="6">
                  <c:v>3.2000000000000028</c:v>
                </c:pt>
                <c:pt idx="7">
                  <c:v>5.5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wykres_2_ang!$A$10</c:f>
              <c:strCache>
                <c:ptCount val="1"/>
                <c:pt idx="0">
                  <c:v>secondary market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none"/>
          </c:marker>
          <c:cat>
            <c:numRef>
              <c:f>wykres_2_ang!$B$7:$I$7</c:f>
              <c:numCache>
                <c:formatCode>General</c:formatCode>
                <c:ptCount val="8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</c:numCache>
            </c:numRef>
          </c:cat>
          <c:val>
            <c:numRef>
              <c:f>wykres_2_ang!$B$10:$I$10</c:f>
              <c:numCache>
                <c:formatCode>General</c:formatCode>
                <c:ptCount val="8"/>
                <c:pt idx="0">
                  <c:v>-0.40000000000000568</c:v>
                </c:pt>
                <c:pt idx="1">
                  <c:v>-5.0999999999999943</c:v>
                </c:pt>
                <c:pt idx="2">
                  <c:v>-3.7000000000000028</c:v>
                </c:pt>
                <c:pt idx="3">
                  <c:v>1.2999999999999972</c:v>
                </c:pt>
                <c:pt idx="4">
                  <c:v>0.70000000000000284</c:v>
                </c:pt>
                <c:pt idx="5">
                  <c:v>2.5999999999999943</c:v>
                </c:pt>
                <c:pt idx="6">
                  <c:v>4.5</c:v>
                </c:pt>
                <c:pt idx="7">
                  <c:v>7.5999999999999943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708874976"/>
        <c:axId val="-708862464"/>
      </c:lineChart>
      <c:catAx>
        <c:axId val="-708874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708862464"/>
        <c:crosses val="autoZero"/>
        <c:auto val="0"/>
        <c:lblAlgn val="ctr"/>
        <c:lblOffset val="100"/>
        <c:noMultiLvlLbl val="0"/>
      </c:catAx>
      <c:valAx>
        <c:axId val="-708862464"/>
        <c:scaling>
          <c:orientation val="minMax"/>
          <c:max val="10"/>
          <c:min val="-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708874976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wykres_3_ang!$A$8</c:f>
              <c:strCache>
                <c:ptCount val="1"/>
                <c:pt idx="0">
                  <c:v>total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none"/>
          </c:marker>
          <c:cat>
            <c:numRef>
              <c:f>wykres_3_ang!$B$7:$J$7</c:f>
              <c:numCache>
                <c:formatCode>General</c:formatCod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numCache>
            </c:numRef>
          </c:cat>
          <c:val>
            <c:numRef>
              <c:f>wykres_3_ang!$B$8:$J$8</c:f>
              <c:numCache>
                <c:formatCode>General</c:formatCode>
                <c:ptCount val="9"/>
                <c:pt idx="0">
                  <c:v>5.5999999999999943</c:v>
                </c:pt>
                <c:pt idx="1">
                  <c:v>5.7000000000000028</c:v>
                </c:pt>
                <c:pt idx="2">
                  <c:v>2</c:v>
                </c:pt>
                <c:pt idx="3">
                  <c:v>-2.5</c:v>
                </c:pt>
                <c:pt idx="4">
                  <c:v>-1.5</c:v>
                </c:pt>
                <c:pt idx="5">
                  <c:v>0</c:v>
                </c:pt>
                <c:pt idx="6">
                  <c:v>1.9000000000000057</c:v>
                </c:pt>
                <c:pt idx="7">
                  <c:v>5.7999999999999972</c:v>
                </c:pt>
                <c:pt idx="8">
                  <c:v>12.700000000000003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wykres_3_ang!$A$9</c:f>
              <c:strCache>
                <c:ptCount val="1"/>
                <c:pt idx="0">
                  <c:v>primary market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numRef>
              <c:f>wykres_3_ang!$B$7:$J$7</c:f>
              <c:numCache>
                <c:formatCode>General</c:formatCod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numCache>
            </c:numRef>
          </c:cat>
          <c:val>
            <c:numRef>
              <c:f>wykres_3_ang!$B$9:$J$9</c:f>
              <c:numCache>
                <c:formatCode>General</c:formatCode>
                <c:ptCount val="9"/>
                <c:pt idx="0">
                  <c:v>1.2999999999999972</c:v>
                </c:pt>
                <c:pt idx="1">
                  <c:v>2.4000000000000057</c:v>
                </c:pt>
                <c:pt idx="2">
                  <c:v>1.9000000000000057</c:v>
                </c:pt>
                <c:pt idx="3">
                  <c:v>-3</c:v>
                </c:pt>
                <c:pt idx="4">
                  <c:v>-2.5</c:v>
                </c:pt>
                <c:pt idx="5">
                  <c:v>0</c:v>
                </c:pt>
                <c:pt idx="6">
                  <c:v>1.0999999999999943</c:v>
                </c:pt>
                <c:pt idx="7">
                  <c:v>4.2999999999999972</c:v>
                </c:pt>
                <c:pt idx="8">
                  <c:v>10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wykres_3_ang!$A$10</c:f>
              <c:strCache>
                <c:ptCount val="1"/>
                <c:pt idx="0">
                  <c:v>secondary market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none"/>
          </c:marker>
          <c:cat>
            <c:numRef>
              <c:f>wykres_3_ang!$B$7:$J$7</c:f>
              <c:numCache>
                <c:formatCode>General</c:formatCod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numCache>
            </c:numRef>
          </c:cat>
          <c:val>
            <c:numRef>
              <c:f>wykres_3_ang!$B$10:$J$10</c:f>
              <c:numCache>
                <c:formatCode>General</c:formatCode>
                <c:ptCount val="9"/>
                <c:pt idx="0">
                  <c:v>7.7000000000000028</c:v>
                </c:pt>
                <c:pt idx="1">
                  <c:v>7.2999999999999972</c:v>
                </c:pt>
                <c:pt idx="2">
                  <c:v>1.9000000000000057</c:v>
                </c:pt>
                <c:pt idx="3">
                  <c:v>-1.9000000000000057</c:v>
                </c:pt>
                <c:pt idx="4">
                  <c:v>-0.70000000000000284</c:v>
                </c:pt>
                <c:pt idx="5">
                  <c:v>0</c:v>
                </c:pt>
                <c:pt idx="6">
                  <c:v>2.5</c:v>
                </c:pt>
                <c:pt idx="7">
                  <c:v>7.0999999999999943</c:v>
                </c:pt>
                <c:pt idx="8">
                  <c:v>15.200000000000003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708861920"/>
        <c:axId val="-708876608"/>
      </c:lineChart>
      <c:catAx>
        <c:axId val="-708861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708876608"/>
        <c:crosses val="autoZero"/>
        <c:auto val="0"/>
        <c:lblAlgn val="ctr"/>
        <c:lblOffset val="100"/>
        <c:noMultiLvlLbl val="0"/>
      </c:catAx>
      <c:valAx>
        <c:axId val="-708876608"/>
        <c:scaling>
          <c:orientation val="minMax"/>
          <c:max val="16"/>
          <c:min val="-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708861920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CA5318-2813-4353-9D61-8AAC8C227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490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sales in 2018</dc:title>
  <dc:subject>Real estate sales in 2018</dc:subject>
  <dc:creator>Statistics Poland</dc:creator>
  <cp:keywords>real estate sales; real estate transactions</cp:keywords>
  <dc:description>Real estate sales in 2018</dc:description>
  <cp:lastPrinted>2019-07-29T12:24:00Z</cp:lastPrinted>
  <dcterms:created xsi:type="dcterms:W3CDTF">2019-07-30T08:09:00Z</dcterms:created>
  <dcterms:modified xsi:type="dcterms:W3CDTF">2019-07-30T08:09:00Z</dcterms:modified>
  <cp:category>Real estate sales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