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371AA7" w:rsidRDefault="00371AA7" w:rsidP="00074DD8">
      <w:pPr>
        <w:pStyle w:val="tytuinformacji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Price indices of r</w:t>
      </w:r>
      <w:r w:rsidRPr="00371AA7">
        <w:rPr>
          <w:shd w:val="clear" w:color="auto" w:fill="FFFFFF"/>
          <w:lang w:val="en-US"/>
        </w:rPr>
        <w:t>esidential premises in</w:t>
      </w:r>
      <w:r w:rsidR="00BF0C5F" w:rsidRPr="00371AA7">
        <w:rPr>
          <w:shd w:val="clear" w:color="auto" w:fill="FFFFFF"/>
          <w:lang w:val="en-US"/>
        </w:rPr>
        <w:t xml:space="preserve"> </w:t>
      </w:r>
      <w:r>
        <w:rPr>
          <w:shd w:val="clear" w:color="auto" w:fill="FFFFFF"/>
          <w:lang w:val="en-US"/>
        </w:rPr>
        <w:t>the third quarter</w:t>
      </w:r>
      <w:r w:rsidR="00CF3D9C" w:rsidRPr="00371AA7">
        <w:rPr>
          <w:shd w:val="clear" w:color="auto" w:fill="FFFFFF"/>
          <w:lang w:val="en-US"/>
        </w:rPr>
        <w:t xml:space="preserve"> </w:t>
      </w:r>
      <w:r>
        <w:rPr>
          <w:shd w:val="clear" w:color="auto" w:fill="FFFFFF"/>
          <w:lang w:val="en-US"/>
        </w:rPr>
        <w:t xml:space="preserve">of </w:t>
      </w:r>
      <w:r w:rsidR="00CF3D9C" w:rsidRPr="00371AA7">
        <w:rPr>
          <w:shd w:val="clear" w:color="auto" w:fill="FFFFFF"/>
          <w:lang w:val="en-US"/>
        </w:rPr>
        <w:t>2018</w:t>
      </w:r>
    </w:p>
    <w:p w:rsidR="00393761" w:rsidRPr="00371AA7" w:rsidRDefault="00785FDE" w:rsidP="00074DD8">
      <w:pPr>
        <w:pStyle w:val="tytuinformacji"/>
        <w:rPr>
          <w:sz w:val="32"/>
          <w:lang w:val="en-US"/>
        </w:rPr>
      </w:pPr>
      <w:r>
        <w:rPr>
          <w:noProof/>
          <w:sz w:val="19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6" o:spid="_x0000_s1028" type="#_x0000_t202" style="position:absolute;margin-left:417.55pt;margin-top:19.35pt;width:135.85pt;height:102.4pt;z-index:-251531264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" filled="f" stroked="f">
            <v:textbox>
              <w:txbxContent>
                <w:p w:rsidR="00730963" w:rsidRPr="00F53E18" w:rsidRDefault="00730963" w:rsidP="00907E1E">
                  <w:pPr>
                    <w:pStyle w:val="tekstzboku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The</w:t>
                  </w:r>
                  <w:r w:rsidRPr="00F53E18">
                    <w:rPr>
                      <w:lang w:val="en-US"/>
                    </w:rPr>
                    <w:t xml:space="preserve"> incre</w:t>
                  </w:r>
                  <w:r>
                    <w:rPr>
                      <w:lang w:val="en-US"/>
                    </w:rPr>
                    <w:t>a</w:t>
                  </w:r>
                  <w:r w:rsidRPr="00F53E18">
                    <w:rPr>
                      <w:lang w:val="en-US"/>
                    </w:rPr>
                    <w:t xml:space="preserve">se </w:t>
                  </w:r>
                  <w:r w:rsidR="00871864">
                    <w:rPr>
                      <w:lang w:val="en-US"/>
                    </w:rPr>
                    <w:t>in prices of</w:t>
                  </w:r>
                  <w:r w:rsidRPr="00F53E18">
                    <w:rPr>
                      <w:lang w:val="en-US"/>
                    </w:rPr>
                    <w:t xml:space="preserve"> residential premises </w:t>
                  </w:r>
                  <w:r>
                    <w:rPr>
                      <w:lang w:val="en-US"/>
                    </w:rPr>
                    <w:t>i</w:t>
                  </w:r>
                  <w:r w:rsidRPr="00F53E18">
                    <w:rPr>
                      <w:lang w:val="en-US"/>
                    </w:rPr>
                    <w:t>n the third quarter of 2018</w:t>
                  </w:r>
                  <w:r w:rsidR="00871864">
                    <w:rPr>
                      <w:lang w:val="en-US"/>
                    </w:rPr>
                    <w:t>,</w:t>
                  </w:r>
                  <w:r>
                    <w:rPr>
                      <w:lang w:val="en-US"/>
                    </w:rPr>
                    <w:t xml:space="preserve"> </w:t>
                  </w:r>
                  <w:r w:rsidR="00A57627">
                    <w:rPr>
                      <w:lang w:val="en-US"/>
                    </w:rPr>
                    <w:t>in relation to</w:t>
                  </w:r>
                  <w:r>
                    <w:rPr>
                      <w:lang w:val="en-US"/>
                    </w:rPr>
                    <w:t xml:space="preserve"> the</w:t>
                  </w:r>
                  <w:r w:rsidRPr="00F53E18">
                    <w:rPr>
                      <w:lang w:val="en-US"/>
                    </w:rPr>
                    <w:t xml:space="preserve"> previous quarter</w:t>
                  </w:r>
                  <w:r w:rsidR="00871864">
                    <w:rPr>
                      <w:lang w:val="en-US"/>
                    </w:rPr>
                    <w:t>,</w:t>
                  </w:r>
                  <w:r w:rsidRPr="00F53E18">
                    <w:rPr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t>was stronger on the secondary market than on the primary market.</w:t>
                  </w:r>
                </w:p>
              </w:txbxContent>
            </v:textbox>
            <w10:wrap type="tight"/>
          </v:shape>
        </w:pict>
      </w:r>
    </w:p>
    <w:p w:rsidR="00AB397C" w:rsidRDefault="00785FDE" w:rsidP="00BD5E55">
      <w:pPr>
        <w:pStyle w:val="LID"/>
        <w:spacing w:after="0"/>
        <w:rPr>
          <w:lang w:val="en-US"/>
        </w:rPr>
      </w:pPr>
      <w:r>
        <w:pict>
          <v:shape id="_x0000_s1027" type="#_x0000_t202" style="position:absolute;margin-left:0;margin-top:6.5pt;width:2in;height:93.4pt;z-index:251676672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" fillcolor="#001d77" stroked="f">
            <v:textbox>
              <w:txbxContent>
                <w:p w:rsidR="00730963" w:rsidRPr="00C2775E" w:rsidRDefault="00730963" w:rsidP="00633014">
                  <w:pPr>
                    <w:spacing w:after="0" w:line="240" w:lineRule="auto"/>
                    <w:rPr>
                      <w:rFonts w:ascii="Fira Sans SemiBold" w:hAnsi="Fira Sans SemiBold"/>
                      <w:color w:val="FFFFFF" w:themeColor="background1"/>
                      <w:sz w:val="72"/>
                      <w:lang w:val="en-US"/>
                    </w:rPr>
                  </w:pPr>
                  <w:r>
                    <w:rPr>
                      <w:rFonts w:asciiTheme="minorHAnsi" w:hAnsiTheme="minorHAnsi"/>
                      <w:b/>
                      <w:noProof/>
                      <w:color w:val="001D77"/>
                      <w:sz w:val="22"/>
                      <w:lang w:eastAsia="pl-PL"/>
                    </w:rPr>
                    <w:drawing>
                      <wp:inline distT="0" distB="0" distL="0" distR="0">
                        <wp:extent cx="333375" cy="333375"/>
                        <wp:effectExtent l="0" t="0" r="9525" b="9525"/>
                        <wp:docPr id="4" name="Obraz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2775E">
                    <w:rPr>
                      <w:noProof/>
                      <w:color w:val="001D77"/>
                      <w:lang w:val="en-US" w:eastAsia="pl-PL"/>
                    </w:rPr>
                    <w:t xml:space="preserve"> </w:t>
                  </w:r>
                  <w:r w:rsidR="00B83925">
                    <w:rPr>
                      <w:rFonts w:ascii="Fira Sans SemiBold" w:hAnsi="Fira Sans SemiBold"/>
                      <w:color w:val="FFFFFF" w:themeColor="background1"/>
                      <w:sz w:val="72"/>
                      <w:lang w:val="en-US"/>
                    </w:rPr>
                    <w:t>1.</w:t>
                  </w:r>
                  <w:r w:rsidRPr="00C2775E">
                    <w:rPr>
                      <w:rFonts w:ascii="Fira Sans SemiBold" w:hAnsi="Fira Sans SemiBold"/>
                      <w:color w:val="FFFFFF" w:themeColor="background1"/>
                      <w:sz w:val="72"/>
                      <w:lang w:val="en-US"/>
                    </w:rPr>
                    <w:t>3</w:t>
                  </w:r>
                  <w:r w:rsidR="004E6E19">
                    <w:rPr>
                      <w:rFonts w:ascii="Fira Sans SemiBold" w:hAnsi="Fira Sans SemiBold"/>
                      <w:color w:val="FFFFFF" w:themeColor="background1"/>
                      <w:sz w:val="72"/>
                      <w:lang w:val="en-US"/>
                    </w:rPr>
                    <w:t>%</w:t>
                  </w:r>
                </w:p>
                <w:p w:rsidR="00730963" w:rsidRPr="00371AA7" w:rsidRDefault="00730963" w:rsidP="007068CE">
                  <w:pPr>
                    <w:pStyle w:val="tekstnaniebieskimtle"/>
                    <w:rPr>
                      <w:color w:val="FFFFFF" w:themeColor="background1"/>
                      <w:sz w:val="18"/>
                      <w:szCs w:val="20"/>
                      <w:lang w:val="en-US"/>
                    </w:rPr>
                  </w:pPr>
                  <w:r w:rsidRPr="00371AA7">
                    <w:rPr>
                      <w:lang w:val="en-US"/>
                    </w:rPr>
                    <w:t xml:space="preserve">Increase </w:t>
                  </w:r>
                  <w:r w:rsidR="00871864">
                    <w:rPr>
                      <w:lang w:val="en-US"/>
                    </w:rPr>
                    <w:t>in prices of</w:t>
                  </w:r>
                  <w:r w:rsidRPr="00371AA7">
                    <w:rPr>
                      <w:lang w:val="en-US"/>
                    </w:rPr>
                    <w:t xml:space="preserve"> </w:t>
                  </w:r>
                  <w:r w:rsidR="001F6AC4">
                    <w:rPr>
                      <w:lang w:val="en-US"/>
                    </w:rPr>
                    <w:t>residential premises compared with</w:t>
                  </w:r>
                  <w:r>
                    <w:rPr>
                      <w:lang w:val="en-US"/>
                    </w:rPr>
                    <w:t xml:space="preserve"> previous quarter</w:t>
                  </w:r>
                </w:p>
              </w:txbxContent>
            </v:textbox>
            <w10:wrap type="square" anchorx="margin"/>
          </v:shape>
        </w:pict>
      </w:r>
      <w:r w:rsidR="00371AA7" w:rsidRPr="00F53E18">
        <w:rPr>
          <w:lang w:val="en-US"/>
        </w:rPr>
        <w:t>Prices of residential premises in the t</w:t>
      </w:r>
      <w:r w:rsidR="00F53E18">
        <w:rPr>
          <w:lang w:val="en-US"/>
        </w:rPr>
        <w:t>h</w:t>
      </w:r>
      <w:r w:rsidR="00371AA7" w:rsidRPr="00F53E18">
        <w:rPr>
          <w:lang w:val="en-US"/>
        </w:rPr>
        <w:t>ird quarter of 2018</w:t>
      </w:r>
      <w:r w:rsidR="00AB397C">
        <w:rPr>
          <w:lang w:val="en-US"/>
        </w:rPr>
        <w:t>,</w:t>
      </w:r>
      <w:r w:rsidR="00AB397C" w:rsidRPr="00AB397C">
        <w:rPr>
          <w:lang w:val="en-US"/>
        </w:rPr>
        <w:t xml:space="preserve"> </w:t>
      </w:r>
      <w:r w:rsidR="00AB397C">
        <w:rPr>
          <w:lang w:val="en-US"/>
        </w:rPr>
        <w:t>compared with the</w:t>
      </w:r>
      <w:r w:rsidR="00AB397C" w:rsidRPr="00F53E18">
        <w:rPr>
          <w:lang w:val="en-US"/>
        </w:rPr>
        <w:t xml:space="preserve"> previo</w:t>
      </w:r>
      <w:r w:rsidR="00AB397C">
        <w:rPr>
          <w:lang w:val="en-US"/>
        </w:rPr>
        <w:t>us quarter,</w:t>
      </w:r>
      <w:r w:rsidR="00371AA7" w:rsidRPr="00F53E18">
        <w:rPr>
          <w:lang w:val="en-US"/>
        </w:rPr>
        <w:t xml:space="preserve"> incre</w:t>
      </w:r>
      <w:r w:rsidR="0093147C">
        <w:rPr>
          <w:lang w:val="en-US"/>
        </w:rPr>
        <w:t>a</w:t>
      </w:r>
      <w:r w:rsidR="00371AA7" w:rsidRPr="00F53E18">
        <w:rPr>
          <w:lang w:val="en-US"/>
        </w:rPr>
        <w:t xml:space="preserve">sed by </w:t>
      </w:r>
      <w:r w:rsidR="00B83925">
        <w:rPr>
          <w:lang w:val="en-US"/>
        </w:rPr>
        <w:t>1.</w:t>
      </w:r>
      <w:r w:rsidR="008B15C2" w:rsidRPr="00F53E18">
        <w:rPr>
          <w:lang w:val="en-US"/>
        </w:rPr>
        <w:t>3% (</w:t>
      </w:r>
      <w:r w:rsidR="00F53E18">
        <w:rPr>
          <w:lang w:val="en-US"/>
        </w:rPr>
        <w:t xml:space="preserve">of which </w:t>
      </w:r>
      <w:r w:rsidR="00AB397C">
        <w:rPr>
          <w:lang w:val="en-US"/>
        </w:rPr>
        <w:t xml:space="preserve">on the primary market - </w:t>
      </w:r>
      <w:r w:rsidR="00F53E18">
        <w:rPr>
          <w:lang w:val="en-US"/>
        </w:rPr>
        <w:t xml:space="preserve">by </w:t>
      </w:r>
      <w:r w:rsidR="00B83925">
        <w:rPr>
          <w:lang w:val="en-US"/>
        </w:rPr>
        <w:t>0.</w:t>
      </w:r>
      <w:r w:rsidR="008B15C2" w:rsidRPr="00F53E18">
        <w:rPr>
          <w:lang w:val="en-US"/>
        </w:rPr>
        <w:t xml:space="preserve">3% </w:t>
      </w:r>
      <w:r w:rsidR="00F53E18">
        <w:rPr>
          <w:lang w:val="en-US"/>
        </w:rPr>
        <w:t xml:space="preserve">and </w:t>
      </w:r>
      <w:r w:rsidR="00AB397C">
        <w:rPr>
          <w:lang w:val="en-US"/>
        </w:rPr>
        <w:t xml:space="preserve">on the secondary market - </w:t>
      </w:r>
      <w:r w:rsidR="00F53E18">
        <w:rPr>
          <w:lang w:val="en-US"/>
        </w:rPr>
        <w:t>by</w:t>
      </w:r>
      <w:r w:rsidR="00B83925">
        <w:rPr>
          <w:lang w:val="en-US"/>
        </w:rPr>
        <w:t xml:space="preserve"> 2.</w:t>
      </w:r>
      <w:r w:rsidR="008B15C2" w:rsidRPr="00F53E18">
        <w:rPr>
          <w:lang w:val="en-US"/>
        </w:rPr>
        <w:t xml:space="preserve">1%). </w:t>
      </w:r>
    </w:p>
    <w:p w:rsidR="00BD5E55" w:rsidRPr="00916910" w:rsidRDefault="00EC646D" w:rsidP="00916910">
      <w:pPr>
        <w:pStyle w:val="LID"/>
        <w:spacing w:after="0"/>
        <w:rPr>
          <w:lang w:val="en-US"/>
        </w:rPr>
      </w:pPr>
      <w:r>
        <w:rPr>
          <w:lang w:val="en-US"/>
        </w:rPr>
        <w:t>Compared with the</w:t>
      </w:r>
      <w:r w:rsidR="00AB397C">
        <w:rPr>
          <w:lang w:val="en-US"/>
        </w:rPr>
        <w:t xml:space="preserve"> corresponding quarter of </w:t>
      </w:r>
      <w:r w:rsidR="00F53E18" w:rsidRPr="00F53E18">
        <w:rPr>
          <w:lang w:val="en-US"/>
        </w:rPr>
        <w:t>2017</w:t>
      </w:r>
      <w:r w:rsidR="00F53E18">
        <w:rPr>
          <w:lang w:val="en-US"/>
        </w:rPr>
        <w:t>,</w:t>
      </w:r>
      <w:r w:rsidR="00F53E18" w:rsidRPr="00F53E18">
        <w:rPr>
          <w:lang w:val="en-US"/>
        </w:rPr>
        <w:t xml:space="preserve"> </w:t>
      </w:r>
      <w:r w:rsidR="00871864">
        <w:rPr>
          <w:lang w:val="en-US"/>
        </w:rPr>
        <w:t xml:space="preserve">prices of </w:t>
      </w:r>
      <w:r w:rsidR="00F53E18" w:rsidRPr="00F53E18">
        <w:rPr>
          <w:lang w:val="en-US"/>
        </w:rPr>
        <w:t>residential premises incre</w:t>
      </w:r>
      <w:r w:rsidR="0093147C">
        <w:rPr>
          <w:lang w:val="en-US"/>
        </w:rPr>
        <w:t>a</w:t>
      </w:r>
      <w:bookmarkStart w:id="0" w:name="_GoBack"/>
      <w:bookmarkEnd w:id="0"/>
      <w:r w:rsidR="00F53E18" w:rsidRPr="00F53E18">
        <w:rPr>
          <w:lang w:val="en-US"/>
        </w:rPr>
        <w:t>sed by</w:t>
      </w:r>
      <w:r w:rsidR="00F53E18">
        <w:rPr>
          <w:lang w:val="en-US"/>
        </w:rPr>
        <w:t xml:space="preserve"> </w:t>
      </w:r>
      <w:r w:rsidR="00B83925">
        <w:rPr>
          <w:lang w:val="en-US"/>
        </w:rPr>
        <w:t>6.</w:t>
      </w:r>
      <w:r w:rsidR="00F140E4" w:rsidRPr="00F53E18">
        <w:rPr>
          <w:lang w:val="en-US"/>
        </w:rPr>
        <w:t>6% (</w:t>
      </w:r>
      <w:r w:rsidR="00F53E18">
        <w:rPr>
          <w:lang w:val="en-US"/>
        </w:rPr>
        <w:t xml:space="preserve">of which </w:t>
      </w:r>
      <w:r w:rsidR="00AB397C">
        <w:rPr>
          <w:lang w:val="en-US"/>
        </w:rPr>
        <w:t xml:space="preserve">on the primary market - </w:t>
      </w:r>
      <w:r w:rsidR="00F53E18">
        <w:rPr>
          <w:lang w:val="en-US"/>
        </w:rPr>
        <w:t>by</w:t>
      </w:r>
      <w:r w:rsidR="00B83925">
        <w:rPr>
          <w:lang w:val="en-US"/>
        </w:rPr>
        <w:t xml:space="preserve"> 4.</w:t>
      </w:r>
      <w:r w:rsidR="00F140E4" w:rsidRPr="00F53E18">
        <w:rPr>
          <w:lang w:val="en-US"/>
        </w:rPr>
        <w:t xml:space="preserve">7% </w:t>
      </w:r>
      <w:r w:rsidR="00F53E18">
        <w:rPr>
          <w:lang w:val="en-US"/>
        </w:rPr>
        <w:t xml:space="preserve">and </w:t>
      </w:r>
      <w:r w:rsidR="00AB397C">
        <w:rPr>
          <w:lang w:val="en-US"/>
        </w:rPr>
        <w:t xml:space="preserve">on the secondary market - </w:t>
      </w:r>
      <w:r w:rsidR="00F53E18">
        <w:rPr>
          <w:lang w:val="en-US"/>
        </w:rPr>
        <w:t>by</w:t>
      </w:r>
      <w:r w:rsidR="00B83925">
        <w:rPr>
          <w:lang w:val="en-US"/>
        </w:rPr>
        <w:t xml:space="preserve"> 7.</w:t>
      </w:r>
      <w:r w:rsidR="00F140E4" w:rsidRPr="00F53E18">
        <w:rPr>
          <w:lang w:val="en-US"/>
        </w:rPr>
        <w:t>9%).</w:t>
      </w:r>
    </w:p>
    <w:p w:rsidR="00CC7C9C" w:rsidRPr="00117B13" w:rsidRDefault="00117B13" w:rsidP="00BD5E55">
      <w:pPr>
        <w:pStyle w:val="Nagwek1"/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</w:pPr>
      <w:r w:rsidRPr="00C2775E">
        <w:rPr>
          <w:rFonts w:ascii="Fira Sans" w:hAnsi="Fira Sans"/>
          <w:b/>
          <w:color w:val="auto"/>
          <w:sz w:val="18"/>
          <w:szCs w:val="18"/>
          <w:lang w:val="en-US"/>
        </w:rPr>
        <w:t>Table</w:t>
      </w:r>
      <w:r w:rsidR="007068CE" w:rsidRPr="00C2775E">
        <w:rPr>
          <w:rFonts w:ascii="Fira Sans" w:hAnsi="Fira Sans"/>
          <w:b/>
          <w:color w:val="auto"/>
          <w:sz w:val="18"/>
          <w:szCs w:val="18"/>
          <w:lang w:val="en-US"/>
        </w:rPr>
        <w:t xml:space="preserve"> 1. </w:t>
      </w:r>
      <w:r w:rsidRPr="00117B13"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  <w:t>Price indices of residential premises in t</w:t>
      </w:r>
      <w:r w:rsidR="00AB397C"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  <w:t xml:space="preserve">he third quarter of </w:t>
      </w:r>
      <w:r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  <w:t>2018</w:t>
      </w:r>
    </w:p>
    <w:tbl>
      <w:tblPr>
        <w:tblStyle w:val="Siatkatabelijasna11"/>
        <w:tblW w:w="82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668"/>
        <w:gridCol w:w="1653"/>
        <w:gridCol w:w="1654"/>
        <w:gridCol w:w="1654"/>
        <w:gridCol w:w="1654"/>
      </w:tblGrid>
      <w:tr w:rsidR="0064699F" w:rsidRPr="00BA474D" w:rsidTr="0064699F">
        <w:trPr>
          <w:trHeight w:val="57"/>
          <w:jc w:val="center"/>
        </w:trPr>
        <w:tc>
          <w:tcPr>
            <w:tcW w:w="1668" w:type="dxa"/>
            <w:vMerge w:val="restart"/>
            <w:vAlign w:val="center"/>
          </w:tcPr>
          <w:p w:rsidR="0064699F" w:rsidRPr="00437A70" w:rsidRDefault="00B12F6E" w:rsidP="000E27C8">
            <w:pPr>
              <w:keepNext/>
              <w:tabs>
                <w:tab w:val="right" w:leader="dot" w:pos="4139"/>
              </w:tabs>
              <w:spacing w:before="0" w:after="0" w:line="36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4961" w:type="dxa"/>
            <w:gridSpan w:val="3"/>
            <w:vAlign w:val="center"/>
          </w:tcPr>
          <w:p w:rsidR="0064699F" w:rsidRPr="00437A70" w:rsidRDefault="00B12F6E" w:rsidP="000E27C8">
            <w:pPr>
              <w:keepNext/>
              <w:keepLines/>
              <w:spacing w:before="0" w:after="0" w:line="36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III quarter</w:t>
            </w:r>
            <w:r w:rsidR="0064699F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2018</w:t>
            </w:r>
          </w:p>
        </w:tc>
        <w:tc>
          <w:tcPr>
            <w:tcW w:w="1654" w:type="dxa"/>
          </w:tcPr>
          <w:p w:rsidR="0064699F" w:rsidRPr="00437A70" w:rsidRDefault="00B12F6E" w:rsidP="000E27C8">
            <w:pPr>
              <w:keepNext/>
              <w:keepLines/>
              <w:spacing w:before="0" w:after="0" w:line="36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I-III quarter</w:t>
            </w:r>
            <w:r w:rsidR="0064699F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2018 </w:t>
            </w:r>
          </w:p>
        </w:tc>
      </w:tr>
      <w:tr w:rsidR="0064699F" w:rsidRPr="00437A70" w:rsidTr="0051704F">
        <w:trPr>
          <w:trHeight w:val="57"/>
          <w:jc w:val="center"/>
        </w:trPr>
        <w:tc>
          <w:tcPr>
            <w:tcW w:w="1668" w:type="dxa"/>
            <w:vMerge/>
            <w:tcBorders>
              <w:bottom w:val="single" w:sz="12" w:space="0" w:color="212492"/>
            </w:tcBorders>
            <w:vAlign w:val="center"/>
          </w:tcPr>
          <w:p w:rsidR="0064699F" w:rsidRPr="00437A70" w:rsidRDefault="0064699F" w:rsidP="000E27C8">
            <w:pPr>
              <w:keepNext/>
              <w:tabs>
                <w:tab w:val="right" w:leader="dot" w:pos="4139"/>
              </w:tabs>
              <w:spacing w:before="0" w:after="0" w:line="360" w:lineRule="auto"/>
              <w:jc w:val="center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653" w:type="dxa"/>
            <w:tcBorders>
              <w:bottom w:val="single" w:sz="12" w:space="0" w:color="212492"/>
            </w:tcBorders>
          </w:tcPr>
          <w:p w:rsidR="0064699F" w:rsidRDefault="00B12F6E" w:rsidP="00C2775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 quarter</w:t>
            </w:r>
            <w:r w:rsidR="00F413E7">
              <w:rPr>
                <w:color w:val="000000" w:themeColor="text1"/>
                <w:sz w:val="16"/>
                <w:szCs w:val="16"/>
              </w:rPr>
              <w:t xml:space="preserve"> 2018</w:t>
            </w:r>
          </w:p>
          <w:p w:rsidR="00C2775E" w:rsidRDefault="00C2775E" w:rsidP="00C2775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654" w:type="dxa"/>
            <w:tcBorders>
              <w:bottom w:val="single" w:sz="12" w:space="0" w:color="212492"/>
            </w:tcBorders>
            <w:vAlign w:val="center"/>
          </w:tcPr>
          <w:p w:rsidR="0064699F" w:rsidRDefault="00F413E7" w:rsidP="00C2775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III </w:t>
            </w:r>
            <w:r w:rsidR="00B12F6E">
              <w:rPr>
                <w:color w:val="000000" w:themeColor="text1"/>
                <w:sz w:val="16"/>
                <w:szCs w:val="16"/>
              </w:rPr>
              <w:t>quarter</w:t>
            </w:r>
            <w:r>
              <w:rPr>
                <w:color w:val="000000" w:themeColor="text1"/>
                <w:sz w:val="16"/>
                <w:szCs w:val="16"/>
              </w:rPr>
              <w:t xml:space="preserve"> 2017</w:t>
            </w:r>
          </w:p>
          <w:p w:rsidR="00C2775E" w:rsidRPr="00437A70" w:rsidRDefault="00C2775E" w:rsidP="00C2775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654" w:type="dxa"/>
            <w:tcBorders>
              <w:bottom w:val="single" w:sz="12" w:space="0" w:color="212492"/>
            </w:tcBorders>
            <w:vAlign w:val="center"/>
          </w:tcPr>
          <w:p w:rsidR="0064699F" w:rsidRPr="00437A70" w:rsidRDefault="0064699F" w:rsidP="00C2775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37A70">
              <w:rPr>
                <w:color w:val="000000" w:themeColor="text1"/>
                <w:sz w:val="16"/>
                <w:szCs w:val="16"/>
              </w:rPr>
              <w:t>2015=100</w:t>
            </w:r>
          </w:p>
        </w:tc>
        <w:tc>
          <w:tcPr>
            <w:tcW w:w="1654" w:type="dxa"/>
            <w:tcBorders>
              <w:bottom w:val="single" w:sz="12" w:space="0" w:color="212492"/>
            </w:tcBorders>
            <w:vAlign w:val="center"/>
          </w:tcPr>
          <w:p w:rsidR="0064699F" w:rsidRDefault="00F413E7" w:rsidP="00C2775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I-III </w:t>
            </w:r>
            <w:r w:rsidR="00B12F6E">
              <w:rPr>
                <w:color w:val="000000" w:themeColor="text1"/>
                <w:sz w:val="16"/>
                <w:szCs w:val="16"/>
              </w:rPr>
              <w:t>quarter</w:t>
            </w:r>
            <w:r>
              <w:rPr>
                <w:color w:val="000000" w:themeColor="text1"/>
                <w:sz w:val="16"/>
                <w:szCs w:val="16"/>
              </w:rPr>
              <w:t xml:space="preserve"> 2017</w:t>
            </w:r>
          </w:p>
          <w:p w:rsidR="00C2775E" w:rsidRPr="00437A70" w:rsidRDefault="00C2775E" w:rsidP="00C2775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64699F" w:rsidRPr="00437A70" w:rsidTr="0051704F">
        <w:trPr>
          <w:trHeight w:val="57"/>
          <w:jc w:val="center"/>
        </w:trPr>
        <w:tc>
          <w:tcPr>
            <w:tcW w:w="1668" w:type="dxa"/>
            <w:vAlign w:val="center"/>
          </w:tcPr>
          <w:p w:rsidR="0064699F" w:rsidRPr="00993B2B" w:rsidRDefault="00B12F6E" w:rsidP="004178B0">
            <w:pPr>
              <w:keepNext/>
              <w:keepLines/>
              <w:tabs>
                <w:tab w:val="right" w:leader="dot" w:pos="4156"/>
              </w:tabs>
              <w:spacing w:before="0" w:after="0" w:line="240" w:lineRule="auto"/>
              <w:contextualSpacing/>
              <w:outlineLvl w:val="7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993B2B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653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4699F" w:rsidRPr="0051704F" w:rsidRDefault="00B83925" w:rsidP="00BD5E55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101.</w:t>
            </w:r>
            <w:r w:rsidR="0064699F" w:rsidRPr="0051704F">
              <w:rPr>
                <w:rFonts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4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4699F" w:rsidRPr="0051704F" w:rsidRDefault="00B83925" w:rsidP="00BD5E55">
            <w:pPr>
              <w:spacing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106.</w:t>
            </w:r>
            <w:r w:rsidR="0064699F" w:rsidRPr="0051704F">
              <w:rPr>
                <w:rFonts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654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4699F" w:rsidRPr="0051704F" w:rsidRDefault="00B83925" w:rsidP="00F53E18">
            <w:pPr>
              <w:spacing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113.</w:t>
            </w:r>
            <w:r w:rsidR="0064699F" w:rsidRPr="0051704F"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4" w:type="dxa"/>
            <w:tcBorders>
              <w:top w:val="single" w:sz="12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4699F" w:rsidRPr="0051704F" w:rsidRDefault="00B83925" w:rsidP="00BD5E55">
            <w:pPr>
              <w:spacing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106.</w:t>
            </w:r>
            <w:r w:rsidR="0064699F"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64699F" w:rsidRPr="00437A70" w:rsidTr="0051704F">
        <w:trPr>
          <w:trHeight w:val="57"/>
          <w:jc w:val="center"/>
        </w:trPr>
        <w:tc>
          <w:tcPr>
            <w:tcW w:w="1668" w:type="dxa"/>
            <w:vAlign w:val="center"/>
          </w:tcPr>
          <w:p w:rsidR="0064699F" w:rsidRPr="00437A70" w:rsidRDefault="00B12F6E" w:rsidP="00BD5E55">
            <w:pPr>
              <w:keepNext/>
              <w:keepLines/>
              <w:tabs>
                <w:tab w:val="right" w:leader="dot" w:pos="4156"/>
              </w:tabs>
              <w:spacing w:before="0" w:after="0" w:line="240" w:lineRule="auto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Primary market</w:t>
            </w:r>
          </w:p>
        </w:tc>
        <w:tc>
          <w:tcPr>
            <w:tcW w:w="165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4699F" w:rsidRPr="0051704F" w:rsidRDefault="00B83925" w:rsidP="00BD5E55">
            <w:pPr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64699F" w:rsidRPr="0051704F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4699F" w:rsidRPr="0051704F" w:rsidRDefault="00B83925" w:rsidP="00BD5E55">
            <w:pPr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64699F" w:rsidRPr="0051704F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65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4699F" w:rsidRPr="0051704F" w:rsidRDefault="00B83925" w:rsidP="00F53E18">
            <w:pPr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</w:t>
            </w:r>
            <w:r w:rsidR="0064699F" w:rsidRPr="0051704F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654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4699F" w:rsidRPr="0051704F" w:rsidRDefault="00B83925" w:rsidP="00BD5E55">
            <w:pPr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</w:t>
            </w:r>
            <w:r w:rsidR="0064699F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64699F" w:rsidRPr="00437A70" w:rsidTr="0051704F">
        <w:trPr>
          <w:trHeight w:val="57"/>
          <w:jc w:val="center"/>
        </w:trPr>
        <w:tc>
          <w:tcPr>
            <w:tcW w:w="1668" w:type="dxa"/>
            <w:vAlign w:val="center"/>
          </w:tcPr>
          <w:p w:rsidR="0064699F" w:rsidRPr="00437A70" w:rsidRDefault="00B12F6E" w:rsidP="00BD5E55">
            <w:pPr>
              <w:tabs>
                <w:tab w:val="right" w:leader="dot" w:pos="4156"/>
              </w:tabs>
              <w:spacing w:line="24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Secondary market</w:t>
            </w:r>
          </w:p>
        </w:tc>
        <w:tc>
          <w:tcPr>
            <w:tcW w:w="1653" w:type="dxa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64699F" w:rsidRPr="0051704F" w:rsidRDefault="00B83925" w:rsidP="00BD5E55">
            <w:pPr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64699F" w:rsidRPr="0051704F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54" w:type="dxa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64699F" w:rsidRPr="0051704F" w:rsidRDefault="00B83925" w:rsidP="00BD5E55">
            <w:pPr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</w:t>
            </w:r>
            <w:r w:rsidR="0064699F" w:rsidRPr="0051704F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654" w:type="dxa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64699F" w:rsidRPr="0051704F" w:rsidRDefault="00B83925" w:rsidP="00F53E18">
            <w:pPr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116.</w:t>
            </w:r>
            <w:r w:rsidR="0064699F" w:rsidRPr="0051704F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654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699F" w:rsidRPr="0051704F" w:rsidRDefault="00B83925" w:rsidP="00BD5E55">
            <w:pPr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</w:t>
            </w:r>
            <w:r w:rsidR="0064699F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</w:tbl>
    <w:p w:rsidR="00877C40" w:rsidRDefault="00785FDE" w:rsidP="00877C40">
      <w:pPr>
        <w:spacing w:before="240" w:after="0"/>
        <w:rPr>
          <w:b/>
          <w:sz w:val="18"/>
          <w:lang w:val="en-US"/>
        </w:rPr>
      </w:pPr>
      <w:r>
        <w:rPr>
          <w:b/>
          <w:noProof/>
          <w:sz w:val="18"/>
          <w:szCs w:val="18"/>
        </w:rPr>
        <w:pict>
          <v:shape id="_x0000_s1041" type="#_x0000_t202" style="position:absolute;margin-left:417.55pt;margin-top:1.5pt;width:126.85pt;height:94.7pt;z-index:-251528192;visibility:visible;mso-wrap-distance-top:3.6pt;mso-wrap-distance-bottom:3.6pt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" filled="f" stroked="f">
            <v:textbox style="mso-next-textbox:#_x0000_s1041">
              <w:txbxContent>
                <w:p w:rsidR="00730963" w:rsidRPr="00C04936" w:rsidRDefault="00602ECE" w:rsidP="00F364DD">
                  <w:pPr>
                    <w:pStyle w:val="tekstzboku"/>
                    <w:rPr>
                      <w:lang w:val="en-US"/>
                    </w:rPr>
                  </w:pPr>
                  <w:r w:rsidRPr="00602ECE">
                    <w:rPr>
                      <w:lang w:val="en-US"/>
                    </w:rPr>
                    <w:t>Wh</w:t>
                  </w:r>
                  <w:r>
                    <w:rPr>
                      <w:lang w:val="en-US"/>
                    </w:rPr>
                    <w:t>en compiling</w:t>
                  </w:r>
                  <w:r w:rsidR="00730963">
                    <w:rPr>
                      <w:lang w:val="en-US"/>
                    </w:rPr>
                    <w:t xml:space="preserve"> </w:t>
                  </w:r>
                  <w:r w:rsidR="00730963" w:rsidRPr="00C04936">
                    <w:rPr>
                      <w:lang w:val="en-US"/>
                    </w:rPr>
                    <w:t>price i</w:t>
                  </w:r>
                  <w:r w:rsidR="00730963">
                    <w:rPr>
                      <w:lang w:val="en-US"/>
                    </w:rPr>
                    <w:t>ndices of residential premises in 2018, the secondary market is</w:t>
                  </w:r>
                  <w:r>
                    <w:rPr>
                      <w:lang w:val="en-US"/>
                    </w:rPr>
                    <w:t xml:space="preserve"> assigned a weight of</w:t>
                  </w:r>
                  <w:r w:rsidR="00B83925">
                    <w:rPr>
                      <w:lang w:val="en-US"/>
                    </w:rPr>
                    <w:t xml:space="preserve"> 54.</w:t>
                  </w:r>
                  <w:r w:rsidR="00730963">
                    <w:rPr>
                      <w:lang w:val="en-US"/>
                    </w:rPr>
                    <w:t>5%</w:t>
                  </w:r>
                  <w:r w:rsidR="00730963" w:rsidRPr="00C04936">
                    <w:rPr>
                      <w:lang w:val="en-US"/>
                    </w:rPr>
                    <w:t xml:space="preserve"> a</w:t>
                  </w:r>
                  <w:r w:rsidR="00730963">
                    <w:rPr>
                      <w:lang w:val="en-US"/>
                    </w:rPr>
                    <w:t>nd</w:t>
                  </w:r>
                  <w:r w:rsidR="00730963" w:rsidRPr="00C04936">
                    <w:rPr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t xml:space="preserve">the primary market </w:t>
                  </w:r>
                  <w:r w:rsidR="00B83925">
                    <w:rPr>
                      <w:lang w:val="en-US"/>
                    </w:rPr>
                    <w:t>–</w:t>
                  </w:r>
                  <w:r>
                    <w:rPr>
                      <w:lang w:val="en-US"/>
                    </w:rPr>
                    <w:t xml:space="preserve"> </w:t>
                  </w:r>
                  <w:r w:rsidR="00B83925">
                    <w:rPr>
                      <w:lang w:val="en-US"/>
                    </w:rPr>
                    <w:t>45.</w:t>
                  </w:r>
                  <w:r w:rsidR="00730963" w:rsidRPr="00C04936">
                    <w:rPr>
                      <w:lang w:val="en-US"/>
                    </w:rPr>
                    <w:t>5%.</w:t>
                  </w:r>
                </w:p>
              </w:txbxContent>
            </v:textbox>
            <w10:wrap type="tight"/>
          </v:shape>
        </w:pict>
      </w:r>
      <w:r w:rsidR="00B12F6E" w:rsidRPr="00C2775E">
        <w:rPr>
          <w:b/>
          <w:sz w:val="18"/>
          <w:lang w:val="en-US"/>
        </w:rPr>
        <w:t>Chart</w:t>
      </w:r>
      <w:r w:rsidR="00C44EB3" w:rsidRPr="00C2775E">
        <w:rPr>
          <w:b/>
          <w:sz w:val="18"/>
          <w:lang w:val="en-US"/>
        </w:rPr>
        <w:t xml:space="preserve"> 1. </w:t>
      </w:r>
      <w:r w:rsidR="00B12F6E" w:rsidRPr="00C2775E">
        <w:rPr>
          <w:b/>
          <w:sz w:val="18"/>
          <w:lang w:val="en-US"/>
        </w:rPr>
        <w:t>Weight</w:t>
      </w:r>
      <w:r w:rsidR="00AB397C">
        <w:rPr>
          <w:b/>
          <w:sz w:val="18"/>
          <w:lang w:val="en-US"/>
        </w:rPr>
        <w:t>ing</w:t>
      </w:r>
      <w:r w:rsidR="00B12F6E" w:rsidRPr="00C2775E">
        <w:rPr>
          <w:b/>
          <w:sz w:val="18"/>
          <w:lang w:val="en-US"/>
        </w:rPr>
        <w:t xml:space="preserve"> system used </w:t>
      </w:r>
      <w:r w:rsidR="00AB397C">
        <w:rPr>
          <w:b/>
          <w:sz w:val="18"/>
          <w:lang w:val="en-US"/>
        </w:rPr>
        <w:t>in the compilations of</w:t>
      </w:r>
      <w:r w:rsidR="00602ECE">
        <w:rPr>
          <w:b/>
          <w:sz w:val="18"/>
          <w:lang w:val="en-US"/>
        </w:rPr>
        <w:t xml:space="preserve"> the</w:t>
      </w:r>
      <w:r w:rsidR="00B12F6E" w:rsidRPr="00C2775E">
        <w:rPr>
          <w:b/>
          <w:sz w:val="18"/>
          <w:lang w:val="en-US"/>
        </w:rPr>
        <w:t xml:space="preserve"> price ind</w:t>
      </w:r>
      <w:r w:rsidR="00877C40">
        <w:rPr>
          <w:b/>
          <w:sz w:val="18"/>
          <w:lang w:val="en-US"/>
        </w:rPr>
        <w:t>ices of residential premises</w:t>
      </w:r>
    </w:p>
    <w:p w:rsidR="00877C40" w:rsidRPr="00C2775E" w:rsidRDefault="00993B2B" w:rsidP="009828B9">
      <w:pPr>
        <w:spacing w:before="0" w:after="0"/>
        <w:ind w:left="680"/>
        <w:rPr>
          <w:b/>
          <w:sz w:val="18"/>
          <w:lang w:val="en-US"/>
        </w:rPr>
      </w:pPr>
      <w:r>
        <w:rPr>
          <w:b/>
          <w:noProof/>
          <w:sz w:val="18"/>
          <w:lang w:eastAsia="pl-PL"/>
        </w:rPr>
        <w:drawing>
          <wp:anchor distT="0" distB="0" distL="114300" distR="114300" simplePos="0" relativeHeight="251790336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4939030</wp:posOffset>
            </wp:positionV>
            <wp:extent cx="5076825" cy="857250"/>
            <wp:effectExtent l="0" t="0" r="0" b="0"/>
            <wp:wrapSquare wrapText="bothSides"/>
            <wp:docPr id="2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877C40">
        <w:rPr>
          <w:b/>
          <w:sz w:val="18"/>
          <w:lang w:val="en-US"/>
        </w:rPr>
        <w:t xml:space="preserve">in </w:t>
      </w:r>
      <w:r w:rsidR="00B12F6E" w:rsidRPr="00C2775E">
        <w:rPr>
          <w:b/>
          <w:sz w:val="18"/>
          <w:lang w:val="en-US"/>
        </w:rPr>
        <w:t>2018</w:t>
      </w:r>
    </w:p>
    <w:p w:rsidR="006E095C" w:rsidRPr="00C04936" w:rsidRDefault="00C04936" w:rsidP="000E27C8">
      <w:pPr>
        <w:spacing w:before="240"/>
        <w:rPr>
          <w:b/>
          <w:sz w:val="18"/>
          <w:lang w:val="en-US"/>
        </w:rPr>
      </w:pPr>
      <w:r w:rsidRPr="00C04936">
        <w:rPr>
          <w:b/>
          <w:sz w:val="18"/>
          <w:lang w:val="en-US"/>
        </w:rPr>
        <w:t>Chart</w:t>
      </w:r>
      <w:r w:rsidR="00AA6B32" w:rsidRPr="00C04936">
        <w:rPr>
          <w:b/>
          <w:sz w:val="18"/>
          <w:lang w:val="en-US"/>
        </w:rPr>
        <w:t xml:space="preserve"> 2</w:t>
      </w:r>
      <w:r w:rsidR="00D24CF3" w:rsidRPr="00C04936">
        <w:rPr>
          <w:b/>
          <w:sz w:val="18"/>
          <w:lang w:val="en-US"/>
        </w:rPr>
        <w:t xml:space="preserve">. </w:t>
      </w:r>
      <w:r>
        <w:rPr>
          <w:b/>
          <w:sz w:val="18"/>
          <w:lang w:val="en-US"/>
        </w:rPr>
        <w:t>Prices</w:t>
      </w:r>
      <w:r w:rsidRPr="008A682E">
        <w:rPr>
          <w:b/>
          <w:sz w:val="18"/>
          <w:lang w:val="en-US"/>
        </w:rPr>
        <w:t xml:space="preserve"> of residential premises (change in</w:t>
      </w:r>
      <w:r>
        <w:rPr>
          <w:b/>
          <w:sz w:val="18"/>
          <w:lang w:val="en-US"/>
        </w:rPr>
        <w:t xml:space="preserve"> % compared with the previous quarter</w:t>
      </w:r>
      <w:r w:rsidRPr="008A682E">
        <w:rPr>
          <w:b/>
          <w:sz w:val="18"/>
          <w:lang w:val="en-US"/>
        </w:rPr>
        <w:t>)</w:t>
      </w:r>
    </w:p>
    <w:p w:rsidR="0087115A" w:rsidRDefault="009828B9" w:rsidP="006E095C">
      <w:pPr>
        <w:spacing w:before="0" w:after="160" w:line="259" w:lineRule="auto"/>
        <w:rPr>
          <w:b/>
          <w:sz w:val="18"/>
        </w:rPr>
      </w:pPr>
      <w:r w:rsidRPr="009828B9">
        <w:rPr>
          <w:noProof/>
          <w:lang w:eastAsia="pl-PL"/>
        </w:rPr>
        <w:drawing>
          <wp:inline distT="0" distB="0" distL="0" distR="0">
            <wp:extent cx="5220000" cy="2876550"/>
            <wp:effectExtent l="0" t="0" r="0" b="0"/>
            <wp:docPr id="3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D72B8" w:rsidRDefault="005F2681" w:rsidP="002D72B8">
      <w:pPr>
        <w:spacing w:before="240" w:after="0" w:line="259" w:lineRule="auto"/>
        <w:rPr>
          <w:b/>
          <w:sz w:val="18"/>
          <w:lang w:val="en-US"/>
        </w:rPr>
      </w:pPr>
      <w:r w:rsidRPr="00C2775E">
        <w:rPr>
          <w:b/>
          <w:sz w:val="18"/>
          <w:lang w:val="en-US"/>
        </w:rPr>
        <w:lastRenderedPageBreak/>
        <w:t>Chart</w:t>
      </w:r>
      <w:r w:rsidR="006E095C" w:rsidRPr="00C2775E">
        <w:rPr>
          <w:b/>
          <w:sz w:val="18"/>
          <w:lang w:val="en-US"/>
        </w:rPr>
        <w:t xml:space="preserve"> 3. </w:t>
      </w:r>
      <w:r w:rsidR="00EC646D" w:rsidRPr="00C93808">
        <w:rPr>
          <w:b/>
          <w:sz w:val="18"/>
          <w:lang w:val="en-US"/>
        </w:rPr>
        <w:t xml:space="preserve">Prices of residential premises </w:t>
      </w:r>
      <w:r w:rsidR="006E095C" w:rsidRPr="00C93808">
        <w:rPr>
          <w:b/>
          <w:sz w:val="18"/>
          <w:lang w:val="en-US"/>
        </w:rPr>
        <w:t>(</w:t>
      </w:r>
      <w:r w:rsidR="00EC646D" w:rsidRPr="00C93808">
        <w:rPr>
          <w:b/>
          <w:sz w:val="18"/>
          <w:lang w:val="en-US"/>
        </w:rPr>
        <w:t>change in</w:t>
      </w:r>
      <w:r w:rsidR="006E095C" w:rsidRPr="00C93808">
        <w:rPr>
          <w:b/>
          <w:sz w:val="18"/>
          <w:lang w:val="en-US"/>
        </w:rPr>
        <w:t xml:space="preserve"> % </w:t>
      </w:r>
      <w:r w:rsidR="00C93808" w:rsidRPr="00C93808">
        <w:rPr>
          <w:b/>
          <w:sz w:val="18"/>
          <w:lang w:val="en-US"/>
        </w:rPr>
        <w:t>compared with the c</w:t>
      </w:r>
      <w:r w:rsidR="002D72B8">
        <w:rPr>
          <w:b/>
          <w:sz w:val="18"/>
          <w:lang w:val="en-US"/>
        </w:rPr>
        <w:t>orresponding quarter of</w:t>
      </w:r>
    </w:p>
    <w:p w:rsidR="006E095C" w:rsidRPr="00C93808" w:rsidRDefault="00C93808" w:rsidP="002D72B8">
      <w:pPr>
        <w:spacing w:before="0" w:after="160" w:line="259" w:lineRule="auto"/>
        <w:ind w:left="680"/>
        <w:rPr>
          <w:b/>
          <w:sz w:val="18"/>
          <w:lang w:val="en-US"/>
        </w:rPr>
      </w:pPr>
      <w:r>
        <w:rPr>
          <w:b/>
          <w:sz w:val="18"/>
          <w:lang w:val="en-US"/>
        </w:rPr>
        <w:t>the previous year</w:t>
      </w:r>
      <w:r w:rsidR="006E095C" w:rsidRPr="00C93808">
        <w:rPr>
          <w:b/>
          <w:sz w:val="18"/>
          <w:lang w:val="en-US"/>
        </w:rPr>
        <w:t>)</w:t>
      </w:r>
    </w:p>
    <w:p w:rsidR="006E095C" w:rsidRPr="002D72B8" w:rsidRDefault="00785FDE" w:rsidP="005A45AB">
      <w:pPr>
        <w:spacing w:before="0" w:after="160" w:line="259" w:lineRule="auto"/>
        <w:rPr>
          <w:b/>
          <w:sz w:val="18"/>
          <w:lang w:val="en-US"/>
        </w:rPr>
      </w:pPr>
      <w:r>
        <w:rPr>
          <w:b/>
          <w:noProof/>
          <w:sz w:val="18"/>
          <w:szCs w:val="18"/>
          <w:lang w:eastAsia="pl-PL"/>
        </w:rPr>
        <w:pict>
          <v:shape id="_x0000_s1042" type="#_x0000_t202" style="position:absolute;margin-left:415.3pt;margin-top:224.2pt;width:135.85pt;height:114.55pt;z-index:-251527168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" filled="f" stroked="f">
            <v:textbox>
              <w:txbxContent>
                <w:p w:rsidR="00730963" w:rsidRPr="00A01C7B" w:rsidRDefault="00730963" w:rsidP="006F46FF">
                  <w:pPr>
                    <w:pStyle w:val="tekstzboku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Prices of residential premises</w:t>
                  </w:r>
                  <w:r w:rsidRPr="00A07E99">
                    <w:rPr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t>i</w:t>
                  </w:r>
                  <w:r w:rsidRPr="00A07E99">
                    <w:rPr>
                      <w:lang w:val="en-US"/>
                    </w:rPr>
                    <w:t>n the third quarter o</w:t>
                  </w:r>
                  <w:r w:rsidR="00B83925">
                    <w:rPr>
                      <w:lang w:val="en-US"/>
                    </w:rPr>
                    <w:t>f 2018 were by 13.</w:t>
                  </w:r>
                  <w:r>
                    <w:rPr>
                      <w:lang w:val="en-US"/>
                    </w:rPr>
                    <w:t xml:space="preserve">4% higher compared with the average price </w:t>
                  </w:r>
                  <w:r w:rsidR="00A57627">
                    <w:rPr>
                      <w:lang w:val="en-US"/>
                    </w:rPr>
                    <w:t>for</w:t>
                  </w:r>
                  <w:r>
                    <w:rPr>
                      <w:lang w:val="en-US"/>
                    </w:rPr>
                    <w:t xml:space="preserve"> 2015 (of whi</w:t>
                  </w:r>
                  <w:r w:rsidR="00B83925">
                    <w:rPr>
                      <w:lang w:val="en-US"/>
                    </w:rPr>
                    <w:t>ch on the primary market – by 9.</w:t>
                  </w:r>
                  <w:r>
                    <w:rPr>
                      <w:lang w:val="en-US"/>
                    </w:rPr>
                    <w:t xml:space="preserve">8% and </w:t>
                  </w:r>
                  <w:r w:rsidR="00B83925">
                    <w:rPr>
                      <w:lang w:val="en-US"/>
                    </w:rPr>
                    <w:t>on the secondary market – by 16.</w:t>
                  </w:r>
                  <w:r>
                    <w:rPr>
                      <w:lang w:val="en-US"/>
                    </w:rPr>
                    <w:t>7%).</w:t>
                  </w:r>
                </w:p>
              </w:txbxContent>
            </v:textbox>
            <w10:wrap type="tight"/>
          </v:shape>
        </w:pict>
      </w:r>
      <w:r w:rsidR="009828B9" w:rsidRPr="009828B9">
        <w:rPr>
          <w:noProof/>
          <w:lang w:eastAsia="pl-PL"/>
        </w:rPr>
        <w:drawing>
          <wp:inline distT="0" distB="0" distL="0" distR="0">
            <wp:extent cx="5220000" cy="2876550"/>
            <wp:effectExtent l="0" t="0" r="0" b="0"/>
            <wp:docPr id="5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7115A" w:rsidRPr="00BE22CE" w:rsidRDefault="005F2681" w:rsidP="0087115A">
      <w:pPr>
        <w:spacing w:before="0" w:after="160" w:line="259" w:lineRule="auto"/>
        <w:rPr>
          <w:b/>
          <w:sz w:val="18"/>
          <w:lang w:val="en-US"/>
        </w:rPr>
      </w:pPr>
      <w:r w:rsidRPr="00C2775E">
        <w:rPr>
          <w:b/>
          <w:sz w:val="18"/>
          <w:lang w:val="en-US"/>
        </w:rPr>
        <w:t>Chart</w:t>
      </w:r>
      <w:r w:rsidR="0087115A" w:rsidRPr="00C2775E">
        <w:rPr>
          <w:b/>
          <w:sz w:val="18"/>
          <w:lang w:val="en-US"/>
        </w:rPr>
        <w:t xml:space="preserve"> 4. </w:t>
      </w:r>
      <w:r w:rsidR="00BE22CE">
        <w:rPr>
          <w:b/>
          <w:sz w:val="18"/>
          <w:lang w:val="en-US"/>
        </w:rPr>
        <w:t>Prices</w:t>
      </w:r>
      <w:r w:rsidR="00BE22CE" w:rsidRPr="008A682E">
        <w:rPr>
          <w:b/>
          <w:sz w:val="18"/>
          <w:lang w:val="en-US"/>
        </w:rPr>
        <w:t xml:space="preserve"> of residential premises </w:t>
      </w:r>
      <w:r w:rsidR="00BE22CE" w:rsidRPr="00304B36">
        <w:rPr>
          <w:b/>
          <w:sz w:val="18"/>
          <w:lang w:val="en-US"/>
        </w:rPr>
        <w:t>(</w:t>
      </w:r>
      <w:r w:rsidR="00BE22CE" w:rsidRPr="008A682E">
        <w:rPr>
          <w:b/>
          <w:sz w:val="18"/>
          <w:lang w:val="en-US"/>
        </w:rPr>
        <w:t>change in</w:t>
      </w:r>
      <w:r w:rsidR="00BE22CE">
        <w:rPr>
          <w:b/>
          <w:sz w:val="18"/>
          <w:lang w:val="en-US"/>
        </w:rPr>
        <w:t xml:space="preserve"> % compared with 2015</w:t>
      </w:r>
      <w:r w:rsidR="00BE22CE" w:rsidRPr="00304B36">
        <w:rPr>
          <w:b/>
          <w:sz w:val="18"/>
          <w:lang w:val="en-US"/>
        </w:rPr>
        <w:t>)</w:t>
      </w:r>
    </w:p>
    <w:p w:rsidR="0087115A" w:rsidRPr="00730963" w:rsidRDefault="00785FDE" w:rsidP="005A45AB">
      <w:pPr>
        <w:spacing w:before="0" w:after="160" w:line="259" w:lineRule="auto"/>
        <w:rPr>
          <w:b/>
          <w:sz w:val="18"/>
          <w:szCs w:val="18"/>
          <w:lang w:val="en-US"/>
        </w:rPr>
      </w:pPr>
      <w:r>
        <w:rPr>
          <w:b/>
          <w:noProof/>
          <w:sz w:val="18"/>
          <w:szCs w:val="18"/>
          <w:lang w:eastAsia="pl-PL"/>
        </w:rPr>
        <w:pict>
          <v:shape id="_x0000_s1033" type="#_x0000_t202" style="position:absolute;margin-left:410.85pt;margin-top:222.7pt;width:135.85pt;height:127.85pt;z-index:-251530240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" filled="f" stroked="f">
            <v:textbox>
              <w:txbxContent>
                <w:p w:rsidR="00730963" w:rsidRPr="00EF53D1" w:rsidRDefault="00EF53D1" w:rsidP="00885566">
                  <w:pPr>
                    <w:pStyle w:val="tekstzboku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T</w:t>
                  </w:r>
                  <w:r w:rsidR="00730963">
                    <w:rPr>
                      <w:lang w:val="en-US"/>
                    </w:rPr>
                    <w:t xml:space="preserve">he highest increase </w:t>
                  </w:r>
                  <w:r w:rsidR="00871864">
                    <w:rPr>
                      <w:lang w:val="en-US"/>
                    </w:rPr>
                    <w:t xml:space="preserve">in prices </w:t>
                  </w:r>
                  <w:r w:rsidR="00730963">
                    <w:rPr>
                      <w:lang w:val="en-US"/>
                    </w:rPr>
                    <w:t xml:space="preserve">of residential premises </w:t>
                  </w:r>
                  <w:r>
                    <w:rPr>
                      <w:lang w:val="en-US"/>
                    </w:rPr>
                    <w:t>i</w:t>
                  </w:r>
                  <w:r w:rsidRPr="00730963">
                    <w:rPr>
                      <w:lang w:val="en-US"/>
                    </w:rPr>
                    <w:t>n the third quarter o</w:t>
                  </w:r>
                  <w:r>
                    <w:rPr>
                      <w:lang w:val="en-US"/>
                    </w:rPr>
                    <w:t>f 2018</w:t>
                  </w:r>
                  <w:r w:rsidR="00871864">
                    <w:rPr>
                      <w:lang w:val="en-US"/>
                    </w:rPr>
                    <w:t>,</w:t>
                  </w:r>
                  <w:r>
                    <w:rPr>
                      <w:lang w:val="en-US"/>
                    </w:rPr>
                    <w:t xml:space="preserve"> </w:t>
                  </w:r>
                  <w:r w:rsidR="00730963">
                    <w:rPr>
                      <w:lang w:val="en-US"/>
                    </w:rPr>
                    <w:t>compared with the previous quarter</w:t>
                  </w:r>
                  <w:r w:rsidR="00871864">
                    <w:rPr>
                      <w:lang w:val="en-US"/>
                    </w:rPr>
                    <w:t>,</w:t>
                  </w:r>
                  <w:r w:rsidR="00730963">
                    <w:rPr>
                      <w:lang w:val="en-US"/>
                    </w:rPr>
                    <w:t xml:space="preserve"> was recorded in </w:t>
                  </w:r>
                  <w:r w:rsidR="008D6BB0">
                    <w:rPr>
                      <w:lang w:val="en-US"/>
                    </w:rPr>
                    <w:t xml:space="preserve">the </w:t>
                  </w:r>
                  <w:r w:rsidR="00730963">
                    <w:rPr>
                      <w:lang w:val="en-US"/>
                    </w:rPr>
                    <w:t>dolnośląskie voivodship</w:t>
                  </w:r>
                  <w:r w:rsidR="00730963" w:rsidRPr="00730963">
                    <w:rPr>
                      <w:lang w:val="en-US"/>
                    </w:rPr>
                    <w:t xml:space="preserve"> (</w:t>
                  </w:r>
                  <w:r w:rsidR="00730963">
                    <w:rPr>
                      <w:lang w:val="en-US"/>
                    </w:rPr>
                    <w:t>by</w:t>
                  </w:r>
                  <w:r w:rsidR="00B83925">
                    <w:rPr>
                      <w:lang w:val="en-US"/>
                    </w:rPr>
                    <w:t xml:space="preserve"> 5.</w:t>
                  </w:r>
                  <w:r w:rsidR="00730963" w:rsidRPr="00730963">
                    <w:rPr>
                      <w:lang w:val="en-US"/>
                    </w:rPr>
                    <w:t xml:space="preserve">3%). </w:t>
                  </w:r>
                  <w:r w:rsidR="006B7192">
                    <w:rPr>
                      <w:lang w:val="en-US"/>
                    </w:rPr>
                    <w:t>P</w:t>
                  </w:r>
                  <w:r>
                    <w:rPr>
                      <w:lang w:val="en-US"/>
                    </w:rPr>
                    <w:t>r</w:t>
                  </w:r>
                  <w:r w:rsidR="00871864">
                    <w:rPr>
                      <w:lang w:val="en-US"/>
                    </w:rPr>
                    <w:t>ice</w:t>
                  </w:r>
                  <w:r w:rsidR="00730963" w:rsidRPr="00730963">
                    <w:rPr>
                      <w:lang w:val="en-US"/>
                    </w:rPr>
                    <w:t xml:space="preserve"> </w:t>
                  </w:r>
                  <w:r w:rsidR="006B7192">
                    <w:rPr>
                      <w:lang w:val="en-US"/>
                    </w:rPr>
                    <w:t xml:space="preserve">decreases </w:t>
                  </w:r>
                  <w:r w:rsidR="00730963" w:rsidRPr="00730963">
                    <w:rPr>
                      <w:lang w:val="en-US"/>
                    </w:rPr>
                    <w:t xml:space="preserve">were recorded in </w:t>
                  </w:r>
                  <w:r w:rsidR="008D6BB0">
                    <w:rPr>
                      <w:lang w:val="en-US"/>
                    </w:rPr>
                    <w:t xml:space="preserve">the </w:t>
                  </w:r>
                  <w:r w:rsidR="00730963" w:rsidRPr="00730963">
                    <w:rPr>
                      <w:lang w:val="en-US"/>
                    </w:rPr>
                    <w:t>małopolskie</w:t>
                  </w:r>
                  <w:r>
                    <w:rPr>
                      <w:lang w:val="en-US"/>
                    </w:rPr>
                    <w:t xml:space="preserve"> and</w:t>
                  </w:r>
                  <w:r w:rsidR="00730963" w:rsidRPr="00730963">
                    <w:rPr>
                      <w:lang w:val="en-US"/>
                    </w:rPr>
                    <w:t xml:space="preserve"> pomorskie </w:t>
                  </w:r>
                  <w:r w:rsidR="00730963">
                    <w:rPr>
                      <w:lang w:val="en-US"/>
                    </w:rPr>
                    <w:t>voivodships</w:t>
                  </w:r>
                  <w:r w:rsidR="00730963" w:rsidRPr="00730963">
                    <w:rPr>
                      <w:lang w:val="en-US"/>
                    </w:rPr>
                    <w:t>.</w:t>
                  </w:r>
                </w:p>
              </w:txbxContent>
            </v:textbox>
            <w10:wrap type="tight"/>
          </v:shape>
        </w:pict>
      </w:r>
      <w:r w:rsidR="005F5A2A" w:rsidRPr="005F5A2A">
        <w:rPr>
          <w:b/>
          <w:noProof/>
          <w:sz w:val="18"/>
          <w:szCs w:val="18"/>
          <w:lang w:eastAsia="pl-PL"/>
        </w:rPr>
        <w:drawing>
          <wp:inline distT="0" distB="0" distL="0" distR="0">
            <wp:extent cx="5220000" cy="2876550"/>
            <wp:effectExtent l="0" t="0" r="0" b="0"/>
            <wp:docPr id="6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352F0" w:rsidRPr="00730963" w:rsidRDefault="00730963" w:rsidP="005A45AB">
      <w:pPr>
        <w:spacing w:before="0" w:after="160" w:line="259" w:lineRule="auto"/>
        <w:rPr>
          <w:b/>
          <w:sz w:val="18"/>
          <w:szCs w:val="18"/>
          <w:lang w:val="en-US"/>
        </w:rPr>
      </w:pPr>
      <w:r w:rsidRPr="00730963">
        <w:rPr>
          <w:b/>
          <w:sz w:val="18"/>
          <w:szCs w:val="18"/>
          <w:lang w:val="en-US"/>
        </w:rPr>
        <w:t>Table</w:t>
      </w:r>
      <w:r w:rsidR="009E181A" w:rsidRPr="00730963">
        <w:rPr>
          <w:b/>
          <w:sz w:val="18"/>
          <w:szCs w:val="18"/>
          <w:lang w:val="en-US"/>
        </w:rPr>
        <w:t xml:space="preserve"> 2. </w:t>
      </w:r>
      <w:r w:rsidRPr="00117B13">
        <w:rPr>
          <w:b/>
          <w:spacing w:val="-2"/>
          <w:sz w:val="18"/>
          <w:shd w:val="clear" w:color="auto" w:fill="FFFFFF"/>
          <w:lang w:val="en-US"/>
        </w:rPr>
        <w:t>Price indices of residential premises</w:t>
      </w:r>
      <w:r w:rsidRPr="00730963">
        <w:rPr>
          <w:b/>
          <w:spacing w:val="-2"/>
          <w:sz w:val="18"/>
          <w:shd w:val="clear" w:color="auto" w:fill="FFFFFF"/>
          <w:lang w:val="en-US"/>
        </w:rPr>
        <w:t xml:space="preserve"> b</w:t>
      </w:r>
      <w:r>
        <w:rPr>
          <w:b/>
          <w:spacing w:val="-2"/>
          <w:sz w:val="18"/>
          <w:shd w:val="clear" w:color="auto" w:fill="FFFFFF"/>
          <w:lang w:val="en-US"/>
        </w:rPr>
        <w:t>y voivodships in the third quarter of</w:t>
      </w:r>
      <w:r w:rsidR="009E181A" w:rsidRPr="00730963">
        <w:rPr>
          <w:b/>
          <w:spacing w:val="-2"/>
          <w:sz w:val="18"/>
          <w:shd w:val="clear" w:color="auto" w:fill="FFFFFF"/>
          <w:lang w:val="en-US"/>
        </w:rPr>
        <w:t xml:space="preserve"> 2018</w:t>
      </w:r>
    </w:p>
    <w:tbl>
      <w:tblPr>
        <w:tblpPr w:leftFromText="142" w:rightFromText="142" w:vertAnchor="text" w:horzAnchor="margin" w:tblpXSpec="center" w:tblpY="1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494"/>
        <w:gridCol w:w="2278"/>
        <w:gridCol w:w="2278"/>
        <w:gridCol w:w="18"/>
      </w:tblGrid>
      <w:tr w:rsidR="00F95B4F" w:rsidRPr="00F95B4F" w:rsidTr="00F53E18">
        <w:trPr>
          <w:trHeight w:val="57"/>
        </w:trPr>
        <w:tc>
          <w:tcPr>
            <w:tcW w:w="3494" w:type="dxa"/>
            <w:vMerge w:val="restart"/>
            <w:vAlign w:val="center"/>
          </w:tcPr>
          <w:p w:rsidR="00F95B4F" w:rsidRPr="00F95B4F" w:rsidRDefault="00730963" w:rsidP="00E945B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4574" w:type="dxa"/>
            <w:gridSpan w:val="3"/>
            <w:vAlign w:val="center"/>
          </w:tcPr>
          <w:p w:rsidR="00F95B4F" w:rsidRPr="00F95B4F" w:rsidRDefault="00730963" w:rsidP="00E945B7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III quarter</w:t>
            </w:r>
            <w:r w:rsidR="00F95B4F" w:rsidRPr="00F95B4F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 xml:space="preserve"> 2018</w:t>
            </w:r>
          </w:p>
        </w:tc>
      </w:tr>
      <w:tr w:rsidR="00F95B4F" w:rsidRPr="00F95B4F" w:rsidTr="00F53E18">
        <w:trPr>
          <w:gridAfter w:val="1"/>
          <w:wAfter w:w="18" w:type="dxa"/>
          <w:trHeight w:val="57"/>
        </w:trPr>
        <w:tc>
          <w:tcPr>
            <w:tcW w:w="3494" w:type="dxa"/>
            <w:vMerge/>
            <w:tcBorders>
              <w:bottom w:val="single" w:sz="12" w:space="0" w:color="212492"/>
            </w:tcBorders>
            <w:vAlign w:val="center"/>
          </w:tcPr>
          <w:p w:rsidR="00F95B4F" w:rsidRPr="00F95B4F" w:rsidRDefault="00F95B4F" w:rsidP="00E945B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278" w:type="dxa"/>
            <w:tcBorders>
              <w:bottom w:val="single" w:sz="12" w:space="0" w:color="212492"/>
            </w:tcBorders>
            <w:vAlign w:val="center"/>
          </w:tcPr>
          <w:p w:rsidR="00F95B4F" w:rsidRDefault="00F413E7" w:rsidP="00E945B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II </w:t>
            </w:r>
            <w:r w:rsidR="00730963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quarter</w:t>
            </w:r>
            <w:r>
              <w:rPr>
                <w:color w:val="000000" w:themeColor="text1"/>
                <w:sz w:val="16"/>
                <w:szCs w:val="16"/>
              </w:rPr>
              <w:t xml:space="preserve"> 2018</w:t>
            </w:r>
          </w:p>
          <w:p w:rsidR="009C3C87" w:rsidRPr="00F95B4F" w:rsidRDefault="009C3C87" w:rsidP="00E945B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2278" w:type="dxa"/>
            <w:vAlign w:val="center"/>
          </w:tcPr>
          <w:p w:rsidR="00F95B4F" w:rsidRDefault="00F413E7" w:rsidP="00E945B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III </w:t>
            </w:r>
            <w:r w:rsidR="00730963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quarter</w:t>
            </w:r>
            <w:r w:rsidR="00730963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2017</w:t>
            </w:r>
          </w:p>
          <w:p w:rsidR="009C3C87" w:rsidRPr="00F95B4F" w:rsidRDefault="009C3C87" w:rsidP="00E945B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F95B4F" w:rsidRPr="00F95B4F" w:rsidTr="00F53E18">
        <w:trPr>
          <w:trHeight w:val="57"/>
        </w:trPr>
        <w:tc>
          <w:tcPr>
            <w:tcW w:w="3494" w:type="dxa"/>
            <w:tcBorders>
              <w:top w:val="single" w:sz="12" w:space="0" w:color="212492"/>
            </w:tcBorders>
            <w:vAlign w:val="center"/>
          </w:tcPr>
          <w:p w:rsidR="00F95B4F" w:rsidRPr="00F95B4F" w:rsidRDefault="00483BBF" w:rsidP="00E945B7">
            <w:pPr>
              <w:keepNext/>
              <w:keepLines/>
              <w:tabs>
                <w:tab w:val="right" w:leader="dot" w:pos="4156"/>
              </w:tabs>
              <w:spacing w:before="0" w:after="0" w:line="240" w:lineRule="auto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2278" w:type="dxa"/>
            <w:tcBorders>
              <w:top w:val="single" w:sz="12" w:space="0" w:color="212492"/>
            </w:tcBorders>
          </w:tcPr>
          <w:p w:rsidR="00F95B4F" w:rsidRPr="00E945B7" w:rsidRDefault="00B83925" w:rsidP="00E945B7">
            <w:pPr>
              <w:spacing w:before="0"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101.</w:t>
            </w:r>
            <w:r w:rsidR="00F95B4F" w:rsidRPr="00E945B7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296" w:type="dxa"/>
            <w:gridSpan w:val="2"/>
            <w:tcBorders>
              <w:top w:val="single" w:sz="12" w:space="0" w:color="212492"/>
            </w:tcBorders>
          </w:tcPr>
          <w:p w:rsidR="00F95B4F" w:rsidRPr="00E945B7" w:rsidRDefault="00B83925" w:rsidP="00E945B7">
            <w:pPr>
              <w:spacing w:before="0"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106.</w:t>
            </w:r>
            <w:r w:rsidR="00F95B4F" w:rsidRPr="00E945B7">
              <w:rPr>
                <w:b/>
                <w:sz w:val="16"/>
                <w:szCs w:val="16"/>
              </w:rPr>
              <w:t>6</w:t>
            </w:r>
          </w:p>
        </w:tc>
      </w:tr>
      <w:tr w:rsidR="00F95B4F" w:rsidRPr="00F95B4F" w:rsidTr="00F53E18">
        <w:trPr>
          <w:trHeight w:val="57"/>
        </w:trPr>
        <w:tc>
          <w:tcPr>
            <w:tcW w:w="3494" w:type="dxa"/>
          </w:tcPr>
          <w:p w:rsidR="00F95B4F" w:rsidRPr="00F95B4F" w:rsidRDefault="00F95B4F" w:rsidP="00E945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dolnośląskie </w:t>
            </w:r>
          </w:p>
        </w:tc>
        <w:tc>
          <w:tcPr>
            <w:tcW w:w="2278" w:type="dxa"/>
          </w:tcPr>
          <w:p w:rsidR="00F95B4F" w:rsidRPr="00E945B7" w:rsidRDefault="00B83925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</w:t>
            </w:r>
            <w:r w:rsidR="00F95B4F" w:rsidRPr="00E945B7">
              <w:rPr>
                <w:sz w:val="16"/>
                <w:szCs w:val="16"/>
              </w:rPr>
              <w:t>3</w:t>
            </w:r>
          </w:p>
        </w:tc>
        <w:tc>
          <w:tcPr>
            <w:tcW w:w="2296" w:type="dxa"/>
            <w:gridSpan w:val="2"/>
          </w:tcPr>
          <w:p w:rsidR="00F95B4F" w:rsidRPr="00E945B7" w:rsidRDefault="00B83925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103.</w:t>
            </w:r>
            <w:r w:rsidR="00F95B4F" w:rsidRPr="00E945B7">
              <w:rPr>
                <w:sz w:val="16"/>
                <w:szCs w:val="16"/>
              </w:rPr>
              <w:t>4</w:t>
            </w:r>
          </w:p>
        </w:tc>
      </w:tr>
      <w:tr w:rsidR="00F95B4F" w:rsidRPr="00F95B4F" w:rsidTr="00F53E18">
        <w:trPr>
          <w:trHeight w:val="57"/>
        </w:trPr>
        <w:tc>
          <w:tcPr>
            <w:tcW w:w="3494" w:type="dxa"/>
          </w:tcPr>
          <w:p w:rsidR="00F95B4F" w:rsidRPr="00F95B4F" w:rsidRDefault="00F95B4F" w:rsidP="00E945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kujawsko-pomorskie </w:t>
            </w:r>
          </w:p>
        </w:tc>
        <w:tc>
          <w:tcPr>
            <w:tcW w:w="2278" w:type="dxa"/>
          </w:tcPr>
          <w:p w:rsidR="00F95B4F" w:rsidRPr="00E945B7" w:rsidRDefault="00B83925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102.</w:t>
            </w:r>
            <w:r w:rsidR="00F95B4F" w:rsidRPr="00E945B7">
              <w:rPr>
                <w:sz w:val="16"/>
                <w:szCs w:val="16"/>
              </w:rPr>
              <w:t>1</w:t>
            </w:r>
          </w:p>
        </w:tc>
        <w:tc>
          <w:tcPr>
            <w:tcW w:w="2296" w:type="dxa"/>
            <w:gridSpan w:val="2"/>
          </w:tcPr>
          <w:p w:rsidR="00F95B4F" w:rsidRPr="00E945B7" w:rsidRDefault="00B83925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108.</w:t>
            </w:r>
            <w:r w:rsidR="00F95B4F" w:rsidRPr="00E945B7">
              <w:rPr>
                <w:sz w:val="16"/>
                <w:szCs w:val="16"/>
              </w:rPr>
              <w:t>5</w:t>
            </w:r>
          </w:p>
        </w:tc>
      </w:tr>
      <w:tr w:rsidR="00F95B4F" w:rsidRPr="00F95B4F" w:rsidTr="00F53E18">
        <w:trPr>
          <w:trHeight w:val="57"/>
        </w:trPr>
        <w:tc>
          <w:tcPr>
            <w:tcW w:w="3494" w:type="dxa"/>
          </w:tcPr>
          <w:p w:rsidR="00F95B4F" w:rsidRPr="00F95B4F" w:rsidRDefault="00F95B4F" w:rsidP="00E945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lubelskie </w:t>
            </w:r>
          </w:p>
        </w:tc>
        <w:tc>
          <w:tcPr>
            <w:tcW w:w="2278" w:type="dxa"/>
          </w:tcPr>
          <w:p w:rsidR="00F95B4F" w:rsidRPr="00E945B7" w:rsidRDefault="00B83925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103.</w:t>
            </w:r>
            <w:r w:rsidR="00F95B4F" w:rsidRPr="00E945B7">
              <w:rPr>
                <w:sz w:val="16"/>
                <w:szCs w:val="16"/>
              </w:rPr>
              <w:t>6</w:t>
            </w:r>
          </w:p>
        </w:tc>
        <w:tc>
          <w:tcPr>
            <w:tcW w:w="2296" w:type="dxa"/>
            <w:gridSpan w:val="2"/>
          </w:tcPr>
          <w:p w:rsidR="00F95B4F" w:rsidRPr="00E945B7" w:rsidRDefault="00B83925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104.</w:t>
            </w:r>
            <w:r w:rsidR="00F95B4F" w:rsidRPr="00E945B7">
              <w:rPr>
                <w:sz w:val="16"/>
                <w:szCs w:val="16"/>
              </w:rPr>
              <w:t>3</w:t>
            </w:r>
          </w:p>
        </w:tc>
      </w:tr>
      <w:tr w:rsidR="00F95B4F" w:rsidRPr="00F95B4F" w:rsidTr="00F53E18">
        <w:trPr>
          <w:trHeight w:val="57"/>
        </w:trPr>
        <w:tc>
          <w:tcPr>
            <w:tcW w:w="3494" w:type="dxa"/>
          </w:tcPr>
          <w:p w:rsidR="00F95B4F" w:rsidRPr="00F95B4F" w:rsidRDefault="00F95B4F" w:rsidP="00E945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lubuskie </w:t>
            </w:r>
          </w:p>
        </w:tc>
        <w:tc>
          <w:tcPr>
            <w:tcW w:w="2278" w:type="dxa"/>
          </w:tcPr>
          <w:p w:rsidR="00F95B4F" w:rsidRPr="00E945B7" w:rsidRDefault="00B83925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</w:t>
            </w:r>
            <w:r w:rsidR="00F95B4F" w:rsidRPr="00E945B7">
              <w:rPr>
                <w:sz w:val="16"/>
                <w:szCs w:val="16"/>
              </w:rPr>
              <w:t>6</w:t>
            </w:r>
          </w:p>
        </w:tc>
        <w:tc>
          <w:tcPr>
            <w:tcW w:w="2296" w:type="dxa"/>
            <w:gridSpan w:val="2"/>
          </w:tcPr>
          <w:p w:rsidR="00F95B4F" w:rsidRPr="00E945B7" w:rsidRDefault="00B83925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</w:t>
            </w:r>
            <w:r w:rsidR="00F95B4F" w:rsidRPr="00E945B7">
              <w:rPr>
                <w:sz w:val="16"/>
                <w:szCs w:val="16"/>
              </w:rPr>
              <w:t>3</w:t>
            </w:r>
          </w:p>
        </w:tc>
      </w:tr>
      <w:tr w:rsidR="00F95B4F" w:rsidRPr="00F95B4F" w:rsidTr="00F53E18">
        <w:trPr>
          <w:trHeight w:val="57"/>
        </w:trPr>
        <w:tc>
          <w:tcPr>
            <w:tcW w:w="3494" w:type="dxa"/>
          </w:tcPr>
          <w:p w:rsidR="00F95B4F" w:rsidRPr="00F95B4F" w:rsidRDefault="00F95B4F" w:rsidP="00E945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łódzkie </w:t>
            </w:r>
          </w:p>
        </w:tc>
        <w:tc>
          <w:tcPr>
            <w:tcW w:w="2278" w:type="dxa"/>
          </w:tcPr>
          <w:p w:rsidR="00F95B4F" w:rsidRPr="00E945B7" w:rsidRDefault="00B83925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104.</w:t>
            </w:r>
            <w:r w:rsidR="00F95B4F" w:rsidRPr="00E945B7">
              <w:rPr>
                <w:sz w:val="16"/>
                <w:szCs w:val="16"/>
              </w:rPr>
              <w:t>6</w:t>
            </w:r>
          </w:p>
        </w:tc>
        <w:tc>
          <w:tcPr>
            <w:tcW w:w="2296" w:type="dxa"/>
            <w:gridSpan w:val="2"/>
          </w:tcPr>
          <w:p w:rsidR="00F95B4F" w:rsidRPr="00E945B7" w:rsidRDefault="00B83925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109.</w:t>
            </w:r>
            <w:r w:rsidR="00F95B4F" w:rsidRPr="00E945B7">
              <w:rPr>
                <w:sz w:val="16"/>
                <w:szCs w:val="16"/>
              </w:rPr>
              <w:t>9</w:t>
            </w:r>
          </w:p>
        </w:tc>
      </w:tr>
      <w:tr w:rsidR="00F95B4F" w:rsidRPr="00F95B4F" w:rsidTr="00F53E18">
        <w:trPr>
          <w:trHeight w:val="57"/>
        </w:trPr>
        <w:tc>
          <w:tcPr>
            <w:tcW w:w="3494" w:type="dxa"/>
          </w:tcPr>
          <w:p w:rsidR="00F95B4F" w:rsidRPr="00F95B4F" w:rsidRDefault="00F95B4F" w:rsidP="00E945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małopolskie </w:t>
            </w:r>
          </w:p>
        </w:tc>
        <w:tc>
          <w:tcPr>
            <w:tcW w:w="2278" w:type="dxa"/>
          </w:tcPr>
          <w:p w:rsidR="00F95B4F" w:rsidRPr="00E945B7" w:rsidRDefault="00B83925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96.</w:t>
            </w:r>
            <w:r w:rsidR="00F95B4F" w:rsidRPr="00E945B7">
              <w:rPr>
                <w:sz w:val="16"/>
                <w:szCs w:val="16"/>
              </w:rPr>
              <w:t>2</w:t>
            </w:r>
          </w:p>
        </w:tc>
        <w:tc>
          <w:tcPr>
            <w:tcW w:w="2296" w:type="dxa"/>
            <w:gridSpan w:val="2"/>
          </w:tcPr>
          <w:p w:rsidR="00F95B4F" w:rsidRPr="00E945B7" w:rsidRDefault="00B83925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</w:t>
            </w:r>
            <w:r w:rsidR="00F95B4F" w:rsidRPr="00E945B7">
              <w:rPr>
                <w:sz w:val="16"/>
                <w:szCs w:val="16"/>
              </w:rPr>
              <w:t>3</w:t>
            </w:r>
          </w:p>
        </w:tc>
      </w:tr>
      <w:tr w:rsidR="00F95B4F" w:rsidRPr="00F95B4F" w:rsidTr="00F53E18">
        <w:trPr>
          <w:trHeight w:val="57"/>
        </w:trPr>
        <w:tc>
          <w:tcPr>
            <w:tcW w:w="3494" w:type="dxa"/>
          </w:tcPr>
          <w:p w:rsidR="00F95B4F" w:rsidRPr="00F95B4F" w:rsidRDefault="00F95B4F" w:rsidP="00E945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mazowieckie </w:t>
            </w:r>
          </w:p>
        </w:tc>
        <w:tc>
          <w:tcPr>
            <w:tcW w:w="2278" w:type="dxa"/>
          </w:tcPr>
          <w:p w:rsidR="00F95B4F" w:rsidRPr="00E945B7" w:rsidRDefault="00B83925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</w:t>
            </w:r>
            <w:r w:rsidR="00F95B4F" w:rsidRPr="00E945B7">
              <w:rPr>
                <w:sz w:val="16"/>
                <w:szCs w:val="16"/>
              </w:rPr>
              <w:t>4</w:t>
            </w:r>
          </w:p>
        </w:tc>
        <w:tc>
          <w:tcPr>
            <w:tcW w:w="2296" w:type="dxa"/>
            <w:gridSpan w:val="2"/>
          </w:tcPr>
          <w:p w:rsidR="00F95B4F" w:rsidRPr="00E945B7" w:rsidRDefault="00B83925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106.</w:t>
            </w:r>
            <w:r w:rsidR="00F95B4F" w:rsidRPr="00E945B7">
              <w:rPr>
                <w:sz w:val="16"/>
                <w:szCs w:val="16"/>
              </w:rPr>
              <w:t>4</w:t>
            </w:r>
          </w:p>
        </w:tc>
      </w:tr>
      <w:tr w:rsidR="00F95B4F" w:rsidRPr="00F95B4F" w:rsidTr="00F53E18">
        <w:trPr>
          <w:trHeight w:val="57"/>
        </w:trPr>
        <w:tc>
          <w:tcPr>
            <w:tcW w:w="3494" w:type="dxa"/>
          </w:tcPr>
          <w:p w:rsidR="00F95B4F" w:rsidRPr="00F95B4F" w:rsidRDefault="00F95B4F" w:rsidP="00E945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opolskie </w:t>
            </w:r>
          </w:p>
        </w:tc>
        <w:tc>
          <w:tcPr>
            <w:tcW w:w="2278" w:type="dxa"/>
          </w:tcPr>
          <w:p w:rsidR="00F95B4F" w:rsidRPr="00E945B7" w:rsidRDefault="00B83925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</w:t>
            </w:r>
            <w:r w:rsidR="00F95B4F" w:rsidRPr="00E945B7">
              <w:rPr>
                <w:sz w:val="16"/>
                <w:szCs w:val="16"/>
              </w:rPr>
              <w:t>1</w:t>
            </w:r>
          </w:p>
        </w:tc>
        <w:tc>
          <w:tcPr>
            <w:tcW w:w="2296" w:type="dxa"/>
            <w:gridSpan w:val="2"/>
          </w:tcPr>
          <w:p w:rsidR="00F95B4F" w:rsidRPr="00E945B7" w:rsidRDefault="00B83925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110.</w:t>
            </w:r>
            <w:r w:rsidR="00F95B4F" w:rsidRPr="00E945B7">
              <w:rPr>
                <w:sz w:val="16"/>
                <w:szCs w:val="16"/>
              </w:rPr>
              <w:t>9</w:t>
            </w:r>
          </w:p>
        </w:tc>
      </w:tr>
      <w:tr w:rsidR="00F95B4F" w:rsidRPr="00F95B4F" w:rsidTr="00F53E18">
        <w:trPr>
          <w:trHeight w:val="57"/>
        </w:trPr>
        <w:tc>
          <w:tcPr>
            <w:tcW w:w="3494" w:type="dxa"/>
          </w:tcPr>
          <w:p w:rsidR="00F95B4F" w:rsidRPr="00F95B4F" w:rsidRDefault="00F95B4F" w:rsidP="00E945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lastRenderedPageBreak/>
              <w:t xml:space="preserve">podkarpackie </w:t>
            </w:r>
          </w:p>
        </w:tc>
        <w:tc>
          <w:tcPr>
            <w:tcW w:w="2278" w:type="dxa"/>
          </w:tcPr>
          <w:p w:rsidR="00F95B4F" w:rsidRPr="00E945B7" w:rsidRDefault="00B83925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</w:t>
            </w:r>
            <w:r w:rsidR="00F95B4F" w:rsidRPr="00E945B7">
              <w:rPr>
                <w:sz w:val="16"/>
                <w:szCs w:val="16"/>
              </w:rPr>
              <w:t>3</w:t>
            </w:r>
          </w:p>
        </w:tc>
        <w:tc>
          <w:tcPr>
            <w:tcW w:w="2296" w:type="dxa"/>
            <w:gridSpan w:val="2"/>
          </w:tcPr>
          <w:p w:rsidR="00F95B4F" w:rsidRPr="00E945B7" w:rsidRDefault="00B83925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</w:t>
            </w:r>
            <w:r w:rsidR="00F95B4F" w:rsidRPr="00E945B7">
              <w:rPr>
                <w:sz w:val="16"/>
                <w:szCs w:val="16"/>
              </w:rPr>
              <w:t>9</w:t>
            </w:r>
          </w:p>
        </w:tc>
      </w:tr>
      <w:tr w:rsidR="00F95B4F" w:rsidRPr="00F95B4F" w:rsidTr="00F53E18">
        <w:trPr>
          <w:trHeight w:val="57"/>
        </w:trPr>
        <w:tc>
          <w:tcPr>
            <w:tcW w:w="3494" w:type="dxa"/>
          </w:tcPr>
          <w:p w:rsidR="00F95B4F" w:rsidRPr="00F95B4F" w:rsidRDefault="00F95B4F" w:rsidP="00E945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podlaskie </w:t>
            </w:r>
          </w:p>
        </w:tc>
        <w:tc>
          <w:tcPr>
            <w:tcW w:w="2278" w:type="dxa"/>
          </w:tcPr>
          <w:p w:rsidR="00F95B4F" w:rsidRPr="00E945B7" w:rsidRDefault="00B83925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103.</w:t>
            </w:r>
            <w:r w:rsidR="00F95B4F" w:rsidRPr="00E945B7">
              <w:rPr>
                <w:sz w:val="16"/>
                <w:szCs w:val="16"/>
              </w:rPr>
              <w:t>2</w:t>
            </w:r>
          </w:p>
        </w:tc>
        <w:tc>
          <w:tcPr>
            <w:tcW w:w="2296" w:type="dxa"/>
            <w:gridSpan w:val="2"/>
          </w:tcPr>
          <w:p w:rsidR="00F95B4F" w:rsidRPr="00E945B7" w:rsidRDefault="00B83925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107.</w:t>
            </w:r>
            <w:r w:rsidR="00F95B4F" w:rsidRPr="00E945B7">
              <w:rPr>
                <w:sz w:val="16"/>
                <w:szCs w:val="16"/>
              </w:rPr>
              <w:t>6</w:t>
            </w:r>
          </w:p>
        </w:tc>
      </w:tr>
      <w:tr w:rsidR="00F95B4F" w:rsidRPr="00F95B4F" w:rsidTr="00F53E18">
        <w:trPr>
          <w:trHeight w:val="57"/>
        </w:trPr>
        <w:tc>
          <w:tcPr>
            <w:tcW w:w="3494" w:type="dxa"/>
          </w:tcPr>
          <w:p w:rsidR="00F95B4F" w:rsidRPr="00F95B4F" w:rsidRDefault="00F95B4F" w:rsidP="00E945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pomorskie </w:t>
            </w:r>
          </w:p>
        </w:tc>
        <w:tc>
          <w:tcPr>
            <w:tcW w:w="2278" w:type="dxa"/>
          </w:tcPr>
          <w:p w:rsidR="00F95B4F" w:rsidRPr="00E945B7" w:rsidRDefault="00B83925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98.</w:t>
            </w:r>
            <w:r w:rsidR="00F95B4F" w:rsidRPr="00E945B7">
              <w:rPr>
                <w:sz w:val="16"/>
                <w:szCs w:val="16"/>
              </w:rPr>
              <w:t>2</w:t>
            </w:r>
          </w:p>
        </w:tc>
        <w:tc>
          <w:tcPr>
            <w:tcW w:w="2296" w:type="dxa"/>
            <w:gridSpan w:val="2"/>
          </w:tcPr>
          <w:p w:rsidR="00F95B4F" w:rsidRPr="00E945B7" w:rsidRDefault="00B83925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107.</w:t>
            </w:r>
            <w:r w:rsidR="00F95B4F" w:rsidRPr="00E945B7">
              <w:rPr>
                <w:sz w:val="16"/>
                <w:szCs w:val="16"/>
              </w:rPr>
              <w:t>1</w:t>
            </w:r>
          </w:p>
        </w:tc>
      </w:tr>
      <w:tr w:rsidR="00F95B4F" w:rsidRPr="00F95B4F" w:rsidTr="00F53E18">
        <w:trPr>
          <w:trHeight w:val="57"/>
        </w:trPr>
        <w:tc>
          <w:tcPr>
            <w:tcW w:w="3494" w:type="dxa"/>
          </w:tcPr>
          <w:p w:rsidR="00F95B4F" w:rsidRPr="00F95B4F" w:rsidRDefault="00F95B4F" w:rsidP="00E945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śląskie </w:t>
            </w:r>
          </w:p>
        </w:tc>
        <w:tc>
          <w:tcPr>
            <w:tcW w:w="2278" w:type="dxa"/>
          </w:tcPr>
          <w:p w:rsidR="00F95B4F" w:rsidRPr="00E945B7" w:rsidRDefault="00B83925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103.</w:t>
            </w:r>
            <w:r w:rsidR="00F95B4F" w:rsidRPr="00E945B7">
              <w:rPr>
                <w:sz w:val="16"/>
                <w:szCs w:val="16"/>
              </w:rPr>
              <w:t>4</w:t>
            </w:r>
          </w:p>
        </w:tc>
        <w:tc>
          <w:tcPr>
            <w:tcW w:w="2296" w:type="dxa"/>
            <w:gridSpan w:val="2"/>
          </w:tcPr>
          <w:p w:rsidR="00F95B4F" w:rsidRPr="00E945B7" w:rsidRDefault="00B83925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112.</w:t>
            </w:r>
            <w:r w:rsidR="00F95B4F" w:rsidRPr="00E945B7">
              <w:rPr>
                <w:sz w:val="16"/>
                <w:szCs w:val="16"/>
              </w:rPr>
              <w:t>5</w:t>
            </w:r>
          </w:p>
        </w:tc>
      </w:tr>
      <w:tr w:rsidR="00F95B4F" w:rsidRPr="00F95B4F" w:rsidTr="00F53E18">
        <w:trPr>
          <w:trHeight w:val="57"/>
        </w:trPr>
        <w:tc>
          <w:tcPr>
            <w:tcW w:w="3494" w:type="dxa"/>
          </w:tcPr>
          <w:p w:rsidR="00F95B4F" w:rsidRPr="00F95B4F" w:rsidRDefault="00F95B4F" w:rsidP="00E945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świętokrzyskie </w:t>
            </w:r>
          </w:p>
        </w:tc>
        <w:tc>
          <w:tcPr>
            <w:tcW w:w="2278" w:type="dxa"/>
          </w:tcPr>
          <w:p w:rsidR="00F95B4F" w:rsidRPr="00E945B7" w:rsidRDefault="00B83925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102.</w:t>
            </w:r>
            <w:r w:rsidR="00F95B4F" w:rsidRPr="00E945B7">
              <w:rPr>
                <w:sz w:val="16"/>
                <w:szCs w:val="16"/>
              </w:rPr>
              <w:t>1</w:t>
            </w:r>
          </w:p>
        </w:tc>
        <w:tc>
          <w:tcPr>
            <w:tcW w:w="2296" w:type="dxa"/>
            <w:gridSpan w:val="2"/>
          </w:tcPr>
          <w:p w:rsidR="00F95B4F" w:rsidRPr="00E945B7" w:rsidRDefault="00B83925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106.</w:t>
            </w:r>
            <w:r w:rsidR="00F95B4F" w:rsidRPr="00E945B7">
              <w:rPr>
                <w:sz w:val="16"/>
                <w:szCs w:val="16"/>
              </w:rPr>
              <w:t>2</w:t>
            </w:r>
          </w:p>
        </w:tc>
      </w:tr>
      <w:tr w:rsidR="00F95B4F" w:rsidRPr="00F95B4F" w:rsidTr="00F53E18">
        <w:trPr>
          <w:trHeight w:val="57"/>
        </w:trPr>
        <w:tc>
          <w:tcPr>
            <w:tcW w:w="3494" w:type="dxa"/>
          </w:tcPr>
          <w:p w:rsidR="00F95B4F" w:rsidRPr="00F95B4F" w:rsidRDefault="00F95B4F" w:rsidP="00E945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warmińsko-mazurskie </w:t>
            </w:r>
          </w:p>
        </w:tc>
        <w:tc>
          <w:tcPr>
            <w:tcW w:w="2278" w:type="dxa"/>
          </w:tcPr>
          <w:p w:rsidR="00F95B4F" w:rsidRPr="00E945B7" w:rsidRDefault="00B83925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102.</w:t>
            </w:r>
            <w:r w:rsidR="00F95B4F" w:rsidRPr="00E945B7">
              <w:rPr>
                <w:sz w:val="16"/>
                <w:szCs w:val="16"/>
              </w:rPr>
              <w:t>4</w:t>
            </w:r>
          </w:p>
        </w:tc>
        <w:tc>
          <w:tcPr>
            <w:tcW w:w="2296" w:type="dxa"/>
            <w:gridSpan w:val="2"/>
          </w:tcPr>
          <w:p w:rsidR="00F95B4F" w:rsidRPr="00E945B7" w:rsidRDefault="00B83925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107.</w:t>
            </w:r>
            <w:r w:rsidR="00F95B4F" w:rsidRPr="00E945B7">
              <w:rPr>
                <w:sz w:val="16"/>
                <w:szCs w:val="16"/>
              </w:rPr>
              <w:t>9</w:t>
            </w:r>
          </w:p>
        </w:tc>
      </w:tr>
      <w:tr w:rsidR="00F95B4F" w:rsidRPr="00F95B4F" w:rsidTr="00F53E18">
        <w:trPr>
          <w:trHeight w:val="57"/>
        </w:trPr>
        <w:tc>
          <w:tcPr>
            <w:tcW w:w="3494" w:type="dxa"/>
          </w:tcPr>
          <w:p w:rsidR="00F95B4F" w:rsidRPr="00F95B4F" w:rsidRDefault="00F95B4F" w:rsidP="00E945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wielkopolskie </w:t>
            </w:r>
          </w:p>
        </w:tc>
        <w:tc>
          <w:tcPr>
            <w:tcW w:w="2278" w:type="dxa"/>
          </w:tcPr>
          <w:p w:rsidR="00F95B4F" w:rsidRPr="00E945B7" w:rsidRDefault="00F95B4F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E945B7">
              <w:rPr>
                <w:sz w:val="16"/>
                <w:szCs w:val="16"/>
              </w:rPr>
              <w:t>101</w:t>
            </w:r>
            <w:r w:rsidR="00B83925">
              <w:rPr>
                <w:sz w:val="16"/>
                <w:szCs w:val="16"/>
              </w:rPr>
              <w:t>.</w:t>
            </w:r>
            <w:r w:rsidR="00E945B7">
              <w:rPr>
                <w:sz w:val="16"/>
                <w:szCs w:val="16"/>
              </w:rPr>
              <w:t>0</w:t>
            </w:r>
          </w:p>
        </w:tc>
        <w:tc>
          <w:tcPr>
            <w:tcW w:w="2296" w:type="dxa"/>
            <w:gridSpan w:val="2"/>
          </w:tcPr>
          <w:p w:rsidR="00F95B4F" w:rsidRPr="00E945B7" w:rsidRDefault="00B83925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107.</w:t>
            </w:r>
            <w:r w:rsidR="00F95B4F" w:rsidRPr="00E945B7">
              <w:rPr>
                <w:sz w:val="16"/>
                <w:szCs w:val="16"/>
              </w:rPr>
              <w:t>6</w:t>
            </w:r>
          </w:p>
        </w:tc>
      </w:tr>
      <w:tr w:rsidR="00F95B4F" w:rsidRPr="00F95B4F" w:rsidTr="00F53E18">
        <w:trPr>
          <w:trHeight w:val="57"/>
        </w:trPr>
        <w:tc>
          <w:tcPr>
            <w:tcW w:w="3494" w:type="dxa"/>
          </w:tcPr>
          <w:p w:rsidR="00F95B4F" w:rsidRPr="00F95B4F" w:rsidRDefault="00F95B4F" w:rsidP="00E945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zachodniopomorskie </w:t>
            </w:r>
          </w:p>
        </w:tc>
        <w:tc>
          <w:tcPr>
            <w:tcW w:w="2278" w:type="dxa"/>
          </w:tcPr>
          <w:p w:rsidR="00F95B4F" w:rsidRPr="00E945B7" w:rsidRDefault="00B83925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103.</w:t>
            </w:r>
            <w:r w:rsidR="00F95B4F" w:rsidRPr="00E945B7">
              <w:rPr>
                <w:sz w:val="16"/>
                <w:szCs w:val="16"/>
              </w:rPr>
              <w:t>4</w:t>
            </w:r>
          </w:p>
        </w:tc>
        <w:tc>
          <w:tcPr>
            <w:tcW w:w="2296" w:type="dxa"/>
            <w:gridSpan w:val="2"/>
          </w:tcPr>
          <w:p w:rsidR="00F95B4F" w:rsidRPr="00E945B7" w:rsidRDefault="00B83925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111.</w:t>
            </w:r>
            <w:r w:rsidR="00F95B4F" w:rsidRPr="00E945B7">
              <w:rPr>
                <w:sz w:val="16"/>
                <w:szCs w:val="16"/>
              </w:rPr>
              <w:t>3</w:t>
            </w:r>
          </w:p>
        </w:tc>
      </w:tr>
    </w:tbl>
    <w:p w:rsidR="00E01393" w:rsidRDefault="00E01393" w:rsidP="00E76D26">
      <w:pPr>
        <w:rPr>
          <w:b/>
          <w:sz w:val="18"/>
          <w:szCs w:val="18"/>
          <w:shd w:val="clear" w:color="auto" w:fill="FFFFFF"/>
        </w:rPr>
      </w:pPr>
    </w:p>
    <w:p w:rsidR="0059548E" w:rsidRPr="00001C5B" w:rsidRDefault="0059548E" w:rsidP="00E76D26">
      <w:pPr>
        <w:rPr>
          <w:sz w:val="18"/>
        </w:rPr>
        <w:sectPr w:rsidR="0059548E" w:rsidRPr="00001C5B" w:rsidSect="003B18B6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9"/>
        <w:gridCol w:w="3924"/>
      </w:tblGrid>
      <w:tr w:rsidR="00CA7351" w:rsidRPr="00371AA7" w:rsidTr="00F53E18">
        <w:trPr>
          <w:trHeight w:val="1912"/>
        </w:trPr>
        <w:tc>
          <w:tcPr>
            <w:tcW w:w="4379" w:type="dxa"/>
          </w:tcPr>
          <w:p w:rsidR="00EF53D1" w:rsidRPr="004802D4" w:rsidRDefault="00EF53D1" w:rsidP="00EF53D1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4802D4">
              <w:rPr>
                <w:rFonts w:cs="Arial"/>
                <w:color w:val="000000" w:themeColor="text1"/>
                <w:sz w:val="20"/>
                <w:lang w:val="en-US"/>
              </w:rPr>
              <w:t>Prepared by:</w:t>
            </w:r>
          </w:p>
          <w:p w:rsidR="00EF53D1" w:rsidRPr="004802D4" w:rsidRDefault="00EF53D1" w:rsidP="00EF53D1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4802D4">
              <w:rPr>
                <w:rFonts w:cs="Arial"/>
                <w:b/>
                <w:color w:val="000000" w:themeColor="text1"/>
                <w:sz w:val="20"/>
                <w:lang w:val="en-US"/>
              </w:rPr>
              <w:t>Tr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ade and Services Department</w:t>
            </w:r>
          </w:p>
          <w:p w:rsidR="00EF53D1" w:rsidRPr="004802D4" w:rsidRDefault="00EF53D1" w:rsidP="00EF53D1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4802D4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Renata Rechnio</w:t>
            </w:r>
          </w:p>
          <w:p w:rsidR="00EF53D1" w:rsidRPr="008F3638" w:rsidRDefault="00EF53D1" w:rsidP="00EF53D1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608 38</w:t>
            </w:r>
            <w:r w:rsidR="00B714E0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02</w:t>
            </w:r>
          </w:p>
          <w:p w:rsidR="00CA7351" w:rsidRPr="00072575" w:rsidRDefault="00EF53D1" w:rsidP="00EF53D1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  <w:r w:rsidRPr="00072575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e-mail: R.Rechnio@s</w:t>
            </w:r>
            <w:r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tat.gov.pl</w:t>
            </w:r>
          </w:p>
        </w:tc>
        <w:tc>
          <w:tcPr>
            <w:tcW w:w="3942" w:type="dxa"/>
          </w:tcPr>
          <w:p w:rsidR="00EF53D1" w:rsidRPr="004802D4" w:rsidRDefault="00EF53D1" w:rsidP="00EF53D1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4802D4">
              <w:rPr>
                <w:rFonts w:cs="Arial"/>
                <w:color w:val="000000" w:themeColor="text1"/>
                <w:sz w:val="20"/>
                <w:lang w:val="en-US"/>
              </w:rPr>
              <w:t>Issued by:</w:t>
            </w:r>
            <w:r w:rsidRPr="004802D4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Pr="004802D4">
              <w:rPr>
                <w:rFonts w:cs="Arial"/>
                <w:b/>
                <w:color w:val="000000" w:themeColor="text1"/>
                <w:sz w:val="20"/>
                <w:lang w:val="en-US"/>
              </w:rPr>
              <w:t>The S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pokesperson for the President of the Statistics Poland</w:t>
            </w:r>
          </w:p>
          <w:p w:rsidR="00EF53D1" w:rsidRPr="00A55231" w:rsidRDefault="00EF53D1" w:rsidP="00EF53D1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A55231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EF53D1" w:rsidRPr="008F3638" w:rsidRDefault="00EF53D1" w:rsidP="00EF53D1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22 608 34</w:t>
            </w:r>
            <w:r w:rsidR="00B714E0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75,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22 608 30</w:t>
            </w:r>
            <w:r w:rsidR="00B714E0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:rsidR="00CA7351" w:rsidRPr="00C2775E" w:rsidRDefault="00EF53D1" w:rsidP="00EF53D1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  <w:r w:rsidRPr="00C2775E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e-mail: rzecznik@stat.gov.pl</w:t>
            </w:r>
          </w:p>
        </w:tc>
      </w:tr>
    </w:tbl>
    <w:p w:rsidR="00CA7351" w:rsidRPr="00C2775E" w:rsidRDefault="00CA7351" w:rsidP="00CA7351">
      <w:pPr>
        <w:rPr>
          <w:sz w:val="20"/>
        </w:rPr>
      </w:pPr>
    </w:p>
    <w:p w:rsidR="00CA7351" w:rsidRPr="00C2775E" w:rsidRDefault="00CA7351" w:rsidP="00CA7351">
      <w:pPr>
        <w:rPr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CA7351" w:rsidTr="00F53E18">
        <w:trPr>
          <w:trHeight w:val="610"/>
        </w:trPr>
        <w:tc>
          <w:tcPr>
            <w:tcW w:w="2721" w:type="pct"/>
            <w:vMerge w:val="restart"/>
            <w:vAlign w:val="center"/>
          </w:tcPr>
          <w:p w:rsidR="00EF53D1" w:rsidRPr="00A55231" w:rsidRDefault="00EF53D1" w:rsidP="00EF53D1">
            <w:pPr>
              <w:rPr>
                <w:b/>
                <w:sz w:val="20"/>
                <w:lang w:val="en-US"/>
              </w:rPr>
            </w:pPr>
            <w:r w:rsidRPr="00A55231">
              <w:rPr>
                <w:b/>
                <w:sz w:val="20"/>
                <w:lang w:val="en-US"/>
              </w:rPr>
              <w:t>Press Office</w:t>
            </w:r>
          </w:p>
          <w:p w:rsidR="00EF53D1" w:rsidRPr="00A55231" w:rsidRDefault="00EF53D1" w:rsidP="00EF53D1">
            <w:pPr>
              <w:rPr>
                <w:sz w:val="20"/>
                <w:lang w:val="en-US"/>
              </w:rPr>
            </w:pPr>
            <w:r w:rsidRPr="00A55231">
              <w:rPr>
                <w:b/>
                <w:sz w:val="20"/>
                <w:lang w:val="en-US"/>
              </w:rPr>
              <w:t xml:space="preserve">tel.: </w:t>
            </w:r>
            <w:r w:rsidRPr="00A55231">
              <w:rPr>
                <w:sz w:val="20"/>
                <w:lang w:val="en-US"/>
              </w:rPr>
              <w:t>+48</w:t>
            </w:r>
            <w:r w:rsidRPr="00A55231">
              <w:rPr>
                <w:b/>
                <w:sz w:val="20"/>
                <w:lang w:val="en-US"/>
              </w:rPr>
              <w:t xml:space="preserve"> </w:t>
            </w:r>
            <w:r w:rsidRPr="00A55231">
              <w:rPr>
                <w:sz w:val="20"/>
                <w:lang w:val="en-US"/>
              </w:rPr>
              <w:t xml:space="preserve">22 608 34 91, +48 22 608 38 04 </w:t>
            </w:r>
          </w:p>
          <w:p w:rsidR="00EF53D1" w:rsidRPr="00EE456A" w:rsidRDefault="00EF53D1" w:rsidP="00EF53D1">
            <w:pPr>
              <w:rPr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fax</w:t>
            </w:r>
            <w:r w:rsidRPr="00EE456A">
              <w:rPr>
                <w:b/>
                <w:sz w:val="20"/>
                <w:lang w:val="en-US"/>
              </w:rPr>
              <w:t>:</w:t>
            </w:r>
            <w:r w:rsidRPr="00EE456A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+48 </w:t>
            </w:r>
            <w:r w:rsidRPr="00EE456A">
              <w:rPr>
                <w:sz w:val="20"/>
                <w:lang w:val="en-US"/>
              </w:rPr>
              <w:t xml:space="preserve">22 608 38 86 </w:t>
            </w:r>
          </w:p>
          <w:p w:rsidR="00CA7351" w:rsidRPr="00EE456A" w:rsidRDefault="00EF53D1" w:rsidP="00EF53D1">
            <w:pPr>
              <w:rPr>
                <w:sz w:val="18"/>
                <w:lang w:val="en-US"/>
              </w:rPr>
            </w:pPr>
            <w:r w:rsidRPr="00EE456A">
              <w:rPr>
                <w:b/>
                <w:sz w:val="20"/>
                <w:lang w:val="en-US"/>
              </w:rPr>
              <w:t>e-mail:</w:t>
            </w:r>
            <w:r w:rsidRPr="00EE456A">
              <w:rPr>
                <w:sz w:val="20"/>
                <w:lang w:val="en-US"/>
              </w:rPr>
              <w:t xml:space="preserve"> </w:t>
            </w:r>
            <w:r w:rsidRPr="00907E1E">
              <w:rPr>
                <w:sz w:val="20"/>
                <w:lang w:val="en-US"/>
              </w:rPr>
              <w:t>obslugaprasowa@stat.gov.pl</w:t>
            </w:r>
          </w:p>
        </w:tc>
        <w:tc>
          <w:tcPr>
            <w:tcW w:w="369" w:type="pct"/>
            <w:vAlign w:val="center"/>
          </w:tcPr>
          <w:p w:rsidR="00CA7351" w:rsidRPr="00EE456A" w:rsidRDefault="00CA7351" w:rsidP="00CA7351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CA7351" w:rsidRDefault="00CA7351" w:rsidP="00CA7351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CA7351" w:rsidTr="00F53E18">
        <w:trPr>
          <w:trHeight w:val="436"/>
        </w:trPr>
        <w:tc>
          <w:tcPr>
            <w:tcW w:w="2721" w:type="pct"/>
            <w:vMerge/>
            <w:vAlign w:val="center"/>
          </w:tcPr>
          <w:p w:rsidR="00CA7351" w:rsidRDefault="00CA7351" w:rsidP="00CA7351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CA7351" w:rsidRDefault="00CA7351" w:rsidP="00CA7351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9856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CA7351" w:rsidRDefault="00CA7351" w:rsidP="00CA7351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CA7351" w:rsidTr="00F53E18">
        <w:trPr>
          <w:trHeight w:val="436"/>
        </w:trPr>
        <w:tc>
          <w:tcPr>
            <w:tcW w:w="2721" w:type="pct"/>
            <w:vMerge/>
            <w:vAlign w:val="center"/>
          </w:tcPr>
          <w:p w:rsidR="00CA7351" w:rsidRDefault="00CA7351" w:rsidP="00CA7351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CA7351" w:rsidRDefault="00CA7351" w:rsidP="00CA7351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CA7351" w:rsidRDefault="00CA7351" w:rsidP="00CA7351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D261A2" w:rsidRPr="00001C5B" w:rsidRDefault="00785FDE" w:rsidP="00E76D26">
      <w:pPr>
        <w:rPr>
          <w:sz w:val="18"/>
        </w:rPr>
      </w:pPr>
      <w:r>
        <w:rPr>
          <w:noProof/>
          <w:sz w:val="18"/>
          <w:lang w:eastAsia="pl-PL"/>
        </w:rPr>
        <w:pict>
          <v:shape id="_x0000_s1029" type="#_x0000_t202" style="position:absolute;margin-left:1.5pt;margin-top:33.5pt;width:516.5pt;height:349.85pt;z-index:251691008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+4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kNjKT62YYP1&#10;I2nvcNwC2lo6tOh+cdbTBlTc/9yBk5zpz5b6t5jO53FlkjEv3s/IcKeezakHrCCoigfOxuM6pDWL&#10;VC1eUZ8blTrwwuRAmSY7SXjYwrg6p3aKevlXrJ4A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G61f7g+AgAAcwQAAA4A&#10;AAAAAAAAAAAAAAAALgIAAGRycy9lMm9Eb2MueG1sUEsBAi0AFAAGAAgAAAAhAG7AMXzfAAAACQEA&#10;AA8AAAAAAAAAAAAAAAAAmAQAAGRycy9kb3ducmV2LnhtbFBLBQYAAAAABAAEAPMAAACkBQAAAAA=&#10;" fillcolor="#f2f2f2 [3052]" strokecolor="white [3212]">
            <v:textbox>
              <w:txbxContent>
                <w:p w:rsidR="00730963" w:rsidRDefault="00730963" w:rsidP="00AB6D25">
                  <w:pPr>
                    <w:rPr>
                      <w:b/>
                    </w:rPr>
                  </w:pPr>
                </w:p>
                <w:p w:rsidR="00EF53D1" w:rsidRPr="00C2775E" w:rsidRDefault="00EF53D1" w:rsidP="00EF53D1">
                  <w:pPr>
                    <w:rPr>
                      <w:b/>
                      <w:lang w:val="en-US"/>
                    </w:rPr>
                  </w:pPr>
                  <w:r w:rsidRPr="00C2775E">
                    <w:rPr>
                      <w:b/>
                      <w:lang w:val="en-US"/>
                    </w:rPr>
                    <w:t>Related information</w:t>
                  </w:r>
                </w:p>
                <w:p w:rsidR="00EF53D1" w:rsidRPr="005C43A4" w:rsidRDefault="00785FDE" w:rsidP="00EF53D1">
                  <w:pPr>
                    <w:rPr>
                      <w:sz w:val="18"/>
                      <w:szCs w:val="18"/>
                      <w:lang w:val="en-US"/>
                    </w:rPr>
                  </w:pPr>
                  <w:hyperlink r:id="rId23" w:history="1">
                    <w:r w:rsidR="00EF53D1" w:rsidRPr="00C56EEC">
                      <w:rPr>
                        <w:rStyle w:val="Hipercze"/>
                        <w:rFonts w:cstheme="minorBidi"/>
                        <w:sz w:val="18"/>
                        <w:szCs w:val="18"/>
                        <w:lang w:val="en-US"/>
                      </w:rPr>
                      <w:t>Price indices of residential premises by voivodships</w:t>
                    </w:r>
                  </w:hyperlink>
                </w:p>
                <w:p w:rsidR="00EF53D1" w:rsidRPr="00A55231" w:rsidRDefault="00785FDE" w:rsidP="00EF53D1">
                  <w:pPr>
                    <w:rPr>
                      <w:sz w:val="18"/>
                      <w:szCs w:val="18"/>
                      <w:lang w:val="en-US"/>
                    </w:rPr>
                  </w:pPr>
                  <w:hyperlink r:id="rId24" w:history="1">
                    <w:r w:rsidR="00EF53D1" w:rsidRPr="00A4228F">
                      <w:rPr>
                        <w:rStyle w:val="Hipercze"/>
                        <w:rFonts w:cstheme="minorBidi"/>
                        <w:sz w:val="18"/>
                        <w:szCs w:val="18"/>
                        <w:lang w:val="en-US"/>
                      </w:rPr>
                      <w:t xml:space="preserve">Price of one square meter of usable floor </w:t>
                    </w:r>
                    <w:r w:rsidR="00B714E0" w:rsidRPr="00A4228F">
                      <w:rPr>
                        <w:rStyle w:val="Hipercze"/>
                        <w:rFonts w:cstheme="minorBidi"/>
                        <w:sz w:val="18"/>
                        <w:szCs w:val="18"/>
                        <w:lang w:val="en-US"/>
                      </w:rPr>
                      <w:t>space of a residential building</w:t>
                    </w:r>
                  </w:hyperlink>
                </w:p>
                <w:p w:rsidR="00730963" w:rsidRPr="00EF53D1" w:rsidRDefault="00785FDE" w:rsidP="00CA7351">
                  <w:pPr>
                    <w:rPr>
                      <w:rFonts w:cs="Arial"/>
                      <w:color w:val="001D77"/>
                      <w:sz w:val="18"/>
                      <w:szCs w:val="30"/>
                      <w:u w:val="single"/>
                      <w:shd w:val="clear" w:color="auto" w:fill="F0F0F0"/>
                      <w:lang w:val="en-US"/>
                    </w:rPr>
                  </w:pPr>
                  <w:hyperlink r:id="rId25" w:history="1">
                    <w:r w:rsidR="00EF53D1" w:rsidRPr="00A26FE1">
                      <w:rPr>
                        <w:rStyle w:val="Hipercze"/>
                        <w:rFonts w:cs="Arial"/>
                        <w:sz w:val="18"/>
                        <w:szCs w:val="30"/>
                        <w:shd w:val="clear" w:color="auto" w:fill="F0F0F0"/>
                        <w:lang w:val="en-US"/>
                      </w:rPr>
                      <w:t xml:space="preserve">Real </w:t>
                    </w:r>
                    <w:r w:rsidR="00A26FE1" w:rsidRPr="00A26FE1">
                      <w:rPr>
                        <w:rStyle w:val="Hipercze"/>
                        <w:rFonts w:cs="Arial"/>
                        <w:sz w:val="18"/>
                        <w:szCs w:val="30"/>
                        <w:shd w:val="clear" w:color="auto" w:fill="F0F0F0"/>
                        <w:lang w:val="en-US"/>
                      </w:rPr>
                      <w:t>E</w:t>
                    </w:r>
                    <w:r w:rsidR="00EF53D1" w:rsidRPr="00A26FE1">
                      <w:rPr>
                        <w:rStyle w:val="Hipercze"/>
                        <w:rFonts w:cs="Arial"/>
                        <w:sz w:val="18"/>
                        <w:szCs w:val="30"/>
                        <w:shd w:val="clear" w:color="auto" w:fill="F0F0F0"/>
                        <w:lang w:val="en-US"/>
                      </w:rPr>
                      <w:t xml:space="preserve">state </w:t>
                    </w:r>
                    <w:r w:rsidR="00A26FE1" w:rsidRPr="00A26FE1">
                      <w:rPr>
                        <w:rStyle w:val="Hipercze"/>
                        <w:rFonts w:cs="Arial"/>
                        <w:sz w:val="18"/>
                        <w:szCs w:val="30"/>
                        <w:shd w:val="clear" w:color="auto" w:fill="F0F0F0"/>
                        <w:lang w:val="en-US"/>
                      </w:rPr>
                      <w:t>Sales</w:t>
                    </w:r>
                    <w:r w:rsidR="00EF53D1" w:rsidRPr="00A26FE1">
                      <w:rPr>
                        <w:rStyle w:val="Hipercze"/>
                        <w:rFonts w:cs="Arial"/>
                        <w:sz w:val="18"/>
                        <w:szCs w:val="30"/>
                        <w:shd w:val="clear" w:color="auto" w:fill="F0F0F0"/>
                        <w:lang w:val="en-US"/>
                      </w:rPr>
                      <w:t xml:space="preserve"> in 2017</w:t>
                    </w:r>
                  </w:hyperlink>
                </w:p>
                <w:p w:rsidR="00730963" w:rsidRPr="00EF53D1" w:rsidRDefault="00730963" w:rsidP="00CA7351">
                  <w:pPr>
                    <w:rPr>
                      <w:b/>
                      <w:color w:val="000000" w:themeColor="text1"/>
                      <w:szCs w:val="24"/>
                      <w:lang w:val="en-US"/>
                    </w:rPr>
                  </w:pPr>
                </w:p>
                <w:p w:rsidR="00EF53D1" w:rsidRPr="004802D4" w:rsidRDefault="00EF53D1" w:rsidP="00EF53D1">
                  <w:pPr>
                    <w:rPr>
                      <w:b/>
                      <w:color w:val="000000" w:themeColor="text1"/>
                      <w:szCs w:val="24"/>
                      <w:lang w:val="en-US"/>
                    </w:rPr>
                  </w:pPr>
                  <w:r w:rsidRPr="004802D4">
                    <w:rPr>
                      <w:b/>
                      <w:color w:val="000000" w:themeColor="text1"/>
                      <w:szCs w:val="24"/>
                      <w:lang w:val="en-US"/>
                    </w:rPr>
                    <w:t>Data available in databases</w:t>
                  </w:r>
                </w:p>
                <w:p w:rsidR="00730963" w:rsidRPr="00C2775E" w:rsidRDefault="00785FDE" w:rsidP="00CA7351">
                  <w:pPr>
                    <w:rPr>
                      <w:rFonts w:cs="Fira Sans"/>
                      <w:sz w:val="18"/>
                      <w:szCs w:val="18"/>
                      <w:lang w:val="en-US"/>
                    </w:rPr>
                  </w:pPr>
                  <w:hyperlink r:id="rId26" w:history="1">
                    <w:r w:rsidR="00EF53D1" w:rsidRPr="00C2775E">
                      <w:rPr>
                        <w:rStyle w:val="Hipercze"/>
                        <w:rFonts w:cs="Fira Sans"/>
                        <w:sz w:val="18"/>
                        <w:szCs w:val="18"/>
                        <w:lang w:val="en-US"/>
                      </w:rPr>
                      <w:t>Knowledge Databases (DBW) Prices</w:t>
                    </w:r>
                  </w:hyperlink>
                </w:p>
                <w:p w:rsidR="00EF53D1" w:rsidRPr="00C2775E" w:rsidRDefault="00EF53D1" w:rsidP="00CA7351">
                  <w:pPr>
                    <w:rPr>
                      <w:b/>
                      <w:color w:val="000000" w:themeColor="text1"/>
                      <w:szCs w:val="24"/>
                      <w:lang w:val="en-US"/>
                    </w:rPr>
                  </w:pPr>
                </w:p>
                <w:p w:rsidR="00EF53D1" w:rsidRPr="004802D4" w:rsidRDefault="00EF53D1" w:rsidP="00EF53D1">
                  <w:pPr>
                    <w:rPr>
                      <w:b/>
                      <w:color w:val="000000" w:themeColor="text1"/>
                      <w:szCs w:val="24"/>
                      <w:lang w:val="en-US"/>
                    </w:rPr>
                  </w:pPr>
                  <w:r w:rsidRPr="004802D4">
                    <w:rPr>
                      <w:b/>
                      <w:color w:val="000000" w:themeColor="text1"/>
                      <w:szCs w:val="24"/>
                      <w:lang w:val="en-US"/>
                    </w:rPr>
                    <w:t>Te</w:t>
                  </w:r>
                  <w:r>
                    <w:rPr>
                      <w:b/>
                      <w:color w:val="000000" w:themeColor="text1"/>
                      <w:szCs w:val="24"/>
                      <w:lang w:val="en-US"/>
                    </w:rPr>
                    <w:t>rms used in official statistics</w:t>
                  </w:r>
                </w:p>
                <w:p w:rsidR="00EF53D1" w:rsidRPr="00DE0B3F" w:rsidRDefault="00785FDE" w:rsidP="00EF53D1">
                  <w:pPr>
                    <w:rPr>
                      <w:lang w:val="en-US"/>
                    </w:rPr>
                  </w:pPr>
                  <w:hyperlink r:id="rId27" w:history="1">
                    <w:r w:rsidR="00EF53D1" w:rsidRPr="00DE0B3F">
                      <w:rPr>
                        <w:rStyle w:val="Hipercze"/>
                        <w:rFonts w:cstheme="minorBidi"/>
                        <w:lang w:val="en-US"/>
                      </w:rPr>
                      <w:t>Real estate tur</w:t>
                    </w:r>
                    <w:r w:rsidR="00EF53D1">
                      <w:rPr>
                        <w:rStyle w:val="Hipercze"/>
                        <w:rFonts w:cstheme="minorBidi"/>
                        <w:lang w:val="en-US"/>
                      </w:rPr>
                      <w:t>n</w:t>
                    </w:r>
                    <w:r w:rsidR="00EF53D1" w:rsidRPr="00DE0B3F">
                      <w:rPr>
                        <w:rStyle w:val="Hipercze"/>
                        <w:rFonts w:cstheme="minorBidi"/>
                        <w:lang w:val="en-US"/>
                      </w:rPr>
                      <w:t>over</w:t>
                    </w:r>
                  </w:hyperlink>
                </w:p>
                <w:p w:rsidR="00EF53D1" w:rsidRPr="005C43A4" w:rsidRDefault="00785FDE" w:rsidP="00EF53D1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hyperlink r:id="rId28" w:history="1">
                    <w:r w:rsidR="00EF53D1" w:rsidRPr="005C43A4">
                      <w:rPr>
                        <w:rStyle w:val="Hipercze"/>
                        <w:rFonts w:cs="Arial"/>
                        <w:sz w:val="18"/>
                        <w:szCs w:val="30"/>
                        <w:shd w:val="clear" w:color="auto" w:fill="F0F0F0"/>
                        <w:lang w:val="en-US"/>
                      </w:rPr>
                      <w:t>Register of Real Estate Prices and Values</w:t>
                    </w:r>
                  </w:hyperlink>
                </w:p>
                <w:p w:rsidR="00EF53D1" w:rsidRPr="005C43A4" w:rsidRDefault="00785FDE" w:rsidP="00EF53D1">
                  <w:pPr>
                    <w:spacing w:line="240" w:lineRule="auto"/>
                    <w:rPr>
                      <w:rFonts w:cs="Arial"/>
                      <w:color w:val="001D77"/>
                      <w:sz w:val="18"/>
                      <w:szCs w:val="30"/>
                      <w:u w:val="single"/>
                      <w:shd w:val="clear" w:color="auto" w:fill="F0F0F0"/>
                      <w:lang w:val="en-US"/>
                    </w:rPr>
                  </w:pPr>
                  <w:hyperlink r:id="rId29" w:history="1">
                    <w:r w:rsidR="00EF53D1" w:rsidRPr="005C43A4">
                      <w:rPr>
                        <w:rStyle w:val="Hipercze"/>
                        <w:rFonts w:cs="Arial"/>
                        <w:sz w:val="18"/>
                        <w:szCs w:val="30"/>
                        <w:shd w:val="clear" w:color="auto" w:fill="F0F0F0"/>
                        <w:lang w:val="en-US"/>
                      </w:rPr>
                      <w:t>Premises</w:t>
                    </w:r>
                  </w:hyperlink>
                </w:p>
                <w:p w:rsidR="00730963" w:rsidRPr="00B86DF8" w:rsidRDefault="00730963" w:rsidP="00AB6D25">
                  <w:pPr>
                    <w:rPr>
                      <w:rFonts w:cs="Arial"/>
                      <w:color w:val="001D77"/>
                      <w:sz w:val="18"/>
                      <w:szCs w:val="30"/>
                      <w:u w:val="single"/>
                      <w:shd w:val="clear" w:color="auto" w:fill="F0F0F0"/>
                      <w:lang w:val="en-US"/>
                    </w:rPr>
                  </w:pPr>
                </w:p>
              </w:txbxContent>
            </v:textbox>
            <w10:wrap type="square" anchorx="margin"/>
          </v:shape>
        </w:pict>
      </w:r>
    </w:p>
    <w:sectPr w:rsidR="00D261A2" w:rsidRPr="00001C5B" w:rsidSect="003B18B6">
      <w:headerReference w:type="default" r:id="rId30"/>
      <w:footerReference w:type="default" r:id="rId3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FDE" w:rsidRDefault="00785FDE" w:rsidP="000662E2">
      <w:pPr>
        <w:spacing w:after="0" w:line="240" w:lineRule="auto"/>
      </w:pPr>
      <w:r>
        <w:separator/>
      </w:r>
    </w:p>
  </w:endnote>
  <w:endnote w:type="continuationSeparator" w:id="0">
    <w:p w:rsidR="00785FDE" w:rsidRDefault="00785FD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:rsidR="00730963" w:rsidRDefault="005729F2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314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:rsidR="00730963" w:rsidRDefault="005729F2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314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730963" w:rsidRDefault="005729F2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3147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FDE" w:rsidRDefault="00785FDE" w:rsidP="000662E2">
      <w:pPr>
        <w:spacing w:after="0" w:line="240" w:lineRule="auto"/>
      </w:pPr>
      <w:r>
        <w:separator/>
      </w:r>
    </w:p>
  </w:footnote>
  <w:footnote w:type="continuationSeparator" w:id="0">
    <w:p w:rsidR="00785FDE" w:rsidRDefault="00785FDE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963" w:rsidRDefault="00785FDE">
    <w:pPr>
      <w:pStyle w:val="Nagwek"/>
    </w:pPr>
    <w:r>
      <w:rPr>
        <w:noProof/>
        <w:lang w:eastAsia="pl-PL"/>
      </w:rPr>
      <w:pict>
        <v:rect id="Prostokąt 24" o:spid="_x0000_s2058" style="position:absolute;margin-left:410.6pt;margin-top:-14.05pt;width:147.6pt;height:1785.85pt;z-index:-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<v:path arrowok="t"/>
        </v:rect>
      </w:pict>
    </w:r>
  </w:p>
  <w:p w:rsidR="00730963" w:rsidRDefault="0073096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963" w:rsidRDefault="00730963">
    <w:pPr>
      <w:pStyle w:val="Nagwek"/>
      <w:rPr>
        <w:noProof/>
        <w:lang w:eastAsia="pl-PL"/>
      </w:rPr>
    </w:pPr>
    <w:r w:rsidRPr="00981C2B">
      <w:rPr>
        <w:noProof/>
        <w:lang w:eastAsia="pl-PL"/>
      </w:rPr>
      <w:drawing>
        <wp:inline distT="0" distB="0" distL="0" distR="0">
          <wp:extent cx="2080803" cy="719653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ang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0803" cy="719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85FDE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11pt;margin-top:61.65pt;width:112.8pt;height:26.5pt;z-index:25166950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<v:textbox>
            <w:txbxContent>
              <w:p w:rsidR="00730963" w:rsidRPr="00C97596" w:rsidRDefault="00730963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</w:p>
            </w:txbxContent>
          </v:textbox>
        </v:shape>
      </w:pict>
    </w:r>
    <w:r w:rsidR="00785FDE">
      <w:rPr>
        <w:noProof/>
        <w:lang w:eastAsia="pl-PL"/>
      </w:rPr>
      <w:pict>
        <v:shape id="Schemat blokowy: opóźnienie 6" o:spid="_x0000_s2057" style="position:absolute;margin-left:396.6pt;margin-top:15.65pt;width:162.25pt;height:28.15pt;flip:x;z-index:251668480;visibility:visible;mso-position-horizontal-relative:text;mso-position-vertical-relative:text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>
            <w:txbxContent>
              <w:p w:rsidR="00730963" w:rsidRPr="003C6C8D" w:rsidRDefault="00730963" w:rsidP="00074DD8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NEWS RELEASES</w:t>
                </w:r>
              </w:p>
            </w:txbxContent>
          </v:textbox>
        </v:shape>
      </w:pict>
    </w:r>
    <w:r w:rsidR="00785FDE">
      <w:rPr>
        <w:noProof/>
        <w:lang w:eastAsia="pl-PL"/>
      </w:rPr>
      <w:pict>
        <v:rect id="Prostokąt 10" o:spid="_x0000_s2056" style="position:absolute;margin-left:410.95pt;margin-top:40.3pt;width:147.4pt;height:1803.55pt;z-index:-251650048;visibility:visible;mso-position-horizontal-relative:text;mso-position-vertical-relative:text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<v:path arrowok="t"/>
          <w10:wrap type="tight"/>
        </v:r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963" w:rsidRDefault="00730963">
    <w:pPr>
      <w:pStyle w:val="Nagwek"/>
    </w:pPr>
  </w:p>
  <w:p w:rsidR="00730963" w:rsidRDefault="0073096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05E2"/>
    <w:rsid w:val="00001C5B"/>
    <w:rsid w:val="00003437"/>
    <w:rsid w:val="0000709F"/>
    <w:rsid w:val="000108B8"/>
    <w:rsid w:val="00015039"/>
    <w:rsid w:val="000152F5"/>
    <w:rsid w:val="000359A8"/>
    <w:rsid w:val="0004582E"/>
    <w:rsid w:val="000470AA"/>
    <w:rsid w:val="00053CA1"/>
    <w:rsid w:val="00053FC8"/>
    <w:rsid w:val="000574B9"/>
    <w:rsid w:val="00057CA1"/>
    <w:rsid w:val="00057DB8"/>
    <w:rsid w:val="000662E2"/>
    <w:rsid w:val="00066883"/>
    <w:rsid w:val="00074DD8"/>
    <w:rsid w:val="000806F7"/>
    <w:rsid w:val="000841E8"/>
    <w:rsid w:val="00087F0A"/>
    <w:rsid w:val="000904CB"/>
    <w:rsid w:val="00097840"/>
    <w:rsid w:val="000A2B95"/>
    <w:rsid w:val="000B0727"/>
    <w:rsid w:val="000B670C"/>
    <w:rsid w:val="000C03C0"/>
    <w:rsid w:val="000C135D"/>
    <w:rsid w:val="000D1D43"/>
    <w:rsid w:val="000D225C"/>
    <w:rsid w:val="000D2A5C"/>
    <w:rsid w:val="000D6F7D"/>
    <w:rsid w:val="000E0918"/>
    <w:rsid w:val="000E27C8"/>
    <w:rsid w:val="000E729C"/>
    <w:rsid w:val="000F4033"/>
    <w:rsid w:val="000F6D5A"/>
    <w:rsid w:val="001003B7"/>
    <w:rsid w:val="001011C3"/>
    <w:rsid w:val="001034CE"/>
    <w:rsid w:val="00110D87"/>
    <w:rsid w:val="001121DF"/>
    <w:rsid w:val="00114DB9"/>
    <w:rsid w:val="00116087"/>
    <w:rsid w:val="00116B3F"/>
    <w:rsid w:val="00117B13"/>
    <w:rsid w:val="00124E28"/>
    <w:rsid w:val="00126565"/>
    <w:rsid w:val="00130296"/>
    <w:rsid w:val="00140AD8"/>
    <w:rsid w:val="001423B6"/>
    <w:rsid w:val="00144766"/>
    <w:rsid w:val="001448A7"/>
    <w:rsid w:val="001461CC"/>
    <w:rsid w:val="00146621"/>
    <w:rsid w:val="00162325"/>
    <w:rsid w:val="00171C8A"/>
    <w:rsid w:val="001951DA"/>
    <w:rsid w:val="00195BF1"/>
    <w:rsid w:val="001A0198"/>
    <w:rsid w:val="001A297A"/>
    <w:rsid w:val="001A3839"/>
    <w:rsid w:val="001B12D0"/>
    <w:rsid w:val="001C3269"/>
    <w:rsid w:val="001D1DB4"/>
    <w:rsid w:val="001E1388"/>
    <w:rsid w:val="001F043B"/>
    <w:rsid w:val="001F6AC4"/>
    <w:rsid w:val="00202CB0"/>
    <w:rsid w:val="00213227"/>
    <w:rsid w:val="002535A3"/>
    <w:rsid w:val="002574F1"/>
    <w:rsid w:val="002574F9"/>
    <w:rsid w:val="00262B61"/>
    <w:rsid w:val="00266F56"/>
    <w:rsid w:val="00276811"/>
    <w:rsid w:val="00282699"/>
    <w:rsid w:val="0028505D"/>
    <w:rsid w:val="00287AF2"/>
    <w:rsid w:val="00291813"/>
    <w:rsid w:val="002926DF"/>
    <w:rsid w:val="00293B62"/>
    <w:rsid w:val="002940EF"/>
    <w:rsid w:val="00296697"/>
    <w:rsid w:val="002A160D"/>
    <w:rsid w:val="002A453B"/>
    <w:rsid w:val="002B0472"/>
    <w:rsid w:val="002B04E4"/>
    <w:rsid w:val="002B3B27"/>
    <w:rsid w:val="002B6B12"/>
    <w:rsid w:val="002D2BEB"/>
    <w:rsid w:val="002D5D8C"/>
    <w:rsid w:val="002D72B8"/>
    <w:rsid w:val="002E46B7"/>
    <w:rsid w:val="002E6140"/>
    <w:rsid w:val="002E6985"/>
    <w:rsid w:val="002E71B6"/>
    <w:rsid w:val="002F77C8"/>
    <w:rsid w:val="0030246A"/>
    <w:rsid w:val="00304F22"/>
    <w:rsid w:val="00306C7C"/>
    <w:rsid w:val="00322EDD"/>
    <w:rsid w:val="00332320"/>
    <w:rsid w:val="00333542"/>
    <w:rsid w:val="00344C07"/>
    <w:rsid w:val="00347D72"/>
    <w:rsid w:val="003563F6"/>
    <w:rsid w:val="00357611"/>
    <w:rsid w:val="003601A9"/>
    <w:rsid w:val="0036562A"/>
    <w:rsid w:val="00367237"/>
    <w:rsid w:val="0037077F"/>
    <w:rsid w:val="00371102"/>
    <w:rsid w:val="00371AA7"/>
    <w:rsid w:val="00372411"/>
    <w:rsid w:val="00373882"/>
    <w:rsid w:val="003843DB"/>
    <w:rsid w:val="00393761"/>
    <w:rsid w:val="00397D18"/>
    <w:rsid w:val="003A1B36"/>
    <w:rsid w:val="003B1454"/>
    <w:rsid w:val="003B18B6"/>
    <w:rsid w:val="003B46F7"/>
    <w:rsid w:val="003B56C8"/>
    <w:rsid w:val="003C59E0"/>
    <w:rsid w:val="003C6C8D"/>
    <w:rsid w:val="003D14C1"/>
    <w:rsid w:val="003D4F95"/>
    <w:rsid w:val="003D5F42"/>
    <w:rsid w:val="003D60A9"/>
    <w:rsid w:val="003D6185"/>
    <w:rsid w:val="003F4C97"/>
    <w:rsid w:val="003F7FE6"/>
    <w:rsid w:val="00400193"/>
    <w:rsid w:val="00403C1A"/>
    <w:rsid w:val="00416BEF"/>
    <w:rsid w:val="004178B0"/>
    <w:rsid w:val="004212E7"/>
    <w:rsid w:val="00423C60"/>
    <w:rsid w:val="0042446D"/>
    <w:rsid w:val="00427BF8"/>
    <w:rsid w:val="004313A1"/>
    <w:rsid w:val="00431C02"/>
    <w:rsid w:val="00431FFC"/>
    <w:rsid w:val="004347C3"/>
    <w:rsid w:val="00437162"/>
    <w:rsid w:val="00437395"/>
    <w:rsid w:val="00437A70"/>
    <w:rsid w:val="00445047"/>
    <w:rsid w:val="00462BE1"/>
    <w:rsid w:val="00463E39"/>
    <w:rsid w:val="004657FC"/>
    <w:rsid w:val="004733F6"/>
    <w:rsid w:val="00474E69"/>
    <w:rsid w:val="00480C23"/>
    <w:rsid w:val="00483BBF"/>
    <w:rsid w:val="0049621B"/>
    <w:rsid w:val="004A3D09"/>
    <w:rsid w:val="004C03B9"/>
    <w:rsid w:val="004C1895"/>
    <w:rsid w:val="004C6D40"/>
    <w:rsid w:val="004D4E8A"/>
    <w:rsid w:val="004E0A1B"/>
    <w:rsid w:val="004E6E19"/>
    <w:rsid w:val="004F0C3C"/>
    <w:rsid w:val="004F407F"/>
    <w:rsid w:val="004F5944"/>
    <w:rsid w:val="004F63FC"/>
    <w:rsid w:val="00505A92"/>
    <w:rsid w:val="0051704F"/>
    <w:rsid w:val="005203F1"/>
    <w:rsid w:val="00521BC3"/>
    <w:rsid w:val="00522E01"/>
    <w:rsid w:val="00525655"/>
    <w:rsid w:val="00531FB4"/>
    <w:rsid w:val="005326DA"/>
    <w:rsid w:val="00533632"/>
    <w:rsid w:val="00541E6E"/>
    <w:rsid w:val="0054251F"/>
    <w:rsid w:val="00544C28"/>
    <w:rsid w:val="00550D92"/>
    <w:rsid w:val="005520D8"/>
    <w:rsid w:val="00556CF1"/>
    <w:rsid w:val="00563A09"/>
    <w:rsid w:val="005729F2"/>
    <w:rsid w:val="00573E8B"/>
    <w:rsid w:val="005762A7"/>
    <w:rsid w:val="00577B61"/>
    <w:rsid w:val="00577E69"/>
    <w:rsid w:val="005916D7"/>
    <w:rsid w:val="0059548E"/>
    <w:rsid w:val="005A45AB"/>
    <w:rsid w:val="005A4B04"/>
    <w:rsid w:val="005A698C"/>
    <w:rsid w:val="005A77FF"/>
    <w:rsid w:val="005B370F"/>
    <w:rsid w:val="005B4788"/>
    <w:rsid w:val="005D0622"/>
    <w:rsid w:val="005E0799"/>
    <w:rsid w:val="005E2468"/>
    <w:rsid w:val="005E3B8D"/>
    <w:rsid w:val="005F2681"/>
    <w:rsid w:val="005F5A2A"/>
    <w:rsid w:val="005F5A80"/>
    <w:rsid w:val="005F65FB"/>
    <w:rsid w:val="00602ECE"/>
    <w:rsid w:val="006044FF"/>
    <w:rsid w:val="00607CC5"/>
    <w:rsid w:val="0061700A"/>
    <w:rsid w:val="00633014"/>
    <w:rsid w:val="0063437B"/>
    <w:rsid w:val="0064699F"/>
    <w:rsid w:val="00652F27"/>
    <w:rsid w:val="00653B61"/>
    <w:rsid w:val="00663083"/>
    <w:rsid w:val="006673CA"/>
    <w:rsid w:val="00672450"/>
    <w:rsid w:val="00673C26"/>
    <w:rsid w:val="006812AF"/>
    <w:rsid w:val="0068327D"/>
    <w:rsid w:val="00687D47"/>
    <w:rsid w:val="00694AF0"/>
    <w:rsid w:val="006A2E32"/>
    <w:rsid w:val="006A4686"/>
    <w:rsid w:val="006B0714"/>
    <w:rsid w:val="006B0E9E"/>
    <w:rsid w:val="006B20B0"/>
    <w:rsid w:val="006B5AE4"/>
    <w:rsid w:val="006B7192"/>
    <w:rsid w:val="006C24D2"/>
    <w:rsid w:val="006C723C"/>
    <w:rsid w:val="006D1507"/>
    <w:rsid w:val="006D4054"/>
    <w:rsid w:val="006E01B6"/>
    <w:rsid w:val="006E02EC"/>
    <w:rsid w:val="006E095C"/>
    <w:rsid w:val="006F46FF"/>
    <w:rsid w:val="006F57E5"/>
    <w:rsid w:val="0070110C"/>
    <w:rsid w:val="007068CE"/>
    <w:rsid w:val="00713D6B"/>
    <w:rsid w:val="007211B1"/>
    <w:rsid w:val="00730963"/>
    <w:rsid w:val="007343FA"/>
    <w:rsid w:val="00746187"/>
    <w:rsid w:val="00746E58"/>
    <w:rsid w:val="0076254F"/>
    <w:rsid w:val="007704D1"/>
    <w:rsid w:val="00773983"/>
    <w:rsid w:val="0077463A"/>
    <w:rsid w:val="007801F5"/>
    <w:rsid w:val="00783415"/>
    <w:rsid w:val="00783CA4"/>
    <w:rsid w:val="007842FB"/>
    <w:rsid w:val="00785DE5"/>
    <w:rsid w:val="00785FDE"/>
    <w:rsid w:val="00786124"/>
    <w:rsid w:val="0079514B"/>
    <w:rsid w:val="007A2DC1"/>
    <w:rsid w:val="007B0DC0"/>
    <w:rsid w:val="007B0E88"/>
    <w:rsid w:val="007B6C60"/>
    <w:rsid w:val="007C36C0"/>
    <w:rsid w:val="007D3319"/>
    <w:rsid w:val="007D335D"/>
    <w:rsid w:val="007D787C"/>
    <w:rsid w:val="007E2C09"/>
    <w:rsid w:val="007E3314"/>
    <w:rsid w:val="007E4B03"/>
    <w:rsid w:val="007F324B"/>
    <w:rsid w:val="0080553C"/>
    <w:rsid w:val="00805B46"/>
    <w:rsid w:val="00807A9E"/>
    <w:rsid w:val="008115B1"/>
    <w:rsid w:val="0081720D"/>
    <w:rsid w:val="0082084A"/>
    <w:rsid w:val="00825DC2"/>
    <w:rsid w:val="00834AD3"/>
    <w:rsid w:val="00836A8E"/>
    <w:rsid w:val="00843795"/>
    <w:rsid w:val="008464A2"/>
    <w:rsid w:val="00847F0F"/>
    <w:rsid w:val="00852448"/>
    <w:rsid w:val="00855753"/>
    <w:rsid w:val="0087115A"/>
    <w:rsid w:val="00871864"/>
    <w:rsid w:val="00877C40"/>
    <w:rsid w:val="0088088D"/>
    <w:rsid w:val="0088258A"/>
    <w:rsid w:val="0088490C"/>
    <w:rsid w:val="00885566"/>
    <w:rsid w:val="00886332"/>
    <w:rsid w:val="008A080B"/>
    <w:rsid w:val="008A26D9"/>
    <w:rsid w:val="008A6DEF"/>
    <w:rsid w:val="008B15C2"/>
    <w:rsid w:val="008B6C72"/>
    <w:rsid w:val="008C0C29"/>
    <w:rsid w:val="008C3AD3"/>
    <w:rsid w:val="008D0769"/>
    <w:rsid w:val="008D1A46"/>
    <w:rsid w:val="008D6BB0"/>
    <w:rsid w:val="008F3638"/>
    <w:rsid w:val="008F4441"/>
    <w:rsid w:val="008F6F31"/>
    <w:rsid w:val="008F74DF"/>
    <w:rsid w:val="0090392A"/>
    <w:rsid w:val="00907E1E"/>
    <w:rsid w:val="009127BA"/>
    <w:rsid w:val="00916910"/>
    <w:rsid w:val="00921153"/>
    <w:rsid w:val="009227A6"/>
    <w:rsid w:val="00923C49"/>
    <w:rsid w:val="0093147C"/>
    <w:rsid w:val="00933EC1"/>
    <w:rsid w:val="009530DB"/>
    <w:rsid w:val="00953676"/>
    <w:rsid w:val="0096551C"/>
    <w:rsid w:val="009705EE"/>
    <w:rsid w:val="00977927"/>
    <w:rsid w:val="0098135C"/>
    <w:rsid w:val="0098156A"/>
    <w:rsid w:val="00981C2B"/>
    <w:rsid w:val="009828B9"/>
    <w:rsid w:val="009866EF"/>
    <w:rsid w:val="00990C87"/>
    <w:rsid w:val="00991BAC"/>
    <w:rsid w:val="0099386D"/>
    <w:rsid w:val="00993B2B"/>
    <w:rsid w:val="00996EC5"/>
    <w:rsid w:val="009A6EA0"/>
    <w:rsid w:val="009C1335"/>
    <w:rsid w:val="009C1AB2"/>
    <w:rsid w:val="009C3C87"/>
    <w:rsid w:val="009C7251"/>
    <w:rsid w:val="009D7487"/>
    <w:rsid w:val="009D7EA7"/>
    <w:rsid w:val="009E09D9"/>
    <w:rsid w:val="009E181A"/>
    <w:rsid w:val="009E2E91"/>
    <w:rsid w:val="009F7474"/>
    <w:rsid w:val="00A01C7B"/>
    <w:rsid w:val="00A07E99"/>
    <w:rsid w:val="00A1305E"/>
    <w:rsid w:val="00A139F5"/>
    <w:rsid w:val="00A26FE1"/>
    <w:rsid w:val="00A32458"/>
    <w:rsid w:val="00A365F4"/>
    <w:rsid w:val="00A36A68"/>
    <w:rsid w:val="00A42229"/>
    <w:rsid w:val="00A4228F"/>
    <w:rsid w:val="00A42BEF"/>
    <w:rsid w:val="00A47D80"/>
    <w:rsid w:val="00A53132"/>
    <w:rsid w:val="00A563F2"/>
    <w:rsid w:val="00A566E8"/>
    <w:rsid w:val="00A57627"/>
    <w:rsid w:val="00A65754"/>
    <w:rsid w:val="00A665AD"/>
    <w:rsid w:val="00A810F9"/>
    <w:rsid w:val="00A86ECC"/>
    <w:rsid w:val="00A86FCC"/>
    <w:rsid w:val="00AA6B32"/>
    <w:rsid w:val="00AA710D"/>
    <w:rsid w:val="00AB1D28"/>
    <w:rsid w:val="00AB2FF4"/>
    <w:rsid w:val="00AB397C"/>
    <w:rsid w:val="00AB6D25"/>
    <w:rsid w:val="00AD13BB"/>
    <w:rsid w:val="00AD2379"/>
    <w:rsid w:val="00AD25B8"/>
    <w:rsid w:val="00AD30C3"/>
    <w:rsid w:val="00AD3EDF"/>
    <w:rsid w:val="00AD4ECB"/>
    <w:rsid w:val="00AD70D1"/>
    <w:rsid w:val="00AE2D4B"/>
    <w:rsid w:val="00AE3070"/>
    <w:rsid w:val="00AE4F99"/>
    <w:rsid w:val="00B0437F"/>
    <w:rsid w:val="00B05AE7"/>
    <w:rsid w:val="00B0739B"/>
    <w:rsid w:val="00B11B69"/>
    <w:rsid w:val="00B12F6E"/>
    <w:rsid w:val="00B14952"/>
    <w:rsid w:val="00B31E5A"/>
    <w:rsid w:val="00B47416"/>
    <w:rsid w:val="00B55189"/>
    <w:rsid w:val="00B653AB"/>
    <w:rsid w:val="00B65F9E"/>
    <w:rsid w:val="00B66B19"/>
    <w:rsid w:val="00B67457"/>
    <w:rsid w:val="00B714E0"/>
    <w:rsid w:val="00B73097"/>
    <w:rsid w:val="00B76A98"/>
    <w:rsid w:val="00B7755D"/>
    <w:rsid w:val="00B83925"/>
    <w:rsid w:val="00B86DF8"/>
    <w:rsid w:val="00B870B3"/>
    <w:rsid w:val="00B914E9"/>
    <w:rsid w:val="00B94D3E"/>
    <w:rsid w:val="00B956EE"/>
    <w:rsid w:val="00BA00F2"/>
    <w:rsid w:val="00BA2BA1"/>
    <w:rsid w:val="00BA3562"/>
    <w:rsid w:val="00BA474D"/>
    <w:rsid w:val="00BA6018"/>
    <w:rsid w:val="00BB2630"/>
    <w:rsid w:val="00BB4F09"/>
    <w:rsid w:val="00BB5809"/>
    <w:rsid w:val="00BD0335"/>
    <w:rsid w:val="00BD4E33"/>
    <w:rsid w:val="00BD5E55"/>
    <w:rsid w:val="00BE22CE"/>
    <w:rsid w:val="00BF0C5F"/>
    <w:rsid w:val="00BF5920"/>
    <w:rsid w:val="00C030DE"/>
    <w:rsid w:val="00C04936"/>
    <w:rsid w:val="00C1695A"/>
    <w:rsid w:val="00C22105"/>
    <w:rsid w:val="00C244B6"/>
    <w:rsid w:val="00C25A0A"/>
    <w:rsid w:val="00C2775E"/>
    <w:rsid w:val="00C3032C"/>
    <w:rsid w:val="00C356C0"/>
    <w:rsid w:val="00C366D2"/>
    <w:rsid w:val="00C3702F"/>
    <w:rsid w:val="00C44EB3"/>
    <w:rsid w:val="00C4500A"/>
    <w:rsid w:val="00C45AAB"/>
    <w:rsid w:val="00C47F04"/>
    <w:rsid w:val="00C56EEC"/>
    <w:rsid w:val="00C64A37"/>
    <w:rsid w:val="00C7158E"/>
    <w:rsid w:val="00C7250B"/>
    <w:rsid w:val="00C72FC4"/>
    <w:rsid w:val="00C7346B"/>
    <w:rsid w:val="00C737F5"/>
    <w:rsid w:val="00C7541C"/>
    <w:rsid w:val="00C77C0E"/>
    <w:rsid w:val="00C85CE7"/>
    <w:rsid w:val="00C90318"/>
    <w:rsid w:val="00C91687"/>
    <w:rsid w:val="00C924A8"/>
    <w:rsid w:val="00C93808"/>
    <w:rsid w:val="00C945FE"/>
    <w:rsid w:val="00C96FAA"/>
    <w:rsid w:val="00C97A04"/>
    <w:rsid w:val="00CA107B"/>
    <w:rsid w:val="00CA484D"/>
    <w:rsid w:val="00CA4FB6"/>
    <w:rsid w:val="00CA7351"/>
    <w:rsid w:val="00CB1805"/>
    <w:rsid w:val="00CC20A6"/>
    <w:rsid w:val="00CC739E"/>
    <w:rsid w:val="00CC7C9C"/>
    <w:rsid w:val="00CD1D82"/>
    <w:rsid w:val="00CD5410"/>
    <w:rsid w:val="00CD58B7"/>
    <w:rsid w:val="00CF3D9C"/>
    <w:rsid w:val="00CF4099"/>
    <w:rsid w:val="00D00796"/>
    <w:rsid w:val="00D11B38"/>
    <w:rsid w:val="00D156B6"/>
    <w:rsid w:val="00D23DF2"/>
    <w:rsid w:val="00D24CF3"/>
    <w:rsid w:val="00D261A2"/>
    <w:rsid w:val="00D30B17"/>
    <w:rsid w:val="00D340FA"/>
    <w:rsid w:val="00D346A4"/>
    <w:rsid w:val="00D430A0"/>
    <w:rsid w:val="00D434D0"/>
    <w:rsid w:val="00D616D2"/>
    <w:rsid w:val="00D63B5F"/>
    <w:rsid w:val="00D70EF7"/>
    <w:rsid w:val="00D74B00"/>
    <w:rsid w:val="00D8397C"/>
    <w:rsid w:val="00D84AB9"/>
    <w:rsid w:val="00D94EED"/>
    <w:rsid w:val="00D96026"/>
    <w:rsid w:val="00DA399D"/>
    <w:rsid w:val="00DA7A12"/>
    <w:rsid w:val="00DA7C1C"/>
    <w:rsid w:val="00DB147A"/>
    <w:rsid w:val="00DB1B7A"/>
    <w:rsid w:val="00DC1228"/>
    <w:rsid w:val="00DC6708"/>
    <w:rsid w:val="00DE0F55"/>
    <w:rsid w:val="00DE5CD1"/>
    <w:rsid w:val="00E01393"/>
    <w:rsid w:val="00E01436"/>
    <w:rsid w:val="00E025F8"/>
    <w:rsid w:val="00E045BD"/>
    <w:rsid w:val="00E07DBA"/>
    <w:rsid w:val="00E17B77"/>
    <w:rsid w:val="00E23337"/>
    <w:rsid w:val="00E259EA"/>
    <w:rsid w:val="00E32061"/>
    <w:rsid w:val="00E33AFB"/>
    <w:rsid w:val="00E36CE6"/>
    <w:rsid w:val="00E42FF9"/>
    <w:rsid w:val="00E4714C"/>
    <w:rsid w:val="00E47437"/>
    <w:rsid w:val="00E51AEB"/>
    <w:rsid w:val="00E522A7"/>
    <w:rsid w:val="00E54452"/>
    <w:rsid w:val="00E56DF4"/>
    <w:rsid w:val="00E664C5"/>
    <w:rsid w:val="00E671A2"/>
    <w:rsid w:val="00E728B9"/>
    <w:rsid w:val="00E75984"/>
    <w:rsid w:val="00E76D26"/>
    <w:rsid w:val="00E80DC2"/>
    <w:rsid w:val="00E82CFE"/>
    <w:rsid w:val="00E866C0"/>
    <w:rsid w:val="00E9407E"/>
    <w:rsid w:val="00E945B7"/>
    <w:rsid w:val="00E970BA"/>
    <w:rsid w:val="00EA11F2"/>
    <w:rsid w:val="00EA5966"/>
    <w:rsid w:val="00EA6148"/>
    <w:rsid w:val="00EB1390"/>
    <w:rsid w:val="00EB2C71"/>
    <w:rsid w:val="00EB4340"/>
    <w:rsid w:val="00EB556D"/>
    <w:rsid w:val="00EB5A7D"/>
    <w:rsid w:val="00EB780E"/>
    <w:rsid w:val="00EC646D"/>
    <w:rsid w:val="00ED5044"/>
    <w:rsid w:val="00ED55C0"/>
    <w:rsid w:val="00ED682B"/>
    <w:rsid w:val="00EE41D5"/>
    <w:rsid w:val="00EE456A"/>
    <w:rsid w:val="00EE4611"/>
    <w:rsid w:val="00EF3DC7"/>
    <w:rsid w:val="00EF4160"/>
    <w:rsid w:val="00EF53D1"/>
    <w:rsid w:val="00F037A4"/>
    <w:rsid w:val="00F111EF"/>
    <w:rsid w:val="00F11DE6"/>
    <w:rsid w:val="00F12112"/>
    <w:rsid w:val="00F140E4"/>
    <w:rsid w:val="00F27C8F"/>
    <w:rsid w:val="00F31DFD"/>
    <w:rsid w:val="00F32749"/>
    <w:rsid w:val="00F352F0"/>
    <w:rsid w:val="00F364DD"/>
    <w:rsid w:val="00F37172"/>
    <w:rsid w:val="00F413E7"/>
    <w:rsid w:val="00F4477E"/>
    <w:rsid w:val="00F50E87"/>
    <w:rsid w:val="00F53E18"/>
    <w:rsid w:val="00F655C8"/>
    <w:rsid w:val="00F6670A"/>
    <w:rsid w:val="00F67D8F"/>
    <w:rsid w:val="00F70A90"/>
    <w:rsid w:val="00F802BE"/>
    <w:rsid w:val="00F80E93"/>
    <w:rsid w:val="00F83BF4"/>
    <w:rsid w:val="00F86024"/>
    <w:rsid w:val="00F8611A"/>
    <w:rsid w:val="00F94B6A"/>
    <w:rsid w:val="00F95B4F"/>
    <w:rsid w:val="00FA5128"/>
    <w:rsid w:val="00FA6812"/>
    <w:rsid w:val="00FB42D4"/>
    <w:rsid w:val="00FB5906"/>
    <w:rsid w:val="00FB762F"/>
    <w:rsid w:val="00FC2AED"/>
    <w:rsid w:val="00FC370E"/>
    <w:rsid w:val="00FC4E4F"/>
    <w:rsid w:val="00FC5121"/>
    <w:rsid w:val="00FD22C1"/>
    <w:rsid w:val="00FD5EA7"/>
    <w:rsid w:val="00FE1D60"/>
    <w:rsid w:val="00FF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6CD79060-F240-4575-80E6-2DC076C4D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">
    <w:name w:val="Siatka tabeli — jasna2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1">
    <w:name w:val="Siatka tabeli — jasna11"/>
    <w:basedOn w:val="Standardowy"/>
    <w:uiPriority w:val="40"/>
    <w:rsid w:val="00437A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80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80B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80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B2F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eader" Target="header2.xml"/><Relationship Id="rId26" Type="http://schemas.openxmlformats.org/officeDocument/2006/relationships/hyperlink" Target="http://swaid.stat.gov.pl/EN/SitePagesDBW/Ceny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footer" Target="footer1.xml"/><Relationship Id="rId25" Type="http://schemas.openxmlformats.org/officeDocument/2006/relationships/hyperlink" Target="http://stat.gov.pl/en/topics/municipal-infrastructure/municipal-infrastructure/real-estate-sales-in-2017,2,10.html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image" Target="media/image5.png"/><Relationship Id="rId29" Type="http://schemas.openxmlformats.org/officeDocument/2006/relationships/hyperlink" Target="http://stat.gov.pl/en/metainformations/glossary/terms-used-in-official-statistics/1984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en/latest-statistical-news/communications-and-announcements/list-of-communiques-and-announcements/price-of-one-square-meter-of-usable-floor-space-of-a-residential-building-in-the-third-quarter-of-2018,270,20.html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hart" Target="charts/chart4.xml"/><Relationship Id="rId23" Type="http://schemas.openxmlformats.org/officeDocument/2006/relationships/hyperlink" Target="http://stat.gov.pl/en/latest-statistical-news/communications-and-announcements/8,2019,category.html" TargetMode="External"/><Relationship Id="rId28" Type="http://schemas.openxmlformats.org/officeDocument/2006/relationships/hyperlink" Target="http://stat.gov.pl/en/metainformations/glossary/terms-used-in-official-statistics/3015,term.html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image" Target="media/image7.png"/><Relationship Id="rId27" Type="http://schemas.openxmlformats.org/officeDocument/2006/relationships/hyperlink" Target="http://stat.gov.pl/en/metainformations/glossary/terms-used-in-official-statistics/966,term.html" TargetMode="External"/><Relationship Id="rId30" Type="http://schemas.openxmlformats.org/officeDocument/2006/relationships/header" Target="header3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afarae\Desktop\Ela_GUS\Obrot_Nieruchomosciami\Informacje_sygnalne\Wska&#378;niki_cen_lokali_mieszkalnych\III_kw_2018\Wykresy_do_info_syg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kafarae\Desktop\Ela_GUS\Obrot_Nieruchomosciami\Informacje_sygnalne\Wska&#378;niki_cen_lokali_mieszkalnych\III_kw_2018\Wykresy_do_info_syg.xlsx" TargetMode="External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kafarae\Desktop\Ela_GUS\Obrot_Nieruchomosciami\Informacje_sygnalne\Wska&#378;niki_cen_lokali_mieszkalnych\III_kw_2018\Wykresy_do_info_syg.xlsx" TargetMode="External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kafarae\Desktop\Ela_GUS\Obrot_Nieruchomosciami\Informacje_sygnalne\Wska&#378;niki_cen_lokali_mieszkalnych\III_kw_2018\Wykresy_do_info_syg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wykres_1_ang!$B$2</c:f>
              <c:strCache>
                <c:ptCount val="1"/>
                <c:pt idx="0">
                  <c:v>primary market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45.5%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solidFill>
                      <a:schemeClr val="bg1"/>
                    </a:solidFill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wykres_1_ang!$A$3</c:f>
              <c:strCache>
                <c:ptCount val="1"/>
                <c:pt idx="0">
                  <c:v>Poland</c:v>
                </c:pt>
              </c:strCache>
            </c:strRef>
          </c:cat>
          <c:val>
            <c:numRef>
              <c:f>wykres_1_ang!$B$3</c:f>
              <c:numCache>
                <c:formatCode>0.0%</c:formatCode>
                <c:ptCount val="1"/>
                <c:pt idx="0">
                  <c:v>0.45500000000000002</c:v>
                </c:pt>
              </c:numCache>
            </c:numRef>
          </c:val>
        </c:ser>
        <c:ser>
          <c:idx val="2"/>
          <c:order val="1"/>
          <c:tx>
            <c:strRef>
              <c:f>wykres_1_ang!$C$2</c:f>
              <c:strCache>
                <c:ptCount val="1"/>
                <c:pt idx="0">
                  <c:v>secondary market</c:v>
                </c:pt>
              </c:strCache>
            </c:strRef>
          </c:tx>
          <c:spPr>
            <a:solidFill>
              <a:srgbClr val="BED600"/>
            </a:solidFill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54.5%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solidFill>
                      <a:schemeClr val="bg1"/>
                    </a:solidFill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wykres_1_ang!$A$3</c:f>
              <c:strCache>
                <c:ptCount val="1"/>
                <c:pt idx="0">
                  <c:v>Poland</c:v>
                </c:pt>
              </c:strCache>
            </c:strRef>
          </c:cat>
          <c:val>
            <c:numRef>
              <c:f>wykres_1_ang!$C$3</c:f>
              <c:numCache>
                <c:formatCode>0.0%</c:formatCode>
                <c:ptCount val="1"/>
                <c:pt idx="0">
                  <c:v>0.54500000000000004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619623088"/>
        <c:axId val="619624176"/>
      </c:barChart>
      <c:catAx>
        <c:axId val="619623088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619624176"/>
        <c:crosses val="autoZero"/>
        <c:auto val="1"/>
        <c:lblAlgn val="ctr"/>
        <c:lblOffset val="100"/>
        <c:noMultiLvlLbl val="0"/>
      </c:catAx>
      <c:valAx>
        <c:axId val="619624176"/>
        <c:scaling>
          <c:orientation val="minMax"/>
        </c:scaling>
        <c:delete val="1"/>
        <c:axPos val="t"/>
        <c:majorGridlines>
          <c:spPr>
            <a:ln>
              <a:prstDash val="solid"/>
            </a:ln>
          </c:spPr>
        </c:majorGridlines>
        <c:numFmt formatCode="0%" sourceLinked="1"/>
        <c:majorTickMark val="out"/>
        <c:minorTickMark val="none"/>
        <c:tickLblPos val="none"/>
        <c:crossAx val="61962308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00">
              <a:latin typeface="Fira Sans" pitchFamily="34" charset="0"/>
              <a:ea typeface="Fira Sans" pitchFamily="34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wykres_2_ang!$A$9</c:f>
              <c:strCache>
                <c:ptCount val="1"/>
                <c:pt idx="0">
                  <c:v>total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none"/>
          </c:marker>
          <c:cat>
            <c:multiLvlStrRef>
              <c:f>wykres_2_ang!$B$7:$AI$8</c:f>
              <c:multiLvlStrCache>
                <c:ptCount val="34"/>
                <c:lvl>
                  <c:pt idx="0">
                    <c:v>II</c:v>
                  </c:pt>
                  <c:pt idx="1">
                    <c:v>III</c:v>
                  </c:pt>
                  <c:pt idx="2">
                    <c:v>IV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I</c:v>
                  </c:pt>
                  <c:pt idx="12">
                    <c:v>II</c:v>
                  </c:pt>
                  <c:pt idx="13">
                    <c:v>III</c:v>
                  </c:pt>
                  <c:pt idx="14">
                    <c:v>IV</c:v>
                  </c:pt>
                  <c:pt idx="15">
                    <c:v>I</c:v>
                  </c:pt>
                  <c:pt idx="16">
                    <c:v>II</c:v>
                  </c:pt>
                  <c:pt idx="17">
                    <c:v>III</c:v>
                  </c:pt>
                  <c:pt idx="18">
                    <c:v>IV</c:v>
                  </c:pt>
                  <c:pt idx="19">
                    <c:v>I</c:v>
                  </c:pt>
                  <c:pt idx="20">
                    <c:v>II</c:v>
                  </c:pt>
                  <c:pt idx="21">
                    <c:v>III</c:v>
                  </c:pt>
                  <c:pt idx="22">
                    <c:v>IV</c:v>
                  </c:pt>
                  <c:pt idx="23">
                    <c:v>I</c:v>
                  </c:pt>
                  <c:pt idx="24">
                    <c:v>II</c:v>
                  </c:pt>
                  <c:pt idx="25">
                    <c:v>III</c:v>
                  </c:pt>
                  <c:pt idx="26">
                    <c:v>IV</c:v>
                  </c:pt>
                  <c:pt idx="27">
                    <c:v>I</c:v>
                  </c:pt>
                  <c:pt idx="28">
                    <c:v>II</c:v>
                  </c:pt>
                  <c:pt idx="29">
                    <c:v>III</c:v>
                  </c:pt>
                  <c:pt idx="30">
                    <c:v>IV</c:v>
                  </c:pt>
                  <c:pt idx="31">
                    <c:v>I</c:v>
                  </c:pt>
                  <c:pt idx="32">
                    <c:v>II</c:v>
                  </c:pt>
                  <c:pt idx="33">
                    <c:v>III</c:v>
                  </c:pt>
                </c:lvl>
                <c:lvl>
                  <c:pt idx="0">
                    <c:v>2010</c:v>
                  </c:pt>
                  <c:pt idx="3">
                    <c:v>2011</c:v>
                  </c:pt>
                  <c:pt idx="7">
                    <c:v>2012</c:v>
                  </c:pt>
                  <c:pt idx="11">
                    <c:v>2013</c:v>
                  </c:pt>
                  <c:pt idx="15">
                    <c:v>2014</c:v>
                  </c:pt>
                  <c:pt idx="19">
                    <c:v>2015</c:v>
                  </c:pt>
                  <c:pt idx="23">
                    <c:v>2016</c:v>
                  </c:pt>
                  <c:pt idx="27">
                    <c:v>2017</c:v>
                  </c:pt>
                  <c:pt idx="31">
                    <c:v>2018</c:v>
                  </c:pt>
                </c:lvl>
              </c:multiLvlStrCache>
            </c:multiLvlStrRef>
          </c:cat>
          <c:val>
            <c:numRef>
              <c:f>wykres_2_ang!$B$9:$AI$9</c:f>
              <c:numCache>
                <c:formatCode>General</c:formatCode>
                <c:ptCount val="34"/>
                <c:pt idx="0">
                  <c:v>1.2000000000000028</c:v>
                </c:pt>
                <c:pt idx="1">
                  <c:v>9.9999999999994607E-2</c:v>
                </c:pt>
                <c:pt idx="2">
                  <c:v>-9.9999999999994607E-2</c:v>
                </c:pt>
                <c:pt idx="3">
                  <c:v>-9.9999999999994607E-2</c:v>
                </c:pt>
                <c:pt idx="4">
                  <c:v>0.70000000000000284</c:v>
                </c:pt>
                <c:pt idx="5">
                  <c:v>-1.0999999999999912</c:v>
                </c:pt>
                <c:pt idx="6">
                  <c:v>-0.5</c:v>
                </c:pt>
                <c:pt idx="7">
                  <c:v>-1.4000000000000057</c:v>
                </c:pt>
                <c:pt idx="8">
                  <c:v>-0.70000000000000284</c:v>
                </c:pt>
                <c:pt idx="9">
                  <c:v>-1.4000000000000057</c:v>
                </c:pt>
                <c:pt idx="10">
                  <c:v>-1.0999999999999912</c:v>
                </c:pt>
                <c:pt idx="11">
                  <c:v>-2.5999999999999943</c:v>
                </c:pt>
                <c:pt idx="12">
                  <c:v>-0.20000000000000284</c:v>
                </c:pt>
                <c:pt idx="13">
                  <c:v>-9.9999999999994607E-2</c:v>
                </c:pt>
                <c:pt idx="14">
                  <c:v>9.9999999999994607E-2</c:v>
                </c:pt>
                <c:pt idx="15">
                  <c:v>-0.29999999999999827</c:v>
                </c:pt>
                <c:pt idx="16">
                  <c:v>2.2000000000000042</c:v>
                </c:pt>
                <c:pt idx="17">
                  <c:v>-0.59999999999999432</c:v>
                </c:pt>
                <c:pt idx="18">
                  <c:v>0.20000000000000284</c:v>
                </c:pt>
                <c:pt idx="19">
                  <c:v>0.20000000000000284</c:v>
                </c:pt>
                <c:pt idx="20">
                  <c:v>1.4000000000000057</c:v>
                </c:pt>
                <c:pt idx="21">
                  <c:v>0.20000000000000284</c:v>
                </c:pt>
                <c:pt idx="22">
                  <c:v>-0.70000000000000284</c:v>
                </c:pt>
                <c:pt idx="23">
                  <c:v>9.9999999999994607E-2</c:v>
                </c:pt>
                <c:pt idx="24">
                  <c:v>0.7999999999999976</c:v>
                </c:pt>
                <c:pt idx="25">
                  <c:v>1.9000000000000061</c:v>
                </c:pt>
                <c:pt idx="26">
                  <c:v>1.0999999999999912</c:v>
                </c:pt>
                <c:pt idx="27">
                  <c:v>-0.5</c:v>
                </c:pt>
                <c:pt idx="28">
                  <c:v>2</c:v>
                </c:pt>
                <c:pt idx="29">
                  <c:v>1</c:v>
                </c:pt>
                <c:pt idx="30">
                  <c:v>1.2999999999999934</c:v>
                </c:pt>
                <c:pt idx="31">
                  <c:v>1.5</c:v>
                </c:pt>
                <c:pt idx="32">
                  <c:v>2.2999999999999972</c:v>
                </c:pt>
                <c:pt idx="33">
                  <c:v>1.2999999999999934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wykres_2_ang!$A$10</c:f>
              <c:strCache>
                <c:ptCount val="1"/>
                <c:pt idx="0">
                  <c:v>primary market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wykres_2_ang!$B$7:$AI$8</c:f>
              <c:multiLvlStrCache>
                <c:ptCount val="34"/>
                <c:lvl>
                  <c:pt idx="0">
                    <c:v>II</c:v>
                  </c:pt>
                  <c:pt idx="1">
                    <c:v>III</c:v>
                  </c:pt>
                  <c:pt idx="2">
                    <c:v>IV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I</c:v>
                  </c:pt>
                  <c:pt idx="12">
                    <c:v>II</c:v>
                  </c:pt>
                  <c:pt idx="13">
                    <c:v>III</c:v>
                  </c:pt>
                  <c:pt idx="14">
                    <c:v>IV</c:v>
                  </c:pt>
                  <c:pt idx="15">
                    <c:v>I</c:v>
                  </c:pt>
                  <c:pt idx="16">
                    <c:v>II</c:v>
                  </c:pt>
                  <c:pt idx="17">
                    <c:v>III</c:v>
                  </c:pt>
                  <c:pt idx="18">
                    <c:v>IV</c:v>
                  </c:pt>
                  <c:pt idx="19">
                    <c:v>I</c:v>
                  </c:pt>
                  <c:pt idx="20">
                    <c:v>II</c:v>
                  </c:pt>
                  <c:pt idx="21">
                    <c:v>III</c:v>
                  </c:pt>
                  <c:pt idx="22">
                    <c:v>IV</c:v>
                  </c:pt>
                  <c:pt idx="23">
                    <c:v>I</c:v>
                  </c:pt>
                  <c:pt idx="24">
                    <c:v>II</c:v>
                  </c:pt>
                  <c:pt idx="25">
                    <c:v>III</c:v>
                  </c:pt>
                  <c:pt idx="26">
                    <c:v>IV</c:v>
                  </c:pt>
                  <c:pt idx="27">
                    <c:v>I</c:v>
                  </c:pt>
                  <c:pt idx="28">
                    <c:v>II</c:v>
                  </c:pt>
                  <c:pt idx="29">
                    <c:v>III</c:v>
                  </c:pt>
                  <c:pt idx="30">
                    <c:v>IV</c:v>
                  </c:pt>
                  <c:pt idx="31">
                    <c:v>I</c:v>
                  </c:pt>
                  <c:pt idx="32">
                    <c:v>II</c:v>
                  </c:pt>
                  <c:pt idx="33">
                    <c:v>III</c:v>
                  </c:pt>
                </c:lvl>
                <c:lvl>
                  <c:pt idx="0">
                    <c:v>2010</c:v>
                  </c:pt>
                  <c:pt idx="3">
                    <c:v>2011</c:v>
                  </c:pt>
                  <c:pt idx="7">
                    <c:v>2012</c:v>
                  </c:pt>
                  <c:pt idx="11">
                    <c:v>2013</c:v>
                  </c:pt>
                  <c:pt idx="15">
                    <c:v>2014</c:v>
                  </c:pt>
                  <c:pt idx="19">
                    <c:v>2015</c:v>
                  </c:pt>
                  <c:pt idx="23">
                    <c:v>2016</c:v>
                  </c:pt>
                  <c:pt idx="27">
                    <c:v>2017</c:v>
                  </c:pt>
                  <c:pt idx="31">
                    <c:v>2018</c:v>
                  </c:pt>
                </c:lvl>
              </c:multiLvlStrCache>
            </c:multiLvlStrRef>
          </c:cat>
          <c:val>
            <c:numRef>
              <c:f>wykres_2_ang!$B$10:$AI$10</c:f>
              <c:numCache>
                <c:formatCode>General</c:formatCode>
                <c:ptCount val="34"/>
                <c:pt idx="0">
                  <c:v>-0.59999999999999432</c:v>
                </c:pt>
                <c:pt idx="1">
                  <c:v>1.0999999999999912</c:v>
                </c:pt>
                <c:pt idx="2">
                  <c:v>1.7999999999999934</c:v>
                </c:pt>
                <c:pt idx="3">
                  <c:v>-0.59999999999999432</c:v>
                </c:pt>
                <c:pt idx="4">
                  <c:v>-0.20000000000000284</c:v>
                </c:pt>
                <c:pt idx="5">
                  <c:v>-0.29999999999999827</c:v>
                </c:pt>
                <c:pt idx="6">
                  <c:v>1.0999999999999912</c:v>
                </c:pt>
                <c:pt idx="7">
                  <c:v>-0.20000000000000284</c:v>
                </c:pt>
                <c:pt idx="8">
                  <c:v>-0.59999999999999432</c:v>
                </c:pt>
                <c:pt idx="9">
                  <c:v>-0.7999999999999976</c:v>
                </c:pt>
                <c:pt idx="10">
                  <c:v>9.9999999999994607E-2</c:v>
                </c:pt>
                <c:pt idx="11">
                  <c:v>-3.2000000000000042</c:v>
                </c:pt>
                <c:pt idx="12">
                  <c:v>-0.90000000000000568</c:v>
                </c:pt>
                <c:pt idx="13">
                  <c:v>-1.2999999999999934</c:v>
                </c:pt>
                <c:pt idx="14">
                  <c:v>-9.9999999999994607E-2</c:v>
                </c:pt>
                <c:pt idx="15">
                  <c:v>-0.7999999999999976</c:v>
                </c:pt>
                <c:pt idx="16">
                  <c:v>3.2000000000000042</c:v>
                </c:pt>
                <c:pt idx="17">
                  <c:v>-0.70000000000000284</c:v>
                </c:pt>
                <c:pt idx="18">
                  <c:v>0.7999999999999976</c:v>
                </c:pt>
                <c:pt idx="19">
                  <c:v>0.5</c:v>
                </c:pt>
                <c:pt idx="20">
                  <c:v>1.5</c:v>
                </c:pt>
                <c:pt idx="21">
                  <c:v>0.40000000000000568</c:v>
                </c:pt>
                <c:pt idx="22">
                  <c:v>-1</c:v>
                </c:pt>
                <c:pt idx="23">
                  <c:v>0.59999999999999432</c:v>
                </c:pt>
                <c:pt idx="24">
                  <c:v>-1</c:v>
                </c:pt>
                <c:pt idx="25">
                  <c:v>1.9000000000000061</c:v>
                </c:pt>
                <c:pt idx="26">
                  <c:v>1.9000000000000061</c:v>
                </c:pt>
                <c:pt idx="27">
                  <c:v>-0.90000000000000568</c:v>
                </c:pt>
                <c:pt idx="28">
                  <c:v>1.5</c:v>
                </c:pt>
                <c:pt idx="29">
                  <c:v>1</c:v>
                </c:pt>
                <c:pt idx="30">
                  <c:v>1.4000000000000057</c:v>
                </c:pt>
                <c:pt idx="31">
                  <c:v>1.4000000000000057</c:v>
                </c:pt>
                <c:pt idx="32">
                  <c:v>1.5</c:v>
                </c:pt>
                <c:pt idx="33">
                  <c:v>0.29999999999999827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wykres_2_ang!$A$11</c:f>
              <c:strCache>
                <c:ptCount val="1"/>
                <c:pt idx="0">
                  <c:v>secondary market</c:v>
                </c:pt>
              </c:strCache>
            </c:strRef>
          </c:tx>
          <c:spPr>
            <a:ln w="22225" cap="rnd">
              <a:solidFill>
                <a:srgbClr val="BED600"/>
              </a:solidFill>
              <a:round/>
            </a:ln>
            <a:effectLst/>
          </c:spPr>
          <c:marker>
            <c:symbol val="none"/>
          </c:marker>
          <c:cat>
            <c:multiLvlStrRef>
              <c:f>wykres_2_ang!$B$7:$AI$8</c:f>
              <c:multiLvlStrCache>
                <c:ptCount val="34"/>
                <c:lvl>
                  <c:pt idx="0">
                    <c:v>II</c:v>
                  </c:pt>
                  <c:pt idx="1">
                    <c:v>III</c:v>
                  </c:pt>
                  <c:pt idx="2">
                    <c:v>IV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I</c:v>
                  </c:pt>
                  <c:pt idx="12">
                    <c:v>II</c:v>
                  </c:pt>
                  <c:pt idx="13">
                    <c:v>III</c:v>
                  </c:pt>
                  <c:pt idx="14">
                    <c:v>IV</c:v>
                  </c:pt>
                  <c:pt idx="15">
                    <c:v>I</c:v>
                  </c:pt>
                  <c:pt idx="16">
                    <c:v>II</c:v>
                  </c:pt>
                  <c:pt idx="17">
                    <c:v>III</c:v>
                  </c:pt>
                  <c:pt idx="18">
                    <c:v>IV</c:v>
                  </c:pt>
                  <c:pt idx="19">
                    <c:v>I</c:v>
                  </c:pt>
                  <c:pt idx="20">
                    <c:v>II</c:v>
                  </c:pt>
                  <c:pt idx="21">
                    <c:v>III</c:v>
                  </c:pt>
                  <c:pt idx="22">
                    <c:v>IV</c:v>
                  </c:pt>
                  <c:pt idx="23">
                    <c:v>I</c:v>
                  </c:pt>
                  <c:pt idx="24">
                    <c:v>II</c:v>
                  </c:pt>
                  <c:pt idx="25">
                    <c:v>III</c:v>
                  </c:pt>
                  <c:pt idx="26">
                    <c:v>IV</c:v>
                  </c:pt>
                  <c:pt idx="27">
                    <c:v>I</c:v>
                  </c:pt>
                  <c:pt idx="28">
                    <c:v>II</c:v>
                  </c:pt>
                  <c:pt idx="29">
                    <c:v>III</c:v>
                  </c:pt>
                  <c:pt idx="30">
                    <c:v>IV</c:v>
                  </c:pt>
                  <c:pt idx="31">
                    <c:v>I</c:v>
                  </c:pt>
                  <c:pt idx="32">
                    <c:v>II</c:v>
                  </c:pt>
                  <c:pt idx="33">
                    <c:v>III</c:v>
                  </c:pt>
                </c:lvl>
                <c:lvl>
                  <c:pt idx="0">
                    <c:v>2010</c:v>
                  </c:pt>
                  <c:pt idx="3">
                    <c:v>2011</c:v>
                  </c:pt>
                  <c:pt idx="7">
                    <c:v>2012</c:v>
                  </c:pt>
                  <c:pt idx="11">
                    <c:v>2013</c:v>
                  </c:pt>
                  <c:pt idx="15">
                    <c:v>2014</c:v>
                  </c:pt>
                  <c:pt idx="19">
                    <c:v>2015</c:v>
                  </c:pt>
                  <c:pt idx="23">
                    <c:v>2016</c:v>
                  </c:pt>
                  <c:pt idx="27">
                    <c:v>2017</c:v>
                  </c:pt>
                  <c:pt idx="31">
                    <c:v>2018</c:v>
                  </c:pt>
                </c:lvl>
              </c:multiLvlStrCache>
            </c:multiLvlStrRef>
          </c:cat>
          <c:val>
            <c:numRef>
              <c:f>wykres_2_ang!$B$11:$AI$11</c:f>
              <c:numCache>
                <c:formatCode>General</c:formatCode>
                <c:ptCount val="34"/>
                <c:pt idx="0">
                  <c:v>2.0999999999999943</c:v>
                </c:pt>
                <c:pt idx="1">
                  <c:v>-0.29999999999999827</c:v>
                </c:pt>
                <c:pt idx="2">
                  <c:v>-1</c:v>
                </c:pt>
                <c:pt idx="3">
                  <c:v>0.20000000000000284</c:v>
                </c:pt>
                <c:pt idx="4">
                  <c:v>1.0999999999999912</c:v>
                </c:pt>
                <c:pt idx="5">
                  <c:v>-1.5</c:v>
                </c:pt>
                <c:pt idx="6">
                  <c:v>-1.2000000000000028</c:v>
                </c:pt>
                <c:pt idx="7">
                  <c:v>-1.9000000000000061</c:v>
                </c:pt>
                <c:pt idx="8">
                  <c:v>-0.70000000000000284</c:v>
                </c:pt>
                <c:pt idx="9">
                  <c:v>-1.7000000000000028</c:v>
                </c:pt>
                <c:pt idx="10">
                  <c:v>-1.7999999999999934</c:v>
                </c:pt>
                <c:pt idx="11">
                  <c:v>-2.0999999999999943</c:v>
                </c:pt>
                <c:pt idx="12">
                  <c:v>0.29999999999999827</c:v>
                </c:pt>
                <c:pt idx="13">
                  <c:v>0.7999999999999976</c:v>
                </c:pt>
                <c:pt idx="14">
                  <c:v>9.9999999999994607E-2</c:v>
                </c:pt>
                <c:pt idx="15">
                  <c:v>0</c:v>
                </c:pt>
                <c:pt idx="16">
                  <c:v>1.4000000000000057</c:v>
                </c:pt>
                <c:pt idx="17">
                  <c:v>-0.59999999999999432</c:v>
                </c:pt>
                <c:pt idx="18">
                  <c:v>-0.29999999999999827</c:v>
                </c:pt>
                <c:pt idx="19">
                  <c:v>-9.9999999999994607E-2</c:v>
                </c:pt>
                <c:pt idx="20">
                  <c:v>1.2999999999999934</c:v>
                </c:pt>
                <c:pt idx="21">
                  <c:v>9.9999999999994607E-2</c:v>
                </c:pt>
                <c:pt idx="22">
                  <c:v>-0.5</c:v>
                </c:pt>
                <c:pt idx="23">
                  <c:v>-0.29999999999999827</c:v>
                </c:pt>
                <c:pt idx="24">
                  <c:v>2.5</c:v>
                </c:pt>
                <c:pt idx="25">
                  <c:v>1.7999999999999934</c:v>
                </c:pt>
                <c:pt idx="26">
                  <c:v>0.40000000000000568</c:v>
                </c:pt>
                <c:pt idx="27">
                  <c:v>-9.9999999999994607E-2</c:v>
                </c:pt>
                <c:pt idx="28">
                  <c:v>2.5</c:v>
                </c:pt>
                <c:pt idx="29">
                  <c:v>1</c:v>
                </c:pt>
                <c:pt idx="30">
                  <c:v>1.0999999999999912</c:v>
                </c:pt>
                <c:pt idx="31">
                  <c:v>1.5999999999999912</c:v>
                </c:pt>
                <c:pt idx="32">
                  <c:v>2.9000000000000057</c:v>
                </c:pt>
                <c:pt idx="33">
                  <c:v>2.0999999999999943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19624720"/>
        <c:axId val="619619824"/>
      </c:lineChart>
      <c:catAx>
        <c:axId val="619624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619619824"/>
        <c:crosses val="autoZero"/>
        <c:auto val="0"/>
        <c:lblAlgn val="ctr"/>
        <c:lblOffset val="100"/>
        <c:noMultiLvlLbl val="0"/>
      </c:catAx>
      <c:valAx>
        <c:axId val="619619824"/>
        <c:scaling>
          <c:orientation val="minMax"/>
          <c:max val="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619624720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wykres_3_ang!$A$9</c:f>
              <c:strCache>
                <c:ptCount val="1"/>
                <c:pt idx="0">
                  <c:v>total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none"/>
          </c:marker>
          <c:cat>
            <c:multiLvlStrRef>
              <c:f>wykres_3_ang!$B$7:$AF$8</c:f>
              <c:multiLvlStrCache>
                <c:ptCount val="31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</c:lvl>
              </c:multiLvlStrCache>
            </c:multiLvlStrRef>
          </c:cat>
          <c:val>
            <c:numRef>
              <c:f>wykres_3_ang!$B$9:$AF$9</c:f>
              <c:numCache>
                <c:formatCode>General</c:formatCode>
                <c:ptCount val="31"/>
                <c:pt idx="0">
                  <c:v>1.0999999999999912</c:v>
                </c:pt>
                <c:pt idx="1">
                  <c:v>0.59999999999999432</c:v>
                </c:pt>
                <c:pt idx="2">
                  <c:v>-0.59999999999999432</c:v>
                </c:pt>
                <c:pt idx="3">
                  <c:v>-1</c:v>
                </c:pt>
                <c:pt idx="4">
                  <c:v>-2.2999999999999972</c:v>
                </c:pt>
                <c:pt idx="5">
                  <c:v>-3.7000000000000042</c:v>
                </c:pt>
                <c:pt idx="6">
                  <c:v>-3.9000000000000057</c:v>
                </c:pt>
                <c:pt idx="7">
                  <c:v>-4.5</c:v>
                </c:pt>
                <c:pt idx="8">
                  <c:v>-5.7000000000000028</c:v>
                </c:pt>
                <c:pt idx="9">
                  <c:v>-5.2000000000000028</c:v>
                </c:pt>
                <c:pt idx="10">
                  <c:v>-4</c:v>
                </c:pt>
                <c:pt idx="11">
                  <c:v>-2.7999999999999972</c:v>
                </c:pt>
                <c:pt idx="12">
                  <c:v>-0.5</c:v>
                </c:pt>
                <c:pt idx="13">
                  <c:v>1.9000000000000061</c:v>
                </c:pt>
                <c:pt idx="14">
                  <c:v>1.4000000000000057</c:v>
                </c:pt>
                <c:pt idx="15">
                  <c:v>1.5</c:v>
                </c:pt>
                <c:pt idx="16">
                  <c:v>2</c:v>
                </c:pt>
                <c:pt idx="17">
                  <c:v>1.2000000000000028</c:v>
                </c:pt>
                <c:pt idx="18">
                  <c:v>2</c:v>
                </c:pt>
                <c:pt idx="19">
                  <c:v>1.0999999999999912</c:v>
                </c:pt>
                <c:pt idx="20">
                  <c:v>1</c:v>
                </c:pt>
                <c:pt idx="21">
                  <c:v>0.40000000000000568</c:v>
                </c:pt>
                <c:pt idx="22">
                  <c:v>2.0999999999999943</c:v>
                </c:pt>
                <c:pt idx="23">
                  <c:v>3.9000000000000057</c:v>
                </c:pt>
                <c:pt idx="24">
                  <c:v>3.2999999999999972</c:v>
                </c:pt>
                <c:pt idx="25">
                  <c:v>4.5999999999999943</c:v>
                </c:pt>
                <c:pt idx="26">
                  <c:v>3.5999999999999943</c:v>
                </c:pt>
                <c:pt idx="27">
                  <c:v>3.7999999999999972</c:v>
                </c:pt>
                <c:pt idx="28">
                  <c:v>5.9000000000000083</c:v>
                </c:pt>
                <c:pt idx="29">
                  <c:v>6.2000000000000028</c:v>
                </c:pt>
                <c:pt idx="30">
                  <c:v>6.5999999999999943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wykres_3_ang!$A$10</c:f>
              <c:strCache>
                <c:ptCount val="1"/>
                <c:pt idx="0">
                  <c:v>primary market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wykres_3_ang!$B$7:$AF$8</c:f>
              <c:multiLvlStrCache>
                <c:ptCount val="31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</c:lvl>
              </c:multiLvlStrCache>
            </c:multiLvlStrRef>
          </c:cat>
          <c:val>
            <c:numRef>
              <c:f>wykres_3_ang!$B$10:$AF$10</c:f>
              <c:numCache>
                <c:formatCode>General</c:formatCode>
                <c:ptCount val="31"/>
                <c:pt idx="0">
                  <c:v>1.7000000000000028</c:v>
                </c:pt>
                <c:pt idx="1">
                  <c:v>2.0999999999999943</c:v>
                </c:pt>
                <c:pt idx="2">
                  <c:v>0.70000000000000284</c:v>
                </c:pt>
                <c:pt idx="3">
                  <c:v>0</c:v>
                </c:pt>
                <c:pt idx="4">
                  <c:v>0.40000000000000568</c:v>
                </c:pt>
                <c:pt idx="5">
                  <c:v>0</c:v>
                </c:pt>
                <c:pt idx="6">
                  <c:v>-0.5</c:v>
                </c:pt>
                <c:pt idx="7">
                  <c:v>-1.5</c:v>
                </c:pt>
                <c:pt idx="8">
                  <c:v>-4.5</c:v>
                </c:pt>
                <c:pt idx="9">
                  <c:v>-4.7000000000000028</c:v>
                </c:pt>
                <c:pt idx="10">
                  <c:v>-5.2000000000000028</c:v>
                </c:pt>
                <c:pt idx="11">
                  <c:v>-5.4000000000000083</c:v>
                </c:pt>
                <c:pt idx="12">
                  <c:v>-3.0999999999999943</c:v>
                </c:pt>
                <c:pt idx="13">
                  <c:v>0.90000000000000568</c:v>
                </c:pt>
                <c:pt idx="14">
                  <c:v>1.5999999999999912</c:v>
                </c:pt>
                <c:pt idx="15">
                  <c:v>2.5</c:v>
                </c:pt>
                <c:pt idx="16">
                  <c:v>3.7999999999999972</c:v>
                </c:pt>
                <c:pt idx="17">
                  <c:v>2.0999999999999943</c:v>
                </c:pt>
                <c:pt idx="18">
                  <c:v>3.2000000000000042</c:v>
                </c:pt>
                <c:pt idx="19">
                  <c:v>1.4000000000000057</c:v>
                </c:pt>
                <c:pt idx="20">
                  <c:v>1.5</c:v>
                </c:pt>
                <c:pt idx="21">
                  <c:v>-1</c:v>
                </c:pt>
                <c:pt idx="22">
                  <c:v>0.5</c:v>
                </c:pt>
                <c:pt idx="23">
                  <c:v>3.4000000000000057</c:v>
                </c:pt>
                <c:pt idx="24">
                  <c:v>1.9000000000000061</c:v>
                </c:pt>
                <c:pt idx="25">
                  <c:v>4.4000000000000083</c:v>
                </c:pt>
                <c:pt idx="26">
                  <c:v>3.5</c:v>
                </c:pt>
                <c:pt idx="27">
                  <c:v>3</c:v>
                </c:pt>
                <c:pt idx="28">
                  <c:v>5.4000000000000083</c:v>
                </c:pt>
                <c:pt idx="29">
                  <c:v>5.4000000000000083</c:v>
                </c:pt>
                <c:pt idx="30">
                  <c:v>4.7000000000000028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wykres_3_ang!$A$11</c:f>
              <c:strCache>
                <c:ptCount val="1"/>
                <c:pt idx="0">
                  <c:v>secondary market</c:v>
                </c:pt>
              </c:strCache>
            </c:strRef>
          </c:tx>
          <c:spPr>
            <a:ln w="22225" cap="rnd">
              <a:solidFill>
                <a:srgbClr val="BED600"/>
              </a:solidFill>
              <a:round/>
            </a:ln>
            <a:effectLst/>
          </c:spPr>
          <c:marker>
            <c:symbol val="none"/>
          </c:marker>
          <c:cat>
            <c:multiLvlStrRef>
              <c:f>wykres_3_ang!$B$7:$AF$8</c:f>
              <c:multiLvlStrCache>
                <c:ptCount val="31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</c:lvl>
              </c:multiLvlStrCache>
            </c:multiLvlStrRef>
          </c:cat>
          <c:val>
            <c:numRef>
              <c:f>wykres_3_ang!$B$11:$AF$11</c:f>
              <c:numCache>
                <c:formatCode>General</c:formatCode>
                <c:ptCount val="31"/>
                <c:pt idx="0">
                  <c:v>1</c:v>
                </c:pt>
                <c:pt idx="1">
                  <c:v>0</c:v>
                </c:pt>
                <c:pt idx="2">
                  <c:v>-1.2000000000000028</c:v>
                </c:pt>
                <c:pt idx="3">
                  <c:v>-1.4000000000000057</c:v>
                </c:pt>
                <c:pt idx="4">
                  <c:v>-3.5</c:v>
                </c:pt>
                <c:pt idx="5">
                  <c:v>-5.2000000000000028</c:v>
                </c:pt>
                <c:pt idx="6">
                  <c:v>-5.4000000000000083</c:v>
                </c:pt>
                <c:pt idx="7">
                  <c:v>-6</c:v>
                </c:pt>
                <c:pt idx="8">
                  <c:v>-6.2000000000000028</c:v>
                </c:pt>
                <c:pt idx="9">
                  <c:v>-5.2000000000000028</c:v>
                </c:pt>
                <c:pt idx="10">
                  <c:v>-2.7999999999999972</c:v>
                </c:pt>
                <c:pt idx="11">
                  <c:v>-0.90000000000000568</c:v>
                </c:pt>
                <c:pt idx="12">
                  <c:v>1.2000000000000028</c:v>
                </c:pt>
                <c:pt idx="13">
                  <c:v>2.2999999999999972</c:v>
                </c:pt>
                <c:pt idx="14">
                  <c:v>0.90000000000000568</c:v>
                </c:pt>
                <c:pt idx="15">
                  <c:v>0.5</c:v>
                </c:pt>
                <c:pt idx="16">
                  <c:v>0.40000000000000568</c:v>
                </c:pt>
                <c:pt idx="17">
                  <c:v>0.29999999999999827</c:v>
                </c:pt>
                <c:pt idx="18">
                  <c:v>1</c:v>
                </c:pt>
                <c:pt idx="19">
                  <c:v>0.7999999999999976</c:v>
                </c:pt>
                <c:pt idx="20">
                  <c:v>0.59999999999999432</c:v>
                </c:pt>
                <c:pt idx="21">
                  <c:v>1.7999999999999934</c:v>
                </c:pt>
                <c:pt idx="22">
                  <c:v>3.5</c:v>
                </c:pt>
                <c:pt idx="23">
                  <c:v>4.4000000000000083</c:v>
                </c:pt>
                <c:pt idx="24">
                  <c:v>4.7000000000000028</c:v>
                </c:pt>
                <c:pt idx="25">
                  <c:v>4.7000000000000028</c:v>
                </c:pt>
                <c:pt idx="26">
                  <c:v>3.7999999999999972</c:v>
                </c:pt>
                <c:pt idx="27">
                  <c:v>4.5999999999999943</c:v>
                </c:pt>
                <c:pt idx="28">
                  <c:v>6.2999999999999972</c:v>
                </c:pt>
                <c:pt idx="29">
                  <c:v>6.7999999999999972</c:v>
                </c:pt>
                <c:pt idx="30">
                  <c:v>7.9000000000000083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19625264"/>
        <c:axId val="619632336"/>
      </c:lineChart>
      <c:catAx>
        <c:axId val="619625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619632336"/>
        <c:crosses val="autoZero"/>
        <c:auto val="0"/>
        <c:lblAlgn val="ctr"/>
        <c:lblOffset val="100"/>
        <c:noMultiLvlLbl val="0"/>
      </c:catAx>
      <c:valAx>
        <c:axId val="619632336"/>
        <c:scaling>
          <c:orientation val="minMax"/>
          <c:max val="8"/>
          <c:min val="-8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619625264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wykres_4_ang!$A$9</c:f>
              <c:strCache>
                <c:ptCount val="1"/>
                <c:pt idx="0">
                  <c:v>ogółem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none"/>
          </c:marker>
          <c:cat>
            <c:multiLvlStrRef>
              <c:f>wykres_4_ang!$B$7:$AJ$8</c:f>
              <c:multiLvlStrCache>
                <c:ptCount val="3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  <c:pt idx="24">
                    <c:v>2016</c:v>
                  </c:pt>
                  <c:pt idx="28">
                    <c:v>2017</c:v>
                  </c:pt>
                  <c:pt idx="32">
                    <c:v>2018</c:v>
                  </c:pt>
                </c:lvl>
              </c:multiLvlStrCache>
            </c:multiLvlStrRef>
          </c:cat>
          <c:val>
            <c:numRef>
              <c:f>wykres_4_ang!$B$9:$AJ$9</c:f>
              <c:numCache>
                <c:formatCode>0.0</c:formatCode>
                <c:ptCount val="35"/>
                <c:pt idx="0">
                  <c:v>4.5999999999999943</c:v>
                </c:pt>
                <c:pt idx="1">
                  <c:v>5.9000000000000083</c:v>
                </c:pt>
                <c:pt idx="2">
                  <c:v>6</c:v>
                </c:pt>
                <c:pt idx="3">
                  <c:v>5.9000000000000083</c:v>
                </c:pt>
                <c:pt idx="4">
                  <c:v>5.9000000000000083</c:v>
                </c:pt>
                <c:pt idx="5">
                  <c:v>6.5999999999999943</c:v>
                </c:pt>
                <c:pt idx="6">
                  <c:v>5.4000000000000083</c:v>
                </c:pt>
                <c:pt idx="7">
                  <c:v>4.9000000000000083</c:v>
                </c:pt>
                <c:pt idx="8">
                  <c:v>3.5</c:v>
                </c:pt>
                <c:pt idx="9">
                  <c:v>2.7999999999999972</c:v>
                </c:pt>
                <c:pt idx="10">
                  <c:v>1.4000000000000057</c:v>
                </c:pt>
                <c:pt idx="11">
                  <c:v>0.29999999999999805</c:v>
                </c:pt>
                <c:pt idx="12">
                  <c:v>-2.2999999999999972</c:v>
                </c:pt>
                <c:pt idx="13">
                  <c:v>-2.5</c:v>
                </c:pt>
                <c:pt idx="14">
                  <c:v>-2.5999999999999943</c:v>
                </c:pt>
                <c:pt idx="15">
                  <c:v>-2.5</c:v>
                </c:pt>
                <c:pt idx="16">
                  <c:v>-2.7999999999999972</c:v>
                </c:pt>
                <c:pt idx="17">
                  <c:v>-0.70000000000000284</c:v>
                </c:pt>
                <c:pt idx="18">
                  <c:v>-1.299999999999994</c:v>
                </c:pt>
                <c:pt idx="19">
                  <c:v>-1.0999999999999917</c:v>
                </c:pt>
                <c:pt idx="20">
                  <c:v>-0.90000000000000568</c:v>
                </c:pt>
                <c:pt idx="21">
                  <c:v>0.40000000000000568</c:v>
                </c:pt>
                <c:pt idx="22">
                  <c:v>0.59999999999999432</c:v>
                </c:pt>
                <c:pt idx="23">
                  <c:v>-9.9999999999994552E-2</c:v>
                </c:pt>
                <c:pt idx="24">
                  <c:v>0</c:v>
                </c:pt>
                <c:pt idx="25">
                  <c:v>0.7999999999999976</c:v>
                </c:pt>
                <c:pt idx="26">
                  <c:v>2.7000000000000042</c:v>
                </c:pt>
                <c:pt idx="27">
                  <c:v>3.9000000000000057</c:v>
                </c:pt>
                <c:pt idx="28">
                  <c:v>3.2999999999999972</c:v>
                </c:pt>
                <c:pt idx="29">
                  <c:v>5.4000000000000083</c:v>
                </c:pt>
                <c:pt idx="30">
                  <c:v>6.5</c:v>
                </c:pt>
                <c:pt idx="31">
                  <c:v>7.9000000000000083</c:v>
                </c:pt>
                <c:pt idx="32">
                  <c:v>9.5</c:v>
                </c:pt>
                <c:pt idx="33">
                  <c:v>12</c:v>
                </c:pt>
                <c:pt idx="34">
                  <c:v>13.400000000000006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wykres_4_ang!$A$10</c:f>
              <c:strCache>
                <c:ptCount val="1"/>
                <c:pt idx="0">
                  <c:v>rynek pierwotny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wykres_4_ang!$B$7:$AJ$8</c:f>
              <c:multiLvlStrCache>
                <c:ptCount val="3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  <c:pt idx="24">
                    <c:v>2016</c:v>
                  </c:pt>
                  <c:pt idx="28">
                    <c:v>2017</c:v>
                  </c:pt>
                  <c:pt idx="32">
                    <c:v>2018</c:v>
                  </c:pt>
                </c:lvl>
              </c:multiLvlStrCache>
            </c:multiLvlStrRef>
          </c:cat>
          <c:val>
            <c:numRef>
              <c:f>wykres_4_ang!$B$10:$AJ$10</c:f>
              <c:numCache>
                <c:formatCode>0.0</c:formatCode>
                <c:ptCount val="35"/>
                <c:pt idx="0">
                  <c:v>0.70000000000000284</c:v>
                </c:pt>
                <c:pt idx="1">
                  <c:v>9.9999999999994552E-2</c:v>
                </c:pt>
                <c:pt idx="2">
                  <c:v>1.2000000000000028</c:v>
                </c:pt>
                <c:pt idx="3">
                  <c:v>3</c:v>
                </c:pt>
                <c:pt idx="4">
                  <c:v>2.4000000000000057</c:v>
                </c:pt>
                <c:pt idx="5">
                  <c:v>2.2000000000000042</c:v>
                </c:pt>
                <c:pt idx="6">
                  <c:v>1.9000000000000061</c:v>
                </c:pt>
                <c:pt idx="7">
                  <c:v>3</c:v>
                </c:pt>
                <c:pt idx="8">
                  <c:v>2.7999999999999972</c:v>
                </c:pt>
                <c:pt idx="9">
                  <c:v>2.0999999999999943</c:v>
                </c:pt>
                <c:pt idx="10">
                  <c:v>1.4000000000000057</c:v>
                </c:pt>
                <c:pt idx="11">
                  <c:v>1.5</c:v>
                </c:pt>
                <c:pt idx="12">
                  <c:v>-1.799999999999994</c:v>
                </c:pt>
                <c:pt idx="13">
                  <c:v>-2.5999999999999943</c:v>
                </c:pt>
                <c:pt idx="14">
                  <c:v>-3.9000000000000057</c:v>
                </c:pt>
                <c:pt idx="15">
                  <c:v>-3.9000000000000057</c:v>
                </c:pt>
                <c:pt idx="16">
                  <c:v>-4.7000000000000028</c:v>
                </c:pt>
                <c:pt idx="17">
                  <c:v>-1.5999999999999917</c:v>
                </c:pt>
                <c:pt idx="18">
                  <c:v>-2.2999999999999972</c:v>
                </c:pt>
                <c:pt idx="19">
                  <c:v>-1.5</c:v>
                </c:pt>
                <c:pt idx="20">
                  <c:v>-1</c:v>
                </c:pt>
                <c:pt idx="21">
                  <c:v>0.5</c:v>
                </c:pt>
                <c:pt idx="22">
                  <c:v>0.7999999999999976</c:v>
                </c:pt>
                <c:pt idx="23">
                  <c:v>-0.20000000000000284</c:v>
                </c:pt>
                <c:pt idx="24">
                  <c:v>0.40000000000000568</c:v>
                </c:pt>
                <c:pt idx="25">
                  <c:v>-0.59999999999999432</c:v>
                </c:pt>
                <c:pt idx="26">
                  <c:v>1.299999999999994</c:v>
                </c:pt>
                <c:pt idx="27">
                  <c:v>3.2000000000000042</c:v>
                </c:pt>
                <c:pt idx="28">
                  <c:v>2.2999999999999972</c:v>
                </c:pt>
                <c:pt idx="29">
                  <c:v>3.7999999999999972</c:v>
                </c:pt>
                <c:pt idx="30">
                  <c:v>4.9000000000000083</c:v>
                </c:pt>
                <c:pt idx="31">
                  <c:v>6.2999999999999972</c:v>
                </c:pt>
                <c:pt idx="32">
                  <c:v>7.7999999999999972</c:v>
                </c:pt>
                <c:pt idx="33">
                  <c:v>9.4000000000000057</c:v>
                </c:pt>
                <c:pt idx="34">
                  <c:v>9.8000000000000025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wykres_4_ang!$A$11</c:f>
              <c:strCache>
                <c:ptCount val="1"/>
                <c:pt idx="0">
                  <c:v>rynek wtórny</c:v>
                </c:pt>
              </c:strCache>
            </c:strRef>
          </c:tx>
          <c:spPr>
            <a:ln w="22225" cap="rnd">
              <a:solidFill>
                <a:srgbClr val="BED600"/>
              </a:solidFill>
              <a:round/>
            </a:ln>
            <a:effectLst/>
          </c:spPr>
          <c:marker>
            <c:symbol val="none"/>
          </c:marker>
          <c:cat>
            <c:multiLvlStrRef>
              <c:f>wykres_4_ang!$B$7:$AJ$8</c:f>
              <c:multiLvlStrCache>
                <c:ptCount val="3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  <c:pt idx="24">
                    <c:v>2016</c:v>
                  </c:pt>
                  <c:pt idx="28">
                    <c:v>2017</c:v>
                  </c:pt>
                  <c:pt idx="32">
                    <c:v>2018</c:v>
                  </c:pt>
                </c:lvl>
              </c:multiLvlStrCache>
            </c:multiLvlStrRef>
          </c:cat>
          <c:val>
            <c:numRef>
              <c:f>wykres_4_ang!$B$11:$AJ$11</c:f>
              <c:numCache>
                <c:formatCode>0.0</c:formatCode>
                <c:ptCount val="35"/>
                <c:pt idx="0">
                  <c:v>6.5</c:v>
                </c:pt>
                <c:pt idx="1">
                  <c:v>8.7000000000000011</c:v>
                </c:pt>
                <c:pt idx="2">
                  <c:v>8.4000000000000057</c:v>
                </c:pt>
                <c:pt idx="3">
                  <c:v>7.2999999999999972</c:v>
                </c:pt>
                <c:pt idx="4">
                  <c:v>7.5999999999999943</c:v>
                </c:pt>
                <c:pt idx="5">
                  <c:v>8.7000000000000011</c:v>
                </c:pt>
                <c:pt idx="6">
                  <c:v>7.0999999999999943</c:v>
                </c:pt>
                <c:pt idx="7">
                  <c:v>5.7999999999999972</c:v>
                </c:pt>
                <c:pt idx="8">
                  <c:v>3.7000000000000042</c:v>
                </c:pt>
                <c:pt idx="9">
                  <c:v>3</c:v>
                </c:pt>
                <c:pt idx="10">
                  <c:v>1.299999999999994</c:v>
                </c:pt>
                <c:pt idx="11">
                  <c:v>-0.59999999999999432</c:v>
                </c:pt>
                <c:pt idx="12">
                  <c:v>-2.5999999999999943</c:v>
                </c:pt>
                <c:pt idx="13">
                  <c:v>-2.2999999999999972</c:v>
                </c:pt>
                <c:pt idx="14">
                  <c:v>-1.5</c:v>
                </c:pt>
                <c:pt idx="15">
                  <c:v>-1.299999999999994</c:v>
                </c:pt>
                <c:pt idx="16">
                  <c:v>-1.4000000000000057</c:v>
                </c:pt>
                <c:pt idx="17">
                  <c:v>9.9999999999994552E-2</c:v>
                </c:pt>
                <c:pt idx="18">
                  <c:v>-0.5</c:v>
                </c:pt>
                <c:pt idx="19">
                  <c:v>-0.7999999999999976</c:v>
                </c:pt>
                <c:pt idx="20">
                  <c:v>-0.90000000000000568</c:v>
                </c:pt>
                <c:pt idx="21">
                  <c:v>0.40000000000000568</c:v>
                </c:pt>
                <c:pt idx="22">
                  <c:v>0.5</c:v>
                </c:pt>
                <c:pt idx="23">
                  <c:v>0</c:v>
                </c:pt>
                <c:pt idx="24">
                  <c:v>-0.40000000000000568</c:v>
                </c:pt>
                <c:pt idx="25">
                  <c:v>2.0999999999999943</c:v>
                </c:pt>
                <c:pt idx="26">
                  <c:v>4</c:v>
                </c:pt>
                <c:pt idx="27">
                  <c:v>4.4000000000000083</c:v>
                </c:pt>
                <c:pt idx="28">
                  <c:v>4.2999999999999972</c:v>
                </c:pt>
                <c:pt idx="29">
                  <c:v>7</c:v>
                </c:pt>
                <c:pt idx="30">
                  <c:v>8</c:v>
                </c:pt>
                <c:pt idx="31">
                  <c:v>9.2000000000000011</c:v>
                </c:pt>
                <c:pt idx="32">
                  <c:v>11</c:v>
                </c:pt>
                <c:pt idx="33">
                  <c:v>14.200000000000003</c:v>
                </c:pt>
                <c:pt idx="34">
                  <c:v>16.700000000000003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19629072"/>
        <c:axId val="619635056"/>
      </c:lineChart>
      <c:catAx>
        <c:axId val="619629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619635056"/>
        <c:crosses val="autoZero"/>
        <c:auto val="0"/>
        <c:lblAlgn val="ctr"/>
        <c:lblOffset val="100"/>
        <c:noMultiLvlLbl val="0"/>
      </c:catAx>
      <c:valAx>
        <c:axId val="619635056"/>
        <c:scaling>
          <c:orientation val="minMax"/>
          <c:max val="18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619629072"/>
        <c:crosses val="autoZero"/>
        <c:crossBetween val="between"/>
        <c:majorUnit val="3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0C2B75-D651-4F79-A85D-9486F18F9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Zawistowska Beata</dc:creator>
  <cp:lastModifiedBy>Dziewit Mirosław</cp:lastModifiedBy>
  <cp:revision>3</cp:revision>
  <cp:lastPrinted>2019-01-07T13:11:00Z</cp:lastPrinted>
  <dcterms:created xsi:type="dcterms:W3CDTF">2019-01-09T08:58:00Z</dcterms:created>
  <dcterms:modified xsi:type="dcterms:W3CDTF">2019-01-09T09:52:00Z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