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522" w:rsidRPr="00525AAA" w:rsidRDefault="003C3C6B" w:rsidP="003047EF">
      <w:pPr>
        <w:pStyle w:val="tytuinformacji"/>
        <w:rPr>
          <w:lang w:val="en-GB"/>
        </w:rPr>
      </w:pPr>
      <w:bookmarkStart w:id="0" w:name="_GoBack"/>
      <w:bookmarkEnd w:id="0"/>
      <w:r w:rsidRPr="00525AAA">
        <w:rPr>
          <w:lang w:val="en-GB"/>
        </w:rPr>
        <w:t>Consumer price indices in September 2019</w:t>
      </w:r>
    </w:p>
    <w:p w:rsidR="00DA0C7E" w:rsidRPr="00525AAA" w:rsidRDefault="00DA0C7E" w:rsidP="003047EF">
      <w:pPr>
        <w:pStyle w:val="tytuinformacji"/>
        <w:rPr>
          <w:sz w:val="19"/>
          <w:szCs w:val="19"/>
          <w:lang w:val="en-GB"/>
        </w:rPr>
      </w:pPr>
    </w:p>
    <w:p w:rsidR="0061655B" w:rsidRPr="00525AAA" w:rsidRDefault="00C92F16" w:rsidP="00CF08EF">
      <w:pPr>
        <w:pStyle w:val="LID"/>
        <w:rPr>
          <w:lang w:val="en-GB"/>
        </w:rPr>
      </w:pPr>
      <w:r>
        <w:rPr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0;margin-top:6.2pt;width:2in;height:95.65pt;z-index:251772928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<v:textbox>
              <w:txbxContent>
                <w:p w:rsidR="00E96885" w:rsidRPr="00D538E4" w:rsidRDefault="00E96885" w:rsidP="00D538E4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 w:rsidRPr="00C61795"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val="en-GB" w:eastAsia="en-GB"/>
                    </w:rPr>
                    <w:drawing>
                      <wp:inline distT="0" distB="0" distL="0" distR="0" wp14:anchorId="40C2F75A" wp14:editId="1298198E">
                        <wp:extent cx="334645" cy="334645"/>
                        <wp:effectExtent l="0" t="0" r="8255" b="8255"/>
                        <wp:docPr id="9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645" cy="334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61795"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2,6</w:t>
                  </w:r>
                  <w:r w:rsidRPr="004D3ABE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%</w:t>
                  </w:r>
                </w:p>
                <w:p w:rsidR="00E96885" w:rsidRPr="007224EA" w:rsidRDefault="00E96885" w:rsidP="00A27522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  <w:lang w:val="en-GB"/>
                    </w:rPr>
                  </w:pPr>
                  <w:r w:rsidRPr="0078686B">
                    <w:rPr>
                      <w:lang w:val="en-GB"/>
                    </w:rPr>
                    <w:t xml:space="preserve">an increase compared </w:t>
                  </w:r>
                  <w:r>
                    <w:rPr>
                      <w:lang w:val="en-GB"/>
                    </w:rPr>
                    <w:t>with the corresponding month of </w:t>
                  </w:r>
                  <w:r w:rsidRPr="0078686B">
                    <w:rPr>
                      <w:lang w:val="en-GB"/>
                    </w:rPr>
                    <w:t>the previous year</w:t>
                  </w:r>
                </w:p>
              </w:txbxContent>
            </v:textbox>
            <w10:wrap type="square" anchorx="margin"/>
          </v:shape>
        </w:pict>
      </w:r>
      <w:r w:rsidR="007457A9" w:rsidRPr="00525AAA">
        <w:rPr>
          <w:lang w:val="en-GB" w:eastAsia="en-GB"/>
        </w:rPr>
        <w:t xml:space="preserve">Consumer prices in </w:t>
      </w:r>
      <w:r w:rsidR="00417179" w:rsidRPr="00525AAA">
        <w:rPr>
          <w:lang w:val="en-GB" w:eastAsia="en-GB"/>
        </w:rPr>
        <w:t xml:space="preserve">September </w:t>
      </w:r>
      <w:r w:rsidR="00D538E4" w:rsidRPr="00525AAA">
        <w:rPr>
          <w:lang w:val="en-GB"/>
        </w:rPr>
        <w:t>201</w:t>
      </w:r>
      <w:r w:rsidR="006D5C42" w:rsidRPr="00525AAA">
        <w:rPr>
          <w:lang w:val="en-GB"/>
        </w:rPr>
        <w:t>9</w:t>
      </w:r>
      <w:r w:rsidR="000F2650" w:rsidRPr="00525AAA">
        <w:rPr>
          <w:lang w:val="en-GB"/>
        </w:rPr>
        <w:t xml:space="preserve"> </w:t>
      </w:r>
      <w:r w:rsidR="00417179" w:rsidRPr="00525AAA">
        <w:rPr>
          <w:lang w:val="en-GB"/>
        </w:rPr>
        <w:t>remained on average at the level similar to the one recorded in the previous month</w:t>
      </w:r>
      <w:r w:rsidR="00D538E4" w:rsidRPr="00525AAA">
        <w:rPr>
          <w:lang w:val="en-GB"/>
        </w:rPr>
        <w:t xml:space="preserve"> (</w:t>
      </w:r>
      <w:r w:rsidR="00417179" w:rsidRPr="00525AAA">
        <w:rPr>
          <w:lang w:val="en-GB"/>
        </w:rPr>
        <w:t>with a decrease of prices of services</w:t>
      </w:r>
      <w:r w:rsidR="00D538E4" w:rsidRPr="00525AAA">
        <w:rPr>
          <w:lang w:val="en-GB"/>
        </w:rPr>
        <w:t xml:space="preserve"> </w:t>
      </w:r>
      <w:r w:rsidR="00417179" w:rsidRPr="00525AAA">
        <w:rPr>
          <w:lang w:val="en-GB"/>
        </w:rPr>
        <w:t>– by</w:t>
      </w:r>
      <w:r w:rsidR="00C57F14" w:rsidRPr="00525AAA">
        <w:rPr>
          <w:lang w:val="en-GB"/>
        </w:rPr>
        <w:t xml:space="preserve"> </w:t>
      </w:r>
      <w:r w:rsidR="00E96885">
        <w:rPr>
          <w:lang w:val="en-GB"/>
        </w:rPr>
        <w:t>0</w:t>
      </w:r>
      <w:r w:rsidR="000F2650" w:rsidRPr="00525AAA">
        <w:rPr>
          <w:lang w:val="en-GB"/>
        </w:rPr>
        <w:t>,</w:t>
      </w:r>
      <w:r w:rsidR="00E96885">
        <w:rPr>
          <w:lang w:val="en-GB"/>
        </w:rPr>
        <w:t>2</w:t>
      </w:r>
      <w:r w:rsidR="00EB73D7" w:rsidRPr="00525AAA">
        <w:rPr>
          <w:lang w:val="en-GB"/>
        </w:rPr>
        <w:t>%</w:t>
      </w:r>
      <w:r w:rsidR="00D9456F" w:rsidRPr="00525AAA">
        <w:rPr>
          <w:lang w:val="en-GB"/>
        </w:rPr>
        <w:t xml:space="preserve"> </w:t>
      </w:r>
      <w:r w:rsidR="00417179" w:rsidRPr="00525AAA">
        <w:rPr>
          <w:lang w:val="en-GB"/>
        </w:rPr>
        <w:t>and</w:t>
      </w:r>
      <w:r w:rsidR="00E96885">
        <w:rPr>
          <w:lang w:val="en-GB"/>
        </w:rPr>
        <w:t xml:space="preserve"> </w:t>
      </w:r>
      <w:r w:rsidR="00E96885" w:rsidRPr="00525AAA">
        <w:rPr>
          <w:lang w:val="en-GB"/>
        </w:rPr>
        <w:t>prices of goods</w:t>
      </w:r>
      <w:r w:rsidR="00E96885">
        <w:rPr>
          <w:lang w:val="en-GB"/>
        </w:rPr>
        <w:t xml:space="preserve"> remaining at</w:t>
      </w:r>
      <w:r w:rsidR="00541469" w:rsidRPr="00525AAA">
        <w:rPr>
          <w:lang w:val="en-GB"/>
        </w:rPr>
        <w:t xml:space="preserve"> the same level)</w:t>
      </w:r>
      <w:r w:rsidR="003077B5" w:rsidRPr="00525AAA">
        <w:rPr>
          <w:lang w:val="en-GB"/>
        </w:rPr>
        <w:t>.</w:t>
      </w:r>
      <w:r w:rsidR="00917CCF" w:rsidRPr="00525AAA">
        <w:rPr>
          <w:highlight w:val="yellow"/>
          <w:lang w:val="en-GB"/>
        </w:rPr>
        <w:br/>
      </w:r>
      <w:r w:rsidR="00541469" w:rsidRPr="00525AAA">
        <w:rPr>
          <w:lang w:val="en-GB"/>
        </w:rPr>
        <w:t xml:space="preserve">Compared with the corresponding month of the previous year, consumer prices increased by </w:t>
      </w:r>
      <w:r w:rsidR="003077B5" w:rsidRPr="00525AAA">
        <w:rPr>
          <w:lang w:val="en-GB"/>
        </w:rPr>
        <w:t>2,6</w:t>
      </w:r>
      <w:r w:rsidR="00D538E4" w:rsidRPr="00525AAA">
        <w:rPr>
          <w:lang w:val="en-GB"/>
        </w:rPr>
        <w:t>% (</w:t>
      </w:r>
      <w:r w:rsidR="00541469" w:rsidRPr="00525AAA">
        <w:rPr>
          <w:lang w:val="en-GB"/>
        </w:rPr>
        <w:t xml:space="preserve">of which services </w:t>
      </w:r>
      <w:r w:rsidR="00D538E4" w:rsidRPr="00525AAA">
        <w:rPr>
          <w:lang w:val="en-GB"/>
        </w:rPr>
        <w:t>–</w:t>
      </w:r>
      <w:r w:rsidR="00B94737" w:rsidRPr="00525AAA">
        <w:rPr>
          <w:lang w:val="en-GB"/>
        </w:rPr>
        <w:t xml:space="preserve"> </w:t>
      </w:r>
      <w:r w:rsidR="00541469" w:rsidRPr="00525AAA">
        <w:rPr>
          <w:lang w:val="en-GB"/>
        </w:rPr>
        <w:t>by</w:t>
      </w:r>
      <w:r w:rsidR="00D538E4" w:rsidRPr="00525AAA">
        <w:rPr>
          <w:lang w:val="en-GB"/>
        </w:rPr>
        <w:t> </w:t>
      </w:r>
      <w:r w:rsidR="00A27522" w:rsidRPr="00525AAA">
        <w:rPr>
          <w:lang w:val="en-GB"/>
        </w:rPr>
        <w:t>4</w:t>
      </w:r>
      <w:r w:rsidR="00AA569E" w:rsidRPr="00525AAA">
        <w:rPr>
          <w:lang w:val="en-GB"/>
        </w:rPr>
        <w:t>,</w:t>
      </w:r>
      <w:r w:rsidR="00A27522" w:rsidRPr="00525AAA">
        <w:rPr>
          <w:lang w:val="en-GB"/>
        </w:rPr>
        <w:t>8</w:t>
      </w:r>
      <w:r w:rsidR="00D538E4" w:rsidRPr="00525AAA">
        <w:rPr>
          <w:lang w:val="en-GB"/>
        </w:rPr>
        <w:t xml:space="preserve">% </w:t>
      </w:r>
      <w:r w:rsidR="00541469" w:rsidRPr="00525AAA">
        <w:rPr>
          <w:lang w:val="en-GB"/>
        </w:rPr>
        <w:t>and goods</w:t>
      </w:r>
      <w:r w:rsidR="00EB73D7" w:rsidRPr="00525AAA">
        <w:rPr>
          <w:lang w:val="en-GB"/>
        </w:rPr>
        <w:t xml:space="preserve"> </w:t>
      </w:r>
      <w:r w:rsidR="00541469" w:rsidRPr="00525AAA">
        <w:rPr>
          <w:lang w:val="en-GB"/>
        </w:rPr>
        <w:t>– by</w:t>
      </w:r>
      <w:r w:rsidR="00A27522" w:rsidRPr="00525AAA">
        <w:rPr>
          <w:lang w:val="en-GB"/>
        </w:rPr>
        <w:t> 1</w:t>
      </w:r>
      <w:r w:rsidR="00D538E4" w:rsidRPr="00525AAA">
        <w:rPr>
          <w:lang w:val="en-GB"/>
        </w:rPr>
        <w:t>,</w:t>
      </w:r>
      <w:r w:rsidR="00A27522" w:rsidRPr="00525AAA">
        <w:rPr>
          <w:lang w:val="en-GB"/>
        </w:rPr>
        <w:t>8</w:t>
      </w:r>
      <w:r w:rsidR="00D538E4" w:rsidRPr="00525AAA">
        <w:rPr>
          <w:lang w:val="en-GB"/>
        </w:rPr>
        <w:t>%).</w:t>
      </w:r>
    </w:p>
    <w:p w:rsidR="00A27522" w:rsidRPr="00525AAA" w:rsidRDefault="00A27522" w:rsidP="00CF08EF">
      <w:pPr>
        <w:pStyle w:val="LID"/>
        <w:rPr>
          <w:lang w:val="en-GB"/>
        </w:rPr>
      </w:pPr>
    </w:p>
    <w:p w:rsidR="00A27522" w:rsidRPr="00525AAA" w:rsidRDefault="007224EA" w:rsidP="00A27522">
      <w:pPr>
        <w:pStyle w:val="tytuwykresu"/>
        <w:rPr>
          <w:bCs/>
          <w:shd w:val="clear" w:color="auto" w:fill="FFFFFF"/>
          <w:lang w:val="en-GB"/>
        </w:rPr>
      </w:pPr>
      <w:r w:rsidRPr="00525AAA">
        <w:rPr>
          <w:lang w:val="en-GB"/>
        </w:rPr>
        <w:t>Table 1. Consumer price indices in September 2019</w:t>
      </w:r>
    </w:p>
    <w:tbl>
      <w:tblPr>
        <w:tblStyle w:val="Siatkatabelijasna11"/>
        <w:tblpPr w:leftFromText="141" w:rightFromText="141" w:vertAnchor="text" w:horzAnchor="margin" w:tblpY="5"/>
        <w:tblW w:w="8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980"/>
        <w:gridCol w:w="813"/>
        <w:gridCol w:w="814"/>
        <w:gridCol w:w="896"/>
        <w:gridCol w:w="850"/>
        <w:gridCol w:w="851"/>
        <w:gridCol w:w="850"/>
        <w:gridCol w:w="1276"/>
      </w:tblGrid>
      <w:tr w:rsidR="007457A9" w:rsidRPr="00525AAA" w:rsidTr="004266D6">
        <w:trPr>
          <w:cantSplit/>
          <w:trHeight w:val="367"/>
        </w:trPr>
        <w:tc>
          <w:tcPr>
            <w:tcW w:w="1980" w:type="dxa"/>
            <w:vMerge w:val="restart"/>
            <w:vAlign w:val="center"/>
          </w:tcPr>
          <w:p w:rsidR="00A27522" w:rsidRPr="00525AAA" w:rsidRDefault="007224EA" w:rsidP="00A27522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2523" w:type="dxa"/>
            <w:gridSpan w:val="3"/>
            <w:vAlign w:val="center"/>
          </w:tcPr>
          <w:p w:rsidR="00A27522" w:rsidRPr="00525AAA" w:rsidRDefault="005077D1" w:rsidP="00A27522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IX</w:t>
            </w:r>
            <w:r w:rsidR="00A27522" w:rsidRPr="00525AA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 2019</w:t>
            </w:r>
          </w:p>
        </w:tc>
        <w:tc>
          <w:tcPr>
            <w:tcW w:w="1701" w:type="dxa"/>
            <w:gridSpan w:val="2"/>
          </w:tcPr>
          <w:p w:rsidR="00A27522" w:rsidRPr="00525AAA" w:rsidRDefault="00A27522" w:rsidP="00A27522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V</w:t>
            </w:r>
            <w:r w:rsidR="005077D1" w:rsidRPr="00525AA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II-IX</w:t>
            </w:r>
            <w:r w:rsidRPr="00525AA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 2019</w:t>
            </w:r>
          </w:p>
        </w:tc>
        <w:tc>
          <w:tcPr>
            <w:tcW w:w="850" w:type="dxa"/>
          </w:tcPr>
          <w:p w:rsidR="00A27522" w:rsidRPr="00525AAA" w:rsidRDefault="005077D1" w:rsidP="00A27522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I-IX</w:t>
            </w:r>
            <w:r w:rsidR="00A27522" w:rsidRPr="00525AA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 2019</w:t>
            </w:r>
          </w:p>
        </w:tc>
        <w:tc>
          <w:tcPr>
            <w:tcW w:w="1276" w:type="dxa"/>
            <w:vMerge w:val="restart"/>
            <w:vAlign w:val="center"/>
          </w:tcPr>
          <w:p w:rsidR="00A27522" w:rsidRPr="000C2B6C" w:rsidRDefault="007224EA" w:rsidP="00A27522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5"/>
                <w:szCs w:val="15"/>
                <w:lang w:val="en-GB"/>
              </w:rPr>
            </w:pPr>
            <w:r w:rsidRPr="000C2B6C">
              <w:rPr>
                <w:rFonts w:ascii="Fira Sans" w:hAnsi="Fira Sans" w:cs="Arial"/>
                <w:color w:val="000000" w:themeColor="text1"/>
                <w:sz w:val="15"/>
                <w:szCs w:val="15"/>
                <w:lang w:val="en-GB"/>
              </w:rPr>
              <w:t>CONTRIBUTION OF CHANGES</w:t>
            </w:r>
          </w:p>
          <w:p w:rsidR="00A27522" w:rsidRPr="00525AAA" w:rsidRDefault="00A27522" w:rsidP="000C2B6C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 w:cs="Arial"/>
                <w:color w:val="FF0000"/>
                <w:sz w:val="14"/>
                <w:szCs w:val="14"/>
                <w:lang w:val="en-GB"/>
              </w:rPr>
            </w:pPr>
            <w:r w:rsidRPr="000C2B6C"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  <w:t>V</w:t>
            </w:r>
            <w:r w:rsidR="005077D1" w:rsidRPr="000C2B6C"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  <w:t>III</w:t>
            </w:r>
            <w:r w:rsidRPr="000C2B6C"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  <w:t xml:space="preserve"> 2019=</w:t>
            </w:r>
            <w:r w:rsidRPr="000C2B6C"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  <w:br/>
              <w:t>=100</w:t>
            </w:r>
          </w:p>
        </w:tc>
      </w:tr>
      <w:tr w:rsidR="004266D6" w:rsidRPr="00525AAA" w:rsidTr="004266D6">
        <w:trPr>
          <w:cantSplit/>
          <w:trHeight w:val="57"/>
        </w:trPr>
        <w:tc>
          <w:tcPr>
            <w:tcW w:w="1980" w:type="dxa"/>
            <w:vMerge/>
            <w:tcBorders>
              <w:bottom w:val="single" w:sz="12" w:space="0" w:color="212492"/>
            </w:tcBorders>
            <w:vAlign w:val="center"/>
          </w:tcPr>
          <w:p w:rsidR="00A27522" w:rsidRPr="00525AAA" w:rsidRDefault="00A27522" w:rsidP="00A27522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813" w:type="dxa"/>
            <w:tcBorders>
              <w:bottom w:val="single" w:sz="12" w:space="0" w:color="212492"/>
            </w:tcBorders>
            <w:vAlign w:val="center"/>
          </w:tcPr>
          <w:p w:rsidR="00A27522" w:rsidRPr="00602605" w:rsidRDefault="005077D1" w:rsidP="00A27522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</w:pPr>
            <w:r w:rsidRPr="00602605"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  <w:t>IX</w:t>
            </w:r>
            <w:r w:rsidR="00A27522" w:rsidRPr="00602605"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  <w:t xml:space="preserve"> 2018=</w:t>
            </w:r>
            <w:r w:rsidR="00A27522" w:rsidRPr="00602605"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  <w:br/>
              <w:t>=100</w:t>
            </w:r>
          </w:p>
        </w:tc>
        <w:tc>
          <w:tcPr>
            <w:tcW w:w="814" w:type="dxa"/>
            <w:tcBorders>
              <w:bottom w:val="single" w:sz="12" w:space="0" w:color="212492"/>
            </w:tcBorders>
            <w:vAlign w:val="center"/>
          </w:tcPr>
          <w:p w:rsidR="00A27522" w:rsidRPr="00602605" w:rsidRDefault="00A27522" w:rsidP="00A27522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</w:pPr>
            <w:r w:rsidRPr="00602605"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  <w:t>XII 2018=</w:t>
            </w:r>
            <w:r w:rsidRPr="00602605"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  <w:br/>
              <w:t>=100</w:t>
            </w:r>
          </w:p>
        </w:tc>
        <w:tc>
          <w:tcPr>
            <w:tcW w:w="896" w:type="dxa"/>
            <w:tcBorders>
              <w:bottom w:val="single" w:sz="12" w:space="0" w:color="212492"/>
            </w:tcBorders>
            <w:vAlign w:val="center"/>
          </w:tcPr>
          <w:p w:rsidR="00A27522" w:rsidRPr="00602605" w:rsidRDefault="00A27522" w:rsidP="00602605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</w:pPr>
            <w:r w:rsidRPr="00602605"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  <w:t>V</w:t>
            </w:r>
            <w:r w:rsidR="005077D1" w:rsidRPr="00602605"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  <w:t>III</w:t>
            </w:r>
            <w:r w:rsidRPr="00602605"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  <w:t xml:space="preserve"> </w:t>
            </w:r>
            <w:r w:rsidR="00602605" w:rsidRPr="00602605"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  <w:t>2</w:t>
            </w:r>
            <w:r w:rsidRPr="00602605"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  <w:t>019=</w:t>
            </w:r>
            <w:r w:rsidRPr="00602605"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  <w:br/>
              <w:t>=100</w:t>
            </w:r>
          </w:p>
        </w:tc>
        <w:tc>
          <w:tcPr>
            <w:tcW w:w="850" w:type="dxa"/>
            <w:tcBorders>
              <w:bottom w:val="single" w:sz="12" w:space="0" w:color="212492"/>
            </w:tcBorders>
            <w:vAlign w:val="center"/>
          </w:tcPr>
          <w:p w:rsidR="00A27522" w:rsidRPr="00602605" w:rsidRDefault="00A27522" w:rsidP="00A27522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</w:pPr>
            <w:r w:rsidRPr="00602605"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  <w:t>V</w:t>
            </w:r>
            <w:r w:rsidR="005077D1" w:rsidRPr="00602605"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  <w:t>II-IX</w:t>
            </w:r>
            <w:r w:rsidRPr="00602605"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  <w:t xml:space="preserve"> 2018=100</w:t>
            </w:r>
          </w:p>
        </w:tc>
        <w:tc>
          <w:tcPr>
            <w:tcW w:w="851" w:type="dxa"/>
            <w:tcBorders>
              <w:bottom w:val="single" w:sz="12" w:space="0" w:color="212492"/>
            </w:tcBorders>
            <w:vAlign w:val="center"/>
          </w:tcPr>
          <w:p w:rsidR="00A27522" w:rsidRPr="00602605" w:rsidRDefault="00A27522" w:rsidP="00A27522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</w:pPr>
            <w:r w:rsidRPr="00602605"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  <w:t>I</w:t>
            </w:r>
            <w:r w:rsidR="005077D1" w:rsidRPr="00602605"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  <w:t xml:space="preserve">V-VI </w:t>
            </w:r>
            <w:r w:rsidRPr="00602605">
              <w:rPr>
                <w:rFonts w:ascii="Fira Sans" w:hAnsi="Fira Sans"/>
                <w:color w:val="000000" w:themeColor="text1"/>
                <w:sz w:val="15"/>
                <w:szCs w:val="15"/>
                <w:lang w:val="en-GB"/>
              </w:rPr>
              <w:t>2019=100</w:t>
            </w:r>
          </w:p>
        </w:tc>
        <w:tc>
          <w:tcPr>
            <w:tcW w:w="850" w:type="dxa"/>
            <w:tcBorders>
              <w:bottom w:val="single" w:sz="12" w:space="0" w:color="212492"/>
            </w:tcBorders>
          </w:tcPr>
          <w:p w:rsidR="00A27522" w:rsidRPr="00602605" w:rsidRDefault="005077D1" w:rsidP="00A27522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eastAsiaTheme="majorEastAsia" w:hAnsi="Fira Sans" w:cstheme="majorBidi"/>
                <w:bCs w:val="0"/>
                <w:color w:val="000000" w:themeColor="text1"/>
                <w:sz w:val="15"/>
                <w:szCs w:val="15"/>
                <w:lang w:val="en-GB" w:eastAsia="en-US"/>
              </w:rPr>
            </w:pPr>
            <w:r w:rsidRPr="00602605">
              <w:rPr>
                <w:rFonts w:ascii="Fira Sans" w:eastAsiaTheme="majorEastAsia" w:hAnsi="Fira Sans" w:cstheme="majorBidi"/>
                <w:bCs w:val="0"/>
                <w:color w:val="000000" w:themeColor="text1"/>
                <w:sz w:val="15"/>
                <w:szCs w:val="15"/>
                <w:lang w:val="en-GB" w:eastAsia="en-US"/>
              </w:rPr>
              <w:t>I-IX</w:t>
            </w:r>
            <w:r w:rsidR="00A27522" w:rsidRPr="00602605">
              <w:rPr>
                <w:rFonts w:ascii="Fira Sans" w:eastAsiaTheme="majorEastAsia" w:hAnsi="Fira Sans" w:cstheme="majorBidi"/>
                <w:bCs w:val="0"/>
                <w:color w:val="000000" w:themeColor="text1"/>
                <w:sz w:val="15"/>
                <w:szCs w:val="15"/>
                <w:lang w:val="en-GB" w:eastAsia="en-US"/>
              </w:rPr>
              <w:t xml:space="preserve"> 2018=100</w:t>
            </w:r>
          </w:p>
        </w:tc>
        <w:tc>
          <w:tcPr>
            <w:tcW w:w="1276" w:type="dxa"/>
            <w:vMerge/>
            <w:tcBorders>
              <w:bottom w:val="single" w:sz="12" w:space="0" w:color="212492"/>
            </w:tcBorders>
            <w:vAlign w:val="center"/>
          </w:tcPr>
          <w:p w:rsidR="00A27522" w:rsidRPr="00525AAA" w:rsidRDefault="00A27522" w:rsidP="00A27522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FF0000"/>
                <w:sz w:val="16"/>
                <w:szCs w:val="16"/>
                <w:highlight w:val="yellow"/>
                <w:lang w:val="en-GB"/>
              </w:rPr>
            </w:pPr>
          </w:p>
        </w:tc>
      </w:tr>
      <w:tr w:rsidR="004266D6" w:rsidRPr="00525AAA" w:rsidTr="004266D6">
        <w:trPr>
          <w:cantSplit/>
          <w:trHeight w:val="57"/>
        </w:trPr>
        <w:tc>
          <w:tcPr>
            <w:tcW w:w="1980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7224EA" w:rsidRPr="00525AAA" w:rsidRDefault="007224EA" w:rsidP="007224EA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813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102,6</w:t>
            </w:r>
          </w:p>
        </w:tc>
        <w:tc>
          <w:tcPr>
            <w:tcW w:w="814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102,2</w:t>
            </w:r>
          </w:p>
        </w:tc>
        <w:tc>
          <w:tcPr>
            <w:tcW w:w="896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850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102,8</w:t>
            </w:r>
          </w:p>
        </w:tc>
        <w:tc>
          <w:tcPr>
            <w:tcW w:w="85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850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102,1</w:t>
            </w:r>
          </w:p>
        </w:tc>
        <w:tc>
          <w:tcPr>
            <w:tcW w:w="1276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x</w:t>
            </w:r>
          </w:p>
        </w:tc>
      </w:tr>
      <w:tr w:rsidR="004266D6" w:rsidRPr="00525AAA" w:rsidTr="004266D6">
        <w:trPr>
          <w:cantSplit/>
          <w:trHeight w:val="57"/>
        </w:trPr>
        <w:tc>
          <w:tcPr>
            <w:tcW w:w="198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224EA" w:rsidRPr="00525AAA" w:rsidRDefault="007224EA" w:rsidP="007224EA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Food and non-alcoholic </w:t>
            </w:r>
            <w:r w:rsidRPr="00525AAA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beverages</w:t>
            </w:r>
          </w:p>
        </w:tc>
        <w:tc>
          <w:tcPr>
            <w:tcW w:w="81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106,3</w:t>
            </w:r>
          </w:p>
        </w:tc>
        <w:tc>
          <w:tcPr>
            <w:tcW w:w="81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105,0</w:t>
            </w:r>
          </w:p>
        </w:tc>
        <w:tc>
          <w:tcPr>
            <w:tcW w:w="89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99,8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106,7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104,4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-0,05</w:t>
            </w:r>
          </w:p>
        </w:tc>
      </w:tr>
      <w:tr w:rsidR="004266D6" w:rsidRPr="00525AAA" w:rsidTr="004266D6">
        <w:trPr>
          <w:cantSplit/>
          <w:trHeight w:val="57"/>
        </w:trPr>
        <w:tc>
          <w:tcPr>
            <w:tcW w:w="198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224EA" w:rsidRPr="00525AAA" w:rsidRDefault="007224EA" w:rsidP="007224EA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Alcoholic beverages </w:t>
            </w:r>
            <w:r w:rsidRPr="00525AAA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and tobacco</w:t>
            </w:r>
          </w:p>
        </w:tc>
        <w:tc>
          <w:tcPr>
            <w:tcW w:w="81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101,0</w:t>
            </w:r>
          </w:p>
        </w:tc>
        <w:tc>
          <w:tcPr>
            <w:tcW w:w="81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101,3</w:t>
            </w:r>
          </w:p>
        </w:tc>
        <w:tc>
          <w:tcPr>
            <w:tcW w:w="89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101,2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101,3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0,00</w:t>
            </w:r>
          </w:p>
        </w:tc>
      </w:tr>
      <w:tr w:rsidR="004266D6" w:rsidRPr="00525AAA" w:rsidTr="004266D6">
        <w:trPr>
          <w:cantSplit/>
          <w:trHeight w:val="57"/>
        </w:trPr>
        <w:tc>
          <w:tcPr>
            <w:tcW w:w="198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224EA" w:rsidRPr="00525AAA" w:rsidRDefault="007224EA" w:rsidP="007224EA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81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98,8</w:t>
            </w:r>
          </w:p>
        </w:tc>
        <w:tc>
          <w:tcPr>
            <w:tcW w:w="81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96,5</w:t>
            </w:r>
          </w:p>
        </w:tc>
        <w:tc>
          <w:tcPr>
            <w:tcW w:w="89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102,6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98,6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95,5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97,9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0,12</w:t>
            </w:r>
          </w:p>
        </w:tc>
      </w:tr>
      <w:tr w:rsidR="004266D6" w:rsidRPr="00525AAA" w:rsidTr="004266D6">
        <w:trPr>
          <w:cantSplit/>
          <w:trHeight w:val="57"/>
        </w:trPr>
        <w:tc>
          <w:tcPr>
            <w:tcW w:w="198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224EA" w:rsidRPr="00525AAA" w:rsidRDefault="007224EA" w:rsidP="007224EA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Housing, water, </w:t>
            </w:r>
            <w:r w:rsidR="00A231AB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br/>
            </w:r>
            <w:r w:rsidRPr="00525AA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electricity, gas </w:t>
            </w:r>
            <w:r w:rsidRPr="00525AA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br/>
              <w:t>and other fuels</w:t>
            </w:r>
          </w:p>
        </w:tc>
        <w:tc>
          <w:tcPr>
            <w:tcW w:w="81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224EA" w:rsidRPr="00525AAA" w:rsidRDefault="007224EA" w:rsidP="00A231A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102,0</w:t>
            </w:r>
          </w:p>
        </w:tc>
        <w:tc>
          <w:tcPr>
            <w:tcW w:w="81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224EA" w:rsidRPr="00525AAA" w:rsidRDefault="007224EA" w:rsidP="00A231A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101,4</w:t>
            </w:r>
          </w:p>
        </w:tc>
        <w:tc>
          <w:tcPr>
            <w:tcW w:w="89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224EA" w:rsidRPr="00525AAA" w:rsidRDefault="007224EA" w:rsidP="00A231A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224EA" w:rsidRPr="00525AAA" w:rsidRDefault="007224EA" w:rsidP="00A231A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101,9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224EA" w:rsidRPr="00525AAA" w:rsidRDefault="007224EA" w:rsidP="00A231A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100,8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224EA" w:rsidRPr="00525AAA" w:rsidRDefault="007224EA" w:rsidP="00A231A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101,4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224EA" w:rsidRPr="00525AAA" w:rsidRDefault="007224EA" w:rsidP="00A231A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0,06</w:t>
            </w:r>
          </w:p>
        </w:tc>
      </w:tr>
      <w:tr w:rsidR="004266D6" w:rsidRPr="00525AAA" w:rsidTr="004266D6">
        <w:trPr>
          <w:cantSplit/>
          <w:trHeight w:val="57"/>
        </w:trPr>
        <w:tc>
          <w:tcPr>
            <w:tcW w:w="198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224EA" w:rsidRPr="00525AAA" w:rsidRDefault="007224EA" w:rsidP="007224EA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81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81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89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99,8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100,6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100,8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-0,01</w:t>
            </w:r>
          </w:p>
        </w:tc>
      </w:tr>
      <w:tr w:rsidR="004266D6" w:rsidRPr="00525AAA" w:rsidTr="004266D6">
        <w:trPr>
          <w:cantSplit/>
          <w:trHeight w:val="57"/>
        </w:trPr>
        <w:tc>
          <w:tcPr>
            <w:tcW w:w="198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224EA" w:rsidRPr="00525AAA" w:rsidRDefault="007224EA" w:rsidP="007224EA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 xml:space="preserve">Health </w:t>
            </w:r>
          </w:p>
        </w:tc>
        <w:tc>
          <w:tcPr>
            <w:tcW w:w="81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103,9</w:t>
            </w:r>
          </w:p>
        </w:tc>
        <w:tc>
          <w:tcPr>
            <w:tcW w:w="81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103,1</w:t>
            </w:r>
          </w:p>
        </w:tc>
        <w:tc>
          <w:tcPr>
            <w:tcW w:w="89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103,7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101,2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103,2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0,04</w:t>
            </w:r>
          </w:p>
        </w:tc>
      </w:tr>
      <w:tr w:rsidR="004266D6" w:rsidRPr="00525AAA" w:rsidTr="004266D6">
        <w:trPr>
          <w:cantSplit/>
          <w:trHeight w:val="57"/>
        </w:trPr>
        <w:tc>
          <w:tcPr>
            <w:tcW w:w="198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224EA" w:rsidRPr="00525AAA" w:rsidRDefault="007224EA" w:rsidP="007224EA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81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98,3</w:t>
            </w:r>
          </w:p>
        </w:tc>
        <w:tc>
          <w:tcPr>
            <w:tcW w:w="81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98,1</w:t>
            </w:r>
          </w:p>
        </w:tc>
        <w:tc>
          <w:tcPr>
            <w:tcW w:w="89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97,4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99,5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98,3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101,6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-0,27</w:t>
            </w:r>
          </w:p>
        </w:tc>
      </w:tr>
      <w:tr w:rsidR="004266D6" w:rsidRPr="00525AAA" w:rsidTr="004266D6">
        <w:trPr>
          <w:cantSplit/>
          <w:trHeight w:val="57"/>
        </w:trPr>
        <w:tc>
          <w:tcPr>
            <w:tcW w:w="198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224EA" w:rsidRPr="00525AAA" w:rsidRDefault="007224EA" w:rsidP="007224EA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81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100,9</w:t>
            </w:r>
          </w:p>
        </w:tc>
        <w:tc>
          <w:tcPr>
            <w:tcW w:w="81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103,9</w:t>
            </w:r>
          </w:p>
        </w:tc>
        <w:tc>
          <w:tcPr>
            <w:tcW w:w="89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99,3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99,7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101,3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98,2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-0,03</w:t>
            </w:r>
          </w:p>
        </w:tc>
      </w:tr>
      <w:tr w:rsidR="004266D6" w:rsidRPr="00525AAA" w:rsidTr="004266D6">
        <w:trPr>
          <w:cantSplit/>
          <w:trHeight w:val="57"/>
        </w:trPr>
        <w:tc>
          <w:tcPr>
            <w:tcW w:w="198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224EA" w:rsidRPr="00525AAA" w:rsidRDefault="007224EA" w:rsidP="007224EA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81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102,6</w:t>
            </w:r>
          </w:p>
        </w:tc>
        <w:tc>
          <w:tcPr>
            <w:tcW w:w="81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103,0</w:t>
            </w:r>
          </w:p>
        </w:tc>
        <w:tc>
          <w:tcPr>
            <w:tcW w:w="89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99,1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102,8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101,5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102,4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-0,06</w:t>
            </w:r>
          </w:p>
        </w:tc>
      </w:tr>
      <w:tr w:rsidR="004266D6" w:rsidRPr="00525AAA" w:rsidTr="004266D6">
        <w:trPr>
          <w:cantSplit/>
          <w:trHeight w:val="57"/>
        </w:trPr>
        <w:tc>
          <w:tcPr>
            <w:tcW w:w="198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224EA" w:rsidRPr="00525AAA" w:rsidRDefault="007224EA" w:rsidP="007224EA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81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104,4</w:t>
            </w:r>
          </w:p>
        </w:tc>
        <w:tc>
          <w:tcPr>
            <w:tcW w:w="81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103,4</w:t>
            </w:r>
          </w:p>
        </w:tc>
        <w:tc>
          <w:tcPr>
            <w:tcW w:w="89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102,6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103,5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103,2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0,03</w:t>
            </w:r>
          </w:p>
        </w:tc>
      </w:tr>
      <w:tr w:rsidR="004266D6" w:rsidRPr="00525AAA" w:rsidTr="004266D6">
        <w:trPr>
          <w:cantSplit/>
          <w:trHeight w:val="57"/>
        </w:trPr>
        <w:tc>
          <w:tcPr>
            <w:tcW w:w="198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224EA" w:rsidRPr="00525AAA" w:rsidRDefault="007224EA" w:rsidP="007224EA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81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105,2</w:t>
            </w:r>
          </w:p>
        </w:tc>
        <w:tc>
          <w:tcPr>
            <w:tcW w:w="81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104,5</w:t>
            </w:r>
          </w:p>
        </w:tc>
        <w:tc>
          <w:tcPr>
            <w:tcW w:w="89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100,9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104,8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101,6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104,1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0,05</w:t>
            </w:r>
          </w:p>
        </w:tc>
      </w:tr>
      <w:tr w:rsidR="004266D6" w:rsidRPr="00525AAA" w:rsidTr="004266D6">
        <w:trPr>
          <w:cantSplit/>
          <w:trHeight w:val="57"/>
        </w:trPr>
        <w:tc>
          <w:tcPr>
            <w:tcW w:w="1980" w:type="dxa"/>
            <w:tcBorders>
              <w:top w:val="single" w:sz="4" w:space="0" w:color="212492"/>
              <w:bottom w:val="nil"/>
            </w:tcBorders>
            <w:vAlign w:val="center"/>
          </w:tcPr>
          <w:p w:rsidR="007224EA" w:rsidRPr="00525AAA" w:rsidRDefault="007224EA" w:rsidP="007224EA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Miscellaneous goods and services</w:t>
            </w:r>
          </w:p>
        </w:tc>
        <w:tc>
          <w:tcPr>
            <w:tcW w:w="813" w:type="dxa"/>
            <w:tcBorders>
              <w:top w:val="single" w:sz="4" w:space="0" w:color="212492"/>
              <w:bottom w:val="nil"/>
            </w:tcBorders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101,3</w:t>
            </w:r>
          </w:p>
        </w:tc>
        <w:tc>
          <w:tcPr>
            <w:tcW w:w="814" w:type="dxa"/>
            <w:tcBorders>
              <w:top w:val="single" w:sz="4" w:space="0" w:color="212492"/>
              <w:bottom w:val="nil"/>
            </w:tcBorders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101,3</w:t>
            </w:r>
          </w:p>
        </w:tc>
        <w:tc>
          <w:tcPr>
            <w:tcW w:w="896" w:type="dxa"/>
            <w:tcBorders>
              <w:top w:val="single" w:sz="4" w:space="0" w:color="212492"/>
              <w:bottom w:val="nil"/>
            </w:tcBorders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101,3</w:t>
            </w:r>
          </w:p>
        </w:tc>
        <w:tc>
          <w:tcPr>
            <w:tcW w:w="850" w:type="dxa"/>
            <w:tcBorders>
              <w:top w:val="single" w:sz="4" w:space="0" w:color="212492"/>
              <w:bottom w:val="nil"/>
            </w:tcBorders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101,3</w:t>
            </w:r>
          </w:p>
        </w:tc>
        <w:tc>
          <w:tcPr>
            <w:tcW w:w="851" w:type="dxa"/>
            <w:tcBorders>
              <w:top w:val="single" w:sz="4" w:space="0" w:color="212492"/>
              <w:bottom w:val="nil"/>
            </w:tcBorders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212492"/>
              <w:bottom w:val="nil"/>
            </w:tcBorders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101,1</w:t>
            </w:r>
          </w:p>
        </w:tc>
        <w:tc>
          <w:tcPr>
            <w:tcW w:w="1276" w:type="dxa"/>
            <w:tcBorders>
              <w:top w:val="single" w:sz="4" w:space="0" w:color="212492"/>
              <w:bottom w:val="nil"/>
            </w:tcBorders>
            <w:vAlign w:val="bottom"/>
          </w:tcPr>
          <w:p w:rsidR="007224EA" w:rsidRPr="00525AAA" w:rsidRDefault="007224EA" w:rsidP="007224EA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0,07</w:t>
            </w:r>
          </w:p>
        </w:tc>
      </w:tr>
    </w:tbl>
    <w:p w:rsidR="007224EA" w:rsidRPr="00525AAA" w:rsidRDefault="007224EA" w:rsidP="00296EB3">
      <w:pPr>
        <w:spacing w:line="240" w:lineRule="auto"/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val="en-GB" w:eastAsia="pl-PL"/>
        </w:rPr>
      </w:pPr>
    </w:p>
    <w:p w:rsidR="00A33BAD" w:rsidRDefault="00A33BAD" w:rsidP="00296EB3">
      <w:pPr>
        <w:spacing w:line="240" w:lineRule="auto"/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val="en-GB" w:eastAsia="pl-PL"/>
        </w:rPr>
      </w:pPr>
    </w:p>
    <w:p w:rsidR="00A07F00" w:rsidRPr="00525AAA" w:rsidRDefault="00541469" w:rsidP="00296EB3">
      <w:pPr>
        <w:spacing w:line="240" w:lineRule="auto"/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val="en-GB" w:eastAsia="pl-PL"/>
        </w:rPr>
      </w:pPr>
      <w:r w:rsidRPr="00525AAA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val="en-GB" w:eastAsia="pl-PL"/>
        </w:rPr>
        <w:lastRenderedPageBreak/>
        <w:t>Contribution of price changes to the total consumer price index</w:t>
      </w:r>
    </w:p>
    <w:p w:rsidR="00A07F00" w:rsidRPr="00B35EF8" w:rsidRDefault="00BA4F43" w:rsidP="00285768">
      <w:pPr>
        <w:rPr>
          <w:color w:val="000000" w:themeColor="text1"/>
          <w:lang w:val="en-GB"/>
        </w:rPr>
      </w:pPr>
      <w:r w:rsidRPr="00B35EF8">
        <w:rPr>
          <w:color w:val="000000" w:themeColor="text1"/>
          <w:spacing w:val="-3"/>
          <w:lang w:val="en-GB"/>
        </w:rPr>
        <w:t xml:space="preserve">In September of the current year, compared with the previous month, the highest contribution to the total consumer price index came from lower prices related to Transport </w:t>
      </w:r>
      <w:r w:rsidR="00FA0677" w:rsidRPr="00B35EF8">
        <w:rPr>
          <w:color w:val="000000" w:themeColor="text1"/>
          <w:lang w:val="en-GB"/>
        </w:rPr>
        <w:t>(</w:t>
      </w:r>
      <w:r w:rsidR="00877183" w:rsidRPr="00B35EF8">
        <w:rPr>
          <w:color w:val="000000" w:themeColor="text1"/>
          <w:lang w:val="en-GB"/>
        </w:rPr>
        <w:t>by</w:t>
      </w:r>
      <w:r w:rsidR="00FA0677" w:rsidRPr="00B35EF8">
        <w:rPr>
          <w:color w:val="000000" w:themeColor="text1"/>
          <w:lang w:val="en-GB"/>
        </w:rPr>
        <w:t> </w:t>
      </w:r>
      <w:r w:rsidR="00A60AEE" w:rsidRPr="00B35EF8">
        <w:rPr>
          <w:color w:val="000000" w:themeColor="text1"/>
          <w:lang w:val="en-GB"/>
        </w:rPr>
        <w:t>2,6</w:t>
      </w:r>
      <w:r w:rsidR="006920EA" w:rsidRPr="00B35EF8">
        <w:rPr>
          <w:color w:val="000000" w:themeColor="text1"/>
          <w:lang w:val="en-GB"/>
        </w:rPr>
        <w:t>%)</w:t>
      </w:r>
      <w:r w:rsidR="00BB6447" w:rsidRPr="00B35EF8">
        <w:rPr>
          <w:color w:val="000000" w:themeColor="text1"/>
          <w:lang w:val="en-GB"/>
        </w:rPr>
        <w:t xml:space="preserve">, </w:t>
      </w:r>
      <w:r w:rsidR="00877183" w:rsidRPr="00B35EF8">
        <w:rPr>
          <w:color w:val="000000" w:themeColor="text1"/>
          <w:lang w:val="en-GB"/>
        </w:rPr>
        <w:t>and</w:t>
      </w:r>
      <w:r w:rsidR="00B35EF8">
        <w:rPr>
          <w:color w:val="000000" w:themeColor="text1"/>
          <w:lang w:val="en-GB"/>
        </w:rPr>
        <w:t> </w:t>
      </w:r>
      <w:r w:rsidR="00B35EF8" w:rsidRPr="00B35EF8">
        <w:rPr>
          <w:color w:val="000000" w:themeColor="text1"/>
          <w:lang w:val="en-GB"/>
        </w:rPr>
        <w:t>Recreation</w:t>
      </w:r>
      <w:r w:rsidR="00877183" w:rsidRPr="00B35EF8">
        <w:rPr>
          <w:color w:val="000000" w:themeColor="text1"/>
          <w:lang w:val="en-GB"/>
        </w:rPr>
        <w:t xml:space="preserve"> and culture (by</w:t>
      </w:r>
      <w:r w:rsidR="00A60AEE" w:rsidRPr="00B35EF8">
        <w:rPr>
          <w:color w:val="000000" w:themeColor="text1"/>
          <w:lang w:val="en-GB"/>
        </w:rPr>
        <w:t xml:space="preserve"> 0,9</w:t>
      </w:r>
      <w:r w:rsidR="006920EA" w:rsidRPr="00B35EF8">
        <w:rPr>
          <w:color w:val="000000" w:themeColor="text1"/>
          <w:lang w:val="en-GB"/>
        </w:rPr>
        <w:t>%)</w:t>
      </w:r>
      <w:r w:rsidR="00B611C1" w:rsidRPr="00B35EF8">
        <w:rPr>
          <w:color w:val="000000" w:themeColor="text1"/>
          <w:lang w:val="en-GB"/>
        </w:rPr>
        <w:t xml:space="preserve">, </w:t>
      </w:r>
      <w:r w:rsidR="00877183" w:rsidRPr="00B35EF8">
        <w:rPr>
          <w:color w:val="000000" w:themeColor="text1"/>
          <w:spacing w:val="-3"/>
          <w:lang w:val="en-GB"/>
        </w:rPr>
        <w:t>which decreased the index by </w:t>
      </w:r>
      <w:r w:rsidR="00A60AEE" w:rsidRPr="00B35EF8">
        <w:rPr>
          <w:color w:val="000000" w:themeColor="text1"/>
          <w:lang w:val="en-GB"/>
        </w:rPr>
        <w:t>0,27</w:t>
      </w:r>
      <w:r w:rsidR="00DE64C5" w:rsidRPr="00B35EF8">
        <w:rPr>
          <w:color w:val="000000" w:themeColor="text1"/>
          <w:lang w:val="en-GB"/>
        </w:rPr>
        <w:t xml:space="preserve"> p</w:t>
      </w:r>
      <w:r w:rsidR="00877183" w:rsidRPr="00B35EF8">
        <w:rPr>
          <w:color w:val="000000" w:themeColor="text1"/>
          <w:lang w:val="en-GB"/>
        </w:rPr>
        <w:t xml:space="preserve">p and </w:t>
      </w:r>
      <w:r w:rsidR="0074537D" w:rsidRPr="00B35EF8">
        <w:rPr>
          <w:color w:val="000000" w:themeColor="text1"/>
          <w:lang w:val="en-GB"/>
        </w:rPr>
        <w:t>0,0</w:t>
      </w:r>
      <w:r w:rsidR="00A60AEE" w:rsidRPr="00B35EF8">
        <w:rPr>
          <w:color w:val="000000" w:themeColor="text1"/>
          <w:lang w:val="en-GB"/>
        </w:rPr>
        <w:t>6</w:t>
      </w:r>
      <w:r w:rsidR="003A7D83" w:rsidRPr="00B35EF8">
        <w:rPr>
          <w:color w:val="000000" w:themeColor="text1"/>
          <w:lang w:val="en-GB"/>
        </w:rPr>
        <w:t> </w:t>
      </w:r>
      <w:r w:rsidR="00877183" w:rsidRPr="00B35EF8">
        <w:rPr>
          <w:color w:val="000000" w:themeColor="text1"/>
          <w:lang w:val="en-GB"/>
        </w:rPr>
        <w:t xml:space="preserve">pp, </w:t>
      </w:r>
      <w:r w:rsidR="00B35EF8">
        <w:rPr>
          <w:color w:val="000000" w:themeColor="text1"/>
          <w:lang w:val="en-GB"/>
        </w:rPr>
        <w:br/>
      </w:r>
      <w:r w:rsidR="00877183" w:rsidRPr="00B35EF8">
        <w:rPr>
          <w:color w:val="000000" w:themeColor="text1"/>
          <w:lang w:val="en-GB"/>
        </w:rPr>
        <w:t>respectively</w:t>
      </w:r>
      <w:r w:rsidR="00893D2F" w:rsidRPr="00B35EF8">
        <w:rPr>
          <w:color w:val="000000" w:themeColor="text1"/>
          <w:lang w:val="en-GB"/>
        </w:rPr>
        <w:t>. Higher prices of Clothing and footwear (by</w:t>
      </w:r>
      <w:r w:rsidR="00486EE6" w:rsidRPr="00B35EF8">
        <w:rPr>
          <w:color w:val="000000" w:themeColor="text1"/>
          <w:lang w:val="en-GB"/>
        </w:rPr>
        <w:t xml:space="preserve"> </w:t>
      </w:r>
      <w:r w:rsidR="00A60AEE" w:rsidRPr="00B35EF8">
        <w:rPr>
          <w:color w:val="000000" w:themeColor="text1"/>
          <w:lang w:val="en-GB"/>
        </w:rPr>
        <w:t>2,6</w:t>
      </w:r>
      <w:r w:rsidR="00486EE6" w:rsidRPr="00B35EF8">
        <w:rPr>
          <w:color w:val="000000" w:themeColor="text1"/>
          <w:lang w:val="en-GB"/>
        </w:rPr>
        <w:t xml:space="preserve">%) </w:t>
      </w:r>
      <w:r w:rsidR="00893D2F" w:rsidRPr="00B35EF8">
        <w:rPr>
          <w:color w:val="000000" w:themeColor="text1"/>
          <w:lang w:val="en-GB"/>
        </w:rPr>
        <w:t xml:space="preserve">and related to </w:t>
      </w:r>
      <w:r w:rsidR="00B35EF8" w:rsidRPr="00B35EF8">
        <w:rPr>
          <w:color w:val="000000" w:themeColor="text1"/>
          <w:lang w:val="en-GB"/>
        </w:rPr>
        <w:t>Dwelling</w:t>
      </w:r>
      <w:r w:rsidR="00893D2F" w:rsidRPr="00B35EF8">
        <w:rPr>
          <w:color w:val="000000" w:themeColor="text1"/>
          <w:lang w:val="en-GB"/>
        </w:rPr>
        <w:t xml:space="preserve"> (by</w:t>
      </w:r>
      <w:r w:rsidR="00B35EF8">
        <w:rPr>
          <w:color w:val="000000" w:themeColor="text1"/>
          <w:lang w:val="en-GB"/>
        </w:rPr>
        <w:t> </w:t>
      </w:r>
      <w:r w:rsidR="008C1A52" w:rsidRPr="00B35EF8">
        <w:rPr>
          <w:color w:val="000000" w:themeColor="text1"/>
          <w:lang w:val="en-GB"/>
        </w:rPr>
        <w:t xml:space="preserve">0,2%) </w:t>
      </w:r>
      <w:r w:rsidR="00893D2F" w:rsidRPr="00B35EF8">
        <w:rPr>
          <w:color w:val="000000" w:themeColor="text1"/>
          <w:lang w:val="en-GB"/>
        </w:rPr>
        <w:t xml:space="preserve">increased the index by </w:t>
      </w:r>
      <w:r w:rsidR="00C11CBD" w:rsidRPr="00B35EF8">
        <w:rPr>
          <w:color w:val="000000" w:themeColor="text1"/>
          <w:lang w:val="en-GB"/>
        </w:rPr>
        <w:t>0,12</w:t>
      </w:r>
      <w:r w:rsidR="00893D2F" w:rsidRPr="00B35EF8">
        <w:rPr>
          <w:color w:val="000000" w:themeColor="text1"/>
          <w:lang w:val="en-GB"/>
        </w:rPr>
        <w:t xml:space="preserve"> pp and </w:t>
      </w:r>
      <w:r w:rsidR="00C11CBD" w:rsidRPr="00B35EF8">
        <w:rPr>
          <w:color w:val="000000" w:themeColor="text1"/>
          <w:lang w:val="en-GB"/>
        </w:rPr>
        <w:t>0,05</w:t>
      </w:r>
      <w:r w:rsidR="00893D2F" w:rsidRPr="00B35EF8">
        <w:rPr>
          <w:color w:val="000000" w:themeColor="text1"/>
          <w:lang w:val="en-GB"/>
        </w:rPr>
        <w:t xml:space="preserve"> pp, respectively.</w:t>
      </w:r>
      <w:r w:rsidR="00690AEE">
        <w:rPr>
          <w:color w:val="000000" w:themeColor="text1"/>
          <w:lang w:val="en-GB"/>
        </w:rPr>
        <w:br/>
      </w:r>
      <w:r w:rsidR="00893D2F" w:rsidRPr="00B35EF8">
        <w:rPr>
          <w:color w:val="000000" w:themeColor="text1"/>
          <w:lang w:val="en-GB"/>
        </w:rPr>
        <w:t xml:space="preserve">Compared with the corresponding month of the previous year, higher prices </w:t>
      </w:r>
      <w:r w:rsidR="00076281" w:rsidRPr="00B35EF8">
        <w:rPr>
          <w:color w:val="000000" w:themeColor="text1"/>
          <w:lang w:val="en-GB"/>
        </w:rPr>
        <w:t>of Food</w:t>
      </w:r>
      <w:r w:rsidR="005762F6" w:rsidRPr="00B35EF8">
        <w:rPr>
          <w:color w:val="000000" w:themeColor="text1"/>
          <w:lang w:val="en-GB"/>
        </w:rPr>
        <w:t xml:space="preserve"> </w:t>
      </w:r>
      <w:r w:rsidR="00076281" w:rsidRPr="00B35EF8">
        <w:rPr>
          <w:color w:val="000000" w:themeColor="text1"/>
          <w:lang w:val="en-GB"/>
        </w:rPr>
        <w:t>(by</w:t>
      </w:r>
      <w:r w:rsidR="00A07F00" w:rsidRPr="00B35EF8">
        <w:rPr>
          <w:color w:val="000000" w:themeColor="text1"/>
          <w:lang w:val="en-GB"/>
        </w:rPr>
        <w:t> </w:t>
      </w:r>
      <w:r w:rsidR="00C11CBD" w:rsidRPr="00B35EF8">
        <w:rPr>
          <w:color w:val="000000" w:themeColor="text1"/>
          <w:lang w:val="en-GB"/>
        </w:rPr>
        <w:t>6,8</w:t>
      </w:r>
      <w:r w:rsidR="00674A8B" w:rsidRPr="00B35EF8">
        <w:rPr>
          <w:color w:val="000000" w:themeColor="text1"/>
          <w:lang w:val="en-GB"/>
        </w:rPr>
        <w:t>%)</w:t>
      </w:r>
      <w:r w:rsidR="00C11CBD" w:rsidRPr="00B35EF8">
        <w:rPr>
          <w:color w:val="000000" w:themeColor="text1"/>
          <w:lang w:val="en-GB"/>
        </w:rPr>
        <w:t xml:space="preserve"> </w:t>
      </w:r>
      <w:r w:rsidR="00076281" w:rsidRPr="00B35EF8">
        <w:rPr>
          <w:color w:val="000000" w:themeColor="text1"/>
          <w:lang w:val="en-GB"/>
        </w:rPr>
        <w:t>and</w:t>
      </w:r>
      <w:r w:rsidR="001B29C5">
        <w:rPr>
          <w:color w:val="000000" w:themeColor="text1"/>
          <w:lang w:val="en-GB"/>
        </w:rPr>
        <w:t xml:space="preserve"> related to</w:t>
      </w:r>
      <w:r w:rsidR="00076281" w:rsidRPr="00B35EF8">
        <w:rPr>
          <w:color w:val="000000" w:themeColor="text1"/>
          <w:lang w:val="en-GB"/>
        </w:rPr>
        <w:t xml:space="preserve"> Dwelling (by</w:t>
      </w:r>
      <w:r w:rsidR="00C11CBD" w:rsidRPr="00B35EF8">
        <w:rPr>
          <w:color w:val="000000" w:themeColor="text1"/>
          <w:lang w:val="en-GB"/>
        </w:rPr>
        <w:t xml:space="preserve"> 1,6%) </w:t>
      </w:r>
      <w:r w:rsidR="00076281" w:rsidRPr="00B35EF8">
        <w:rPr>
          <w:color w:val="000000" w:themeColor="text1"/>
          <w:lang w:val="en-GB"/>
        </w:rPr>
        <w:t xml:space="preserve">increased </w:t>
      </w:r>
      <w:r w:rsidR="00B37F44" w:rsidRPr="00B35EF8">
        <w:rPr>
          <w:color w:val="000000" w:themeColor="text1"/>
          <w:lang w:val="en-GB"/>
        </w:rPr>
        <w:t>the consumer price index by</w:t>
      </w:r>
      <w:r w:rsidR="00A07F00" w:rsidRPr="00B35EF8">
        <w:rPr>
          <w:color w:val="000000" w:themeColor="text1"/>
          <w:lang w:val="en-GB"/>
        </w:rPr>
        <w:t> </w:t>
      </w:r>
      <w:r w:rsidR="00C11CBD" w:rsidRPr="00B35EF8">
        <w:rPr>
          <w:color w:val="000000" w:themeColor="text1"/>
          <w:lang w:val="en-GB"/>
        </w:rPr>
        <w:t>1,51</w:t>
      </w:r>
      <w:r w:rsidR="00B37F44" w:rsidRPr="00B35EF8">
        <w:rPr>
          <w:color w:val="000000" w:themeColor="text1"/>
          <w:lang w:val="en-GB"/>
        </w:rPr>
        <w:t xml:space="preserve"> pp</w:t>
      </w:r>
      <w:r w:rsidR="00B35EF8">
        <w:rPr>
          <w:color w:val="000000" w:themeColor="text1"/>
          <w:lang w:val="en-GB"/>
        </w:rPr>
        <w:t xml:space="preserve"> and </w:t>
      </w:r>
      <w:r w:rsidR="009D1423" w:rsidRPr="00B35EF8">
        <w:rPr>
          <w:color w:val="000000" w:themeColor="text1"/>
          <w:lang w:val="en-GB"/>
        </w:rPr>
        <w:t>0,</w:t>
      </w:r>
      <w:r w:rsidR="00C11CBD" w:rsidRPr="00B35EF8">
        <w:rPr>
          <w:color w:val="000000" w:themeColor="text1"/>
          <w:lang w:val="en-GB"/>
        </w:rPr>
        <w:t>40</w:t>
      </w:r>
      <w:r w:rsidR="00FA0677" w:rsidRPr="00B35EF8">
        <w:rPr>
          <w:color w:val="000000" w:themeColor="text1"/>
          <w:lang w:val="en-GB"/>
        </w:rPr>
        <w:t> </w:t>
      </w:r>
      <w:r w:rsidR="00B37F44" w:rsidRPr="00B35EF8">
        <w:rPr>
          <w:color w:val="000000" w:themeColor="text1"/>
          <w:lang w:val="en-GB"/>
        </w:rPr>
        <w:t xml:space="preserve">pp, </w:t>
      </w:r>
      <w:r w:rsidR="00B35EF8" w:rsidRPr="00B35EF8">
        <w:rPr>
          <w:color w:val="000000" w:themeColor="text1"/>
          <w:lang w:val="en-GB"/>
        </w:rPr>
        <w:t>respectively</w:t>
      </w:r>
      <w:r w:rsidR="00A07F00" w:rsidRPr="00B35EF8">
        <w:rPr>
          <w:color w:val="000000" w:themeColor="text1"/>
          <w:lang w:val="en-GB"/>
        </w:rPr>
        <w:t xml:space="preserve">. </w:t>
      </w:r>
      <w:r w:rsidR="00B37F44" w:rsidRPr="00B35EF8">
        <w:rPr>
          <w:color w:val="000000" w:themeColor="text1"/>
          <w:lang w:val="en-GB"/>
        </w:rPr>
        <w:t xml:space="preserve">Lower prices related to Transport </w:t>
      </w:r>
      <w:r w:rsidR="00B37F44" w:rsidRPr="00B35EF8">
        <w:rPr>
          <w:color w:val="000000" w:themeColor="text1"/>
          <w:spacing w:val="-2"/>
          <w:lang w:val="en-GB"/>
        </w:rPr>
        <w:t>(by</w:t>
      </w:r>
      <w:r w:rsidR="00A07F00" w:rsidRPr="00B35EF8">
        <w:rPr>
          <w:color w:val="000000" w:themeColor="text1"/>
          <w:spacing w:val="-2"/>
          <w:lang w:val="en-GB"/>
        </w:rPr>
        <w:t xml:space="preserve"> </w:t>
      </w:r>
      <w:r w:rsidR="00C11CBD" w:rsidRPr="00B35EF8">
        <w:rPr>
          <w:color w:val="000000" w:themeColor="text1"/>
          <w:spacing w:val="-2"/>
          <w:lang w:val="en-GB"/>
        </w:rPr>
        <w:t>1,7</w:t>
      </w:r>
      <w:r w:rsidR="00674A8B" w:rsidRPr="00B35EF8">
        <w:rPr>
          <w:color w:val="000000" w:themeColor="text1"/>
          <w:spacing w:val="-2"/>
          <w:lang w:val="en-GB"/>
        </w:rPr>
        <w:t>%)</w:t>
      </w:r>
      <w:r w:rsidR="003A7D83" w:rsidRPr="00B35EF8">
        <w:rPr>
          <w:color w:val="000000" w:themeColor="text1"/>
          <w:spacing w:val="-2"/>
          <w:lang w:val="en-GB"/>
        </w:rPr>
        <w:t xml:space="preserve"> </w:t>
      </w:r>
      <w:r w:rsidR="00B37F44" w:rsidRPr="00B35EF8">
        <w:rPr>
          <w:color w:val="000000" w:themeColor="text1"/>
          <w:spacing w:val="-2"/>
          <w:lang w:val="en-GB"/>
        </w:rPr>
        <w:t xml:space="preserve">and Clothing and </w:t>
      </w:r>
      <w:r w:rsidR="001B29C5">
        <w:rPr>
          <w:color w:val="000000" w:themeColor="text1"/>
          <w:spacing w:val="-2"/>
          <w:lang w:val="en-GB"/>
        </w:rPr>
        <w:br/>
      </w:r>
      <w:r w:rsidR="00B37F44" w:rsidRPr="00B35EF8">
        <w:rPr>
          <w:color w:val="000000" w:themeColor="text1"/>
          <w:spacing w:val="-2"/>
          <w:lang w:val="en-GB"/>
        </w:rPr>
        <w:t>footwear (by</w:t>
      </w:r>
      <w:r w:rsidR="003405A4" w:rsidRPr="00B35EF8">
        <w:rPr>
          <w:color w:val="000000" w:themeColor="text1"/>
          <w:spacing w:val="-2"/>
          <w:lang w:val="en-GB"/>
        </w:rPr>
        <w:t xml:space="preserve"> 1,</w:t>
      </w:r>
      <w:r w:rsidR="00C11CBD" w:rsidRPr="00B35EF8">
        <w:rPr>
          <w:color w:val="000000" w:themeColor="text1"/>
          <w:spacing w:val="-2"/>
          <w:lang w:val="en-GB"/>
        </w:rPr>
        <w:t>2</w:t>
      </w:r>
      <w:r w:rsidR="003405A4" w:rsidRPr="00B35EF8">
        <w:rPr>
          <w:color w:val="000000" w:themeColor="text1"/>
          <w:spacing w:val="-2"/>
          <w:lang w:val="en-GB"/>
        </w:rPr>
        <w:t>%)</w:t>
      </w:r>
      <w:r w:rsidR="00B37F44" w:rsidRPr="00B35EF8">
        <w:rPr>
          <w:color w:val="000000" w:themeColor="text1"/>
          <w:spacing w:val="-2"/>
          <w:lang w:val="en-GB"/>
        </w:rPr>
        <w:t xml:space="preserve"> decreased the index by </w:t>
      </w:r>
      <w:r w:rsidR="00A07F00" w:rsidRPr="00B35EF8">
        <w:rPr>
          <w:color w:val="000000" w:themeColor="text1"/>
          <w:spacing w:val="-2"/>
          <w:lang w:val="en-GB"/>
        </w:rPr>
        <w:t>0,</w:t>
      </w:r>
      <w:r w:rsidR="00C11CBD" w:rsidRPr="00B35EF8">
        <w:rPr>
          <w:color w:val="000000" w:themeColor="text1"/>
          <w:spacing w:val="-2"/>
          <w:lang w:val="en-GB"/>
        </w:rPr>
        <w:t>1</w:t>
      </w:r>
      <w:r w:rsidR="00CC6180" w:rsidRPr="00B35EF8">
        <w:rPr>
          <w:color w:val="000000" w:themeColor="text1"/>
          <w:spacing w:val="-2"/>
          <w:lang w:val="en-GB"/>
        </w:rPr>
        <w:t>8</w:t>
      </w:r>
      <w:r w:rsidR="00B37F44" w:rsidRPr="00B35EF8">
        <w:rPr>
          <w:color w:val="000000" w:themeColor="text1"/>
          <w:spacing w:val="-2"/>
          <w:lang w:val="en-GB"/>
        </w:rPr>
        <w:t xml:space="preserve"> pp and </w:t>
      </w:r>
      <w:r w:rsidR="00C11CBD" w:rsidRPr="00B35EF8">
        <w:rPr>
          <w:color w:val="000000" w:themeColor="text1"/>
          <w:spacing w:val="-2"/>
          <w:lang w:val="en-GB"/>
        </w:rPr>
        <w:t>0,06</w:t>
      </w:r>
      <w:r w:rsidR="00B37F44" w:rsidRPr="00B35EF8">
        <w:rPr>
          <w:color w:val="000000" w:themeColor="text1"/>
          <w:spacing w:val="-2"/>
          <w:lang w:val="en-GB"/>
        </w:rPr>
        <w:t xml:space="preserve"> pp, respectively.</w:t>
      </w:r>
    </w:p>
    <w:p w:rsidR="00A07F00" w:rsidRPr="00525AAA" w:rsidRDefault="00A07F00" w:rsidP="00C27D75">
      <w:pPr>
        <w:rPr>
          <w:highlight w:val="yellow"/>
          <w:lang w:val="en-GB"/>
        </w:rPr>
      </w:pPr>
    </w:p>
    <w:p w:rsidR="00A07F00" w:rsidRPr="00525AAA" w:rsidRDefault="00763E2C" w:rsidP="00A33BAD">
      <w:pPr>
        <w:pStyle w:val="tytuwykresu"/>
        <w:ind w:left="709" w:hanging="709"/>
        <w:rPr>
          <w:noProof/>
          <w:lang w:val="en-GB" w:eastAsia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813888" behindDoc="0" locked="0" layoutInCell="1" allowOverlap="1" wp14:anchorId="40550EA8" wp14:editId="1A201DA9">
            <wp:simplePos x="0" y="0"/>
            <wp:positionH relativeFrom="column">
              <wp:posOffset>-161925</wp:posOffset>
            </wp:positionH>
            <wp:positionV relativeFrom="paragraph">
              <wp:posOffset>419735</wp:posOffset>
            </wp:positionV>
            <wp:extent cx="5164455" cy="2609215"/>
            <wp:effectExtent l="0" t="0" r="0" b="0"/>
            <wp:wrapSquare wrapText="bothSides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0953">
        <w:rPr>
          <w:noProof/>
          <w:lang w:val="en-GB" w:eastAsia="en-GB"/>
        </w:rPr>
        <w:t xml:space="preserve"> </w:t>
      </w:r>
      <w:r w:rsidR="0092160E" w:rsidRPr="00060953">
        <w:rPr>
          <w:noProof/>
          <w:lang w:val="en-GB" w:eastAsia="en-GB"/>
        </w:rPr>
        <w:t xml:space="preserve">Chart 1. Contribution of price changes of selected groups of consumer goods and services </w:t>
      </w:r>
      <w:r w:rsidR="0092160E" w:rsidRPr="00060953">
        <w:rPr>
          <w:noProof/>
          <w:lang w:val="en-GB" w:eastAsia="en-GB"/>
        </w:rPr>
        <w:br/>
        <w:t xml:space="preserve">in </w:t>
      </w:r>
      <w:r w:rsidR="00DC660D" w:rsidRPr="00060953">
        <w:rPr>
          <w:noProof/>
          <w:lang w:val="en-GB" w:eastAsia="en-GB"/>
        </w:rPr>
        <w:t xml:space="preserve">September </w:t>
      </w:r>
      <w:r w:rsidR="0092160E" w:rsidRPr="00060953">
        <w:rPr>
          <w:noProof/>
          <w:lang w:val="en-GB" w:eastAsia="en-GB"/>
        </w:rPr>
        <w:t>2019 (change in pp compared with the previous period</w:t>
      </w:r>
      <w:r w:rsidR="0092160E" w:rsidRPr="00525AAA">
        <w:rPr>
          <w:noProof/>
          <w:lang w:val="en-GB" w:eastAsia="en-GB"/>
        </w:rPr>
        <w:t>)</w:t>
      </w:r>
    </w:p>
    <w:p w:rsidR="00F60B5D" w:rsidRPr="00525AAA" w:rsidRDefault="00F60B5D" w:rsidP="00B617A5">
      <w:pPr>
        <w:pStyle w:val="tytuwykresu"/>
        <w:ind w:left="794" w:hanging="794"/>
        <w:rPr>
          <w:highlight w:val="yellow"/>
          <w:shd w:val="clear" w:color="auto" w:fill="FFFFFF"/>
          <w:lang w:val="en-GB"/>
        </w:rPr>
      </w:pPr>
    </w:p>
    <w:p w:rsidR="00DC660D" w:rsidRPr="00525AAA" w:rsidRDefault="00B35EF8" w:rsidP="00B617A5">
      <w:pPr>
        <w:spacing w:before="0" w:after="160" w:line="259" w:lineRule="auto"/>
        <w:ind w:left="794" w:hanging="794"/>
        <w:rPr>
          <w:b/>
          <w:spacing w:val="-2"/>
          <w:sz w:val="18"/>
          <w:lang w:val="en-GB"/>
        </w:rPr>
      </w:pPr>
      <w:r w:rsidRPr="00525AAA">
        <w:rPr>
          <w:noProof/>
          <w:lang w:val="en-GB" w:eastAsia="en-GB"/>
        </w:rPr>
        <w:drawing>
          <wp:anchor distT="0" distB="0" distL="114300" distR="114300" simplePos="0" relativeHeight="251811840" behindDoc="0" locked="0" layoutInCell="1" allowOverlap="1" wp14:anchorId="5D1E975D" wp14:editId="79A1A2BF">
            <wp:simplePos x="0" y="0"/>
            <wp:positionH relativeFrom="column">
              <wp:posOffset>-66675</wp:posOffset>
            </wp:positionH>
            <wp:positionV relativeFrom="paragraph">
              <wp:posOffset>262890</wp:posOffset>
            </wp:positionV>
            <wp:extent cx="5122545" cy="3599815"/>
            <wp:effectExtent l="0" t="0" r="0" b="0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F16">
        <w:rPr>
          <w:b/>
          <w:noProof/>
          <w:spacing w:val="-2"/>
          <w:sz w:val="18"/>
          <w:lang w:val="en-GB" w:eastAsia="en-GB"/>
        </w:rPr>
        <w:pict>
          <v:shape id="_x0000_s1028" type="#_x0000_t202" style="position:absolute;left:0;text-align:left;margin-left:414.75pt;margin-top:529.5pt;width:135.85pt;height:168.75pt;z-index:-251532288;visibility:visible;mso-wrap-distance-top:3.6pt;mso-wrap-distance-bottom:3.6pt;mso-position-horizontal-relative:tex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4BzDwIAAAAEAAAOAAAAZHJzL2Uyb0RvYy54bWysU1Fv0zAQfkfiP1h+p0mjlq1R02lsDCEN&#10;mDT4AVfHaazZPmO7Tcav5+x0pRpviDxYdu783X3ffV5fjUazg/RBoW34fFZyJq3AVtldw398v3t3&#10;yVmIYFvQaGXDn2XgV5u3b9aDq2WFPepWekYgNtSDa3gfo6uLIoheGggzdNJSsENvINLR74rWw0Do&#10;RhdVWb4vBvSt8yhkCPT3dgryTcbvOinit64LMjLdcOot5tXndZvWYrOGeufB9Uoc24B/6MKAslT0&#10;BHULEdjeq7+gjBIeA3ZxJtAU2HVKyMyB2MzLV2wee3AycyFxgjvJFP4frPh6ePBMtTS7BWcWDM3o&#10;AbVkUT6FiINkVdJocKGm1EdHyXH8gCPlZ77B3aN4CsziTQ92J6+9x6GX0FKP83SzOLs64YQEsh2+&#10;YEu1YB8xA42dN0lAkoQROs3q+TQfOUYmUsmLalmtlpwJis0vy7KqlrkG1C/XnQ/xk0TD0qbhngyQ&#10;4eFwH2JqB+qXlFTN4p3SOptAWzY0fLUkyFcRoyJ5VCvTcKpJ3+SaxPKjbfPlCEpPeyqg7ZF2Yjpx&#10;juN2zCqf1Nxi+0w6eJwsSU+INj36X5wNZMeGh5978JIz/dmSlqv5YpH8mw+L5UVFB38e2Z5HwAqC&#10;anjkbNrexOz5idg1ad6prEYaztTJsWWyWRbp+CSSj8/POevPw938BgAA//8DAFBLAwQUAAYACAAA&#10;ACEAVs1gpeAAAAAOAQAADwAAAGRycy9kb3ducmV2LnhtbEyPzW7CMBCE75V4B2sr9VbspAVBiINQ&#10;q16LSn8kbiZekqjxOooNSd+e5VRuO5rR7Df5enStOGMfGk8akqkCgVR621Cl4evz7XEBIkRD1rSe&#10;UMMfBlgXk7vcZNYP9IHnXawEl1DIjIY6xi6TMpQ1OhOmvkNi7+h7ZyLLvpK2NwOXu1amSs2lMw3x&#10;h9p0+FJj+bs7OQ3f78f9z7PaVq9u1g1+VJLcUmr9cD9uViAijvE/DFd8RoeCmQ7+RDaIVsMiXc44&#10;yoZK57zqGklUkoI48PWk2JVFLm9nFBcAAAD//wMAUEsBAi0AFAAGAAgAAAAhALaDOJL+AAAA4QEA&#10;ABMAAAAAAAAAAAAAAAAAAAAAAFtDb250ZW50X1R5cGVzXS54bWxQSwECLQAUAAYACAAAACEAOP0h&#10;/9YAAACUAQAACwAAAAAAAAAAAAAAAAAvAQAAX3JlbHMvLnJlbHNQSwECLQAUAAYACAAAACEAif+A&#10;cw8CAAAABAAADgAAAAAAAAAAAAAAAAAuAgAAZHJzL2Uyb0RvYy54bWxQSwECLQAUAAYACAAAACEA&#10;Vs1gpeAAAAAOAQAADwAAAAAAAAAAAAAAAABpBAAAZHJzL2Rvd25yZXYueG1sUEsFBgAAAAAEAAQA&#10;8wAAAHYFAAAAAA==&#10;" filled="f" stroked="f">
            <v:textbox style="mso-next-textbox:#_x0000_s1028">
              <w:txbxContent>
                <w:p w:rsidR="00E96885" w:rsidRPr="00BF2F65" w:rsidRDefault="00E96885" w:rsidP="00FB2D00">
                  <w:pPr>
                    <w:pStyle w:val="Tekstprzypisudolnego"/>
                    <w:spacing w:line="240" w:lineRule="exact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 w:rsidRPr="008A65A2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In 2019, similarly to previous years, the largest share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 of expenditures in the compil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a</w:t>
                  </w:r>
                  <w:r w:rsidRPr="008A65A2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tions of the consumer price index have Food and non-alcoholic beverages (24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,89%) and goods and services r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e</w:t>
                  </w:r>
                  <w:r w:rsidRPr="008A65A2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lated to Housing, water, ele</w:t>
                  </w:r>
                  <w:r w:rsidRPr="008A65A2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c</w:t>
                  </w:r>
                  <w:r w:rsidRPr="008A65A2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tricity, gas and other fuels (19,17%)</w:t>
                  </w:r>
                </w:p>
              </w:txbxContent>
            </v:textbox>
            <w10:wrap type="tight" anchory="page"/>
          </v:shape>
        </w:pict>
      </w:r>
      <w:r w:rsidR="00DC660D" w:rsidRPr="00525AAA">
        <w:rPr>
          <w:b/>
          <w:noProof/>
          <w:spacing w:val="-2"/>
          <w:sz w:val="18"/>
          <w:lang w:val="en-GB" w:eastAsia="en-GB"/>
        </w:rPr>
        <w:t xml:space="preserve">Chart 2. </w:t>
      </w:r>
      <w:r w:rsidR="00DC660D" w:rsidRPr="00525AAA">
        <w:rPr>
          <w:b/>
          <w:spacing w:val="-2"/>
          <w:sz w:val="18"/>
          <w:lang w:val="en-GB"/>
        </w:rPr>
        <w:t>Weighting system used in the compilations of consumer price indices in 2019</w:t>
      </w:r>
    </w:p>
    <w:p w:rsidR="00C73B5E" w:rsidRPr="00525AAA" w:rsidRDefault="00C73B5E" w:rsidP="00B617A5">
      <w:pPr>
        <w:spacing w:before="0" w:after="160" w:line="259" w:lineRule="auto"/>
        <w:ind w:left="794" w:hanging="794"/>
        <w:rPr>
          <w:b/>
          <w:spacing w:val="-2"/>
          <w:sz w:val="18"/>
          <w:highlight w:val="yellow"/>
          <w:lang w:val="en-GB"/>
        </w:rPr>
      </w:pPr>
      <w:r w:rsidRPr="00525AAA">
        <w:rPr>
          <w:highlight w:val="yellow"/>
          <w:lang w:val="en-GB"/>
        </w:rPr>
        <w:br w:type="page"/>
      </w:r>
    </w:p>
    <w:p w:rsidR="003A440F" w:rsidRPr="00525AAA" w:rsidRDefault="00C110DB" w:rsidP="00C27D75">
      <w:pPr>
        <w:pStyle w:val="tytuwykresu"/>
        <w:rPr>
          <w:b w:val="0"/>
          <w:noProof/>
          <w:highlight w:val="yellow"/>
          <w:shd w:val="clear" w:color="auto" w:fill="FFFFFF"/>
          <w:lang w:val="en-GB" w:eastAsia="pl-PL"/>
        </w:rPr>
      </w:pPr>
      <w:r w:rsidRPr="00525AAA">
        <w:rPr>
          <w:noProof/>
          <w:lang w:val="en-GB" w:eastAsia="en-GB"/>
        </w:rPr>
        <w:lastRenderedPageBreak/>
        <w:drawing>
          <wp:anchor distT="0" distB="0" distL="114300" distR="114300" simplePos="0" relativeHeight="251808768" behindDoc="0" locked="0" layoutInCell="1" allowOverlap="1" wp14:anchorId="48ED8308" wp14:editId="5AC8974E">
            <wp:simplePos x="0" y="0"/>
            <wp:positionH relativeFrom="column">
              <wp:posOffset>0</wp:posOffset>
            </wp:positionH>
            <wp:positionV relativeFrom="paragraph">
              <wp:posOffset>234950</wp:posOffset>
            </wp:positionV>
            <wp:extent cx="5122545" cy="255524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660D" w:rsidRPr="00525AAA">
        <w:rPr>
          <w:noProof/>
          <w:lang w:val="en-GB" w:eastAsia="en-GB"/>
        </w:rPr>
        <w:t xml:space="preserve"> Chart 3. Consumer prices (change in % compared with the previous period)</w:t>
      </w:r>
    </w:p>
    <w:p w:rsidR="00DA0243" w:rsidRPr="00525AAA" w:rsidRDefault="00DA0243" w:rsidP="0026302B">
      <w:pPr>
        <w:pStyle w:val="LID"/>
        <w:rPr>
          <w:b w:val="0"/>
          <w:spacing w:val="-2"/>
          <w:sz w:val="18"/>
          <w:highlight w:val="yellow"/>
          <w:lang w:val="en-GB"/>
        </w:rPr>
      </w:pPr>
    </w:p>
    <w:p w:rsidR="00034160" w:rsidRPr="00525AAA" w:rsidRDefault="00C92F16" w:rsidP="004A78F4">
      <w:pPr>
        <w:pStyle w:val="tytuwykresu"/>
        <w:ind w:left="737" w:hanging="737"/>
        <w:rPr>
          <w:highlight w:val="yellow"/>
          <w:shd w:val="clear" w:color="auto" w:fill="FFFFFF"/>
          <w:lang w:val="en-GB"/>
        </w:rPr>
      </w:pPr>
      <w:r>
        <w:rPr>
          <w:noProof/>
          <w:lang w:val="en-GB" w:eastAsia="en-GB"/>
        </w:rPr>
        <w:pict>
          <v:shape id="Text Box 25" o:spid="_x0000_s1029" type="#_x0000_t202" style="position:absolute;left:0;text-align:left;margin-left:414.75pt;margin-top:315.75pt;width:135.85pt;height:114.2pt;z-index:-251566080;visibility:visible;mso-wrap-distance-top:3.6pt;mso-wrap-distance-bottom:3.6p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5KNvAIAAMMFAAAOAAAAZHJzL2Uyb0RvYy54bWysVNtunDAQfa/Uf7D8TrjU7C4obJQsS1Up&#10;vUhJP8ALZrEKNrW9C2nVf+/Y7C3JS9WWB+TL+MycmTNzfTN2LdozpbkUGQ6vAoyYKGXFxTbDXx8L&#10;b4GRNlRUtJWCZfiJaXyzfPvmeuhTFslGthVTCECEToc+w40xfer7umxYR/WV7JmAy1qqjhrYqq1f&#10;KToAetf6URDM/EGqqleyZFrDaT5d4qXDr2tWms91rZlBbYYhNuP+yv039u8vr2m6VbRveHkIg/5F&#10;FB3lApyeoHJqKNop/gqq46WSWtbmqpSdL+ual8xxADZh8ILNQ0N75rhAcnR/SpP+f7Dlp/0XhXgF&#10;tYswErSDGj2y0aA7OaIotvkZep2C2UMPhmaEc7B1XHV/L8tvGgm5aqjYslul5NAwWkF8oX3pXzyd&#10;cLQF2QwfZQV+6M5IBzTWqrPJg3QgQIc6PZ1qY2Mprct5FEdJjFEJd2GcBLO5i86n6fF5r7R5z2SH&#10;7CLDCorv4On+XhsbDk2PJtabkAVvWyeAVjw7AMPpBJzDU3tnw3D1/JkEyXqxXhCPRLO1R4I8926L&#10;FfFmRTiP83f5apWHv6zfkKQNryomrJujtkLyZ7U7qHxSxUldWra8snA2JK22m1Wr0J6Ctgv3uaTD&#10;zdnMfx6GSwJweUEpjEhwFyVeMVvMPVKQ2EvmwcILwuQumQUkIXnxnNI9F+zfKaEhw0kMKnN0zkG/&#10;4Ba47zU3mnbcwPRoeZfhxcmIplaDa1G50hrK22l9kQob/jkVUO5joZ1irUgnuZpxM7rmeHdshI2s&#10;nkDCSoLAQKcw+WDRSPUDowGmSIb19x1VDKP2g4A2SEJC7NhxGxLPI9ioy5vN5Q0VJUBl2GA0LVdm&#10;GlW7XvFtA56mxhPyFlqn5k7UtsemqA4NB5PCcTtMNTuKLvfO6jx7l78BAAD//wMAUEsDBBQABgAI&#10;AAAAIQBqKzqg3wAAAAwBAAAPAAAAZHJzL2Rvd25yZXYueG1sTI/BTsMwDIbvSLxDZCRuLGlhU1ea&#10;TgjElYltIHHLGq+taJyqydby9vNO7Gbr//T7c7GaXCdOOITWk4ZkpkAgVd62VGvYbd8fMhAhGrKm&#10;84Qa/jDAqry9KUxu/UifeNrEWnAJhdxoaGLscylD1aAzYeZ7JM4OfnAm8jrU0g5m5HLXyVSphXSm&#10;Jb7QmB5fG6x+N0en4evj8PP9pNb1m5v3o5+UJLeUWt/fTS/PICJO8R+Giz6rQ8lOe38kG0SnIUuX&#10;c0Y1LB4THi5EopIUxJ6zLFUgy0JeP1GeAQAA//8DAFBLAQItABQABgAIAAAAIQC2gziS/gAAAOEB&#10;AAATAAAAAAAAAAAAAAAAAAAAAABbQ29udGVudF9UeXBlc10ueG1sUEsBAi0AFAAGAAgAAAAhADj9&#10;If/WAAAAlAEAAAsAAAAAAAAAAAAAAAAALwEAAF9yZWxzLy5yZWxzUEsBAi0AFAAGAAgAAAAhAEzn&#10;ko28AgAAwwUAAA4AAAAAAAAAAAAAAAAALgIAAGRycy9lMm9Eb2MueG1sUEsBAi0AFAAGAAgAAAAh&#10;AGorOqDfAAAADAEAAA8AAAAAAAAAAAAAAAAAFgUAAGRycy9kb3ducmV2LnhtbFBLBQYAAAAABAAE&#10;APMAAAAiBgAAAAA=&#10;" filled="f" stroked="f">
            <v:textbox style="mso-next-textbox:#Text Box 25">
              <w:txbxContent>
                <w:p w:rsidR="00E96885" w:rsidRPr="00BF2F65" w:rsidRDefault="00E96885" w:rsidP="00FB2D00">
                  <w:pPr>
                    <w:pStyle w:val="Tekstprzypisudolnego"/>
                    <w:spacing w:line="240" w:lineRule="exact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 w:rsidRPr="004A78F4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In September 2019</w:t>
                  </w:r>
                  <w:r w:rsidR="001B29C5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 xml:space="preserve"> the </w:t>
                  </w:r>
                  <w:r w:rsidRPr="004A78F4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co</w:t>
                  </w:r>
                  <w:r w:rsidRPr="004A78F4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n</w:t>
                  </w:r>
                  <w:r w:rsidRPr="004A78F4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sumer price index was within the deviations from inflation target determined by the Monetary Policy Council (2,5% +/- 1 pp)</w:t>
                  </w:r>
                </w:p>
              </w:txbxContent>
            </v:textbox>
            <w10:wrap type="tight" anchory="page"/>
          </v:shape>
        </w:pict>
      </w:r>
      <w:r w:rsidR="00DC660D" w:rsidRPr="00525AAA">
        <w:rPr>
          <w:spacing w:val="0"/>
          <w:lang w:val="en-GB"/>
        </w:rPr>
        <w:t xml:space="preserve"> Chart 4. Consumer prices</w:t>
      </w:r>
      <w:r w:rsidR="00DC660D" w:rsidRPr="00525AAA">
        <w:rPr>
          <w:bCs/>
          <w:spacing w:val="0"/>
          <w:shd w:val="clear" w:color="auto" w:fill="FFFFFF"/>
          <w:lang w:val="en-GB"/>
        </w:rPr>
        <w:t xml:space="preserve"> </w:t>
      </w:r>
      <w:r w:rsidR="00DC660D" w:rsidRPr="00525AAA">
        <w:rPr>
          <w:bCs/>
          <w:spacing w:val="0"/>
          <w:shd w:val="clear" w:color="auto" w:fill="FFFFFF"/>
          <w:lang w:val="en-GB"/>
        </w:rPr>
        <w:br/>
      </w:r>
      <w:r w:rsidR="00DC660D" w:rsidRPr="00525AAA">
        <w:rPr>
          <w:spacing w:val="0"/>
          <w:lang w:val="en-GB"/>
        </w:rPr>
        <w:t>(change in % compared with the corresponding period of the previous year)</w:t>
      </w:r>
    </w:p>
    <w:p w:rsidR="00034160" w:rsidRPr="00525AAA" w:rsidRDefault="00E67A17" w:rsidP="00740107">
      <w:pPr>
        <w:spacing w:before="0" w:line="259" w:lineRule="auto"/>
        <w:rPr>
          <w:sz w:val="18"/>
          <w:highlight w:val="yellow"/>
          <w:lang w:val="en-GB"/>
        </w:rPr>
      </w:pPr>
      <w:r w:rsidRPr="00525AAA">
        <w:rPr>
          <w:noProof/>
          <w:lang w:val="en-GB" w:eastAsia="en-GB"/>
        </w:rPr>
        <w:drawing>
          <wp:inline distT="0" distB="0" distL="0" distR="0" wp14:anchorId="5C617D86" wp14:editId="231976FE">
            <wp:extent cx="5095091" cy="2633563"/>
            <wp:effectExtent l="0" t="0" r="0" b="0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E7DBB" w:rsidRPr="00525AAA" w:rsidRDefault="003A7D83" w:rsidP="00896AD3">
      <w:pPr>
        <w:pStyle w:val="tytuwykresu"/>
        <w:ind w:left="709" w:hanging="709"/>
        <w:rPr>
          <w:bCs/>
          <w:shd w:val="clear" w:color="auto" w:fill="FFFFFF"/>
          <w:lang w:val="en-GB"/>
        </w:rPr>
      </w:pPr>
      <w:r w:rsidRPr="00525AAA">
        <w:rPr>
          <w:noProof/>
          <w:lang w:val="en-GB" w:eastAsia="en-GB"/>
        </w:rPr>
        <w:drawing>
          <wp:anchor distT="0" distB="0" distL="114300" distR="114300" simplePos="0" relativeHeight="251809792" behindDoc="0" locked="0" layoutInCell="1" allowOverlap="1" wp14:anchorId="22F6A4AC" wp14:editId="6B182F60">
            <wp:simplePos x="0" y="0"/>
            <wp:positionH relativeFrom="column">
              <wp:posOffset>-28575</wp:posOffset>
            </wp:positionH>
            <wp:positionV relativeFrom="paragraph">
              <wp:posOffset>386715</wp:posOffset>
            </wp:positionV>
            <wp:extent cx="5122545" cy="2528570"/>
            <wp:effectExtent l="0" t="0" r="0" b="0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660D" w:rsidRPr="00525AAA">
        <w:rPr>
          <w:lang w:val="en-GB"/>
        </w:rPr>
        <w:t xml:space="preserve"> Chart 5.</w:t>
      </w:r>
      <w:r w:rsidR="00DC660D" w:rsidRPr="00525AAA">
        <w:rPr>
          <w:shd w:val="clear" w:color="auto" w:fill="FFFFFF"/>
          <w:lang w:val="en-GB"/>
        </w:rPr>
        <w:t xml:space="preserve"> </w:t>
      </w:r>
      <w:r w:rsidR="00DC660D" w:rsidRPr="00525AAA">
        <w:rPr>
          <w:bCs/>
          <w:shd w:val="clear" w:color="auto" w:fill="FFFFFF"/>
          <w:lang w:val="en-GB"/>
        </w:rPr>
        <w:t>Consumer price index (CPI) and harmonised index of consumer prices (HICP)</w:t>
      </w:r>
      <w:r w:rsidR="00DC660D" w:rsidRPr="00525AAA">
        <w:rPr>
          <w:bCs/>
          <w:shd w:val="clear" w:color="auto" w:fill="FFFFFF"/>
          <w:lang w:val="en-GB"/>
        </w:rPr>
        <w:br/>
        <w:t>(change in % compared with the corresponding period of the previous year)</w:t>
      </w:r>
    </w:p>
    <w:p w:rsidR="00820461" w:rsidRPr="00525AAA" w:rsidRDefault="000A0FD3">
      <w:pPr>
        <w:spacing w:before="0" w:after="160" w:line="259" w:lineRule="auto"/>
        <w:rPr>
          <w:b/>
          <w:noProof/>
          <w:sz w:val="18"/>
          <w:szCs w:val="19"/>
          <w:highlight w:val="yellow"/>
          <w:lang w:val="en-GB" w:eastAsia="pl-PL"/>
        </w:rPr>
      </w:pPr>
      <w:r w:rsidRPr="00525AAA">
        <w:rPr>
          <w:sz w:val="18"/>
          <w:highlight w:val="yellow"/>
          <w:lang w:val="en-GB"/>
        </w:rPr>
        <w:t xml:space="preserve"> </w:t>
      </w:r>
      <w:r w:rsidR="00820461" w:rsidRPr="00525AAA">
        <w:rPr>
          <w:sz w:val="18"/>
          <w:highlight w:val="yellow"/>
          <w:lang w:val="en-GB"/>
        </w:rPr>
        <w:br w:type="page"/>
      </w:r>
    </w:p>
    <w:p w:rsidR="00516A50" w:rsidRPr="00525AAA" w:rsidRDefault="00DC660D" w:rsidP="00516A50">
      <w:pPr>
        <w:pStyle w:val="LID"/>
        <w:rPr>
          <w:bCs/>
          <w:sz w:val="18"/>
          <w:shd w:val="clear" w:color="auto" w:fill="FFFFFF"/>
          <w:lang w:val="en-GB"/>
        </w:rPr>
      </w:pPr>
      <w:r w:rsidRPr="00525AAA">
        <w:rPr>
          <w:sz w:val="18"/>
          <w:lang w:val="en-GB"/>
        </w:rPr>
        <w:lastRenderedPageBreak/>
        <w:t>Table 2.</w:t>
      </w:r>
      <w:r w:rsidRPr="00525AAA">
        <w:rPr>
          <w:sz w:val="18"/>
          <w:shd w:val="clear" w:color="auto" w:fill="FFFFFF"/>
          <w:lang w:val="en-GB"/>
        </w:rPr>
        <w:t xml:space="preserve"> </w:t>
      </w:r>
      <w:r w:rsidRPr="00525AAA">
        <w:rPr>
          <w:bCs/>
          <w:sz w:val="18"/>
          <w:shd w:val="clear" w:color="auto" w:fill="FFFFFF"/>
          <w:lang w:val="en-GB"/>
        </w:rPr>
        <w:t xml:space="preserve">Consumer price indices in September </w:t>
      </w:r>
      <w:r w:rsidRPr="00525AAA">
        <w:rPr>
          <w:sz w:val="18"/>
          <w:lang w:val="en-GB"/>
        </w:rPr>
        <w:t>2019</w:t>
      </w:r>
    </w:p>
    <w:p w:rsidR="009E3FA7" w:rsidRPr="00525AAA" w:rsidRDefault="009E3FA7" w:rsidP="00516A50">
      <w:pPr>
        <w:pStyle w:val="LID"/>
        <w:rPr>
          <w:bCs/>
          <w:sz w:val="18"/>
          <w:highlight w:val="yellow"/>
          <w:shd w:val="clear" w:color="auto" w:fill="FFFFFF"/>
          <w:lang w:val="en-GB"/>
        </w:rPr>
      </w:pPr>
    </w:p>
    <w:tbl>
      <w:tblPr>
        <w:tblW w:w="80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4"/>
        <w:gridCol w:w="850"/>
        <w:gridCol w:w="851"/>
        <w:gridCol w:w="852"/>
        <w:gridCol w:w="851"/>
        <w:gridCol w:w="851"/>
        <w:gridCol w:w="851"/>
      </w:tblGrid>
      <w:tr w:rsidR="00866B61" w:rsidRPr="00525AAA" w:rsidTr="008035EF">
        <w:trPr>
          <w:trHeight w:val="315"/>
          <w:tblHeader/>
        </w:trPr>
        <w:tc>
          <w:tcPr>
            <w:tcW w:w="2976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525AAA" w:rsidRDefault="00DC660D" w:rsidP="00866B61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525AAA" w:rsidRDefault="00866B61" w:rsidP="00866B61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Calibri"/>
                <w:sz w:val="16"/>
                <w:szCs w:val="16"/>
                <w:lang w:val="en-GB" w:eastAsia="pl-PL"/>
              </w:rPr>
              <w:t>IX 2019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525AAA" w:rsidRDefault="00866B61" w:rsidP="00866B61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Calibri"/>
                <w:sz w:val="16"/>
                <w:szCs w:val="16"/>
                <w:lang w:val="en-GB" w:eastAsia="pl-PL"/>
              </w:rPr>
              <w:t>VII-IX 2019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6B61" w:rsidRPr="00525AAA" w:rsidRDefault="00866B61" w:rsidP="00866B61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Calibri"/>
                <w:sz w:val="16"/>
                <w:szCs w:val="16"/>
                <w:lang w:val="en-GB" w:eastAsia="pl-PL"/>
              </w:rPr>
              <w:t>I-IX 2019</w:t>
            </w:r>
          </w:p>
        </w:tc>
      </w:tr>
      <w:tr w:rsidR="00866B61" w:rsidRPr="00525AAA" w:rsidTr="008035EF">
        <w:trPr>
          <w:trHeight w:val="465"/>
          <w:tblHeader/>
        </w:trPr>
        <w:tc>
          <w:tcPr>
            <w:tcW w:w="2976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866B61" w:rsidRPr="00525AAA" w:rsidRDefault="00866B61" w:rsidP="00866B61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866B61" w:rsidRPr="00525AAA" w:rsidRDefault="00866B61" w:rsidP="00866B61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Calibri"/>
                <w:sz w:val="16"/>
                <w:szCs w:val="16"/>
                <w:lang w:val="en-GB" w:eastAsia="pl-PL"/>
              </w:rPr>
              <w:t>IX 2018=</w:t>
            </w:r>
            <w:r w:rsidRPr="00525AAA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866B61" w:rsidRPr="00525AAA" w:rsidRDefault="00866B61" w:rsidP="00866B61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Calibri"/>
                <w:sz w:val="16"/>
                <w:szCs w:val="16"/>
                <w:lang w:val="en-GB" w:eastAsia="pl-PL"/>
              </w:rPr>
              <w:t>XII 2018=</w:t>
            </w:r>
            <w:r w:rsidRPr="00525AAA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866B61" w:rsidRPr="00525AAA" w:rsidRDefault="00866B61" w:rsidP="00866B61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Calibri"/>
                <w:sz w:val="16"/>
                <w:szCs w:val="16"/>
                <w:lang w:val="en-GB" w:eastAsia="pl-PL"/>
              </w:rPr>
              <w:t>VIII 2019=</w:t>
            </w:r>
            <w:r w:rsidRPr="00525AAA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12" w:space="0" w:color="212492"/>
              <w:right w:val="single" w:sz="8" w:space="0" w:color="212492"/>
            </w:tcBorders>
            <w:vAlign w:val="center"/>
          </w:tcPr>
          <w:p w:rsidR="00866B61" w:rsidRPr="00525AAA" w:rsidRDefault="00397181" w:rsidP="001441A0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Calibri"/>
                <w:sz w:val="16"/>
                <w:szCs w:val="16"/>
                <w:lang w:val="en-GB" w:eastAsia="pl-PL"/>
              </w:rPr>
              <w:t xml:space="preserve">VII-IX </w:t>
            </w:r>
            <w:r w:rsidRPr="00525AAA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</w:r>
            <w:r w:rsidR="00866B61" w:rsidRPr="00525AAA">
              <w:rPr>
                <w:rFonts w:eastAsia="Times New Roman" w:cs="Calibri"/>
                <w:sz w:val="16"/>
                <w:szCs w:val="16"/>
                <w:lang w:val="en-GB" w:eastAsia="pl-PL"/>
              </w:rPr>
              <w:t>2018=100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12" w:space="0" w:color="212492"/>
              <w:right w:val="single" w:sz="8" w:space="0" w:color="212492"/>
            </w:tcBorders>
            <w:vAlign w:val="center"/>
          </w:tcPr>
          <w:p w:rsidR="00866B61" w:rsidRPr="00525AAA" w:rsidRDefault="001441A0" w:rsidP="00690AEE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Calibri"/>
                <w:sz w:val="16"/>
                <w:szCs w:val="16"/>
                <w:lang w:val="en-GB" w:eastAsia="pl-PL"/>
              </w:rPr>
              <w:t>IV-VI</w:t>
            </w:r>
            <w:r w:rsidR="00690AEE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</w:r>
            <w:r w:rsidRPr="00525AAA">
              <w:rPr>
                <w:rFonts w:eastAsia="Times New Roman" w:cs="Calibri"/>
                <w:sz w:val="16"/>
                <w:szCs w:val="16"/>
                <w:lang w:val="en-GB" w:eastAsia="pl-PL"/>
              </w:rPr>
              <w:t>2019</w:t>
            </w:r>
            <w:r w:rsidR="00866B61" w:rsidRPr="00525AAA">
              <w:rPr>
                <w:rFonts w:eastAsia="Times New Roman" w:cs="Calibri"/>
                <w:sz w:val="16"/>
                <w:szCs w:val="16"/>
                <w:lang w:val="en-GB" w:eastAsia="pl-PL"/>
              </w:rPr>
              <w:t>=100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866B61" w:rsidRPr="00525AAA" w:rsidRDefault="001441A0" w:rsidP="001441A0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Calibri"/>
                <w:sz w:val="16"/>
                <w:szCs w:val="16"/>
                <w:lang w:val="en-GB" w:eastAsia="pl-PL"/>
              </w:rPr>
              <w:t>I-IX</w:t>
            </w:r>
            <w:r w:rsidR="00866B61" w:rsidRPr="00525AAA">
              <w:rPr>
                <w:rFonts w:eastAsia="Times New Roman" w:cs="Calibri"/>
                <w:sz w:val="16"/>
                <w:szCs w:val="16"/>
                <w:lang w:val="en-GB" w:eastAsia="pl-PL"/>
              </w:rPr>
              <w:t xml:space="preserve"> 201</w:t>
            </w:r>
            <w:r w:rsidRPr="00525AAA">
              <w:rPr>
                <w:rFonts w:eastAsia="Times New Roman" w:cs="Calibri"/>
                <w:sz w:val="16"/>
                <w:szCs w:val="16"/>
                <w:lang w:val="en-GB" w:eastAsia="pl-PL"/>
              </w:rPr>
              <w:t>8</w:t>
            </w:r>
            <w:r w:rsidR="00866B61" w:rsidRPr="00525AAA">
              <w:rPr>
                <w:rFonts w:eastAsia="Times New Roman" w:cs="Calibri"/>
                <w:sz w:val="16"/>
                <w:szCs w:val="16"/>
                <w:lang w:val="en-GB" w:eastAsia="pl-PL"/>
              </w:rPr>
              <w:t>=100</w:t>
            </w:r>
          </w:p>
        </w:tc>
      </w:tr>
      <w:tr w:rsidR="00866B61" w:rsidRPr="00525AAA" w:rsidTr="008035EF">
        <w:trPr>
          <w:trHeight w:val="456"/>
        </w:trPr>
        <w:tc>
          <w:tcPr>
            <w:tcW w:w="297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525AAA" w:rsidRDefault="00525AAA" w:rsidP="00866B61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highlight w:val="yellow"/>
                <w:lang w:val="en-GB" w:eastAsia="pl-PL"/>
              </w:rPr>
            </w:pPr>
            <w:r w:rsidRPr="00525AAA"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850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525AAA" w:rsidRDefault="00866B61" w:rsidP="008035EF">
            <w:pPr>
              <w:spacing w:before="60"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  <w:t>102,6</w:t>
            </w:r>
          </w:p>
        </w:tc>
        <w:tc>
          <w:tcPr>
            <w:tcW w:w="851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525AAA" w:rsidRDefault="00866B61" w:rsidP="008035EF">
            <w:pPr>
              <w:spacing w:before="60"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  <w:t>102,2</w:t>
            </w:r>
          </w:p>
        </w:tc>
        <w:tc>
          <w:tcPr>
            <w:tcW w:w="850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66B61" w:rsidRPr="00525AAA" w:rsidRDefault="00866B61" w:rsidP="008035EF">
            <w:pPr>
              <w:spacing w:before="60"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851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525AAA" w:rsidRDefault="00866B61" w:rsidP="008035EF">
            <w:pPr>
              <w:spacing w:before="60"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  <w:t>102,8</w:t>
            </w:r>
          </w:p>
        </w:tc>
        <w:tc>
          <w:tcPr>
            <w:tcW w:w="851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66B61" w:rsidRPr="00525AAA" w:rsidRDefault="00866B61" w:rsidP="008035EF">
            <w:pPr>
              <w:spacing w:before="60"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851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66B61" w:rsidRPr="00525AAA" w:rsidRDefault="00866B61" w:rsidP="008035EF">
            <w:pPr>
              <w:spacing w:before="60"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Calibri"/>
                <w:b/>
                <w:bCs/>
                <w:color w:val="000000"/>
                <w:sz w:val="16"/>
                <w:szCs w:val="16"/>
                <w:lang w:val="en-GB"/>
              </w:rPr>
              <w:t>102,1</w:t>
            </w:r>
          </w:p>
        </w:tc>
      </w:tr>
      <w:tr w:rsidR="00525AAA" w:rsidRPr="00525AAA" w:rsidTr="008035EF">
        <w:trPr>
          <w:trHeight w:val="232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130A23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Goods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130A23">
            <w:pPr>
              <w:spacing w:before="40" w:after="4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130A23">
            <w:pPr>
              <w:spacing w:before="40" w:after="4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130A23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525AAA" w:rsidRPr="00525AAA" w:rsidRDefault="00525AAA" w:rsidP="00130A23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525AAA" w:rsidRPr="00525AAA" w:rsidRDefault="00525AAA" w:rsidP="00130A23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130A23">
            <w:pPr>
              <w:spacing w:before="40" w:after="40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104,5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104,4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103,4</w:t>
            </w:r>
          </w:p>
        </w:tc>
      </w:tr>
      <w:tr w:rsidR="00525AAA" w:rsidRPr="00525AAA" w:rsidTr="008035EF">
        <w:trPr>
          <w:trHeight w:val="46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 w:line="240" w:lineRule="auto"/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  <w:t xml:space="preserve">FOOD, NON-ALCOHOLIC BEVERAGES, </w:t>
            </w:r>
          </w:p>
          <w:p w:rsidR="00525AAA" w:rsidRPr="00525AAA" w:rsidRDefault="00525AAA" w:rsidP="00D7156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  <w:t>ALCOHOLIC BEVERAGES AND TOBACCO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104,3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103,8</w:t>
            </w:r>
          </w:p>
        </w:tc>
      </w:tr>
      <w:tr w:rsidR="00525AAA" w:rsidRPr="00525AAA" w:rsidTr="008035EF">
        <w:trPr>
          <w:trHeight w:val="394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FOOD AND NON-ALCOHOLIC </w:t>
            </w:r>
            <w:r w:rsidR="00DF3E14">
              <w:rPr>
                <w:rFonts w:cs="Arial"/>
                <w:color w:val="000000"/>
                <w:sz w:val="16"/>
                <w:szCs w:val="16"/>
                <w:lang w:val="en-GB"/>
              </w:rPr>
              <w:br/>
            </w: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BEVERAGES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105,0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106,7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104,4</w:t>
            </w: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Food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105,4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104,7</w:t>
            </w: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Rice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105,9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103,8</w:t>
            </w: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Flour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108,3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108,1</w:t>
            </w: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Bread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109,2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109,4</w:t>
            </w: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Pasta products and couscous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103,2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Meat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106,8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108,8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104,2</w:t>
            </w: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20" w:after="2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Beef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99,7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20" w:after="2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Veal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20" w:after="2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Pork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112,7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106,8</w:t>
            </w: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20" w:after="2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Poultry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20" w:after="2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Dried, salted or smoked meat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107,1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104,3</w:t>
            </w: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Fish and seafood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104,6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103,6</w:t>
            </w: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Milk, cheese and eggs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525AAA" w:rsidRPr="00525AAA" w:rsidTr="008035EF">
        <w:trPr>
          <w:trHeight w:val="263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130A23">
            <w:pPr>
              <w:spacing w:before="40" w:after="40" w:line="240" w:lineRule="auto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Milk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130A23">
            <w:pPr>
              <w:spacing w:before="40" w:after="4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130A23">
            <w:pPr>
              <w:spacing w:before="40" w:after="4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130A23">
            <w:pPr>
              <w:spacing w:before="40" w:after="4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130A23">
            <w:pPr>
              <w:spacing w:before="40" w:after="4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130A23">
            <w:pPr>
              <w:spacing w:before="40" w:after="4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130A23">
            <w:pPr>
              <w:spacing w:before="40" w:after="4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99,2</w:t>
            </w:r>
          </w:p>
        </w:tc>
      </w:tr>
      <w:tr w:rsidR="00525AAA" w:rsidRPr="00525AAA" w:rsidTr="008035EF">
        <w:trPr>
          <w:trHeight w:val="300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Yoghurt, cream, milk-based de</w:t>
            </w: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s</w:t>
            </w: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serts, milk-based beverages and other similar milk-based products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</w:tr>
      <w:tr w:rsidR="00525AAA" w:rsidRPr="00525AAA" w:rsidTr="00C901A0">
        <w:trPr>
          <w:trHeight w:val="148"/>
        </w:trPr>
        <w:tc>
          <w:tcPr>
            <w:tcW w:w="297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C901A0">
            <w:pPr>
              <w:spacing w:before="20" w:after="2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Cheese and curd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</w:tr>
      <w:tr w:rsidR="00525AAA" w:rsidRPr="00525AAA" w:rsidTr="00C901A0">
        <w:trPr>
          <w:trHeight w:val="238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C901A0">
            <w:pPr>
              <w:spacing w:before="20" w:after="2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Eggs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98,9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91,5</w:t>
            </w: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Oils and fats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95,4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98,4</w:t>
            </w: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Vegetable fats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99,7</w:t>
            </w: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Animal fats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92,1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99,1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97,4</w:t>
            </w:r>
          </w:p>
        </w:tc>
      </w:tr>
      <w:tr w:rsidR="00525AAA" w:rsidRPr="00525AAA" w:rsidTr="008035EF">
        <w:trPr>
          <w:trHeight w:val="270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454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of which butter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91,1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98,7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97,1</w:t>
            </w:r>
          </w:p>
        </w:tc>
      </w:tr>
      <w:tr w:rsidR="00525AAA" w:rsidRPr="00525AAA" w:rsidTr="008035EF">
        <w:trPr>
          <w:trHeight w:val="218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Fruit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99,6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94,5</w:t>
            </w:r>
          </w:p>
        </w:tc>
      </w:tr>
      <w:tr w:rsidR="00525AAA" w:rsidRPr="00525AAA" w:rsidTr="008035EF">
        <w:trPr>
          <w:trHeight w:val="222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Vegetables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95,6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130,3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121,6</w:t>
            </w:r>
          </w:p>
        </w:tc>
      </w:tr>
      <w:tr w:rsidR="00525AAA" w:rsidRPr="00525AAA" w:rsidTr="008035EF">
        <w:trPr>
          <w:trHeight w:val="256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Sugar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125,5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115,0</w:t>
            </w:r>
          </w:p>
        </w:tc>
      </w:tr>
      <w:tr w:rsidR="00525AAA" w:rsidRPr="00525AAA" w:rsidTr="00C901A0">
        <w:trPr>
          <w:trHeight w:val="188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C901A0">
            <w:pPr>
              <w:spacing w:before="20" w:after="2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Non-alcoholic beverages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</w:tr>
      <w:tr w:rsidR="00525AAA" w:rsidRPr="00525AAA" w:rsidTr="008035EF">
        <w:trPr>
          <w:trHeight w:val="308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20" w:after="2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525AAA" w:rsidRPr="00525AAA" w:rsidTr="008035EF">
        <w:trPr>
          <w:trHeight w:val="310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Coffee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</w:tr>
      <w:tr w:rsidR="00525AAA" w:rsidRPr="00525AAA" w:rsidTr="008035EF">
        <w:trPr>
          <w:trHeight w:val="258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Tea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Cocoa and powdered chocolate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103,2</w:t>
            </w: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Mineral or spring waters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40" w:after="40"/>
              <w:ind w:left="227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Fruit and vegetable juices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ALCOHOLIC BEVERAGES AND TOBACCO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Alcoholic beverages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Tobacco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</w:tr>
      <w:tr w:rsidR="00525AAA" w:rsidRPr="00525AAA" w:rsidTr="008035EF">
        <w:trPr>
          <w:trHeight w:val="216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95,5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97,9</w:t>
            </w:r>
          </w:p>
        </w:tc>
      </w:tr>
      <w:tr w:rsidR="00525AAA" w:rsidRPr="00525AAA" w:rsidTr="008035EF">
        <w:trPr>
          <w:trHeight w:val="193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20" w:after="2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Garments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103,0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98,2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97,7</w:t>
            </w:r>
          </w:p>
        </w:tc>
      </w:tr>
      <w:tr w:rsidR="00525AAA" w:rsidRPr="00525AAA" w:rsidTr="008035EF">
        <w:trPr>
          <w:trHeight w:val="287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20" w:after="2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Footwear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99,2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98,2</w:t>
            </w:r>
          </w:p>
        </w:tc>
      </w:tr>
      <w:tr w:rsidR="00525AAA" w:rsidRPr="00525AAA" w:rsidTr="008035EF">
        <w:trPr>
          <w:trHeight w:val="262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DWELLING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</w:tr>
      <w:tr w:rsidR="00525AAA" w:rsidRPr="00525AAA" w:rsidTr="008035EF">
        <w:trPr>
          <w:trHeight w:val="46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C901A0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HOUSING, WATER, ELECTRICITY, GAS AND OTHER FUELS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</w:tr>
      <w:tr w:rsidR="00525AAA" w:rsidRPr="00525AAA" w:rsidTr="008035EF">
        <w:trPr>
          <w:trHeight w:val="264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20" w:after="2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Actual rentals for housing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104,8</w:t>
            </w:r>
          </w:p>
        </w:tc>
      </w:tr>
      <w:tr w:rsidR="00525AAA" w:rsidRPr="00525AAA" w:rsidTr="008035EF">
        <w:trPr>
          <w:trHeight w:val="270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Water supply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102,4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</w:tr>
      <w:tr w:rsidR="00525AAA" w:rsidRPr="00525AAA" w:rsidTr="008035EF">
        <w:trPr>
          <w:trHeight w:val="260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Refuse collection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127,0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118,0</w:t>
            </w:r>
          </w:p>
        </w:tc>
      </w:tr>
      <w:tr w:rsidR="00525AAA" w:rsidRPr="00525AAA" w:rsidTr="008035EF">
        <w:trPr>
          <w:trHeight w:val="277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Sewage collection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104,2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103,5</w:t>
            </w:r>
          </w:p>
        </w:tc>
      </w:tr>
      <w:tr w:rsidR="00525AAA" w:rsidRPr="00525AAA" w:rsidTr="008035EF">
        <w:trPr>
          <w:trHeight w:val="280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98,7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98,7</w:t>
            </w:r>
          </w:p>
        </w:tc>
      </w:tr>
      <w:tr w:rsidR="00525AAA" w:rsidRPr="00525AAA" w:rsidTr="008035EF">
        <w:trPr>
          <w:trHeight w:val="257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Electricity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94,2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93,8</w:t>
            </w:r>
          </w:p>
        </w:tc>
      </w:tr>
      <w:tr w:rsidR="00525AAA" w:rsidRPr="00525AAA" w:rsidTr="008035EF">
        <w:trPr>
          <w:trHeight w:val="260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Gas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102,4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103,6</w:t>
            </w:r>
          </w:p>
        </w:tc>
      </w:tr>
      <w:tr w:rsidR="00525AAA" w:rsidRPr="00525AAA" w:rsidTr="008035EF">
        <w:trPr>
          <w:trHeight w:val="274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Liquid and solid fuels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</w:tr>
      <w:tr w:rsidR="00525AAA" w:rsidRPr="00525AAA" w:rsidTr="008035EF">
        <w:trPr>
          <w:trHeight w:val="223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Heat energy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</w:tr>
      <w:tr w:rsidR="00525AAA" w:rsidRPr="00525AAA" w:rsidTr="008035EF">
        <w:trPr>
          <w:trHeight w:val="465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FURNISHINGS, HOUSEHOLD EQUI</w:t>
            </w: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P</w:t>
            </w: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MENT AND ROUTINE HOUSEHOLD MAINTENANCE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</w:tr>
      <w:tr w:rsidR="00525AAA" w:rsidRPr="00525AAA" w:rsidTr="008035EF">
        <w:trPr>
          <w:trHeight w:val="208"/>
        </w:trPr>
        <w:tc>
          <w:tcPr>
            <w:tcW w:w="29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525AAA" w:rsidRPr="00525AAA" w:rsidTr="00CD5763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CD5763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Furniture and furnishings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Household appliances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99,3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99,4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99,4</w:t>
            </w:r>
          </w:p>
        </w:tc>
      </w:tr>
      <w:tr w:rsidR="00525AAA" w:rsidRPr="00525AAA" w:rsidTr="008035EF">
        <w:trPr>
          <w:trHeight w:val="249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Cleaning and maintenance products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99,7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</w:tr>
      <w:tr w:rsidR="00525AAA" w:rsidRPr="00525AAA" w:rsidTr="008035EF">
        <w:trPr>
          <w:trHeight w:val="46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Domestic services and household services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105,2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104,9</w:t>
            </w:r>
          </w:p>
        </w:tc>
      </w:tr>
      <w:tr w:rsidR="00525AAA" w:rsidRPr="00525AAA" w:rsidTr="008035EF">
        <w:trPr>
          <w:trHeight w:val="274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HEALTH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103,7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103,2</w:t>
            </w:r>
          </w:p>
        </w:tc>
      </w:tr>
      <w:tr w:rsidR="00525AAA" w:rsidRPr="00525AAA" w:rsidTr="008035EF">
        <w:trPr>
          <w:trHeight w:val="243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Pharmaceutical products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103,8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Therapeutic appliances and equi</w:t>
            </w: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p</w:t>
            </w: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ment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Medical services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105,8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105,0</w:t>
            </w: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Dental services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103,7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103,6</w:t>
            </w: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Hospital services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97,4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99,5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</w:tr>
      <w:tr w:rsidR="00525AAA" w:rsidRPr="00525AAA" w:rsidTr="008035EF">
        <w:trPr>
          <w:trHeight w:val="163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Purchase of vehicles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96,5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96,1</w:t>
            </w:r>
          </w:p>
        </w:tc>
      </w:tr>
      <w:tr w:rsidR="00525AAA" w:rsidRPr="00525AAA" w:rsidTr="008035EF">
        <w:trPr>
          <w:trHeight w:val="264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of which motor cars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96,3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95,9</w:t>
            </w: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Fuels for personal transport equi</w:t>
            </w: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p</w:t>
            </w: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ment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98,1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99,2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103,3</w:t>
            </w:r>
          </w:p>
        </w:tc>
      </w:tr>
      <w:tr w:rsidR="00525AAA" w:rsidRPr="00525AAA" w:rsidTr="008035EF">
        <w:trPr>
          <w:trHeight w:val="232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Diesel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98,9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97,4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105,5</w:t>
            </w:r>
          </w:p>
        </w:tc>
      </w:tr>
      <w:tr w:rsidR="00525AAA" w:rsidRPr="00525AAA" w:rsidTr="008035EF">
        <w:trPr>
          <w:trHeight w:val="194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Petrol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97,7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</w:tr>
      <w:tr w:rsidR="00525AAA" w:rsidRPr="00525AAA" w:rsidTr="008035EF">
        <w:trPr>
          <w:trHeight w:val="46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227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Liquid petroleum gas and other fuels for personal transport equipment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86,1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82,6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98,1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88,8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92,1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Transport services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88,0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83,3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103,7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97,7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103,7</w:t>
            </w: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COMMUNICATION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99,3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99,7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98,2</w:t>
            </w: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equipment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89,3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97,6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89,9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89,7</w:t>
            </w: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services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99,4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98,5</w:t>
            </w: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99,1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102,4</w:t>
            </w: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525AAA" w:rsidRPr="00525AAA" w:rsidTr="008035EF">
        <w:trPr>
          <w:trHeight w:val="442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Audio-visual, photographic and i</w:t>
            </w: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n</w:t>
            </w: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formation processing equipment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99,4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95,1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95,2</w:t>
            </w:r>
          </w:p>
        </w:tc>
      </w:tr>
      <w:tr w:rsidR="00525AAA" w:rsidRPr="00525AAA" w:rsidTr="008035EF">
        <w:trPr>
          <w:trHeight w:val="300"/>
        </w:trPr>
        <w:tc>
          <w:tcPr>
            <w:tcW w:w="297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Recreational and cultural services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525AAA" w:rsidRPr="00525AAA" w:rsidTr="00CD5763">
        <w:trPr>
          <w:trHeight w:val="288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CD5763">
            <w:pPr>
              <w:spacing w:before="40" w:after="4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Recreational and sporting services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CD5763">
            <w:pPr>
              <w:spacing w:before="40" w:after="4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103,2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103,2</w:t>
            </w: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Cultural services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99,4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</w:tr>
      <w:tr w:rsidR="00525AAA" w:rsidRPr="00525AAA" w:rsidTr="008035EF">
        <w:trPr>
          <w:trHeight w:val="300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of which television and radio </w:t>
            </w: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licence fees, subscriptions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98,8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99,7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Books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105,3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104,2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106,0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Newspapers and periodicals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105,1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105,8</w:t>
            </w:r>
          </w:p>
        </w:tc>
      </w:tr>
      <w:tr w:rsidR="00525AAA" w:rsidRPr="00525AAA" w:rsidTr="00CD5763">
        <w:trPr>
          <w:trHeight w:val="286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CD5763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Stationery and drawing materials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103,6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103,2</w:t>
            </w: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Package holidays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95,6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106,7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106,4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105,2</w:t>
            </w: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Package domestic holidays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97,3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104,6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103,5</w:t>
            </w:r>
          </w:p>
        </w:tc>
      </w:tr>
      <w:tr w:rsidR="00525AAA" w:rsidRPr="00525AAA" w:rsidTr="00CD5763">
        <w:trPr>
          <w:trHeight w:val="258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CD5763">
            <w:pPr>
              <w:spacing w:before="40" w:after="4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Package international holidays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94,4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108,3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106,4</w:t>
            </w: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104,4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103,4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103,2</w:t>
            </w: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104,8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104,1</w:t>
            </w: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MISCELLANEOUS GOODS AND SERVICES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Personal care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Hairdressing salons and personal grooming establishments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105,6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104,9</w:t>
            </w: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Articles for personal hygiene and wellness, esoteric products and beauty products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99,5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99,7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Social protection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105,9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105,6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104,6</w:t>
            </w:r>
          </w:p>
        </w:tc>
      </w:tr>
      <w:tr w:rsidR="00525AAA" w:rsidRPr="00525AAA" w:rsidTr="008035EF">
        <w:trPr>
          <w:trHeight w:val="315"/>
        </w:trPr>
        <w:tc>
          <w:tcPr>
            <w:tcW w:w="297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D715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Insurance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105,9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</w:tr>
      <w:tr w:rsidR="00525AAA" w:rsidRPr="00525AAA" w:rsidTr="00060953">
        <w:trPr>
          <w:trHeight w:val="248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25AAA" w:rsidRPr="00525AAA" w:rsidRDefault="00525AAA" w:rsidP="00060953">
            <w:pPr>
              <w:spacing w:before="6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525AAA">
              <w:rPr>
                <w:rFonts w:cs="Arial"/>
                <w:color w:val="000000"/>
                <w:sz w:val="16"/>
                <w:szCs w:val="16"/>
                <w:lang w:val="en-GB"/>
              </w:rPr>
              <w:t>Charges by banks and post offices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525AAA" w:rsidRPr="00525AAA" w:rsidRDefault="00525AAA" w:rsidP="00EE3F46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525AA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97,3</w:t>
            </w:r>
          </w:p>
        </w:tc>
      </w:tr>
    </w:tbl>
    <w:p w:rsidR="00685123" w:rsidRPr="00525AAA" w:rsidRDefault="00685123" w:rsidP="00883763">
      <w:pPr>
        <w:spacing w:before="0" w:after="160" w:line="259" w:lineRule="auto"/>
        <w:rPr>
          <w:b/>
          <w:noProof/>
          <w:szCs w:val="19"/>
          <w:highlight w:val="yellow"/>
          <w:lang w:val="en-GB" w:eastAsia="pl-PL"/>
        </w:rPr>
        <w:sectPr w:rsidR="00685123" w:rsidRPr="00525AAA" w:rsidSect="00EF7B36">
          <w:headerReference w:type="default" r:id="rId18"/>
          <w:footerReference w:type="default" r:id="rId19"/>
          <w:headerReference w:type="first" r:id="rId20"/>
          <w:footerReference w:type="first" r:id="rId21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525AAA" w:rsidRDefault="000470AA" w:rsidP="000470AA">
      <w:pPr>
        <w:rPr>
          <w:sz w:val="18"/>
          <w:highlight w:val="yellow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525AAA" w:rsidTr="00EE696D">
        <w:trPr>
          <w:trHeight w:val="1912"/>
        </w:trPr>
        <w:tc>
          <w:tcPr>
            <w:tcW w:w="4379" w:type="dxa"/>
          </w:tcPr>
          <w:p w:rsidR="00F5076C" w:rsidRPr="00525AAA" w:rsidRDefault="00F5076C" w:rsidP="00F5076C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F5076C" w:rsidRPr="00525AAA" w:rsidRDefault="00F5076C" w:rsidP="00F5076C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525AAA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F5076C" w:rsidRPr="00525AAA" w:rsidRDefault="00F5076C" w:rsidP="00F5076C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525AA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Anna Bobel</w:t>
            </w:r>
          </w:p>
          <w:p w:rsidR="00F5076C" w:rsidRPr="00525AAA" w:rsidRDefault="00F5076C" w:rsidP="00F5076C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525AAA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35 12</w:t>
            </w:r>
          </w:p>
          <w:p w:rsidR="00883763" w:rsidRPr="00525AAA" w:rsidRDefault="00F5076C" w:rsidP="00F5076C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highlight w:val="yellow"/>
                <w:lang w:val="en-GB"/>
              </w:rPr>
            </w:pPr>
            <w:r w:rsidRPr="00525AA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>e-mail:</w:t>
            </w:r>
            <w:r w:rsidRPr="00525AAA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GB"/>
              </w:rPr>
              <w:t xml:space="preserve"> </w:t>
            </w:r>
            <w:hyperlink r:id="rId22" w:history="1">
              <w:r w:rsidRPr="00525AAA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a.bobel@stat.gov.pl</w:t>
              </w:r>
            </w:hyperlink>
          </w:p>
        </w:tc>
        <w:tc>
          <w:tcPr>
            <w:tcW w:w="3942" w:type="dxa"/>
          </w:tcPr>
          <w:p w:rsidR="00F5076C" w:rsidRPr="00525AAA" w:rsidRDefault="00F5076C" w:rsidP="00F5076C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525AAA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525AA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F5076C" w:rsidRPr="00525AAA" w:rsidRDefault="00F5076C" w:rsidP="00F5076C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525AAA">
              <w:rPr>
                <w:rFonts w:cs="Arial"/>
                <w:b/>
                <w:color w:val="000000" w:themeColor="text1"/>
                <w:sz w:val="20"/>
                <w:lang w:val="en-GB"/>
              </w:rPr>
              <w:t>of Statistics Poland</w:t>
            </w:r>
          </w:p>
          <w:p w:rsidR="00F5076C" w:rsidRPr="00525AAA" w:rsidRDefault="00F5076C" w:rsidP="00F5076C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525AA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 Banaszek</w:t>
            </w:r>
          </w:p>
          <w:p w:rsidR="00F5076C" w:rsidRPr="00525AAA" w:rsidRDefault="00F5076C" w:rsidP="00F5076C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525AAA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34 75, +48 22 608 30 09</w:t>
            </w:r>
          </w:p>
          <w:p w:rsidR="00883763" w:rsidRPr="00525AAA" w:rsidRDefault="00F5076C" w:rsidP="00F5076C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highlight w:val="yellow"/>
                <w:lang w:val="en-GB"/>
              </w:rPr>
            </w:pPr>
            <w:r w:rsidRPr="00525AA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23" w:history="1">
              <w:r w:rsidRPr="00525AAA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rzecznik@stat.gov.pl</w:t>
              </w:r>
            </w:hyperlink>
          </w:p>
        </w:tc>
      </w:tr>
    </w:tbl>
    <w:p w:rsidR="000470AA" w:rsidRPr="00525AAA" w:rsidRDefault="000470AA" w:rsidP="000470AA">
      <w:pPr>
        <w:rPr>
          <w:sz w:val="18"/>
          <w:highlight w:val="yellow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525AAA" w:rsidTr="00C057E5">
        <w:trPr>
          <w:trHeight w:val="610"/>
        </w:trPr>
        <w:tc>
          <w:tcPr>
            <w:tcW w:w="2721" w:type="pct"/>
            <w:vMerge w:val="restart"/>
          </w:tcPr>
          <w:p w:rsidR="00F5076C" w:rsidRPr="00525AAA" w:rsidRDefault="00F5076C" w:rsidP="00F5076C">
            <w:pPr>
              <w:spacing w:before="240"/>
              <w:rPr>
                <w:b/>
                <w:sz w:val="20"/>
                <w:lang w:val="en-GB"/>
              </w:rPr>
            </w:pPr>
            <w:r w:rsidRPr="00525AAA">
              <w:rPr>
                <w:b/>
                <w:sz w:val="20"/>
                <w:lang w:val="en-GB"/>
              </w:rPr>
              <w:t>Press Office</w:t>
            </w:r>
          </w:p>
          <w:p w:rsidR="00F5076C" w:rsidRPr="00525AAA" w:rsidRDefault="00F5076C" w:rsidP="00F5076C">
            <w:pPr>
              <w:rPr>
                <w:sz w:val="20"/>
                <w:lang w:val="en-GB"/>
              </w:rPr>
            </w:pPr>
            <w:r w:rsidRPr="00525AAA">
              <w:rPr>
                <w:rFonts w:cs="Arial"/>
                <w:color w:val="000000" w:themeColor="text1"/>
                <w:sz w:val="20"/>
                <w:lang w:val="en-GB"/>
              </w:rPr>
              <w:t xml:space="preserve">Tel: </w:t>
            </w:r>
            <w:r w:rsidRPr="00525AAA">
              <w:rPr>
                <w:sz w:val="20"/>
                <w:lang w:val="en-GB"/>
              </w:rPr>
              <w:t xml:space="preserve">+48 22 608 34 91, +48 22 608 38 04 </w:t>
            </w:r>
          </w:p>
          <w:p w:rsidR="000470AA" w:rsidRPr="00525AAA" w:rsidRDefault="00F5076C" w:rsidP="00F5076C">
            <w:pPr>
              <w:rPr>
                <w:sz w:val="18"/>
                <w:highlight w:val="yellow"/>
                <w:lang w:val="en-GB"/>
              </w:rPr>
            </w:pPr>
            <w:r w:rsidRPr="00525AAA">
              <w:rPr>
                <w:b/>
                <w:color w:val="000000" w:themeColor="text1"/>
                <w:sz w:val="20"/>
                <w:lang w:val="en-GB"/>
              </w:rPr>
              <w:t xml:space="preserve">e-mail: </w:t>
            </w:r>
            <w:hyperlink r:id="rId24" w:history="1">
              <w:r w:rsidRPr="00525AAA">
                <w:rPr>
                  <w:rStyle w:val="Hipercze"/>
                  <w:rFonts w:cstheme="minorBidi"/>
                  <w:b/>
                  <w:color w:val="000000" w:themeColor="text1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525AAA" w:rsidRDefault="000470AA" w:rsidP="000470AA">
            <w:pPr>
              <w:rPr>
                <w:sz w:val="18"/>
                <w:lang w:val="en-GB"/>
              </w:rPr>
            </w:pPr>
            <w:r w:rsidRPr="00525AAA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2992" behindDoc="0" locked="0" layoutInCell="1" allowOverlap="1" wp14:anchorId="19DE6E5D" wp14:editId="053C9C4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525AAA" w:rsidRDefault="00C92F16" w:rsidP="000470AA">
            <w:pPr>
              <w:rPr>
                <w:color w:val="000000" w:themeColor="text1"/>
                <w:sz w:val="18"/>
                <w:lang w:val="en-GB"/>
              </w:rPr>
            </w:pPr>
            <w:hyperlink r:id="rId26" w:history="1">
              <w:r w:rsidR="00F5076C" w:rsidRPr="00525AAA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www.stat.gov.pl/en/</w:t>
              </w:r>
            </w:hyperlink>
          </w:p>
        </w:tc>
      </w:tr>
      <w:tr w:rsidR="000470AA" w:rsidRPr="00525A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525AAA" w:rsidRDefault="000470AA" w:rsidP="000470AA">
            <w:pPr>
              <w:rPr>
                <w:sz w:val="18"/>
                <w:highlight w:val="yellow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525AAA" w:rsidRDefault="000470AA" w:rsidP="000470AA">
            <w:pPr>
              <w:rPr>
                <w:sz w:val="18"/>
                <w:lang w:val="en-GB"/>
              </w:rPr>
            </w:pPr>
            <w:r w:rsidRPr="00525AAA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5040" behindDoc="0" locked="0" layoutInCell="1" allowOverlap="1" wp14:anchorId="01436BD8" wp14:editId="128CE51C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B37931" w:rsidRDefault="00C92F16" w:rsidP="000470AA">
            <w:pPr>
              <w:rPr>
                <w:color w:val="000000" w:themeColor="text1"/>
                <w:sz w:val="18"/>
                <w:lang w:val="en-GB"/>
              </w:rPr>
            </w:pPr>
            <w:hyperlink r:id="rId28" w:history="1">
              <w:r w:rsidR="00F5076C" w:rsidRPr="00B37931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F5076C" w:rsidRPr="00B37931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StatPoland</w:t>
              </w:r>
              <w:proofErr w:type="spellEnd"/>
            </w:hyperlink>
          </w:p>
        </w:tc>
      </w:tr>
      <w:tr w:rsidR="000470AA" w:rsidRPr="00525A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525AAA" w:rsidRDefault="000470AA" w:rsidP="000470AA">
            <w:pPr>
              <w:rPr>
                <w:sz w:val="18"/>
                <w:highlight w:val="yellow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525AAA" w:rsidRDefault="000470AA" w:rsidP="000470AA">
            <w:pPr>
              <w:rPr>
                <w:sz w:val="18"/>
                <w:lang w:val="en-GB"/>
              </w:rPr>
            </w:pPr>
            <w:r w:rsidRPr="00525AAA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4016" behindDoc="0" locked="0" layoutInCell="1" allowOverlap="1" wp14:anchorId="423E1A05" wp14:editId="637915A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B37931" w:rsidRDefault="00C92F16" w:rsidP="000470AA">
            <w:pPr>
              <w:rPr>
                <w:color w:val="000000" w:themeColor="text1"/>
                <w:sz w:val="20"/>
                <w:lang w:val="en-GB"/>
              </w:rPr>
            </w:pPr>
            <w:hyperlink r:id="rId30" w:history="1">
              <w:r w:rsidR="00F5076C" w:rsidRPr="00B37931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F5076C" w:rsidRPr="00B37931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GlownyUrzadStatystyczny</w:t>
              </w:r>
              <w:proofErr w:type="spellEnd"/>
            </w:hyperlink>
          </w:p>
        </w:tc>
      </w:tr>
    </w:tbl>
    <w:p w:rsidR="00D261A2" w:rsidRPr="00525AAA" w:rsidRDefault="00C92F16" w:rsidP="00E76D26">
      <w:pPr>
        <w:rPr>
          <w:sz w:val="18"/>
          <w:lang w:val="en-GB"/>
        </w:rPr>
      </w:pPr>
      <w:r>
        <w:rPr>
          <w:noProof/>
          <w:sz w:val="18"/>
          <w:highlight w:val="yellow"/>
          <w:lang w:val="en-GB" w:eastAsia="en-GB"/>
        </w:rPr>
        <w:pict>
          <v:shape id="_x0000_s1030" type="#_x0000_t202" style="position:absolute;margin-left:1.5pt;margin-top:34.7pt;width:516.5pt;height:349.85pt;z-index:25174425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dMPwIAAHQEAAAOAAAAZHJzL2Uyb0RvYy54bWysVFFv0zAQfkfiP1h+p0lLMtZo6TQ6hpAG&#10;TBr8gKvjNNZsX7DdJuPX7+y0o4MHJMRL5POdv/vuu7tcXI5Gs710XqGt+XyWcyatwEbZbc2/f7t5&#10;c86ZD2Ab0GhlzR+l55er168uhr6SC+xQN9IxArG+GvqadyH0VZZ50UkDfoa9tORs0RkIZLpt1jgY&#10;CN3obJHnZ9mArukdCuk93V5PTr5K+G0rRfjatl4GpmtO3EL6uvTdxG+2uoBq66DvlDjQgH9gYUBZ&#10;SvoMdQ0B2M6pP6CMEg49tmEm0GTYtkrIVANVM89/q+a+g16mWkgc3z/L5P8frPiyv3NMNdS7OWcW&#10;DPXoDrVkQT74gINki6jR0PuKQu97Cg7jexwpPtXr+1sUD55ZXHdgt/LKORw6CQ1xnMeX2cnTCcdH&#10;kM3wGRvKBbuACWhsnYkCkiSM0KlXj8/9kWNggi7PynJZluQS5CuK4m2+LFMOqI7Pe+fDR4mGxUPN&#10;HQ1Agof9rQ+RDlTHkJjNo1bNjdI6GXHo5Fo7tgcal812KlHvDHGd7pZlnqehIZw0ozE8ob5A0pYN&#10;NV+Wi3IS6S9ZJl4vEIwKtBdamZqfU8opKVRR2Q+2oQdQBVB6OhMZbQ9SR3UnncO4GVNni2MHN9g8&#10;kvYOpzWgtaVDh+4nZwOtQM39jx04yZn+ZKl/y3lRxJ1JRlG+W5DhTj2bUw9YQVA1D5xNx3VIexap&#10;WryiPrcqdSAOxMTkQJlGO0l4WMO4O6d2ivr1s1g9AQAA//8DAFBLAwQUAAYACAAAACEAKy5eo98A&#10;AAAJAQAADwAAAGRycy9kb3ducmV2LnhtbEyPwU7DMBBE70j8g7VIXBB12oJDQjYVQqrghlIquLrx&#10;koTG6yh22/D3uCc4zs5q5k2xmmwvjjT6zjHCfJaAIK6d6bhB2L6vbx9A+KDZ6N4xIfyQh1V5eVHo&#10;3LgTV3TchEbEEPa5RmhDGHIpfd2S1X7mBuLofbnR6hDl2Egz6lMMt71cJImSVnccG1o90HNL9X5z&#10;sAgvWXq/fl1s07e9+lYmu6k+hs8K8fpqenoEEWgKf89wxo/oUEamnTuw8aJHWMYlAUFldyDOdrJU&#10;8bJDSFU2B1kW8v+C8hcAAP//AwBQSwECLQAUAAYACAAAACEAtoM4kv4AAADhAQAAEwAAAAAAAAAA&#10;AAAAAAAAAAAAW0NvbnRlbnRfVHlwZXNdLnhtbFBLAQItABQABgAIAAAAIQA4/SH/1gAAAJQBAAAL&#10;AAAAAAAAAAAAAAAAAC8BAABfcmVscy8ucmVsc1BLAQItABQABgAIAAAAIQAcf+dMPwIAAHQEAAAO&#10;AAAAAAAAAAAAAAAAAC4CAABkcnMvZTJvRG9jLnhtbFBLAQItABQABgAIAAAAIQArLl6j3wAAAAkB&#10;AAAPAAAAAAAAAAAAAAAAAJkEAABkcnMvZG93bnJldi54bWxQSwUGAAAAAAQABADzAAAApQUAAAAA&#10;" fillcolor="#f2f2f2 [3052]" strokecolor="white [3212]">
            <v:textbox>
              <w:txbxContent>
                <w:p w:rsidR="00E96885" w:rsidRDefault="00E96885" w:rsidP="00883763">
                  <w:pPr>
                    <w:rPr>
                      <w:b/>
                    </w:rPr>
                  </w:pPr>
                </w:p>
                <w:p w:rsidR="00E96885" w:rsidRPr="00FA7BB3" w:rsidRDefault="00E96885" w:rsidP="00525AAA">
                  <w:pPr>
                    <w:rPr>
                      <w:b/>
                      <w:lang w:val="en-GB"/>
                    </w:rPr>
                  </w:pPr>
                  <w:r w:rsidRPr="00FA7BB3">
                    <w:rPr>
                      <w:b/>
                      <w:lang w:val="en-GB"/>
                    </w:rPr>
                    <w:t>Related information</w:t>
                  </w:r>
                </w:p>
                <w:p w:rsidR="00E96885" w:rsidRPr="00FA7BB3" w:rsidRDefault="00C92F16" w:rsidP="00525AAA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1" w:history="1">
                    <w:r w:rsidR="00E96885" w:rsidRPr="00FA7BB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Communications and Announcements</w:t>
                    </w:r>
                  </w:hyperlink>
                </w:p>
                <w:p w:rsidR="00E96885" w:rsidRPr="00FA7BB3" w:rsidRDefault="00C92F16" w:rsidP="00525AAA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2" w:history="1">
                    <w:r w:rsidR="00E96885" w:rsidRPr="00FA7BB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News releases</w:t>
                    </w:r>
                  </w:hyperlink>
                </w:p>
                <w:p w:rsidR="00E96885" w:rsidRPr="00FA7BB3" w:rsidRDefault="00E96885" w:rsidP="00525AAA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E96885" w:rsidRPr="00FA7BB3" w:rsidRDefault="00E96885" w:rsidP="00525AAA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FA7BB3">
                    <w:rPr>
                      <w:b/>
                      <w:color w:val="000000" w:themeColor="text1"/>
                      <w:szCs w:val="24"/>
                      <w:lang w:val="en-GB"/>
                    </w:rPr>
                    <w:t>Data available in databases</w:t>
                  </w:r>
                </w:p>
                <w:p w:rsidR="00E96885" w:rsidRPr="00C3205E" w:rsidRDefault="00C92F16" w:rsidP="00525AAA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3" w:history="1">
                    <w:r w:rsidR="00E9688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Knowledge Database Prices</w:t>
                    </w:r>
                  </w:hyperlink>
                </w:p>
                <w:p w:rsidR="00E96885" w:rsidRPr="00C3205E" w:rsidRDefault="00C92F16" w:rsidP="00525AAA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4" w:history="1">
                    <w:r w:rsidR="00E9688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Macroeconomic Data Bank</w:t>
                    </w:r>
                  </w:hyperlink>
                </w:p>
                <w:p w:rsidR="00E96885" w:rsidRPr="00C3205E" w:rsidRDefault="00C92F16" w:rsidP="00525AAA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5" w:history="1">
                    <w:r w:rsidR="00E9688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Local Data Bank</w:t>
                    </w:r>
                  </w:hyperlink>
                </w:p>
                <w:p w:rsidR="00E96885" w:rsidRPr="00C3205E" w:rsidRDefault="00C92F16" w:rsidP="00525AAA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6" w:history="1">
                    <w:r w:rsidR="00E96885" w:rsidRPr="00C3205E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indices (Topics: Prices, Trade)</w:t>
                    </w:r>
                  </w:hyperlink>
                </w:p>
                <w:p w:rsidR="00E96885" w:rsidRPr="00C3205E" w:rsidRDefault="00C92F16" w:rsidP="00525AAA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7" w:history="1">
                    <w:r w:rsidR="00E96885" w:rsidRPr="00C3205E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Prices (Topics: Prices, Trade)</w:t>
                    </w:r>
                  </w:hyperlink>
                </w:p>
                <w:p w:rsidR="00E96885" w:rsidRPr="00C3205E" w:rsidRDefault="00E96885" w:rsidP="00525AAA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E96885" w:rsidRPr="00BB6820" w:rsidRDefault="00E96885" w:rsidP="00525AAA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BB6820">
                    <w:rPr>
                      <w:b/>
                      <w:color w:val="000000" w:themeColor="text1"/>
                      <w:szCs w:val="24"/>
                      <w:lang w:val="en-GB"/>
                    </w:rPr>
                    <w:t>Terms used in official statistics</w:t>
                  </w:r>
                </w:p>
                <w:p w:rsidR="00E96885" w:rsidRPr="00C3205E" w:rsidRDefault="00C92F16" w:rsidP="00525AAA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8" w:history="1">
                    <w:r w:rsidR="00E9688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index of consumer goods and services</w:t>
                    </w:r>
                  </w:hyperlink>
                </w:p>
                <w:p w:rsidR="00E96885" w:rsidRPr="00065E4D" w:rsidRDefault="00C92F16" w:rsidP="00525AAA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9" w:history="1">
                    <w:r w:rsidR="00E9688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Retail price</w:t>
                    </w:r>
                  </w:hyperlink>
                </w:p>
              </w:txbxContent>
            </v:textbox>
            <w10:wrap type="square" anchorx="margin"/>
          </v:shape>
        </w:pict>
      </w:r>
    </w:p>
    <w:sectPr w:rsidR="00D261A2" w:rsidRPr="00525AAA" w:rsidSect="00EF7B36">
      <w:headerReference w:type="default" r:id="rId40"/>
      <w:footerReference w:type="default" r:id="rId41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885" w:rsidRDefault="00E96885" w:rsidP="000662E2">
      <w:pPr>
        <w:spacing w:after="0" w:line="240" w:lineRule="auto"/>
      </w:pPr>
      <w:r>
        <w:separator/>
      </w:r>
    </w:p>
  </w:endnote>
  <w:endnote w:type="continuationSeparator" w:id="0">
    <w:p w:rsidR="00E96885" w:rsidRDefault="00E9688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EndPr/>
    <w:sdtContent>
      <w:p w:rsidR="00E96885" w:rsidRDefault="00E9688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F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EndPr/>
    <w:sdtContent>
      <w:p w:rsidR="00E96885" w:rsidRDefault="00E9688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F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E96885" w:rsidRDefault="00E9688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F1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885" w:rsidRDefault="00E96885" w:rsidP="000662E2">
      <w:pPr>
        <w:spacing w:after="0" w:line="240" w:lineRule="auto"/>
      </w:pPr>
      <w:r>
        <w:separator/>
      </w:r>
    </w:p>
  </w:footnote>
  <w:footnote w:type="continuationSeparator" w:id="0">
    <w:p w:rsidR="00E96885" w:rsidRDefault="00E9688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885" w:rsidRDefault="00C92F16">
    <w:pPr>
      <w:pStyle w:val="Nagwek"/>
    </w:pPr>
    <w:r>
      <w:rPr>
        <w:noProof/>
        <w:lang w:val="en-GB" w:eastAsia="en-GB"/>
      </w:rPr>
      <w:pict>
        <v:rect id="Prostokąt 24" o:spid="_x0000_s2052" style="position:absolute;margin-left:410.6pt;margin-top:-14.05pt;width:147.6pt;height:1785.8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<v:path arrowok="t"/>
        </v:rect>
      </w:pict>
    </w:r>
  </w:p>
  <w:p w:rsidR="00E96885" w:rsidRDefault="00E9688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885" w:rsidRDefault="00C92F16" w:rsidP="003C3C6B">
    <w:pPr>
      <w:pStyle w:val="Nagwek"/>
      <w:tabs>
        <w:tab w:val="clear" w:pos="4536"/>
        <w:tab w:val="clear" w:pos="9072"/>
        <w:tab w:val="left" w:pos="2805"/>
      </w:tabs>
      <w:rPr>
        <w:noProof/>
        <w:lang w:eastAsia="pl-PL"/>
      </w:rPr>
    </w:pPr>
    <w:r>
      <w:rPr>
        <w:noProof/>
        <w:lang w:val="en-GB" w:eastAsia="en-GB"/>
      </w:rPr>
      <w:pict>
        <v:rect id="Prostokąt 10" o:spid="_x0000_s2050" style="position:absolute;margin-left:411.45pt;margin-top:15.3pt;width:147.4pt;height:812.4pt;z-index:-251650048;visibility:visible;mso-width-relative:margin;mso-height-relative:margin;v-text-anchor:middle" wrapcoords="-110 0 -110 21591 21600 21591 21600 0 -110 0" fillcolor="#f2f2f2" stroked="f" strokeweight="1pt">
          <v:path arrowok="t"/>
          <w10:wrap type="tight"/>
        </v:rect>
      </w:pict>
    </w:r>
    <w:r w:rsidR="00E96885">
      <w:rPr>
        <w:noProof/>
        <w:lang w:val="en-GB" w:eastAsia="en-GB"/>
      </w:rPr>
      <w:drawing>
        <wp:inline distT="0" distB="0" distL="0" distR="0" wp14:anchorId="116D15B6" wp14:editId="20E697F9">
          <wp:extent cx="1865630" cy="709295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GB" w:eastAsia="en-GB"/>
      </w:rPr>
      <w:pict>
        <v:shape id="Schemat blokowy: opóźnienie 6" o:spid="_x0000_s2051" style="position:absolute;margin-left:396.6pt;margin-top:15.65pt;width:162.25pt;height:28.15pt;flip:x;z-index:251668480;visibility:visible;mso-position-horizontal-relative:text;mso-position-vertical-relative:text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ga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7K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waRoGk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E96885" w:rsidRPr="003C6C8D" w:rsidRDefault="00E96885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 w:rsidRPr="007F72A9">
                  <w:rPr>
                    <w:rFonts w:ascii="Fira Sans SemiBold" w:hAnsi="Fira Sans SemiBold"/>
                  </w:rPr>
                  <w:t>NEWS RELEASES</w:t>
                </w:r>
              </w:p>
            </w:txbxContent>
          </v:textbox>
        </v:shape>
      </w:pict>
    </w:r>
    <w:r w:rsidR="00E96885">
      <w:rPr>
        <w:noProof/>
        <w:lang w:eastAsia="pl-PL"/>
      </w:rPr>
      <w:tab/>
    </w:r>
  </w:p>
  <w:p w:rsidR="00E96885" w:rsidRDefault="00C92F16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1m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ihLLDY7o&#10;AbQkUT6FCL0kZZKod6HGm48O78bhEww46kw3uHsQT4FYuOm43cpr76HvJG+wxVnKLM5SR5yQQDb9&#10;N2iwFt9FyEBD603SDxUhiI6jOpzGI4dIRCq5mJfVEkMCY/P5sqry/ApeP2c7H+IXCYakDaMex5/R&#10;+f4+xNQNr5+vpGIW7pTW2QLakp7Ry6qscsJZxKiIDtXKMHoxTd/omUTys21ycuRKj3ssoO2RdSI6&#10;Uo7DZsgaZ0mSIhtoDiiDh9GQ+IBw04H/Q0mPZmQ0/N5xLynRXy1KeTlbLJJ782FRfSzx4M8jm/MI&#10;twKhGI2UjNubmB0/Ur5GyVuV1Xjp5NgymiyLdHwQycXn53zr5dmu/wI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CIw1m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E96885" w:rsidRPr="00C97596" w:rsidRDefault="00E96885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15.10.2019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885" w:rsidRDefault="00E96885">
    <w:pPr>
      <w:pStyle w:val="Nagwek"/>
    </w:pPr>
  </w:p>
  <w:p w:rsidR="00E96885" w:rsidRDefault="00E9688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pt;height:125.25pt;visibility:visible" o:bullet="t">
        <v:imagedata r:id="rId1" o:title=""/>
      </v:shape>
    </w:pict>
  </w:numPicBullet>
  <w:numPicBullet w:numPicBulletId="1">
    <w:pict>
      <v:shape id="_x0000_i1027" type="#_x0000_t75" style="width:123.75pt;height:125.25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4"/>
    <o:shapelayout v:ext="edit">
      <o:idmap v:ext="edit" data="2"/>
    </o:shapelayout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074C"/>
    <w:rsid w:val="00001C5B"/>
    <w:rsid w:val="00003437"/>
    <w:rsid w:val="0000709F"/>
    <w:rsid w:val="000108B8"/>
    <w:rsid w:val="000152F5"/>
    <w:rsid w:val="0001700C"/>
    <w:rsid w:val="000201FC"/>
    <w:rsid w:val="00024B66"/>
    <w:rsid w:val="00030ACD"/>
    <w:rsid w:val="00034160"/>
    <w:rsid w:val="0003614E"/>
    <w:rsid w:val="0004015D"/>
    <w:rsid w:val="0004582E"/>
    <w:rsid w:val="0004646A"/>
    <w:rsid w:val="000470AA"/>
    <w:rsid w:val="000531EB"/>
    <w:rsid w:val="00057CA1"/>
    <w:rsid w:val="00060953"/>
    <w:rsid w:val="000609C1"/>
    <w:rsid w:val="00065E4D"/>
    <w:rsid w:val="000662E2"/>
    <w:rsid w:val="00066883"/>
    <w:rsid w:val="00074DD8"/>
    <w:rsid w:val="00076281"/>
    <w:rsid w:val="000800B4"/>
    <w:rsid w:val="000806F7"/>
    <w:rsid w:val="00097840"/>
    <w:rsid w:val="000A014D"/>
    <w:rsid w:val="000A0FD3"/>
    <w:rsid w:val="000A350D"/>
    <w:rsid w:val="000A6963"/>
    <w:rsid w:val="000A7F1A"/>
    <w:rsid w:val="000B0727"/>
    <w:rsid w:val="000B5393"/>
    <w:rsid w:val="000C135D"/>
    <w:rsid w:val="000C2B6C"/>
    <w:rsid w:val="000D1D43"/>
    <w:rsid w:val="000D225C"/>
    <w:rsid w:val="000D2465"/>
    <w:rsid w:val="000D2A5C"/>
    <w:rsid w:val="000E0918"/>
    <w:rsid w:val="000F2650"/>
    <w:rsid w:val="000F7E97"/>
    <w:rsid w:val="001011C3"/>
    <w:rsid w:val="00110D87"/>
    <w:rsid w:val="001149A1"/>
    <w:rsid w:val="00114DB9"/>
    <w:rsid w:val="00116087"/>
    <w:rsid w:val="00130296"/>
    <w:rsid w:val="00130A23"/>
    <w:rsid w:val="001315A3"/>
    <w:rsid w:val="00132297"/>
    <w:rsid w:val="00133A82"/>
    <w:rsid w:val="00135B65"/>
    <w:rsid w:val="00142037"/>
    <w:rsid w:val="001423B6"/>
    <w:rsid w:val="001441A0"/>
    <w:rsid w:val="001448A3"/>
    <w:rsid w:val="001448A7"/>
    <w:rsid w:val="00146621"/>
    <w:rsid w:val="00162325"/>
    <w:rsid w:val="00165856"/>
    <w:rsid w:val="00194845"/>
    <w:rsid w:val="001951DA"/>
    <w:rsid w:val="001A3A7F"/>
    <w:rsid w:val="001A7573"/>
    <w:rsid w:val="001A78D0"/>
    <w:rsid w:val="001B29C5"/>
    <w:rsid w:val="001B7E7B"/>
    <w:rsid w:val="001C1375"/>
    <w:rsid w:val="001C3269"/>
    <w:rsid w:val="001D1DB4"/>
    <w:rsid w:val="001E1D94"/>
    <w:rsid w:val="001E7DBB"/>
    <w:rsid w:val="001F439C"/>
    <w:rsid w:val="001F60D1"/>
    <w:rsid w:val="002268BB"/>
    <w:rsid w:val="002574F9"/>
    <w:rsid w:val="00257A17"/>
    <w:rsid w:val="002621B1"/>
    <w:rsid w:val="00262B61"/>
    <w:rsid w:val="0026302B"/>
    <w:rsid w:val="002724FF"/>
    <w:rsid w:val="00275FA6"/>
    <w:rsid w:val="00276811"/>
    <w:rsid w:val="00276C9A"/>
    <w:rsid w:val="00280D7C"/>
    <w:rsid w:val="00282699"/>
    <w:rsid w:val="00285768"/>
    <w:rsid w:val="00290CB6"/>
    <w:rsid w:val="002926DF"/>
    <w:rsid w:val="00295056"/>
    <w:rsid w:val="00296697"/>
    <w:rsid w:val="00296EB3"/>
    <w:rsid w:val="002A4D80"/>
    <w:rsid w:val="002B0472"/>
    <w:rsid w:val="002B5049"/>
    <w:rsid w:val="002B6B12"/>
    <w:rsid w:val="002D0020"/>
    <w:rsid w:val="002E6140"/>
    <w:rsid w:val="002E6985"/>
    <w:rsid w:val="002E71B6"/>
    <w:rsid w:val="002F77C8"/>
    <w:rsid w:val="003047EF"/>
    <w:rsid w:val="00304F22"/>
    <w:rsid w:val="00305162"/>
    <w:rsid w:val="00306C7C"/>
    <w:rsid w:val="003077B5"/>
    <w:rsid w:val="00310F90"/>
    <w:rsid w:val="00317C90"/>
    <w:rsid w:val="00322EDD"/>
    <w:rsid w:val="00332320"/>
    <w:rsid w:val="00336B88"/>
    <w:rsid w:val="003405A4"/>
    <w:rsid w:val="00341C29"/>
    <w:rsid w:val="00343BBC"/>
    <w:rsid w:val="00347D72"/>
    <w:rsid w:val="00357611"/>
    <w:rsid w:val="00367237"/>
    <w:rsid w:val="0037077F"/>
    <w:rsid w:val="00372411"/>
    <w:rsid w:val="0037258A"/>
    <w:rsid w:val="00373882"/>
    <w:rsid w:val="003843DB"/>
    <w:rsid w:val="003901AC"/>
    <w:rsid w:val="00393761"/>
    <w:rsid w:val="00397181"/>
    <w:rsid w:val="00397D18"/>
    <w:rsid w:val="003A1B36"/>
    <w:rsid w:val="003A440F"/>
    <w:rsid w:val="003A7D83"/>
    <w:rsid w:val="003B1454"/>
    <w:rsid w:val="003B18B6"/>
    <w:rsid w:val="003B5096"/>
    <w:rsid w:val="003C3C6B"/>
    <w:rsid w:val="003C59E0"/>
    <w:rsid w:val="003C6C8D"/>
    <w:rsid w:val="003D3B24"/>
    <w:rsid w:val="003D4F95"/>
    <w:rsid w:val="003D5F42"/>
    <w:rsid w:val="003D60A9"/>
    <w:rsid w:val="003D67C8"/>
    <w:rsid w:val="003D7BC2"/>
    <w:rsid w:val="003E3529"/>
    <w:rsid w:val="003E6F8F"/>
    <w:rsid w:val="003F4C97"/>
    <w:rsid w:val="003F54AA"/>
    <w:rsid w:val="003F7FE6"/>
    <w:rsid w:val="00400193"/>
    <w:rsid w:val="004002CD"/>
    <w:rsid w:val="004009D2"/>
    <w:rsid w:val="00417179"/>
    <w:rsid w:val="004212E7"/>
    <w:rsid w:val="0042446D"/>
    <w:rsid w:val="004266D6"/>
    <w:rsid w:val="004276B0"/>
    <w:rsid w:val="00427BF8"/>
    <w:rsid w:val="00431C02"/>
    <w:rsid w:val="00437395"/>
    <w:rsid w:val="00445047"/>
    <w:rsid w:val="00453304"/>
    <w:rsid w:val="00454E14"/>
    <w:rsid w:val="004566AB"/>
    <w:rsid w:val="0045762F"/>
    <w:rsid w:val="004601AC"/>
    <w:rsid w:val="00463E39"/>
    <w:rsid w:val="004657FC"/>
    <w:rsid w:val="004733F6"/>
    <w:rsid w:val="00474E69"/>
    <w:rsid w:val="0048486C"/>
    <w:rsid w:val="00486EE6"/>
    <w:rsid w:val="0049189D"/>
    <w:rsid w:val="00493217"/>
    <w:rsid w:val="0049621B"/>
    <w:rsid w:val="004A78F4"/>
    <w:rsid w:val="004C1895"/>
    <w:rsid w:val="004C6D40"/>
    <w:rsid w:val="004D119F"/>
    <w:rsid w:val="004D3ABE"/>
    <w:rsid w:val="004E21A3"/>
    <w:rsid w:val="004F0C3C"/>
    <w:rsid w:val="004F63FC"/>
    <w:rsid w:val="00501254"/>
    <w:rsid w:val="00501F76"/>
    <w:rsid w:val="00502E6F"/>
    <w:rsid w:val="0050450A"/>
    <w:rsid w:val="00505A92"/>
    <w:rsid w:val="005077D1"/>
    <w:rsid w:val="00511F19"/>
    <w:rsid w:val="0051646A"/>
    <w:rsid w:val="00516A50"/>
    <w:rsid w:val="005203F1"/>
    <w:rsid w:val="0052058B"/>
    <w:rsid w:val="005214FA"/>
    <w:rsid w:val="00521BC3"/>
    <w:rsid w:val="00525AAA"/>
    <w:rsid w:val="00526A58"/>
    <w:rsid w:val="00533632"/>
    <w:rsid w:val="0053648F"/>
    <w:rsid w:val="00541469"/>
    <w:rsid w:val="00541E6E"/>
    <w:rsid w:val="0054251F"/>
    <w:rsid w:val="00542AFC"/>
    <w:rsid w:val="005520D8"/>
    <w:rsid w:val="00556CF1"/>
    <w:rsid w:val="00573DFA"/>
    <w:rsid w:val="005762A7"/>
    <w:rsid w:val="005762F6"/>
    <w:rsid w:val="0058363D"/>
    <w:rsid w:val="005875EB"/>
    <w:rsid w:val="005877DE"/>
    <w:rsid w:val="005916D7"/>
    <w:rsid w:val="0059573F"/>
    <w:rsid w:val="005A2784"/>
    <w:rsid w:val="005A698C"/>
    <w:rsid w:val="005C1AF8"/>
    <w:rsid w:val="005C209B"/>
    <w:rsid w:val="005D0389"/>
    <w:rsid w:val="005D1C04"/>
    <w:rsid w:val="005D470D"/>
    <w:rsid w:val="005E0799"/>
    <w:rsid w:val="005E2757"/>
    <w:rsid w:val="005E418C"/>
    <w:rsid w:val="005E6437"/>
    <w:rsid w:val="005F4399"/>
    <w:rsid w:val="005F5A80"/>
    <w:rsid w:val="00602605"/>
    <w:rsid w:val="006044FF"/>
    <w:rsid w:val="00604FF5"/>
    <w:rsid w:val="00607CC5"/>
    <w:rsid w:val="00613AEC"/>
    <w:rsid w:val="006149F0"/>
    <w:rsid w:val="0061655B"/>
    <w:rsid w:val="0062307C"/>
    <w:rsid w:val="006321A2"/>
    <w:rsid w:val="00633014"/>
    <w:rsid w:val="0063437B"/>
    <w:rsid w:val="006346A9"/>
    <w:rsid w:val="0063530C"/>
    <w:rsid w:val="00636A57"/>
    <w:rsid w:val="00644254"/>
    <w:rsid w:val="00660778"/>
    <w:rsid w:val="00666DED"/>
    <w:rsid w:val="006673CA"/>
    <w:rsid w:val="006718A3"/>
    <w:rsid w:val="00673C26"/>
    <w:rsid w:val="00674A8B"/>
    <w:rsid w:val="006812AF"/>
    <w:rsid w:val="00682B23"/>
    <w:rsid w:val="0068327D"/>
    <w:rsid w:val="00683EDE"/>
    <w:rsid w:val="00685123"/>
    <w:rsid w:val="00690AEE"/>
    <w:rsid w:val="00691225"/>
    <w:rsid w:val="00691316"/>
    <w:rsid w:val="006918E9"/>
    <w:rsid w:val="006920EA"/>
    <w:rsid w:val="00694AF0"/>
    <w:rsid w:val="00696814"/>
    <w:rsid w:val="006A4686"/>
    <w:rsid w:val="006B0B72"/>
    <w:rsid w:val="006B0E9E"/>
    <w:rsid w:val="006B208D"/>
    <w:rsid w:val="006B20B4"/>
    <w:rsid w:val="006B5AE4"/>
    <w:rsid w:val="006D1507"/>
    <w:rsid w:val="006D4054"/>
    <w:rsid w:val="006D5C42"/>
    <w:rsid w:val="006D6B72"/>
    <w:rsid w:val="006E02EC"/>
    <w:rsid w:val="006F145E"/>
    <w:rsid w:val="006F6B1F"/>
    <w:rsid w:val="007059D5"/>
    <w:rsid w:val="007063C3"/>
    <w:rsid w:val="007122CC"/>
    <w:rsid w:val="007162EB"/>
    <w:rsid w:val="007211B1"/>
    <w:rsid w:val="007224EA"/>
    <w:rsid w:val="0072400B"/>
    <w:rsid w:val="00733D55"/>
    <w:rsid w:val="00740107"/>
    <w:rsid w:val="007408FF"/>
    <w:rsid w:val="007418B3"/>
    <w:rsid w:val="0074537D"/>
    <w:rsid w:val="007457A9"/>
    <w:rsid w:val="00746187"/>
    <w:rsid w:val="00752A67"/>
    <w:rsid w:val="00761070"/>
    <w:rsid w:val="0076254F"/>
    <w:rsid w:val="00763E2C"/>
    <w:rsid w:val="00774934"/>
    <w:rsid w:val="00776D79"/>
    <w:rsid w:val="007801F5"/>
    <w:rsid w:val="00781552"/>
    <w:rsid w:val="00783CA4"/>
    <w:rsid w:val="007842FB"/>
    <w:rsid w:val="00786124"/>
    <w:rsid w:val="0078756B"/>
    <w:rsid w:val="00792E24"/>
    <w:rsid w:val="00793154"/>
    <w:rsid w:val="0079514B"/>
    <w:rsid w:val="00797060"/>
    <w:rsid w:val="007A2DC1"/>
    <w:rsid w:val="007A77F5"/>
    <w:rsid w:val="007B74D8"/>
    <w:rsid w:val="007D3319"/>
    <w:rsid w:val="007D335D"/>
    <w:rsid w:val="007E3314"/>
    <w:rsid w:val="007E4B03"/>
    <w:rsid w:val="007F045B"/>
    <w:rsid w:val="007F324B"/>
    <w:rsid w:val="007F3983"/>
    <w:rsid w:val="007F6195"/>
    <w:rsid w:val="00802A9A"/>
    <w:rsid w:val="008035EF"/>
    <w:rsid w:val="0080553C"/>
    <w:rsid w:val="00805B46"/>
    <w:rsid w:val="00817367"/>
    <w:rsid w:val="00820461"/>
    <w:rsid w:val="00820B10"/>
    <w:rsid w:val="0082498D"/>
    <w:rsid w:val="00825DC2"/>
    <w:rsid w:val="00831172"/>
    <w:rsid w:val="00834AD3"/>
    <w:rsid w:val="00843795"/>
    <w:rsid w:val="008473E0"/>
    <w:rsid w:val="00847F0F"/>
    <w:rsid w:val="00852448"/>
    <w:rsid w:val="00860851"/>
    <w:rsid w:val="00866B61"/>
    <w:rsid w:val="00876337"/>
    <w:rsid w:val="00877183"/>
    <w:rsid w:val="0088258A"/>
    <w:rsid w:val="008832C4"/>
    <w:rsid w:val="00883763"/>
    <w:rsid w:val="00886332"/>
    <w:rsid w:val="00887348"/>
    <w:rsid w:val="00893D2F"/>
    <w:rsid w:val="00896AD3"/>
    <w:rsid w:val="008A26D9"/>
    <w:rsid w:val="008A4C58"/>
    <w:rsid w:val="008B4AE0"/>
    <w:rsid w:val="008C0C29"/>
    <w:rsid w:val="008C1A52"/>
    <w:rsid w:val="008C7879"/>
    <w:rsid w:val="008C7A01"/>
    <w:rsid w:val="008E64EF"/>
    <w:rsid w:val="008F3638"/>
    <w:rsid w:val="008F4441"/>
    <w:rsid w:val="008F6F31"/>
    <w:rsid w:val="008F74DF"/>
    <w:rsid w:val="0091008E"/>
    <w:rsid w:val="009127BA"/>
    <w:rsid w:val="00912EB7"/>
    <w:rsid w:val="00916782"/>
    <w:rsid w:val="00917CCF"/>
    <w:rsid w:val="0092160E"/>
    <w:rsid w:val="009227A6"/>
    <w:rsid w:val="00927AD2"/>
    <w:rsid w:val="00933B26"/>
    <w:rsid w:val="00933EC1"/>
    <w:rsid w:val="00942DCA"/>
    <w:rsid w:val="0094622C"/>
    <w:rsid w:val="009530DB"/>
    <w:rsid w:val="00953676"/>
    <w:rsid w:val="009668F9"/>
    <w:rsid w:val="009705EE"/>
    <w:rsid w:val="00971217"/>
    <w:rsid w:val="0097339D"/>
    <w:rsid w:val="00977927"/>
    <w:rsid w:val="0098135C"/>
    <w:rsid w:val="0098156A"/>
    <w:rsid w:val="00982640"/>
    <w:rsid w:val="0098469A"/>
    <w:rsid w:val="00984980"/>
    <w:rsid w:val="00990133"/>
    <w:rsid w:val="00991BAC"/>
    <w:rsid w:val="009A6EA0"/>
    <w:rsid w:val="009B1399"/>
    <w:rsid w:val="009B6D11"/>
    <w:rsid w:val="009B746F"/>
    <w:rsid w:val="009C1335"/>
    <w:rsid w:val="009C1AB2"/>
    <w:rsid w:val="009C5407"/>
    <w:rsid w:val="009C7251"/>
    <w:rsid w:val="009D0FBC"/>
    <w:rsid w:val="009D1423"/>
    <w:rsid w:val="009E2E91"/>
    <w:rsid w:val="009E3BF4"/>
    <w:rsid w:val="009E3FA7"/>
    <w:rsid w:val="009E410D"/>
    <w:rsid w:val="009F4D4A"/>
    <w:rsid w:val="009F5815"/>
    <w:rsid w:val="009F5AB7"/>
    <w:rsid w:val="00A07F00"/>
    <w:rsid w:val="00A12435"/>
    <w:rsid w:val="00A139F5"/>
    <w:rsid w:val="00A15A51"/>
    <w:rsid w:val="00A2136A"/>
    <w:rsid w:val="00A231AB"/>
    <w:rsid w:val="00A27522"/>
    <w:rsid w:val="00A33BAD"/>
    <w:rsid w:val="00A34C24"/>
    <w:rsid w:val="00A365F4"/>
    <w:rsid w:val="00A37CE0"/>
    <w:rsid w:val="00A459FF"/>
    <w:rsid w:val="00A460E6"/>
    <w:rsid w:val="00A46BD5"/>
    <w:rsid w:val="00A47937"/>
    <w:rsid w:val="00A47D80"/>
    <w:rsid w:val="00A51BB2"/>
    <w:rsid w:val="00A53132"/>
    <w:rsid w:val="00A563F2"/>
    <w:rsid w:val="00A566E8"/>
    <w:rsid w:val="00A60AEE"/>
    <w:rsid w:val="00A6676F"/>
    <w:rsid w:val="00A70953"/>
    <w:rsid w:val="00A7152F"/>
    <w:rsid w:val="00A810F9"/>
    <w:rsid w:val="00A8165F"/>
    <w:rsid w:val="00A82477"/>
    <w:rsid w:val="00A845DC"/>
    <w:rsid w:val="00A86ECC"/>
    <w:rsid w:val="00A86FCC"/>
    <w:rsid w:val="00A93892"/>
    <w:rsid w:val="00AA569E"/>
    <w:rsid w:val="00AA710D"/>
    <w:rsid w:val="00AB6D25"/>
    <w:rsid w:val="00AD4947"/>
    <w:rsid w:val="00AD5F17"/>
    <w:rsid w:val="00AE20FD"/>
    <w:rsid w:val="00AE2D4B"/>
    <w:rsid w:val="00AE3075"/>
    <w:rsid w:val="00AE4F99"/>
    <w:rsid w:val="00B048A4"/>
    <w:rsid w:val="00B06265"/>
    <w:rsid w:val="00B11B69"/>
    <w:rsid w:val="00B14952"/>
    <w:rsid w:val="00B2412D"/>
    <w:rsid w:val="00B31357"/>
    <w:rsid w:val="00B31E5A"/>
    <w:rsid w:val="00B322EC"/>
    <w:rsid w:val="00B35EF8"/>
    <w:rsid w:val="00B37931"/>
    <w:rsid w:val="00B37F44"/>
    <w:rsid w:val="00B42DDD"/>
    <w:rsid w:val="00B609CE"/>
    <w:rsid w:val="00B611C1"/>
    <w:rsid w:val="00B617A5"/>
    <w:rsid w:val="00B653AB"/>
    <w:rsid w:val="00B65F9E"/>
    <w:rsid w:val="00B66B19"/>
    <w:rsid w:val="00B81B60"/>
    <w:rsid w:val="00B84277"/>
    <w:rsid w:val="00B86545"/>
    <w:rsid w:val="00B914E9"/>
    <w:rsid w:val="00B91831"/>
    <w:rsid w:val="00B94737"/>
    <w:rsid w:val="00B956EE"/>
    <w:rsid w:val="00B97152"/>
    <w:rsid w:val="00BA1AD0"/>
    <w:rsid w:val="00BA2BA1"/>
    <w:rsid w:val="00BA3562"/>
    <w:rsid w:val="00BA4F43"/>
    <w:rsid w:val="00BA5A42"/>
    <w:rsid w:val="00BB4BE0"/>
    <w:rsid w:val="00BB4F09"/>
    <w:rsid w:val="00BB6447"/>
    <w:rsid w:val="00BB6E9C"/>
    <w:rsid w:val="00BC17C7"/>
    <w:rsid w:val="00BC2318"/>
    <w:rsid w:val="00BC427F"/>
    <w:rsid w:val="00BD4E33"/>
    <w:rsid w:val="00BE4B65"/>
    <w:rsid w:val="00BF790C"/>
    <w:rsid w:val="00C00EDA"/>
    <w:rsid w:val="00C030DE"/>
    <w:rsid w:val="00C057E5"/>
    <w:rsid w:val="00C110DB"/>
    <w:rsid w:val="00C11CBD"/>
    <w:rsid w:val="00C1766A"/>
    <w:rsid w:val="00C22105"/>
    <w:rsid w:val="00C244B6"/>
    <w:rsid w:val="00C27CB6"/>
    <w:rsid w:val="00C27D75"/>
    <w:rsid w:val="00C3702F"/>
    <w:rsid w:val="00C4500A"/>
    <w:rsid w:val="00C45CAF"/>
    <w:rsid w:val="00C522A5"/>
    <w:rsid w:val="00C55C91"/>
    <w:rsid w:val="00C56FB5"/>
    <w:rsid w:val="00C57F14"/>
    <w:rsid w:val="00C57FE4"/>
    <w:rsid w:val="00C61795"/>
    <w:rsid w:val="00C61D89"/>
    <w:rsid w:val="00C64A37"/>
    <w:rsid w:val="00C7158E"/>
    <w:rsid w:val="00C7250B"/>
    <w:rsid w:val="00C7346B"/>
    <w:rsid w:val="00C73B5E"/>
    <w:rsid w:val="00C77C0E"/>
    <w:rsid w:val="00C8000E"/>
    <w:rsid w:val="00C901A0"/>
    <w:rsid w:val="00C91687"/>
    <w:rsid w:val="00C920B2"/>
    <w:rsid w:val="00C924A8"/>
    <w:rsid w:val="00C92F16"/>
    <w:rsid w:val="00C945FE"/>
    <w:rsid w:val="00C950B4"/>
    <w:rsid w:val="00C96FAA"/>
    <w:rsid w:val="00C97A04"/>
    <w:rsid w:val="00CA107B"/>
    <w:rsid w:val="00CA484D"/>
    <w:rsid w:val="00CA4FB6"/>
    <w:rsid w:val="00CC17BD"/>
    <w:rsid w:val="00CC6180"/>
    <w:rsid w:val="00CC72FC"/>
    <w:rsid w:val="00CC739E"/>
    <w:rsid w:val="00CC75D3"/>
    <w:rsid w:val="00CD1E2E"/>
    <w:rsid w:val="00CD2403"/>
    <w:rsid w:val="00CD352D"/>
    <w:rsid w:val="00CD5763"/>
    <w:rsid w:val="00CD58B7"/>
    <w:rsid w:val="00CF08EF"/>
    <w:rsid w:val="00CF4099"/>
    <w:rsid w:val="00D00796"/>
    <w:rsid w:val="00D02D2C"/>
    <w:rsid w:val="00D14C59"/>
    <w:rsid w:val="00D1564D"/>
    <w:rsid w:val="00D261A2"/>
    <w:rsid w:val="00D3440A"/>
    <w:rsid w:val="00D401C9"/>
    <w:rsid w:val="00D4160F"/>
    <w:rsid w:val="00D43419"/>
    <w:rsid w:val="00D47B8D"/>
    <w:rsid w:val="00D538E4"/>
    <w:rsid w:val="00D54B01"/>
    <w:rsid w:val="00D616D2"/>
    <w:rsid w:val="00D63B5F"/>
    <w:rsid w:val="00D7066F"/>
    <w:rsid w:val="00D70EF7"/>
    <w:rsid w:val="00D71561"/>
    <w:rsid w:val="00D7217D"/>
    <w:rsid w:val="00D7664A"/>
    <w:rsid w:val="00D76A0A"/>
    <w:rsid w:val="00D815F5"/>
    <w:rsid w:val="00D8397C"/>
    <w:rsid w:val="00D9456F"/>
    <w:rsid w:val="00D94EED"/>
    <w:rsid w:val="00D96026"/>
    <w:rsid w:val="00DA0243"/>
    <w:rsid w:val="00DA0C7E"/>
    <w:rsid w:val="00DA433C"/>
    <w:rsid w:val="00DA52A7"/>
    <w:rsid w:val="00DA7C1C"/>
    <w:rsid w:val="00DB147A"/>
    <w:rsid w:val="00DB1B7A"/>
    <w:rsid w:val="00DC660D"/>
    <w:rsid w:val="00DC6708"/>
    <w:rsid w:val="00DC7CFA"/>
    <w:rsid w:val="00DE64C5"/>
    <w:rsid w:val="00DF3E14"/>
    <w:rsid w:val="00DF712D"/>
    <w:rsid w:val="00E01436"/>
    <w:rsid w:val="00E045BD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714C"/>
    <w:rsid w:val="00E51AEB"/>
    <w:rsid w:val="00E522A7"/>
    <w:rsid w:val="00E54452"/>
    <w:rsid w:val="00E63312"/>
    <w:rsid w:val="00E664C5"/>
    <w:rsid w:val="00E671A2"/>
    <w:rsid w:val="00E67A17"/>
    <w:rsid w:val="00E76D26"/>
    <w:rsid w:val="00E82C7E"/>
    <w:rsid w:val="00E93CDB"/>
    <w:rsid w:val="00E963C8"/>
    <w:rsid w:val="00E96885"/>
    <w:rsid w:val="00EB02C9"/>
    <w:rsid w:val="00EB1390"/>
    <w:rsid w:val="00EB2C71"/>
    <w:rsid w:val="00EB4340"/>
    <w:rsid w:val="00EB4822"/>
    <w:rsid w:val="00EB4D71"/>
    <w:rsid w:val="00EB556D"/>
    <w:rsid w:val="00EB5A7D"/>
    <w:rsid w:val="00EB73D7"/>
    <w:rsid w:val="00EC2274"/>
    <w:rsid w:val="00ED55C0"/>
    <w:rsid w:val="00ED682B"/>
    <w:rsid w:val="00EE3F46"/>
    <w:rsid w:val="00EE41D5"/>
    <w:rsid w:val="00EE4ADB"/>
    <w:rsid w:val="00EE696D"/>
    <w:rsid w:val="00EF7B36"/>
    <w:rsid w:val="00F037A4"/>
    <w:rsid w:val="00F04C11"/>
    <w:rsid w:val="00F10D63"/>
    <w:rsid w:val="00F12FEC"/>
    <w:rsid w:val="00F26013"/>
    <w:rsid w:val="00F27C8F"/>
    <w:rsid w:val="00F30A0C"/>
    <w:rsid w:val="00F32749"/>
    <w:rsid w:val="00F37172"/>
    <w:rsid w:val="00F4477E"/>
    <w:rsid w:val="00F45717"/>
    <w:rsid w:val="00F5076C"/>
    <w:rsid w:val="00F57391"/>
    <w:rsid w:val="00F60B5D"/>
    <w:rsid w:val="00F65EEC"/>
    <w:rsid w:val="00F6637E"/>
    <w:rsid w:val="00F67D8F"/>
    <w:rsid w:val="00F739B3"/>
    <w:rsid w:val="00F74B10"/>
    <w:rsid w:val="00F80247"/>
    <w:rsid w:val="00F802BE"/>
    <w:rsid w:val="00F80E93"/>
    <w:rsid w:val="00F86024"/>
    <w:rsid w:val="00F8611A"/>
    <w:rsid w:val="00F86C02"/>
    <w:rsid w:val="00F90BB1"/>
    <w:rsid w:val="00F93CA3"/>
    <w:rsid w:val="00FA0677"/>
    <w:rsid w:val="00FA5128"/>
    <w:rsid w:val="00FB2D00"/>
    <w:rsid w:val="00FB42D4"/>
    <w:rsid w:val="00FB5906"/>
    <w:rsid w:val="00FB762F"/>
    <w:rsid w:val="00FC1516"/>
    <w:rsid w:val="00FC2AED"/>
    <w:rsid w:val="00FD5EA7"/>
    <w:rsid w:val="00FD7DB8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609C1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68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8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8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8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8F9"/>
    <w:rPr>
      <w:rFonts w:ascii="Fira Sans" w:hAnsi="Fira Sans"/>
      <w:b/>
      <w:bCs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866B61"/>
  </w:style>
  <w:style w:type="table" w:customStyle="1" w:styleId="Tabelasiatki1jasnaakcent111">
    <w:name w:val="Tabela siatki 1 — jasna — akcent 111"/>
    <w:basedOn w:val="Standardowy"/>
    <w:uiPriority w:val="46"/>
    <w:rsid w:val="00866B6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2">
    <w:name w:val="Siatka tabeli — jasna12"/>
    <w:basedOn w:val="Standardowy"/>
    <w:uiPriority w:val="40"/>
    <w:rsid w:val="00866B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66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11">
    <w:name w:val="Siatka tabeli — jasna111"/>
    <w:basedOn w:val="Standardowy"/>
    <w:uiPriority w:val="40"/>
    <w:rsid w:val="00866B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hart" Target="charts/chart1.xml"/><Relationship Id="rId18" Type="http://schemas.openxmlformats.org/officeDocument/2006/relationships/header" Target="header1.xml"/><Relationship Id="rId26" Type="http://schemas.openxmlformats.org/officeDocument/2006/relationships/hyperlink" Target="https://stat.gov.pl/en/" TargetMode="External"/><Relationship Id="rId39" Type="http://schemas.openxmlformats.org/officeDocument/2006/relationships/hyperlink" Target="http://stat.gov.pl/en/metainformations/glossary/terms-used-in-official-statistics/32,term.html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34" Type="http://schemas.openxmlformats.org/officeDocument/2006/relationships/hyperlink" Target="http://bdm.stat.gov.pl/" TargetMode="External"/><Relationship Id="rId42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chart" Target="charts/chart5.xml"/><Relationship Id="rId25" Type="http://schemas.openxmlformats.org/officeDocument/2006/relationships/image" Target="media/image5.png"/><Relationship Id="rId33" Type="http://schemas.openxmlformats.org/officeDocument/2006/relationships/hyperlink" Target="http://swaid.stat.gov.pl/EN/SitePagesDBW/Ceny.aspx" TargetMode="External"/><Relationship Id="rId38" Type="http://schemas.openxmlformats.org/officeDocument/2006/relationships/hyperlink" Target="http://stat.gov.pl/en/metainformations/glossary/terms-used-in-official-statistics/711,term.html" TargetMode="Externa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header" Target="header2.xml"/><Relationship Id="rId29" Type="http://schemas.openxmlformats.org/officeDocument/2006/relationships/image" Target="media/image7.png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://stat.gov.pl/en/latest-statistical-news/news-releases/" TargetMode="External"/><Relationship Id="rId37" Type="http://schemas.openxmlformats.org/officeDocument/2006/relationships/hyperlink" Target="http://stat.gov.pl/en/topics/prices-trade/prices/" TargetMode="Externa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mailto:rzecznik@stat.gov.pl" TargetMode="External"/><Relationship Id="rId28" Type="http://schemas.openxmlformats.org/officeDocument/2006/relationships/hyperlink" Target="https://twitter.com/StatPoland" TargetMode="External"/><Relationship Id="rId36" Type="http://schemas.openxmlformats.org/officeDocument/2006/relationships/hyperlink" Target="http://stat.gov.pl/en/topics/prices-trade/price-indices/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31" Type="http://schemas.openxmlformats.org/officeDocument/2006/relationships/hyperlink" Target="http://stat.gov.pl/en/latest-statistical-news/communications-and-announcements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2.xml"/><Relationship Id="rId22" Type="http://schemas.openxmlformats.org/officeDocument/2006/relationships/hyperlink" Target="mailto:a.bobel@stat.gov.pl" TargetMode="External"/><Relationship Id="rId27" Type="http://schemas.openxmlformats.org/officeDocument/2006/relationships/image" Target="media/image6.png"/><Relationship Id="rId30" Type="http://schemas.openxmlformats.org/officeDocument/2006/relationships/hyperlink" Target="https://www.facebook.com/GlownyUrzadStatystyczny/" TargetMode="External"/><Relationship Id="rId35" Type="http://schemas.openxmlformats.org/officeDocument/2006/relationships/hyperlink" Target="https://bdl.stat.gov.pl/BDL/start?lang=en" TargetMode="Externa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3571922135790392"/>
          <c:y val="5.3855340776704272E-2"/>
          <c:w val="0.5151846178659778"/>
          <c:h val="0.84290585993910527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7.4279464360269484E-3"/>
                  <c:y val="9.151541316541554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954768209071298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95085711603821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9588774350968982E-3"/>
                  <c:y val="-3.99350700836627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948386428271628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009818427616871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8.1261315589594585E-5"/>
                  <c:y val="-4.567102520985078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WPŁYWY!$A$1:$A$11</c:f>
              <c:strCache>
                <c:ptCount val="11"/>
                <c:pt idx="0">
                  <c:v>Transport services</c:v>
                </c:pt>
                <c:pt idx="1">
                  <c:v>Vegetables</c:v>
                </c:pt>
                <c:pt idx="2">
                  <c:v>Fuels for personal transport equipment</c:v>
                </c:pt>
                <c:pt idx="3">
                  <c:v>Package holidays</c:v>
                </c:pt>
                <c:pt idx="4">
                  <c:v>Telephone and telefax services</c:v>
                </c:pt>
                <c:pt idx="5">
                  <c:v>Refuse collection</c:v>
                </c:pt>
                <c:pt idx="6">
                  <c:v>Pharmaceutical products</c:v>
                </c:pt>
                <c:pt idx="7">
                  <c:v>Insurance</c:v>
                </c:pt>
                <c:pt idx="8">
                  <c:v>Catering services</c:v>
                </c:pt>
                <c:pt idx="9">
                  <c:v>Meat</c:v>
                </c:pt>
                <c:pt idx="10">
                  <c:v>Garments</c:v>
                </c:pt>
              </c:strCache>
            </c:strRef>
          </c:cat>
          <c:val>
            <c:numRef>
              <c:f>WPŁYWY!$C$1:$C$11</c:f>
              <c:numCache>
                <c:formatCode>0.00</c:formatCode>
                <c:ptCount val="11"/>
                <c:pt idx="0">
                  <c:v>-0.18</c:v>
                </c:pt>
                <c:pt idx="1">
                  <c:v>-0.14000000000000001</c:v>
                </c:pt>
                <c:pt idx="2">
                  <c:v>-0.1</c:v>
                </c:pt>
                <c:pt idx="3">
                  <c:v>-0.08</c:v>
                </c:pt>
                <c:pt idx="4">
                  <c:v>-0.03</c:v>
                </c:pt>
                <c:pt idx="5">
                  <c:v>0.03</c:v>
                </c:pt>
                <c:pt idx="6">
                  <c:v>0.03</c:v>
                </c:pt>
                <c:pt idx="7">
                  <c:v>0.06</c:v>
                </c:pt>
                <c:pt idx="8">
                  <c:v>0.06</c:v>
                </c:pt>
                <c:pt idx="9">
                  <c:v>0.06</c:v>
                </c:pt>
                <c:pt idx="10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631872"/>
        <c:axId val="13633408"/>
      </c:barChart>
      <c:catAx>
        <c:axId val="13631872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3633408"/>
        <c:crossesAt val="0"/>
        <c:auto val="1"/>
        <c:lblAlgn val="ctr"/>
        <c:lblOffset val="300"/>
        <c:tickMarkSkip val="1"/>
        <c:noMultiLvlLbl val="0"/>
      </c:catAx>
      <c:valAx>
        <c:axId val="13633408"/>
        <c:scaling>
          <c:orientation val="minMax"/>
          <c:max val="0.1"/>
          <c:min val="-0.2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3631872"/>
        <c:crosses val="autoZero"/>
        <c:crossBetween val="between"/>
        <c:majorUnit val="5.000000000000001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863205691702072"/>
          <c:y val="4.5267504380125223E-2"/>
          <c:w val="0.51626076491275064"/>
          <c:h val="0.8785142984150642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Miscellaneous goods and services</c:v>
                </c:pt>
                <c:pt idx="1">
                  <c:v>Restaurants and hotels</c:v>
                </c:pt>
                <c:pt idx="2">
                  <c:v>Education</c:v>
                </c:pt>
                <c:pt idx="3">
                  <c:v>Recreation and culture</c:v>
                </c:pt>
                <c:pt idx="4">
                  <c:v>Communication</c:v>
                </c:pt>
                <c:pt idx="5">
                  <c:v>Transport</c:v>
                </c:pt>
                <c:pt idx="6">
                  <c:v>Health</c:v>
                </c:pt>
                <c:pt idx="7">
                  <c:v>Furnishings, household equipment and routine household maintenance</c:v>
                </c:pt>
                <c:pt idx="8">
                  <c:v>Housing, water, electricity, gas 
and other fuels</c:v>
                </c:pt>
                <c:pt idx="9">
                  <c:v>Clothing and footwear</c:v>
                </c:pt>
                <c:pt idx="10">
                  <c:v>Alcoholic beverages and tobacco</c:v>
                </c:pt>
                <c:pt idx="11">
                  <c:v>Food and non-alcoholic beverages</c:v>
                </c:pt>
              </c:strCache>
            </c:strRef>
          </c:cat>
          <c:val>
            <c:numRef>
              <c:f>'SYSTEM WAG'!$H$2:$H$13</c:f>
              <c:numCache>
                <c:formatCode>0.00</c:formatCode>
                <c:ptCount val="12"/>
                <c:pt idx="0">
                  <c:v>5.58</c:v>
                </c:pt>
                <c:pt idx="1">
                  <c:v>6.2</c:v>
                </c:pt>
                <c:pt idx="2">
                  <c:v>1.07</c:v>
                </c:pt>
                <c:pt idx="3">
                  <c:v>6.44</c:v>
                </c:pt>
                <c:pt idx="4">
                  <c:v>4.18</c:v>
                </c:pt>
                <c:pt idx="5">
                  <c:v>10.34</c:v>
                </c:pt>
                <c:pt idx="6">
                  <c:v>5.12</c:v>
                </c:pt>
                <c:pt idx="7">
                  <c:v>5.7</c:v>
                </c:pt>
                <c:pt idx="8">
                  <c:v>19.170000000000002</c:v>
                </c:pt>
                <c:pt idx="9">
                  <c:v>4.9400000000000004</c:v>
                </c:pt>
                <c:pt idx="10">
                  <c:v>6.37</c:v>
                </c:pt>
                <c:pt idx="11">
                  <c:v>24.89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693312"/>
        <c:axId val="13696000"/>
      </c:barChart>
      <c:catAx>
        <c:axId val="136933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en-US"/>
          </a:p>
        </c:txPr>
        <c:crossAx val="13696000"/>
        <c:crosses val="autoZero"/>
        <c:auto val="0"/>
        <c:lblAlgn val="ctr"/>
        <c:lblOffset val="100"/>
        <c:noMultiLvlLbl val="0"/>
      </c:catAx>
      <c:valAx>
        <c:axId val="13696000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046223117610507"/>
              <c:y val="0.93581559052340313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1369331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9.3315604743701291E-3"/>
                  <c:y val="-1.79120857888126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3468604754157208E-2"/>
                  <c:y val="4.02126570314652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4886190088169113E-2"/>
                  <c:y val="2.09377310480579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7.8495937741364652E-3"/>
                  <c:y val="-9.724664283644091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1.7181740856251772E-2"/>
                  <c:y val="-2.95990725533764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7.7604453834405965E-3"/>
                  <c:y val="-7.384319938547217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47716857724923E-2"/>
                  <c:y val="4.107391800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2.1811489264836222E-2"/>
                  <c:y val="4.15452235012707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5603517024352331E-2"/>
                  <c:y val="-2.98141226889918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5270582150507206E-2"/>
                  <c:y val="-4.4211051898794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1731372759891675E-2"/>
                  <c:y val="4.54850739059028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4.4538584124439055E-2"/>
                  <c:y val="4.39779731426915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5493402701699026E-2"/>
                  <c:y val="5.11235379829086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4.0157504135215447E-2"/>
                  <c:y val="-4.29720101781170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8.8512639853230348E-3"/>
                  <c:y val="2.504584953670363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1.0106078233919524E-2"/>
                  <c:y val="-1.09291855859337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3.5976911103846362E-2"/>
                  <c:y val="4.175601325075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6.7581122962760186E-3"/>
                  <c:y val="-8.643802531156409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9165316280444451E-2"/>
                  <c:y val="4.0945321792603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3.8587335297959095E-2"/>
                  <c:y val="4.04658370043271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3.8013274159369878E-2"/>
                  <c:y val="4.06904108164203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4.0174145311606846E-2"/>
                  <c:y val="-3.37659766884929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7521798318589681E-2"/>
                  <c:y val="4.51032863849765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4.7544975042328123E-2"/>
                  <c:y val="4.49956964006260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4.2624873747847007E-2"/>
                  <c:y val="3.9138888888888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4.0509009646396567E-2"/>
                  <c:y val="-4.5661189358372462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0,4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3522786084724048E-2"/>
                  <c:y val="2.71832007072186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'M-1'!$B$26:$B$46</c:f>
              <c:strCache>
                <c:ptCount val="2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'M-1'!$C$26:$C$46</c:f>
              <c:numCache>
                <c:formatCode>0.0</c:formatCode>
                <c:ptCount val="21"/>
                <c:pt idx="0">
                  <c:v>0.29999999999999716</c:v>
                </c:pt>
                <c:pt idx="1">
                  <c:v>-0.2</c:v>
                </c:pt>
                <c:pt idx="2">
                  <c:v>-0.1</c:v>
                </c:pt>
                <c:pt idx="3">
                  <c:v>0.5</c:v>
                </c:pt>
                <c:pt idx="4">
                  <c:v>0.2</c:v>
                </c:pt>
                <c:pt idx="5">
                  <c:v>0.1</c:v>
                </c:pt>
                <c:pt idx="6">
                  <c:v>-0.2</c:v>
                </c:pt>
                <c:pt idx="7">
                  <c:v>0</c:v>
                </c:pt>
                <c:pt idx="8">
                  <c:v>0.2</c:v>
                </c:pt>
                <c:pt idx="9">
                  <c:v>0.4</c:v>
                </c:pt>
                <c:pt idx="10">
                  <c:v>0</c:v>
                </c:pt>
                <c:pt idx="11">
                  <c:v>0</c:v>
                </c:pt>
                <c:pt idx="12">
                  <c:v>-0.2</c:v>
                </c:pt>
                <c:pt idx="13">
                  <c:v>0.4</c:v>
                </c:pt>
                <c:pt idx="14">
                  <c:v>0.3</c:v>
                </c:pt>
                <c:pt idx="15">
                  <c:v>1.1000000000000001</c:v>
                </c:pt>
                <c:pt idx="16">
                  <c:v>0.2</c:v>
                </c:pt>
                <c:pt idx="17">
                  <c:v>0.3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9594240"/>
        <c:axId val="99595776"/>
      </c:lineChart>
      <c:dateAx>
        <c:axId val="99594240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9595776"/>
        <c:crossesAt val="0"/>
        <c:auto val="0"/>
        <c:lblOffset val="100"/>
        <c:baseTimeUnit val="days"/>
      </c:dateAx>
      <c:valAx>
        <c:axId val="99595776"/>
        <c:scaling>
          <c:orientation val="minMax"/>
          <c:max val="1.2000000000000011"/>
          <c:min val="-0.60000000000000064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9594240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3.6712576468564982E-2"/>
                  <c:y val="-5.0308122147017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848856233161891E-2"/>
                  <c:y val="3.8914864260867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70225814352192E-2"/>
                  <c:y val="3.89409044093355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0186333578251285E-2"/>
                  <c:y val="-4.04496783847334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2107876545614117E-2"/>
                  <c:y val="-3.9890996379663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7613921579997982E-2"/>
                  <c:y val="-4.01310468286410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65991626910811E-2"/>
                  <c:y val="-4.1409570281756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9124135916658552E-2"/>
                  <c:y val="-4.13391311191563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0799351293540451E-2"/>
                  <c:y val="-4.2914604213421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2.5253178118390958E-2"/>
                  <c:y val="-4.61673362891771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4620811718631676E-2"/>
                  <c:y val="3.82548056520349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4580698055750758E-2"/>
                  <c:y val="5.32797067901234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2.5632525104090129E-2"/>
                  <c:y val="3.84543034260284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1.2979867744305566E-2"/>
                  <c:y val="1.80862434170893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8.8097967180994375E-3"/>
                  <c:y val="9.773217512971492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889246059500914E-2"/>
                      <c:h val="5.7450489075958532E-2"/>
                    </c:manualLayout>
                  </c15:layout>
                </c:ext>
              </c:extLst>
            </c:dLbl>
            <c:dLbl>
              <c:idx val="15"/>
              <c:layout>
                <c:manualLayout>
                  <c:x val="-1.3013176585843743E-2"/>
                  <c:y val="2.14978915252919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1.5974528532941464E-2"/>
                  <c:y val="2.31469713752696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4.1914670585353905E-2"/>
                  <c:y val="-4.23366175013117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1723732549595887E-2"/>
                  <c:y val="-4.94067121397617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3.3519862845946609E-2"/>
                  <c:y val="-4.98486173458481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2.5646131022097288E-2"/>
                  <c:y val="-4.44528530346602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1.7856640899508083E-2"/>
                  <c:y val="-3.02845466929014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046654173498903E-2"/>
                  <c:y val="3.4065763584077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4.7575491427736226E-2"/>
                  <c:y val="3.65139091655663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5.7554992812669424E-2"/>
                  <c:y val="8.952139634620643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2.8226731861014813E-2"/>
                  <c:y val="4.9211383118944255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1,2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(+FE)'!$B$26:$B$46</c:f>
              <c:strCache>
                <c:ptCount val="2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'M-12 (+FE)'!$C$26:$C$46</c:f>
              <c:numCache>
                <c:formatCode>0.0</c:formatCode>
                <c:ptCount val="21"/>
                <c:pt idx="0">
                  <c:v>1.9000000000000057</c:v>
                </c:pt>
                <c:pt idx="1">
                  <c:v>1.4</c:v>
                </c:pt>
                <c:pt idx="2">
                  <c:v>1.3</c:v>
                </c:pt>
                <c:pt idx="3">
                  <c:v>1.6</c:v>
                </c:pt>
                <c:pt idx="4">
                  <c:v>1.7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1.9</c:v>
                </c:pt>
                <c:pt idx="9">
                  <c:v>1.8</c:v>
                </c:pt>
                <c:pt idx="10">
                  <c:v>1.3</c:v>
                </c:pt>
                <c:pt idx="11">
                  <c:v>1.1000000000000001</c:v>
                </c:pt>
                <c:pt idx="12">
                  <c:v>0.7</c:v>
                </c:pt>
                <c:pt idx="13">
                  <c:v>1.2</c:v>
                </c:pt>
                <c:pt idx="14">
                  <c:v>1.7</c:v>
                </c:pt>
                <c:pt idx="15">
                  <c:v>2.2000000000000002</c:v>
                </c:pt>
                <c:pt idx="16">
                  <c:v>2.4</c:v>
                </c:pt>
                <c:pt idx="17">
                  <c:v>2.6</c:v>
                </c:pt>
                <c:pt idx="18">
                  <c:v>2.9</c:v>
                </c:pt>
                <c:pt idx="19">
                  <c:v>2.9</c:v>
                </c:pt>
                <c:pt idx="20">
                  <c:v>2.6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9385728"/>
        <c:axId val="99387264"/>
      </c:lineChart>
      <c:dateAx>
        <c:axId val="99385728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9387264"/>
        <c:crossesAt val="0"/>
        <c:auto val="0"/>
        <c:lblOffset val="100"/>
        <c:baseTimeUnit val="days"/>
      </c:dateAx>
      <c:valAx>
        <c:axId val="99387264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9385728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512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m-12'!$B$27:$B$47</c:f>
              <c:strCache>
                <c:ptCount val="2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'CPI_HICP m-12'!$C$27:$C$47</c:f>
              <c:numCache>
                <c:formatCode>0.0</c:formatCode>
                <c:ptCount val="21"/>
                <c:pt idx="0">
                  <c:v>1.9</c:v>
                </c:pt>
                <c:pt idx="1">
                  <c:v>1.4</c:v>
                </c:pt>
                <c:pt idx="2">
                  <c:v>1.3</c:v>
                </c:pt>
                <c:pt idx="3">
                  <c:v>1.6</c:v>
                </c:pt>
                <c:pt idx="4">
                  <c:v>1.7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1.9</c:v>
                </c:pt>
                <c:pt idx="9">
                  <c:v>1.8</c:v>
                </c:pt>
                <c:pt idx="10">
                  <c:v>1.3</c:v>
                </c:pt>
                <c:pt idx="11">
                  <c:v>1.1000000000000001</c:v>
                </c:pt>
                <c:pt idx="12">
                  <c:v>0.7</c:v>
                </c:pt>
                <c:pt idx="13">
                  <c:v>1.2</c:v>
                </c:pt>
                <c:pt idx="14">
                  <c:v>1.7</c:v>
                </c:pt>
                <c:pt idx="15">
                  <c:v>2.2000000000000002</c:v>
                </c:pt>
                <c:pt idx="16">
                  <c:v>2.4</c:v>
                </c:pt>
                <c:pt idx="17">
                  <c:v>2.6</c:v>
                </c:pt>
                <c:pt idx="18">
                  <c:v>2.9</c:v>
                </c:pt>
                <c:pt idx="19">
                  <c:v>2.9</c:v>
                </c:pt>
                <c:pt idx="20">
                  <c:v>2.6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99A5C9"/>
              </a:solidFill>
            </a:ln>
          </c:spPr>
          <c:marker>
            <c:symbol val="none"/>
          </c:marker>
          <c:cat>
            <c:strRef>
              <c:f>'CPI_HICP m-12'!$B$27:$B$47</c:f>
              <c:strCache>
                <c:ptCount val="2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'CPI_HICP m-12'!$E$27:$E$46</c:f>
              <c:numCache>
                <c:formatCode>0.0</c:formatCode>
                <c:ptCount val="20"/>
                <c:pt idx="0">
                  <c:v>1.6</c:v>
                </c:pt>
                <c:pt idx="1">
                  <c:v>0.7</c:v>
                </c:pt>
                <c:pt idx="2">
                  <c:v>0.7</c:v>
                </c:pt>
                <c:pt idx="3">
                  <c:v>0.9</c:v>
                </c:pt>
                <c:pt idx="4">
                  <c:v>1.2</c:v>
                </c:pt>
                <c:pt idx="5">
                  <c:v>1.4</c:v>
                </c:pt>
                <c:pt idx="6">
                  <c:v>1.4</c:v>
                </c:pt>
                <c:pt idx="7">
                  <c:v>1.4</c:v>
                </c:pt>
                <c:pt idx="8">
                  <c:v>1.5</c:v>
                </c:pt>
                <c:pt idx="9">
                  <c:v>1.5</c:v>
                </c:pt>
                <c:pt idx="10">
                  <c:v>1.1000000000000001</c:v>
                </c:pt>
                <c:pt idx="11">
                  <c:v>0.9</c:v>
                </c:pt>
                <c:pt idx="12">
                  <c:v>0.6</c:v>
                </c:pt>
                <c:pt idx="13">
                  <c:v>1.3</c:v>
                </c:pt>
                <c:pt idx="14">
                  <c:v>1.7</c:v>
                </c:pt>
                <c:pt idx="15">
                  <c:v>2.1</c:v>
                </c:pt>
                <c:pt idx="16">
                  <c:v>2.2000000000000002</c:v>
                </c:pt>
                <c:pt idx="17">
                  <c:v>2.2999999999999998</c:v>
                </c:pt>
                <c:pt idx="18">
                  <c:v>2.5</c:v>
                </c:pt>
                <c:pt idx="19">
                  <c:v>2.6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0142080"/>
        <c:axId val="100156160"/>
      </c:lineChart>
      <c:catAx>
        <c:axId val="100142080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100156160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00156160"/>
        <c:scaling>
          <c:orientation val="minMax"/>
          <c:max val="3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100142080"/>
        <c:crosses val="autoZero"/>
        <c:crossBetween val="between"/>
        <c:majorUnit val="0.5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1969150911275146"/>
          <c:y val="0.58929013616225279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en-US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0.56174</cdr:x>
      <cdr:y>0.86509</cdr:y>
    </cdr:from>
    <cdr:to>
      <cdr:x>0.56215</cdr:x>
      <cdr:y>0.93788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2877543" y="2210513"/>
          <a:ext cx="2096" cy="185995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0.06988</cdr:x>
      <cdr:y>0.93898</cdr:y>
    </cdr:from>
    <cdr:to>
      <cdr:x>0.64722</cdr:x>
      <cdr:y>0.99323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8042" y="2444751"/>
          <a:ext cx="2958124" cy="1412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0.06721</cdr:x>
      <cdr:y>0.9311</cdr:y>
    </cdr:from>
    <cdr:to>
      <cdr:x>0.5622</cdr:x>
      <cdr:y>0.99268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4286" y="2379172"/>
          <a:ext cx="2535609" cy="1573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0.56337</cdr:x>
      <cdr:y>0.9311</cdr:y>
    </cdr:from>
    <cdr:to>
      <cdr:x>0.92857</cdr:x>
      <cdr:y>0.9718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2885888" y="2379174"/>
          <a:ext cx="1870754" cy="1040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0.09502</cdr:x>
      <cdr:y>0.93504</cdr:y>
    </cdr:from>
    <cdr:to>
      <cdr:x>0.44296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85657" y="2412651"/>
          <a:ext cx="1778364" cy="1676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0.06639</cdr:x>
      <cdr:y>0.93137</cdr:y>
    </cdr:from>
    <cdr:to>
      <cdr:x>0.56096</cdr:x>
      <cdr:y>0.99633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39532" y="2445653"/>
          <a:ext cx="2529416" cy="1705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0.06895</cdr:x>
      <cdr:y>0.35526</cdr:y>
    </cdr:from>
    <cdr:to>
      <cdr:x>0.92902</cdr:x>
      <cdr:y>0.35528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2387" y="916671"/>
          <a:ext cx="4395884" cy="5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0.06933</cdr:x>
      <cdr:y>0.55928</cdr:y>
    </cdr:from>
    <cdr:to>
      <cdr:x>0.93036</cdr:x>
      <cdr:y>0.55956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5158" y="1466701"/>
          <a:ext cx="4410885" cy="734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0.06938</cdr:x>
      <cdr:y>0.14903</cdr:y>
    </cdr:from>
    <cdr:to>
      <cdr:x>0.93041</cdr:x>
      <cdr:y>0.15027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3497" y="392480"/>
          <a:ext cx="4387027" cy="3266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0.4748</cdr:x>
      <cdr:y>0.17529</cdr:y>
    </cdr:from>
    <cdr:to>
      <cdr:x>0.74336</cdr:x>
      <cdr:y>0.2716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19147" y="461637"/>
          <a:ext cx="1368338" cy="25363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chemeClr val="tx1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  <cdr:relSizeAnchor xmlns:cdr="http://schemas.openxmlformats.org/drawingml/2006/chartDrawing">
    <cdr:from>
      <cdr:x>0.59611</cdr:x>
      <cdr:y>0.25137</cdr:y>
    </cdr:from>
    <cdr:to>
      <cdr:x>0.65396</cdr:x>
      <cdr:y>0.35199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3037232" y="661999"/>
          <a:ext cx="294751" cy="26498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0.24563</cdr:x>
      <cdr:y>0.18714</cdr:y>
    </cdr:from>
    <cdr:to>
      <cdr:x>0.45719</cdr:x>
      <cdr:y>0.33235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1251408" y="492804"/>
          <a:ext cx="1077815" cy="3823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800" b="1">
              <a:solidFill>
                <a:schemeClr val="tx1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</a:t>
          </a:r>
          <a:br>
            <a:rPr lang="pl-PL" sz="800" b="1">
              <a:solidFill>
                <a:schemeClr val="tx1"/>
              </a:solidFill>
              <a:latin typeface="Fira Sans" pitchFamily="34" charset="0"/>
              <a:ea typeface="Fira Sans" pitchFamily="34" charset="0"/>
              <a:cs typeface="Arial" pitchFamily="34" charset="0"/>
            </a:rPr>
          </a:br>
          <a:r>
            <a:rPr lang="pl-PL" sz="800" b="1">
              <a:solidFill>
                <a:schemeClr val="tx1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inflation target</a:t>
          </a:r>
        </a:p>
      </cdr:txBody>
    </cdr:sp>
  </cdr:relSizeAnchor>
  <cdr:relSizeAnchor xmlns:cdr="http://schemas.openxmlformats.org/drawingml/2006/chartDrawing">
    <cdr:from>
      <cdr:x>0.41262</cdr:x>
      <cdr:y>0.15299</cdr:y>
    </cdr:from>
    <cdr:to>
      <cdr:x>0.4842</cdr:x>
      <cdr:y>0.26185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102337" y="402909"/>
          <a:ext cx="364706" cy="28668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0.41281</cdr:x>
      <cdr:y>0.2605</cdr:y>
    </cdr:from>
    <cdr:to>
      <cdr:x>0.57814</cdr:x>
      <cdr:y>0.55852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103305" y="686043"/>
          <a:ext cx="842371" cy="78485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0.55993</cdr:x>
      <cdr:y>0.93187</cdr:y>
    </cdr:from>
    <cdr:to>
      <cdr:x>0.92827</cdr:x>
      <cdr:y>0.99515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2863656" y="2446966"/>
          <a:ext cx="1883834" cy="1661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0.55935</cdr:x>
      <cdr:y>0.86342</cdr:y>
    </cdr:from>
    <cdr:to>
      <cdr:x>0.55962</cdr:x>
      <cdr:y>0.93722</cdr:y>
    </cdr:to>
    <cdr:sp macro="" textlink="">
      <cdr:nvSpPr>
        <cdr:cNvPr id="22" name="Łącznik prosty 6"/>
        <cdr:cNvSpPr/>
      </cdr:nvSpPr>
      <cdr:spPr bwMode="auto">
        <a:xfrm xmlns:a="http://schemas.openxmlformats.org/drawingml/2006/main" flipV="1">
          <a:off x="2849687" y="2273692"/>
          <a:ext cx="1332" cy="19432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0.0649</cdr:x>
      <cdr:y>0.92017</cdr:y>
    </cdr:from>
    <cdr:to>
      <cdr:x>0.55999</cdr:x>
      <cdr:y>0.9836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333375" y="2333624"/>
          <a:ext cx="2543175" cy="1608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0.08308</cdr:x>
      <cdr:y>0.92137</cdr:y>
    </cdr:from>
    <cdr:to>
      <cdr:x>0.45083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24455" y="2372591"/>
          <a:ext cx="1878863" cy="202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0.55908</cdr:x>
      <cdr:y>0.85169</cdr:y>
    </cdr:from>
    <cdr:to>
      <cdr:x>0.55934</cdr:x>
      <cdr:y>0.92854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2863891" y="2153554"/>
          <a:ext cx="1332" cy="19432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0.55813</cdr:x>
      <cdr:y>0.92017</cdr:y>
    </cdr:from>
    <cdr:to>
      <cdr:x>0.93084</cdr:x>
      <cdr:y>0.98991</cdr:y>
    </cdr:to>
    <cdr:sp macro="" textlink="">
      <cdr:nvSpPr>
        <cdr:cNvPr id="8" name="pole tekstowe 1"/>
        <cdr:cNvSpPr txBox="1"/>
      </cdr:nvSpPr>
      <cdr:spPr>
        <a:xfrm xmlns:a="http://schemas.openxmlformats.org/drawingml/2006/main">
          <a:off x="2867026" y="2333625"/>
          <a:ext cx="1914524" cy="1768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0d47203-49ec-4c8c-a442-62231931aab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0926FDF-849C-4EB8-AF0E-C88EC9E4C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7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9542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2019-10-14T17:03:00Z</cp:lastPrinted>
  <dcterms:created xsi:type="dcterms:W3CDTF">2018-07-11T11:36:00Z</dcterms:created>
  <dcterms:modified xsi:type="dcterms:W3CDTF">2019-10-14T17:28:00Z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