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8E24AA" w:rsidRDefault="008A061F" w:rsidP="00685123">
      <w:pPr>
        <w:pStyle w:val="tytuinformacji"/>
        <w:rPr>
          <w:lang w:val="en-GB"/>
        </w:rPr>
      </w:pPr>
      <w:r w:rsidRPr="008E24AA">
        <w:rPr>
          <w:lang w:val="en-GB"/>
        </w:rPr>
        <w:t>Consumer price indices in May 2019</w:t>
      </w:r>
    </w:p>
    <w:p w:rsidR="00AD4947" w:rsidRPr="008E24AA" w:rsidRDefault="00AD4947" w:rsidP="00AD4947">
      <w:pPr>
        <w:pStyle w:val="tytuinformacji"/>
        <w:rPr>
          <w:sz w:val="32"/>
          <w:lang w:val="en-GB"/>
        </w:rPr>
      </w:pPr>
    </w:p>
    <w:p w:rsidR="0061655B" w:rsidRPr="008E24AA" w:rsidRDefault="00220395" w:rsidP="00CF08EF">
      <w:pPr>
        <w:pStyle w:val="LID"/>
        <w:rPr>
          <w:lang w:val="en-GB"/>
        </w:rPr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A02B40" w:rsidRPr="00ED45B9" w:rsidRDefault="00A02B40" w:rsidP="008971CA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7555C6EE" wp14:editId="76BD8494">
                        <wp:extent cx="334645" cy="334645"/>
                        <wp:effectExtent l="19050" t="0" r="8255" b="0"/>
                        <wp:docPr id="3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D45B9">
                    <w:rPr>
                      <w:noProof/>
                      <w:color w:val="001D77"/>
                      <w:lang w:val="en-US" w:eastAsia="pl-PL"/>
                    </w:rPr>
                    <w:t xml:space="preserve"> </w:t>
                  </w:r>
                  <w:r w:rsidRPr="00ED45B9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0,2%</w:t>
                  </w:r>
                </w:p>
                <w:p w:rsidR="00A02B40" w:rsidRPr="00ED45B9" w:rsidRDefault="00A02B40" w:rsidP="008A061F">
                  <w:pPr>
                    <w:pStyle w:val="tekstnaniebieskimtle"/>
                    <w:rPr>
                      <w:lang w:val="en-US"/>
                    </w:rPr>
                  </w:pPr>
                  <w:r w:rsidRPr="00ED45B9">
                    <w:rPr>
                      <w:lang w:val="en-US"/>
                    </w:rPr>
                    <w:t>an increase compared</w:t>
                  </w:r>
                </w:p>
                <w:p w:rsidR="00A02B40" w:rsidRPr="00ED45B9" w:rsidRDefault="00A02B40" w:rsidP="008A061F">
                  <w:pPr>
                    <w:pStyle w:val="tekstnaniebieskimtle"/>
                    <w:rPr>
                      <w:lang w:val="en-US"/>
                    </w:rPr>
                  </w:pPr>
                  <w:r w:rsidRPr="00ED45B9">
                    <w:rPr>
                      <w:lang w:val="en-US"/>
                    </w:rPr>
                    <w:t>with the previous month</w:t>
                  </w:r>
                </w:p>
                <w:p w:rsidR="00A02B40" w:rsidRPr="00ED45B9" w:rsidRDefault="00A02B40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  <w:r w:rsidR="008A061F" w:rsidRPr="008E24AA">
        <w:rPr>
          <w:lang w:val="en-GB" w:eastAsia="en-GB"/>
        </w:rPr>
        <w:t xml:space="preserve">Consumer prices in </w:t>
      </w:r>
      <w:r w:rsidR="00CE7821" w:rsidRPr="008E24AA">
        <w:rPr>
          <w:lang w:val="en-GB" w:eastAsia="en-GB"/>
        </w:rPr>
        <w:t>May</w:t>
      </w:r>
      <w:r w:rsidR="008971CA" w:rsidRPr="008E24AA">
        <w:rPr>
          <w:lang w:val="en-GB"/>
        </w:rPr>
        <w:t xml:space="preserve"> </w:t>
      </w:r>
      <w:r w:rsidR="00D538E4" w:rsidRPr="008E24AA">
        <w:rPr>
          <w:lang w:val="en-GB"/>
        </w:rPr>
        <w:t>201</w:t>
      </w:r>
      <w:r w:rsidR="008971CA" w:rsidRPr="008E24AA">
        <w:rPr>
          <w:lang w:val="en-GB"/>
        </w:rPr>
        <w:t>9</w:t>
      </w:r>
      <w:r w:rsidR="00CE7821" w:rsidRPr="008E24AA">
        <w:rPr>
          <w:lang w:val="en-GB"/>
        </w:rPr>
        <w:t>, as related to the previous month,</w:t>
      </w:r>
      <w:r w:rsidR="00D602FF" w:rsidRPr="008E24AA">
        <w:rPr>
          <w:lang w:val="en-GB"/>
        </w:rPr>
        <w:t xml:space="preserve"> </w:t>
      </w:r>
      <w:r w:rsidR="00CE7821" w:rsidRPr="008E24AA">
        <w:rPr>
          <w:lang w:val="en-GB"/>
        </w:rPr>
        <w:t>increased by</w:t>
      </w:r>
      <w:r w:rsidR="00D602FF" w:rsidRPr="008E24AA">
        <w:rPr>
          <w:lang w:val="en-GB"/>
        </w:rPr>
        <w:t xml:space="preserve"> 0,2</w:t>
      </w:r>
      <w:r w:rsidR="008971CA" w:rsidRPr="008E24AA">
        <w:rPr>
          <w:lang w:val="en-GB"/>
        </w:rPr>
        <w:t>%</w:t>
      </w:r>
      <w:r w:rsidR="00D538E4" w:rsidRPr="008E24AA">
        <w:rPr>
          <w:lang w:val="en-GB"/>
        </w:rPr>
        <w:t xml:space="preserve"> (</w:t>
      </w:r>
      <w:r w:rsidR="00CE7821" w:rsidRPr="008E24AA">
        <w:rPr>
          <w:lang w:val="en-GB"/>
        </w:rPr>
        <w:t xml:space="preserve">with an increase of prices </w:t>
      </w:r>
      <w:r w:rsidR="00FE2339" w:rsidRPr="008E24AA">
        <w:rPr>
          <w:lang w:val="en-GB"/>
        </w:rPr>
        <w:t>of </w:t>
      </w:r>
      <w:r w:rsidR="00151CA6" w:rsidRPr="008E24AA">
        <w:rPr>
          <w:lang w:val="en-GB"/>
        </w:rPr>
        <w:t>goods</w:t>
      </w:r>
      <w:r w:rsidR="008971CA" w:rsidRPr="008E24AA">
        <w:rPr>
          <w:lang w:val="en-GB"/>
        </w:rPr>
        <w:t xml:space="preserve"> –</w:t>
      </w:r>
      <w:r w:rsidR="006953AF" w:rsidRPr="008E24AA">
        <w:rPr>
          <w:lang w:val="en-GB"/>
        </w:rPr>
        <w:t xml:space="preserve"> </w:t>
      </w:r>
      <w:r w:rsidR="00151CA6" w:rsidRPr="008E24AA">
        <w:rPr>
          <w:lang w:val="en-GB"/>
        </w:rPr>
        <w:t>by</w:t>
      </w:r>
      <w:r w:rsidR="00D602FF" w:rsidRPr="008E24AA">
        <w:rPr>
          <w:lang w:val="en-GB"/>
        </w:rPr>
        <w:t xml:space="preserve"> 0</w:t>
      </w:r>
      <w:r w:rsidR="008971CA" w:rsidRPr="008E24AA">
        <w:rPr>
          <w:lang w:val="en-GB"/>
        </w:rPr>
        <w:t>,6%</w:t>
      </w:r>
      <w:r w:rsidR="0078488C" w:rsidRPr="008E24AA">
        <w:rPr>
          <w:lang w:val="en-GB"/>
        </w:rPr>
        <w:t xml:space="preserve"> </w:t>
      </w:r>
      <w:r w:rsidR="00151CA6" w:rsidRPr="008E24AA">
        <w:rPr>
          <w:lang w:val="en-GB"/>
        </w:rPr>
        <w:t xml:space="preserve">and a decrease of prices of services </w:t>
      </w:r>
      <w:r w:rsidR="00FE2339" w:rsidRPr="008E24AA">
        <w:rPr>
          <w:lang w:val="en-GB"/>
        </w:rPr>
        <w:br/>
      </w:r>
      <w:r w:rsidR="00151CA6" w:rsidRPr="008E24AA">
        <w:rPr>
          <w:lang w:val="en-GB"/>
        </w:rPr>
        <w:t>– by</w:t>
      </w:r>
      <w:r w:rsidR="008971CA" w:rsidRPr="008E24AA">
        <w:rPr>
          <w:lang w:val="en-GB"/>
        </w:rPr>
        <w:t> 0,9%</w:t>
      </w:r>
      <w:r w:rsidR="00D538E4" w:rsidRPr="008E24AA">
        <w:rPr>
          <w:lang w:val="en-GB"/>
        </w:rPr>
        <w:t>)</w:t>
      </w:r>
      <w:r w:rsidR="006D6B72" w:rsidRPr="008E24AA">
        <w:rPr>
          <w:lang w:val="en-GB"/>
        </w:rPr>
        <w:t xml:space="preserve">. </w:t>
      </w:r>
      <w:r w:rsidR="00917CCF" w:rsidRPr="008E24AA">
        <w:rPr>
          <w:lang w:val="en-GB"/>
        </w:rPr>
        <w:br/>
      </w:r>
      <w:r w:rsidR="00151CA6" w:rsidRPr="008E24AA">
        <w:rPr>
          <w:lang w:val="en-GB"/>
        </w:rPr>
        <w:t xml:space="preserve">Compared with the corresponding month of the previous year, consumer prices increased by </w:t>
      </w:r>
      <w:r w:rsidR="008971CA" w:rsidRPr="008E24AA">
        <w:rPr>
          <w:lang w:val="en-GB"/>
        </w:rPr>
        <w:t>2</w:t>
      </w:r>
      <w:r w:rsidR="00D538E4" w:rsidRPr="008E24AA">
        <w:rPr>
          <w:lang w:val="en-GB"/>
        </w:rPr>
        <w:t>,</w:t>
      </w:r>
      <w:r w:rsidR="00D602FF" w:rsidRPr="008E24AA">
        <w:rPr>
          <w:lang w:val="en-GB"/>
        </w:rPr>
        <w:t>4</w:t>
      </w:r>
      <w:r w:rsidR="00A4480D" w:rsidRPr="008E24AA">
        <w:rPr>
          <w:lang w:val="en-GB"/>
        </w:rPr>
        <w:t>% (</w:t>
      </w:r>
      <w:r w:rsidR="00151CA6" w:rsidRPr="008E24AA">
        <w:rPr>
          <w:lang w:val="en-GB"/>
        </w:rPr>
        <w:t xml:space="preserve">of which services </w:t>
      </w:r>
      <w:r w:rsidR="00D538E4" w:rsidRPr="008E24AA">
        <w:rPr>
          <w:lang w:val="en-GB"/>
        </w:rPr>
        <w:t>–</w:t>
      </w:r>
      <w:r w:rsidR="00B94737" w:rsidRPr="008E24AA">
        <w:rPr>
          <w:lang w:val="en-GB"/>
        </w:rPr>
        <w:t xml:space="preserve"> </w:t>
      </w:r>
      <w:r w:rsidR="00151CA6" w:rsidRPr="008E24AA">
        <w:rPr>
          <w:lang w:val="en-GB"/>
        </w:rPr>
        <w:t>by</w:t>
      </w:r>
      <w:r w:rsidR="00D538E4" w:rsidRPr="008E24AA">
        <w:rPr>
          <w:lang w:val="en-GB"/>
        </w:rPr>
        <w:t> </w:t>
      </w:r>
      <w:r w:rsidR="008971CA" w:rsidRPr="008E24AA">
        <w:rPr>
          <w:lang w:val="en-GB"/>
        </w:rPr>
        <w:t>3</w:t>
      </w:r>
      <w:r w:rsidR="00D538E4" w:rsidRPr="008E24AA">
        <w:rPr>
          <w:lang w:val="en-GB"/>
        </w:rPr>
        <w:t>,</w:t>
      </w:r>
      <w:r w:rsidR="00D602FF" w:rsidRPr="008E24AA">
        <w:rPr>
          <w:lang w:val="en-GB"/>
        </w:rPr>
        <w:t>3</w:t>
      </w:r>
      <w:r w:rsidR="00151CA6" w:rsidRPr="008E24AA">
        <w:rPr>
          <w:lang w:val="en-GB"/>
        </w:rPr>
        <w:t>% and goods</w:t>
      </w:r>
      <w:r w:rsidR="00EB73D7" w:rsidRPr="008E24AA">
        <w:rPr>
          <w:lang w:val="en-GB"/>
        </w:rPr>
        <w:t xml:space="preserve"> </w:t>
      </w:r>
      <w:r w:rsidR="00151CA6" w:rsidRPr="008E24AA">
        <w:rPr>
          <w:lang w:val="en-GB"/>
        </w:rPr>
        <w:t>– by</w:t>
      </w:r>
      <w:r w:rsidR="00D538E4" w:rsidRPr="008E24AA">
        <w:rPr>
          <w:lang w:val="en-GB"/>
        </w:rPr>
        <w:t> </w:t>
      </w:r>
      <w:r w:rsidR="00D602FF" w:rsidRPr="008E24AA">
        <w:rPr>
          <w:lang w:val="en-GB"/>
        </w:rPr>
        <w:t>2,0</w:t>
      </w:r>
      <w:r w:rsidR="00D538E4" w:rsidRPr="008E24AA">
        <w:rPr>
          <w:lang w:val="en-GB"/>
        </w:rPr>
        <w:t>%).</w:t>
      </w:r>
    </w:p>
    <w:p w:rsidR="00486EE6" w:rsidRPr="008E24AA" w:rsidRDefault="00486EE6" w:rsidP="00CF08EF">
      <w:pPr>
        <w:pStyle w:val="LID"/>
        <w:rPr>
          <w:highlight w:val="yellow"/>
          <w:lang w:val="en-GB"/>
        </w:rPr>
      </w:pPr>
    </w:p>
    <w:tbl>
      <w:tblPr>
        <w:tblStyle w:val="Siatkatabelijasna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18"/>
        <w:gridCol w:w="982"/>
        <w:gridCol w:w="982"/>
        <w:gridCol w:w="984"/>
        <w:gridCol w:w="1011"/>
        <w:gridCol w:w="1306"/>
      </w:tblGrid>
      <w:tr w:rsidR="003B5096" w:rsidRPr="008E24AA" w:rsidTr="00507879">
        <w:trPr>
          <w:cantSplit/>
          <w:trHeight w:val="367"/>
        </w:trPr>
        <w:tc>
          <w:tcPr>
            <w:tcW w:w="3018" w:type="dxa"/>
            <w:vMerge w:val="restart"/>
            <w:vAlign w:val="center"/>
          </w:tcPr>
          <w:p w:rsidR="003B5096" w:rsidRPr="008E24AA" w:rsidRDefault="00507879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948" w:type="dxa"/>
            <w:gridSpan w:val="3"/>
            <w:vAlign w:val="center"/>
          </w:tcPr>
          <w:p w:rsidR="003B5096" w:rsidRPr="008E24AA" w:rsidRDefault="00AC5AE8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 2019</w:t>
            </w:r>
          </w:p>
        </w:tc>
        <w:tc>
          <w:tcPr>
            <w:tcW w:w="1011" w:type="dxa"/>
          </w:tcPr>
          <w:p w:rsidR="003B5096" w:rsidRPr="008E24AA" w:rsidRDefault="00EB73D7" w:rsidP="00AC5AE8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</w:t>
            </w:r>
            <w:r w:rsidR="00AC5AE8"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</w:t>
            </w:r>
            <w:r w:rsidR="003B5096"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 w:rsidR="00AC5AE8"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306" w:type="dxa"/>
            <w:vMerge w:val="restart"/>
            <w:vAlign w:val="center"/>
          </w:tcPr>
          <w:p w:rsidR="003B5096" w:rsidRPr="008E24AA" w:rsidRDefault="00507879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 xml:space="preserve">CONTRIBUTION </w:t>
            </w:r>
            <w:r w:rsidR="003B5096" w:rsidRPr="008E24AA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8E24AA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 xml:space="preserve"> OF CHANGES</w:t>
            </w:r>
          </w:p>
          <w:p w:rsidR="003B5096" w:rsidRPr="008E24AA" w:rsidRDefault="00D602FF" w:rsidP="0015382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IV</w:t>
            </w:r>
            <w:r w:rsidR="00AC5AE8" w:rsidRPr="008E24AA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  <w:r w:rsidR="003B5096" w:rsidRPr="008E24AA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=</w:t>
            </w:r>
            <w:r w:rsidR="003B5096" w:rsidRPr="008E24AA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</w:tr>
      <w:tr w:rsidR="003B5096" w:rsidRPr="008E24AA" w:rsidTr="00507879">
        <w:trPr>
          <w:cantSplit/>
          <w:trHeight w:val="57"/>
        </w:trPr>
        <w:tc>
          <w:tcPr>
            <w:tcW w:w="3018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8E24AA" w:rsidRDefault="003B5096" w:rsidP="003B509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82" w:type="dxa"/>
            <w:tcBorders>
              <w:bottom w:val="single" w:sz="12" w:space="0" w:color="212492"/>
            </w:tcBorders>
            <w:vAlign w:val="center"/>
          </w:tcPr>
          <w:p w:rsidR="003B5096" w:rsidRPr="008E24AA" w:rsidRDefault="00AC5AE8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 2018</w:t>
            </w:r>
            <w:r w:rsidR="003B5096"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=</w:t>
            </w:r>
            <w:r w:rsidR="003B5096"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982" w:type="dxa"/>
            <w:tcBorders>
              <w:bottom w:val="single" w:sz="12" w:space="0" w:color="212492"/>
            </w:tcBorders>
            <w:vAlign w:val="center"/>
          </w:tcPr>
          <w:p w:rsidR="003B5096" w:rsidRPr="008E24AA" w:rsidRDefault="00AC5AE8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XII 2018</w:t>
            </w:r>
            <w:r w:rsidR="003B5096"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=</w:t>
            </w:r>
            <w:r w:rsidR="003B5096"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984" w:type="dxa"/>
            <w:tcBorders>
              <w:bottom w:val="single" w:sz="12" w:space="0" w:color="212492"/>
            </w:tcBorders>
            <w:vAlign w:val="center"/>
          </w:tcPr>
          <w:p w:rsidR="003B5096" w:rsidRPr="008E24AA" w:rsidRDefault="00D602FF" w:rsidP="0015382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IV</w:t>
            </w:r>
            <w:r w:rsidR="00AC5AE8"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  <w:r w:rsidR="003B5096"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=</w:t>
            </w:r>
            <w:r w:rsidR="003B5096"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1011" w:type="dxa"/>
            <w:tcBorders>
              <w:bottom w:val="single" w:sz="12" w:space="0" w:color="212492"/>
            </w:tcBorders>
          </w:tcPr>
          <w:p w:rsidR="003B5096" w:rsidRPr="008E24AA" w:rsidRDefault="00EB73D7" w:rsidP="0015382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</w:t>
            </w:r>
            <w:r w:rsidR="00AC5AE8"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 2018</w:t>
            </w:r>
            <w:r w:rsidR="003B5096"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=</w:t>
            </w:r>
            <w:r w:rsidR="003B5096"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1306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8E24AA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507879" w:rsidRPr="008E24AA" w:rsidTr="00507879">
        <w:trPr>
          <w:cantSplit/>
          <w:trHeight w:val="57"/>
        </w:trPr>
        <w:tc>
          <w:tcPr>
            <w:tcW w:w="3018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07879" w:rsidRPr="008E24AA" w:rsidRDefault="00507879" w:rsidP="00507879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8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07879" w:rsidRPr="008E24AA" w:rsidRDefault="00507879" w:rsidP="0050787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98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07879" w:rsidRPr="008E24AA" w:rsidRDefault="00507879" w:rsidP="0050787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98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07879" w:rsidRPr="008E24AA" w:rsidRDefault="00507879" w:rsidP="0050787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01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07879" w:rsidRPr="008E24AA" w:rsidRDefault="00507879" w:rsidP="0050787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130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07879" w:rsidRPr="008E24AA" w:rsidRDefault="00507879" w:rsidP="0050787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507879" w:rsidRPr="008E24AA" w:rsidTr="00507879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07879" w:rsidRPr="008E24AA" w:rsidRDefault="00507879" w:rsidP="00507879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8E24AA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105,0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104,9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0,35</w:t>
            </w:r>
          </w:p>
        </w:tc>
      </w:tr>
      <w:tr w:rsidR="00507879" w:rsidRPr="008E24AA" w:rsidTr="00507879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07879" w:rsidRPr="008E24AA" w:rsidRDefault="00507879" w:rsidP="00507879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8E24AA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0,03</w:t>
            </w:r>
          </w:p>
        </w:tc>
      </w:tr>
      <w:tr w:rsidR="00507879" w:rsidRPr="008E24AA" w:rsidTr="00507879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07879" w:rsidRPr="008E24AA" w:rsidRDefault="00507879" w:rsidP="00507879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98,1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97,5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-0,01</w:t>
            </w:r>
          </w:p>
        </w:tc>
      </w:tr>
      <w:tr w:rsidR="00507879" w:rsidRPr="008E24AA" w:rsidTr="00507879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07879" w:rsidRPr="008E24AA" w:rsidRDefault="00507879" w:rsidP="00507879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Housing, water, electricity, </w:t>
            </w:r>
          </w:p>
          <w:p w:rsidR="00507879" w:rsidRPr="008E24AA" w:rsidRDefault="00507879" w:rsidP="00507879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gas and other fuels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0,02</w:t>
            </w:r>
          </w:p>
        </w:tc>
      </w:tr>
      <w:tr w:rsidR="00507879" w:rsidRPr="008E24AA" w:rsidTr="00507879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07879" w:rsidRPr="008E24AA" w:rsidRDefault="00507879" w:rsidP="0050787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0,01</w:t>
            </w:r>
          </w:p>
        </w:tc>
      </w:tr>
      <w:tr w:rsidR="00507879" w:rsidRPr="008E24AA" w:rsidTr="00507879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07879" w:rsidRPr="008E24AA" w:rsidRDefault="00507879" w:rsidP="0050787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0,03</w:t>
            </w:r>
          </w:p>
        </w:tc>
      </w:tr>
      <w:tr w:rsidR="00507879" w:rsidRPr="008E24AA" w:rsidTr="00507879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07879" w:rsidRPr="008E24AA" w:rsidRDefault="00507879" w:rsidP="0050787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98,4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-0,17</w:t>
            </w:r>
          </w:p>
        </w:tc>
      </w:tr>
      <w:tr w:rsidR="00507879" w:rsidRPr="008E24AA" w:rsidTr="00507879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07879" w:rsidRPr="008E24AA" w:rsidRDefault="00507879" w:rsidP="0050787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97,4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99,6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97,2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-0,02</w:t>
            </w:r>
          </w:p>
        </w:tc>
      </w:tr>
      <w:tr w:rsidR="00507879" w:rsidRPr="008E24AA" w:rsidTr="00507879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07879" w:rsidRPr="008E24AA" w:rsidRDefault="00507879" w:rsidP="0050787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99,5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-0,03</w:t>
            </w:r>
          </w:p>
        </w:tc>
      </w:tr>
      <w:tr w:rsidR="00507879" w:rsidRPr="008E24AA" w:rsidTr="00507879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07879" w:rsidRPr="008E24AA" w:rsidRDefault="00507879" w:rsidP="0050787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507879" w:rsidRPr="008E24AA" w:rsidTr="00507879">
        <w:trPr>
          <w:cantSplit/>
          <w:trHeight w:val="57"/>
        </w:trPr>
        <w:tc>
          <w:tcPr>
            <w:tcW w:w="301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07879" w:rsidRPr="008E24AA" w:rsidRDefault="00507879" w:rsidP="0050787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104,1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011" w:type="dxa"/>
            <w:tcBorders>
              <w:top w:val="single" w:sz="4" w:space="0" w:color="212492"/>
              <w:bottom w:val="single" w:sz="4" w:space="0" w:color="212492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0,04</w:t>
            </w:r>
          </w:p>
        </w:tc>
      </w:tr>
      <w:tr w:rsidR="00507879" w:rsidRPr="008E24AA" w:rsidTr="00507879">
        <w:trPr>
          <w:cantSplit/>
          <w:trHeight w:val="445"/>
        </w:trPr>
        <w:tc>
          <w:tcPr>
            <w:tcW w:w="3018" w:type="dxa"/>
            <w:tcBorders>
              <w:top w:val="single" w:sz="4" w:space="0" w:color="212492"/>
              <w:bottom w:val="nil"/>
            </w:tcBorders>
            <w:vAlign w:val="center"/>
          </w:tcPr>
          <w:p w:rsidR="00507879" w:rsidRPr="008E24AA" w:rsidRDefault="00507879" w:rsidP="0050787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982" w:type="dxa"/>
            <w:tcBorders>
              <w:top w:val="single" w:sz="4" w:space="0" w:color="212492"/>
              <w:bottom w:val="nil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82" w:type="dxa"/>
            <w:tcBorders>
              <w:top w:val="single" w:sz="4" w:space="0" w:color="212492"/>
              <w:bottom w:val="nil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984" w:type="dxa"/>
            <w:tcBorders>
              <w:top w:val="single" w:sz="4" w:space="0" w:color="212492"/>
              <w:bottom w:val="nil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99,1</w:t>
            </w:r>
          </w:p>
        </w:tc>
        <w:tc>
          <w:tcPr>
            <w:tcW w:w="1011" w:type="dxa"/>
            <w:tcBorders>
              <w:top w:val="single" w:sz="4" w:space="0" w:color="212492"/>
              <w:bottom w:val="nil"/>
            </w:tcBorders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1306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507879" w:rsidRPr="008E24AA" w:rsidRDefault="00507879" w:rsidP="00507879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-0,05</w:t>
            </w:r>
          </w:p>
        </w:tc>
      </w:tr>
    </w:tbl>
    <w:p w:rsidR="00AD4947" w:rsidRPr="008E24AA" w:rsidRDefault="00FE2339" w:rsidP="00D538E4">
      <w:pPr>
        <w:pStyle w:val="tytuwykresu"/>
        <w:rPr>
          <w:lang w:val="en-GB"/>
        </w:rPr>
      </w:pPr>
      <w:r w:rsidRPr="008E24AA">
        <w:rPr>
          <w:lang w:val="en-GB"/>
        </w:rPr>
        <w:t>Table 1. Consumer price indices in May</w:t>
      </w:r>
      <w:r w:rsidR="00AC5AE8" w:rsidRPr="008E24AA">
        <w:rPr>
          <w:lang w:val="en-GB"/>
        </w:rPr>
        <w:t xml:space="preserve"> 2019</w:t>
      </w:r>
    </w:p>
    <w:p w:rsidR="00C27D75" w:rsidRPr="008E24AA" w:rsidRDefault="006B20B4" w:rsidP="00C27D75">
      <w:pPr>
        <w:rPr>
          <w:rFonts w:ascii="Fira Sans SemiBold" w:eastAsia="Times New Roman" w:hAnsi="Fira Sans SemiBold" w:cs="Times New Roman"/>
          <w:color w:val="001D77"/>
          <w:szCs w:val="24"/>
          <w:highlight w:val="yellow"/>
          <w:shd w:val="clear" w:color="auto" w:fill="FFFFFF"/>
          <w:lang w:val="en-GB" w:eastAsia="pl-PL"/>
        </w:rPr>
      </w:pPr>
      <w:r w:rsidRPr="008E24AA">
        <w:rPr>
          <w:highlight w:val="yellow"/>
          <w:shd w:val="clear" w:color="auto" w:fill="FFFFFF"/>
          <w:lang w:val="en-GB"/>
        </w:rPr>
        <w:t xml:space="preserve"> </w:t>
      </w:r>
      <w:r w:rsidR="00C27D75" w:rsidRPr="008E24AA">
        <w:rPr>
          <w:highlight w:val="yellow"/>
          <w:shd w:val="clear" w:color="auto" w:fill="FFFFFF"/>
          <w:lang w:val="en-GB"/>
        </w:rPr>
        <w:br w:type="page"/>
      </w:r>
    </w:p>
    <w:p w:rsidR="00A07F00" w:rsidRPr="008E24AA" w:rsidRDefault="00507879" w:rsidP="00C27D75">
      <w:pPr>
        <w:pStyle w:val="Nagwek1"/>
        <w:spacing w:before="120" w:line="240" w:lineRule="exact"/>
        <w:rPr>
          <w:lang w:val="en-GB"/>
        </w:rPr>
      </w:pPr>
      <w:r w:rsidRPr="008E24AA">
        <w:rPr>
          <w:shd w:val="clear" w:color="auto" w:fill="FFFFFF"/>
          <w:lang w:val="en-GB"/>
        </w:rPr>
        <w:lastRenderedPageBreak/>
        <w:t>Contribution of price changes to the total consumer price index</w:t>
      </w:r>
    </w:p>
    <w:p w:rsidR="00A07F00" w:rsidRPr="008E24AA" w:rsidRDefault="00507879" w:rsidP="00C27D75">
      <w:pPr>
        <w:rPr>
          <w:highlight w:val="yellow"/>
          <w:lang w:val="en-GB"/>
        </w:rPr>
      </w:pPr>
      <w:r w:rsidRPr="008E24AA">
        <w:rPr>
          <w:lang w:val="en-GB"/>
        </w:rPr>
        <w:t>In May</w:t>
      </w:r>
      <w:r w:rsidR="00A07F00" w:rsidRPr="008E24AA">
        <w:rPr>
          <w:lang w:val="en-GB"/>
        </w:rPr>
        <w:t xml:space="preserve"> </w:t>
      </w:r>
      <w:r w:rsidRPr="008E24AA">
        <w:rPr>
          <w:lang w:val="en-GB"/>
        </w:rPr>
        <w:t xml:space="preserve">of the current year, compared with the previous month, the highest contribution to the total consumer price index came from higher prices </w:t>
      </w:r>
      <w:r w:rsidR="00845816" w:rsidRPr="008E24AA">
        <w:rPr>
          <w:lang w:val="en-GB"/>
        </w:rPr>
        <w:t>of Food</w:t>
      </w:r>
      <w:r w:rsidR="008C7757" w:rsidRPr="008E24AA">
        <w:rPr>
          <w:lang w:val="en-GB"/>
        </w:rPr>
        <w:t xml:space="preserve"> </w:t>
      </w:r>
      <w:r w:rsidR="00845816" w:rsidRPr="008E24AA">
        <w:rPr>
          <w:lang w:val="en-GB"/>
        </w:rPr>
        <w:t>(by</w:t>
      </w:r>
      <w:r w:rsidR="00A07F00" w:rsidRPr="008E24AA">
        <w:rPr>
          <w:lang w:val="en-GB"/>
        </w:rPr>
        <w:t> </w:t>
      </w:r>
      <w:r w:rsidR="008C7757" w:rsidRPr="008E24AA">
        <w:rPr>
          <w:lang w:val="en-GB"/>
        </w:rPr>
        <w:t>1</w:t>
      </w:r>
      <w:r w:rsidR="0078488C" w:rsidRPr="008E24AA">
        <w:rPr>
          <w:lang w:val="en-GB"/>
        </w:rPr>
        <w:t>,</w:t>
      </w:r>
      <w:r w:rsidR="00DB7B24" w:rsidRPr="008E24AA">
        <w:rPr>
          <w:lang w:val="en-GB"/>
        </w:rPr>
        <w:t>5</w:t>
      </w:r>
      <w:r w:rsidR="00A07F00" w:rsidRPr="008E24AA">
        <w:rPr>
          <w:lang w:val="en-GB"/>
        </w:rPr>
        <w:t>%)</w:t>
      </w:r>
      <w:r w:rsidR="008F74AF" w:rsidRPr="008E24AA">
        <w:rPr>
          <w:lang w:val="en-GB"/>
        </w:rPr>
        <w:t xml:space="preserve">, </w:t>
      </w:r>
      <w:r w:rsidR="00845816" w:rsidRPr="008E24AA">
        <w:rPr>
          <w:lang w:val="en-GB"/>
        </w:rPr>
        <w:t>which increased the index by</w:t>
      </w:r>
      <w:r w:rsidR="00501254" w:rsidRPr="008E24AA">
        <w:rPr>
          <w:lang w:val="en-GB"/>
        </w:rPr>
        <w:t> </w:t>
      </w:r>
      <w:r w:rsidR="00A07F00" w:rsidRPr="008E24AA">
        <w:rPr>
          <w:lang w:val="en-GB"/>
        </w:rPr>
        <w:t>0,</w:t>
      </w:r>
      <w:r w:rsidR="00DB7B24" w:rsidRPr="008E24AA">
        <w:rPr>
          <w:lang w:val="en-GB"/>
        </w:rPr>
        <w:t>34</w:t>
      </w:r>
      <w:r w:rsidR="00674A8B" w:rsidRPr="008E24AA">
        <w:rPr>
          <w:lang w:val="en-GB"/>
        </w:rPr>
        <w:t xml:space="preserve"> p</w:t>
      </w:r>
      <w:r w:rsidR="00845816" w:rsidRPr="008E24AA">
        <w:rPr>
          <w:lang w:val="en-GB"/>
        </w:rPr>
        <w:t>p</w:t>
      </w:r>
      <w:r w:rsidR="005519E7" w:rsidRPr="008E24AA">
        <w:rPr>
          <w:lang w:val="en-GB"/>
        </w:rPr>
        <w:t>.</w:t>
      </w:r>
      <w:r w:rsidR="00E63312" w:rsidRPr="008E24AA">
        <w:rPr>
          <w:lang w:val="en-GB"/>
        </w:rPr>
        <w:t xml:space="preserve"> </w:t>
      </w:r>
      <w:r w:rsidR="00845816" w:rsidRPr="008E24AA">
        <w:rPr>
          <w:lang w:val="en-GB"/>
        </w:rPr>
        <w:t>Lower prices related to Transport (by</w:t>
      </w:r>
      <w:r w:rsidR="00A07F00" w:rsidRPr="008E24AA">
        <w:rPr>
          <w:lang w:val="en-GB"/>
        </w:rPr>
        <w:t xml:space="preserve"> </w:t>
      </w:r>
      <w:r w:rsidR="007D0560" w:rsidRPr="008E24AA">
        <w:rPr>
          <w:lang w:val="en-GB"/>
        </w:rPr>
        <w:t>1,6</w:t>
      </w:r>
      <w:r w:rsidR="00A07F00" w:rsidRPr="008E24AA">
        <w:rPr>
          <w:lang w:val="en-GB"/>
        </w:rPr>
        <w:t>%)</w:t>
      </w:r>
      <w:r w:rsidR="001B0A25" w:rsidRPr="008E24AA">
        <w:rPr>
          <w:lang w:val="en-GB"/>
        </w:rPr>
        <w:t xml:space="preserve"> </w:t>
      </w:r>
      <w:r w:rsidR="00845816" w:rsidRPr="008E24AA">
        <w:rPr>
          <w:lang w:val="en-GB"/>
        </w:rPr>
        <w:t>and Recreaction and culture</w:t>
      </w:r>
      <w:r w:rsidR="007D0560" w:rsidRPr="008E24AA">
        <w:rPr>
          <w:lang w:val="en-GB"/>
        </w:rPr>
        <w:t xml:space="preserve"> (</w:t>
      </w:r>
      <w:r w:rsidR="00A02B40">
        <w:rPr>
          <w:lang w:val="en-GB"/>
        </w:rPr>
        <w:t xml:space="preserve">by </w:t>
      </w:r>
      <w:r w:rsidR="007D0560" w:rsidRPr="008E24AA">
        <w:rPr>
          <w:lang w:val="en-GB"/>
        </w:rPr>
        <w:t xml:space="preserve">0,5%) </w:t>
      </w:r>
      <w:r w:rsidR="00B85FE4" w:rsidRPr="008E24AA">
        <w:rPr>
          <w:lang w:val="en-GB"/>
        </w:rPr>
        <w:t xml:space="preserve">decreased the index by </w:t>
      </w:r>
      <w:r w:rsidR="00A07F00" w:rsidRPr="008E24AA">
        <w:rPr>
          <w:lang w:val="en-GB"/>
        </w:rPr>
        <w:t>0,</w:t>
      </w:r>
      <w:r w:rsidR="007D0560" w:rsidRPr="008E24AA">
        <w:rPr>
          <w:lang w:val="en-GB"/>
        </w:rPr>
        <w:t>17</w:t>
      </w:r>
      <w:r w:rsidR="00A07F00" w:rsidRPr="008E24AA">
        <w:rPr>
          <w:lang w:val="en-GB"/>
        </w:rPr>
        <w:t xml:space="preserve"> </w:t>
      </w:r>
      <w:r w:rsidR="00173547" w:rsidRPr="008E24AA">
        <w:rPr>
          <w:lang w:val="en-GB"/>
        </w:rPr>
        <w:t>p</w:t>
      </w:r>
      <w:r w:rsidR="00B85FE4" w:rsidRPr="008E24AA">
        <w:rPr>
          <w:lang w:val="en-GB"/>
        </w:rPr>
        <w:t xml:space="preserve">p and </w:t>
      </w:r>
      <w:r w:rsidR="007D0560" w:rsidRPr="008E24AA">
        <w:rPr>
          <w:lang w:val="en-GB"/>
        </w:rPr>
        <w:t>0,03 p</w:t>
      </w:r>
      <w:r w:rsidR="00B85FE4" w:rsidRPr="008E24AA">
        <w:rPr>
          <w:lang w:val="en-GB"/>
        </w:rPr>
        <w:t>p, respectively</w:t>
      </w:r>
      <w:r w:rsidR="0078488C" w:rsidRPr="008E24AA">
        <w:rPr>
          <w:b/>
          <w:lang w:val="en-GB"/>
        </w:rPr>
        <w:t>.</w:t>
      </w:r>
      <w:r w:rsidR="00917CCF" w:rsidRPr="008E24AA">
        <w:rPr>
          <w:b/>
          <w:highlight w:val="yellow"/>
          <w:lang w:val="en-GB"/>
        </w:rPr>
        <w:br/>
      </w:r>
      <w:r w:rsidR="00B85FE4" w:rsidRPr="008E24AA">
        <w:rPr>
          <w:lang w:val="en-GB"/>
        </w:rPr>
        <w:t>Compared with the corresponding month of the previous year, higher prices of Food (by</w:t>
      </w:r>
      <w:r w:rsidR="00A07F00" w:rsidRPr="008E24AA">
        <w:rPr>
          <w:lang w:val="en-GB"/>
        </w:rPr>
        <w:t> </w:t>
      </w:r>
      <w:r w:rsidR="007D0560" w:rsidRPr="008E24AA">
        <w:rPr>
          <w:lang w:val="en-GB"/>
        </w:rPr>
        <w:t>5,4</w:t>
      </w:r>
      <w:r w:rsidR="0015302A" w:rsidRPr="008E24AA">
        <w:rPr>
          <w:lang w:val="en-GB"/>
        </w:rPr>
        <w:t>%)</w:t>
      </w:r>
      <w:r w:rsidR="003C20FB" w:rsidRPr="008E24AA">
        <w:rPr>
          <w:lang w:val="en-GB"/>
        </w:rPr>
        <w:t xml:space="preserve"> </w:t>
      </w:r>
      <w:r w:rsidR="00B85FE4" w:rsidRPr="008E24AA">
        <w:rPr>
          <w:lang w:val="en-GB"/>
        </w:rPr>
        <w:t>and related to Dwelling</w:t>
      </w:r>
      <w:r w:rsidR="00A07F00" w:rsidRPr="008E24AA">
        <w:rPr>
          <w:lang w:val="en-GB"/>
        </w:rPr>
        <w:t xml:space="preserve"> </w:t>
      </w:r>
      <w:r w:rsidR="00B85FE4" w:rsidRPr="008E24AA">
        <w:rPr>
          <w:lang w:val="en-GB"/>
        </w:rPr>
        <w:t>(by</w:t>
      </w:r>
      <w:r w:rsidR="009D1423" w:rsidRPr="008E24AA">
        <w:rPr>
          <w:lang w:val="en-GB"/>
        </w:rPr>
        <w:t xml:space="preserve"> </w:t>
      </w:r>
      <w:r w:rsidR="00A4480D" w:rsidRPr="008E24AA">
        <w:rPr>
          <w:lang w:val="en-GB"/>
        </w:rPr>
        <w:t>1,5</w:t>
      </w:r>
      <w:r w:rsidR="009D1423" w:rsidRPr="008E24AA">
        <w:rPr>
          <w:lang w:val="en-GB"/>
        </w:rPr>
        <w:t xml:space="preserve">%) </w:t>
      </w:r>
      <w:r w:rsidR="00B85FE4" w:rsidRPr="008E24AA">
        <w:rPr>
          <w:lang w:val="en-GB"/>
        </w:rPr>
        <w:t xml:space="preserve">increased the consumer price index by </w:t>
      </w:r>
      <w:r w:rsidR="008D233E" w:rsidRPr="008E24AA">
        <w:rPr>
          <w:lang w:val="en-GB"/>
        </w:rPr>
        <w:t>1</w:t>
      </w:r>
      <w:r w:rsidR="00A07F00" w:rsidRPr="008E24AA">
        <w:rPr>
          <w:lang w:val="en-GB"/>
        </w:rPr>
        <w:t>,</w:t>
      </w:r>
      <w:r w:rsidR="008D233E" w:rsidRPr="008E24AA">
        <w:rPr>
          <w:lang w:val="en-GB"/>
        </w:rPr>
        <w:t>23</w:t>
      </w:r>
      <w:r w:rsidR="00A07F00" w:rsidRPr="008E24AA">
        <w:rPr>
          <w:lang w:val="en-GB"/>
        </w:rPr>
        <w:t xml:space="preserve"> p</w:t>
      </w:r>
      <w:r w:rsidR="00B85FE4" w:rsidRPr="008E24AA">
        <w:rPr>
          <w:lang w:val="en-GB"/>
        </w:rPr>
        <w:t xml:space="preserve">p and </w:t>
      </w:r>
      <w:r w:rsidR="00A07F00" w:rsidRPr="008E24AA">
        <w:rPr>
          <w:lang w:val="en-GB"/>
        </w:rPr>
        <w:t>0,</w:t>
      </w:r>
      <w:r w:rsidR="008D233E" w:rsidRPr="008E24AA">
        <w:rPr>
          <w:lang w:val="en-GB"/>
        </w:rPr>
        <w:t>37</w:t>
      </w:r>
      <w:r w:rsidR="003C20FB" w:rsidRPr="008E24AA">
        <w:rPr>
          <w:lang w:val="en-GB"/>
        </w:rPr>
        <w:t xml:space="preserve"> </w:t>
      </w:r>
      <w:r w:rsidR="00F04C11" w:rsidRPr="008E24AA">
        <w:rPr>
          <w:lang w:val="en-GB"/>
        </w:rPr>
        <w:t>p</w:t>
      </w:r>
      <w:r w:rsidR="00B85FE4" w:rsidRPr="008E24AA">
        <w:rPr>
          <w:lang w:val="en-GB"/>
        </w:rPr>
        <w:t>p, respectively</w:t>
      </w:r>
      <w:r w:rsidR="00A07F00" w:rsidRPr="008E24AA">
        <w:rPr>
          <w:lang w:val="en-GB"/>
        </w:rPr>
        <w:t xml:space="preserve">. </w:t>
      </w:r>
      <w:r w:rsidR="00B85FE4" w:rsidRPr="008E24AA">
        <w:rPr>
          <w:lang w:val="en-GB"/>
        </w:rPr>
        <w:t>Lower prices related to Communication (by</w:t>
      </w:r>
      <w:r w:rsidR="00544F6B" w:rsidRPr="008E24AA">
        <w:rPr>
          <w:lang w:val="en-GB"/>
        </w:rPr>
        <w:t xml:space="preserve"> </w:t>
      </w:r>
      <w:r w:rsidR="008D233E" w:rsidRPr="008E24AA">
        <w:rPr>
          <w:lang w:val="en-GB"/>
        </w:rPr>
        <w:t>2,6</w:t>
      </w:r>
      <w:r w:rsidR="00544F6B" w:rsidRPr="008E24AA">
        <w:rPr>
          <w:lang w:val="en-GB"/>
        </w:rPr>
        <w:t xml:space="preserve">%) </w:t>
      </w:r>
      <w:r w:rsidR="00B85FE4" w:rsidRPr="008E24AA">
        <w:rPr>
          <w:lang w:val="en-GB"/>
        </w:rPr>
        <w:t>and Clothing and footwear</w:t>
      </w:r>
      <w:r w:rsidR="0028787C" w:rsidRPr="008E24AA">
        <w:rPr>
          <w:lang w:val="en-GB"/>
        </w:rPr>
        <w:t xml:space="preserve"> </w:t>
      </w:r>
      <w:r w:rsidR="00B85FE4" w:rsidRPr="008E24AA">
        <w:rPr>
          <w:lang w:val="en-GB"/>
        </w:rPr>
        <w:t>(by</w:t>
      </w:r>
      <w:r w:rsidR="00A07F00" w:rsidRPr="008E24AA">
        <w:rPr>
          <w:lang w:val="en-GB"/>
        </w:rPr>
        <w:t xml:space="preserve"> </w:t>
      </w:r>
      <w:r w:rsidR="0028787C" w:rsidRPr="008E24AA">
        <w:rPr>
          <w:lang w:val="en-GB"/>
        </w:rPr>
        <w:t>1</w:t>
      </w:r>
      <w:r w:rsidR="00544F6B" w:rsidRPr="008E24AA">
        <w:rPr>
          <w:lang w:val="en-GB"/>
        </w:rPr>
        <w:t>,</w:t>
      </w:r>
      <w:r w:rsidR="0028787C" w:rsidRPr="008E24AA">
        <w:rPr>
          <w:lang w:val="en-GB"/>
        </w:rPr>
        <w:t>9</w:t>
      </w:r>
      <w:r w:rsidR="00674A8B" w:rsidRPr="008E24AA">
        <w:rPr>
          <w:lang w:val="en-GB"/>
        </w:rPr>
        <w:t xml:space="preserve">%) </w:t>
      </w:r>
      <w:r w:rsidR="00B85FE4" w:rsidRPr="008E24AA">
        <w:rPr>
          <w:lang w:val="en-GB"/>
        </w:rPr>
        <w:t xml:space="preserve">decreased the index by </w:t>
      </w:r>
      <w:r w:rsidR="00A07F00" w:rsidRPr="008E24AA">
        <w:rPr>
          <w:lang w:val="en-GB"/>
        </w:rPr>
        <w:t>0,</w:t>
      </w:r>
      <w:r w:rsidR="0028787C" w:rsidRPr="008E24AA">
        <w:rPr>
          <w:lang w:val="en-GB"/>
        </w:rPr>
        <w:t>11</w:t>
      </w:r>
      <w:r w:rsidR="00D401C9" w:rsidRPr="008E24AA">
        <w:rPr>
          <w:lang w:val="en-GB"/>
        </w:rPr>
        <w:t xml:space="preserve"> p</w:t>
      </w:r>
      <w:r w:rsidR="00B85FE4" w:rsidRPr="008E24AA">
        <w:rPr>
          <w:lang w:val="en-GB"/>
        </w:rPr>
        <w:t xml:space="preserve">p and </w:t>
      </w:r>
      <w:r w:rsidR="0028787C" w:rsidRPr="008E24AA">
        <w:rPr>
          <w:lang w:val="en-GB"/>
        </w:rPr>
        <w:t>0</w:t>
      </w:r>
      <w:r w:rsidR="008D233E" w:rsidRPr="008E24AA">
        <w:rPr>
          <w:lang w:val="en-GB"/>
        </w:rPr>
        <w:t>,10</w:t>
      </w:r>
      <w:r w:rsidR="00544F6B" w:rsidRPr="008E24AA">
        <w:rPr>
          <w:lang w:val="en-GB"/>
        </w:rPr>
        <w:t xml:space="preserve"> p</w:t>
      </w:r>
      <w:r w:rsidR="00960898" w:rsidRPr="008E24AA">
        <w:rPr>
          <w:lang w:val="en-GB"/>
        </w:rPr>
        <w:t>p, respectively</w:t>
      </w:r>
      <w:r w:rsidR="00544F6B" w:rsidRPr="008E24AA">
        <w:rPr>
          <w:lang w:val="en-GB"/>
        </w:rPr>
        <w:t>.</w:t>
      </w:r>
    </w:p>
    <w:p w:rsidR="00A07F00" w:rsidRPr="008E24AA" w:rsidRDefault="00A07F00" w:rsidP="00C27D75">
      <w:pPr>
        <w:rPr>
          <w:highlight w:val="yellow"/>
          <w:lang w:val="en-GB"/>
        </w:rPr>
      </w:pPr>
    </w:p>
    <w:p w:rsidR="00A07F00" w:rsidRPr="008E24AA" w:rsidRDefault="008E24AA" w:rsidP="00C27D75">
      <w:pPr>
        <w:pStyle w:val="tytuwykresu"/>
        <w:rPr>
          <w:b w:val="0"/>
          <w:noProof/>
          <w:shd w:val="clear" w:color="auto" w:fill="FFFFFF"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85216" behindDoc="0" locked="0" layoutInCell="1" allowOverlap="1" wp14:anchorId="63AE69CA" wp14:editId="351D5B4D">
            <wp:simplePos x="0" y="0"/>
            <wp:positionH relativeFrom="column">
              <wp:posOffset>3810</wp:posOffset>
            </wp:positionH>
            <wp:positionV relativeFrom="paragraph">
              <wp:posOffset>414020</wp:posOffset>
            </wp:positionV>
            <wp:extent cx="5093970" cy="2626360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898" w:rsidRPr="008E24AA">
        <w:rPr>
          <w:noProof/>
          <w:lang w:val="en-GB" w:eastAsia="en-GB"/>
        </w:rPr>
        <w:t>Chart 1. Contribution of price changes of selected groups of</w:t>
      </w:r>
      <w:r w:rsidR="00A02B40">
        <w:rPr>
          <w:noProof/>
          <w:lang w:val="en-GB" w:eastAsia="en-GB"/>
        </w:rPr>
        <w:t xml:space="preserve"> consumer goods and services in </w:t>
      </w:r>
      <w:r w:rsidR="00960898" w:rsidRPr="008E24AA">
        <w:rPr>
          <w:noProof/>
          <w:lang w:val="en-GB" w:eastAsia="en-GB"/>
        </w:rPr>
        <w:t>May</w:t>
      </w:r>
      <w:r w:rsidR="00A02B40">
        <w:rPr>
          <w:shd w:val="clear" w:color="auto" w:fill="FFFFFF"/>
          <w:lang w:val="en-GB"/>
        </w:rPr>
        <w:t> </w:t>
      </w:r>
      <w:r w:rsidR="00A07F00" w:rsidRPr="008E24AA">
        <w:rPr>
          <w:shd w:val="clear" w:color="auto" w:fill="FFFFFF"/>
          <w:lang w:val="en-GB"/>
        </w:rPr>
        <w:t>201</w:t>
      </w:r>
      <w:r w:rsidR="00EB7A18" w:rsidRPr="008E24AA">
        <w:rPr>
          <w:shd w:val="clear" w:color="auto" w:fill="FFFFFF"/>
          <w:lang w:val="en-GB"/>
        </w:rPr>
        <w:t>9</w:t>
      </w:r>
      <w:r w:rsidR="00A07F00" w:rsidRPr="008E24AA">
        <w:rPr>
          <w:noProof/>
          <w:shd w:val="clear" w:color="auto" w:fill="FFFFFF"/>
          <w:lang w:val="en-GB" w:eastAsia="pl-PL"/>
        </w:rPr>
        <w:t xml:space="preserve"> </w:t>
      </w:r>
      <w:r w:rsidR="0051646A" w:rsidRPr="008E24AA">
        <w:rPr>
          <w:noProof/>
          <w:shd w:val="clear" w:color="auto" w:fill="FFFFFF"/>
          <w:lang w:val="en-GB" w:eastAsia="pl-PL"/>
        </w:rPr>
        <w:t>(</w:t>
      </w:r>
      <w:r w:rsidRPr="00BC1C66">
        <w:rPr>
          <w:noProof/>
          <w:lang w:val="en-GB" w:eastAsia="pl-PL"/>
        </w:rPr>
        <w:t>change in pp compared with the previous period</w:t>
      </w:r>
      <w:r w:rsidR="0051646A" w:rsidRPr="008E24AA">
        <w:rPr>
          <w:shd w:val="clear" w:color="auto" w:fill="FFFFFF"/>
          <w:lang w:val="en-GB"/>
        </w:rPr>
        <w:t>)</w:t>
      </w:r>
    </w:p>
    <w:p w:rsidR="00A07F00" w:rsidRPr="008E24AA" w:rsidRDefault="00A07F00" w:rsidP="00C27D75">
      <w:pPr>
        <w:pStyle w:val="tytuwykresu"/>
        <w:rPr>
          <w:b w:val="0"/>
          <w:highlight w:val="yellow"/>
          <w:shd w:val="clear" w:color="auto" w:fill="FFFFFF"/>
          <w:lang w:val="en-GB"/>
        </w:rPr>
      </w:pPr>
    </w:p>
    <w:p w:rsidR="001063B5" w:rsidRPr="008E24AA" w:rsidRDefault="008E24AA" w:rsidP="001063B5">
      <w:pPr>
        <w:spacing w:before="0" w:after="160" w:line="259" w:lineRule="auto"/>
        <w:rPr>
          <w:noProof/>
          <w:lang w:val="en-GB" w:eastAsia="pl-PL"/>
        </w:rPr>
      </w:pPr>
      <w:r w:rsidRPr="00BC1C66">
        <w:rPr>
          <w:noProof/>
          <w:lang w:eastAsia="pl-PL"/>
        </w:rPr>
        <w:drawing>
          <wp:anchor distT="0" distB="0" distL="114300" distR="114300" simplePos="0" relativeHeight="251787264" behindDoc="0" locked="0" layoutInCell="1" allowOverlap="1" wp14:anchorId="4244688C" wp14:editId="556B98F3">
            <wp:simplePos x="0" y="0"/>
            <wp:positionH relativeFrom="column">
              <wp:posOffset>7620</wp:posOffset>
            </wp:positionH>
            <wp:positionV relativeFrom="paragraph">
              <wp:posOffset>255905</wp:posOffset>
            </wp:positionV>
            <wp:extent cx="5122545" cy="3599815"/>
            <wp:effectExtent l="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395"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margin-left:414.75pt;margin-top:513pt;width:135.85pt;height:141.75pt;z-index:-251532288;visibility:visible;mso-wrap-distance-top:3.6pt;mso-wrap-distance-bottom:3.6pt;mso-position-horizontal-relative:tex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A02B40" w:rsidRPr="00ED45B9" w:rsidRDefault="00A02B40" w:rsidP="00EB7A18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</w:pPr>
                  <w:r w:rsidRPr="00EE65A6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In 2019, similarly to previous years, the largest share of expenditures in the compilations of the consumer price index have Food and non-alcoholic beverages (24,89%) and goods and services related to Housing, water, electricity, gas and other fuels (19,17%)</w:t>
                  </w:r>
                </w:p>
                <w:p w:rsidR="00A02B40" w:rsidRPr="00ED45B9" w:rsidRDefault="00A02B40" w:rsidP="00792E24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</w:pPr>
                </w:p>
              </w:txbxContent>
            </v:textbox>
            <w10:wrap type="tight" anchory="page"/>
          </v:shape>
        </w:pict>
      </w:r>
      <w:r w:rsidRPr="00BC1C66">
        <w:rPr>
          <w:lang w:val="en-GB"/>
        </w:rPr>
        <w:t xml:space="preserve"> </w:t>
      </w:r>
      <w:r w:rsidRPr="00BC1C66">
        <w:rPr>
          <w:b/>
          <w:noProof/>
          <w:spacing w:val="-2"/>
          <w:sz w:val="18"/>
          <w:lang w:val="en-GB" w:eastAsia="en-GB"/>
        </w:rPr>
        <w:t>Chart 2. Weighting system used in the compilations of consumer price indices in 2019</w:t>
      </w:r>
      <w:r w:rsidR="005F4399" w:rsidRPr="008E24AA">
        <w:rPr>
          <w:b/>
          <w:spacing w:val="-2"/>
          <w:sz w:val="18"/>
          <w:lang w:val="en-GB"/>
        </w:rPr>
        <w:t xml:space="preserve"> </w:t>
      </w:r>
      <w:r w:rsidR="00EB7A18" w:rsidRPr="008E24AA">
        <w:rPr>
          <w:noProof/>
          <w:lang w:val="en-GB" w:eastAsia="pl-PL"/>
        </w:rPr>
        <w:t xml:space="preserve"> </w:t>
      </w:r>
    </w:p>
    <w:p w:rsidR="00B81E5C" w:rsidRPr="008E24AA" w:rsidRDefault="00B81E5C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GB"/>
        </w:rPr>
      </w:pPr>
      <w:r w:rsidRPr="008E24AA">
        <w:rPr>
          <w:b/>
          <w:spacing w:val="-2"/>
          <w:sz w:val="18"/>
          <w:shd w:val="clear" w:color="auto" w:fill="FFFFFF"/>
          <w:lang w:val="en-GB"/>
        </w:rPr>
        <w:br w:type="page"/>
      </w:r>
    </w:p>
    <w:p w:rsidR="00DA0243" w:rsidRPr="008E24AA" w:rsidRDefault="008E24AA" w:rsidP="00A01424">
      <w:pPr>
        <w:spacing w:before="0" w:after="160" w:line="259" w:lineRule="auto"/>
        <w:rPr>
          <w:noProof/>
          <w:lang w:val="en-GB" w:eastAsia="pl-PL"/>
        </w:rPr>
      </w:pPr>
      <w:r w:rsidRPr="008E24AA">
        <w:rPr>
          <w:b/>
          <w:spacing w:val="-2"/>
          <w:sz w:val="18"/>
          <w:shd w:val="clear" w:color="auto" w:fill="FFFFFF"/>
          <w:lang w:val="en-GB"/>
        </w:rPr>
        <w:lastRenderedPageBreak/>
        <w:t>Chart 3. Consumer prices (change in % compared with the previous period)</w:t>
      </w:r>
    </w:p>
    <w:p w:rsidR="007D164E" w:rsidRPr="008E24AA" w:rsidRDefault="006508EE" w:rsidP="00A01424">
      <w:pPr>
        <w:spacing w:before="0" w:after="160" w:line="259" w:lineRule="auto"/>
        <w:rPr>
          <w:b/>
          <w:noProof/>
          <w:highlight w:val="yellow"/>
          <w:shd w:val="clear" w:color="auto" w:fill="FFFFFF"/>
          <w:lang w:val="en-GB" w:eastAsia="pl-PL"/>
        </w:rPr>
      </w:pPr>
      <w:r w:rsidRPr="008E24AA">
        <w:rPr>
          <w:noProof/>
          <w:lang w:eastAsia="pl-PL"/>
        </w:rPr>
        <w:drawing>
          <wp:inline distT="0" distB="0" distL="0" distR="0" wp14:anchorId="1BD7972B" wp14:editId="38CF0DE2">
            <wp:extent cx="5122545" cy="2489200"/>
            <wp:effectExtent l="0" t="0" r="0" b="635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34160" w:rsidRPr="008E24AA" w:rsidRDefault="00220395" w:rsidP="00034160">
      <w:pPr>
        <w:pStyle w:val="tytuwykresu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pict>
          <v:shape id="Text Box 25" o:spid="_x0000_s1029" type="#_x0000_t202" style="position:absolute;margin-left:414.75pt;margin-top:315.75pt;width:135.85pt;height:125.25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 style="mso-next-textbox:#Text Box 25">
              <w:txbxContent>
                <w:p w:rsidR="00A02B40" w:rsidRPr="00ED45B9" w:rsidRDefault="00A02B40" w:rsidP="00AB077D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</w:pPr>
                  <w:r w:rsidRPr="00ED45B9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 xml:space="preserve">In May 2019 </w:t>
                  </w:r>
                  <w:r w:rsidRPr="0079313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consumer price index was within the deviations from inflation target determined by the Monetary Policy Council (2,5% +/- 1 pp)</w:t>
                  </w:r>
                </w:p>
                <w:p w:rsidR="00A02B40" w:rsidRPr="00ED45B9" w:rsidRDefault="00A02B40" w:rsidP="0003416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8E24AA" w:rsidRPr="00BC1C66">
        <w:rPr>
          <w:lang w:val="en-GB"/>
        </w:rPr>
        <w:t>Chart 4. Consumer prices</w:t>
      </w:r>
      <w:r w:rsidR="00034160" w:rsidRPr="008E24AA">
        <w:rPr>
          <w:bCs/>
          <w:shd w:val="clear" w:color="auto" w:fill="FFFFFF"/>
          <w:lang w:val="en-GB"/>
        </w:rPr>
        <w:t xml:space="preserve"> </w:t>
      </w:r>
      <w:r w:rsidR="00132297" w:rsidRPr="008E24AA">
        <w:rPr>
          <w:bCs/>
          <w:shd w:val="clear" w:color="auto" w:fill="FFFFFF"/>
          <w:lang w:val="en-GB"/>
        </w:rPr>
        <w:br/>
      </w:r>
      <w:r w:rsidR="008E24AA" w:rsidRPr="00BC1C66">
        <w:rPr>
          <w:lang w:val="en-GB"/>
        </w:rPr>
        <w:t>(change in % compared with the corresponding period of the previous year)</w:t>
      </w:r>
    </w:p>
    <w:p w:rsidR="00034160" w:rsidRPr="008E24AA" w:rsidRDefault="004E1862" w:rsidP="00740107">
      <w:pPr>
        <w:spacing w:before="0" w:line="259" w:lineRule="auto"/>
        <w:rPr>
          <w:sz w:val="18"/>
          <w:highlight w:val="yellow"/>
          <w:lang w:val="en-GB"/>
        </w:rPr>
      </w:pPr>
      <w:r w:rsidRPr="008E24AA">
        <w:rPr>
          <w:noProof/>
          <w:lang w:eastAsia="pl-PL"/>
        </w:rPr>
        <w:drawing>
          <wp:inline distT="0" distB="0" distL="0" distR="0" wp14:anchorId="7A5478F4" wp14:editId="15B13163">
            <wp:extent cx="5122545" cy="263398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E24AA" w:rsidRDefault="008E24AA" w:rsidP="001E7DBB">
      <w:pPr>
        <w:pStyle w:val="tytuwykresu"/>
        <w:rPr>
          <w:lang w:val="en-GB"/>
        </w:rPr>
      </w:pPr>
    </w:p>
    <w:p w:rsidR="001E7DBB" w:rsidRPr="008E24AA" w:rsidRDefault="008E24AA" w:rsidP="001E7DBB">
      <w:pPr>
        <w:pStyle w:val="tytuwykresu"/>
        <w:rPr>
          <w:bCs/>
          <w:shd w:val="clear" w:color="auto" w:fill="FFFFFF"/>
          <w:lang w:val="en-GB"/>
        </w:rPr>
      </w:pPr>
      <w:r w:rsidRPr="00BC1C66">
        <w:rPr>
          <w:lang w:val="en-GB"/>
        </w:rPr>
        <w:t>Chart 5.</w:t>
      </w:r>
      <w:r w:rsidRPr="00BC1C66">
        <w:rPr>
          <w:shd w:val="clear" w:color="auto" w:fill="FFFFFF"/>
          <w:lang w:val="en-GB"/>
        </w:rPr>
        <w:t xml:space="preserve"> </w:t>
      </w:r>
      <w:r w:rsidRPr="00BC1C66">
        <w:rPr>
          <w:bCs/>
          <w:shd w:val="clear" w:color="auto" w:fill="FFFFFF"/>
          <w:lang w:val="en-GB"/>
        </w:rPr>
        <w:t xml:space="preserve">Consumer price index (CPI) and harmonised index of consumer prices (HICP) </w:t>
      </w:r>
      <w:r w:rsidRPr="00BC1C66">
        <w:rPr>
          <w:bCs/>
          <w:shd w:val="clear" w:color="auto" w:fill="FFFFFF"/>
          <w:lang w:val="en-GB"/>
        </w:rPr>
        <w:br/>
        <w:t>(change in % compared with the corresponding period of the previous year)</w:t>
      </w:r>
    </w:p>
    <w:p w:rsidR="00820461" w:rsidRPr="008E24AA" w:rsidRDefault="004E1862">
      <w:pPr>
        <w:spacing w:before="0" w:after="160" w:line="259" w:lineRule="auto"/>
        <w:rPr>
          <w:b/>
          <w:noProof/>
          <w:sz w:val="18"/>
          <w:szCs w:val="19"/>
          <w:highlight w:val="yellow"/>
          <w:lang w:val="en-GB" w:eastAsia="pl-PL"/>
        </w:rPr>
      </w:pPr>
      <w:r w:rsidRPr="008E24AA">
        <w:rPr>
          <w:noProof/>
          <w:lang w:eastAsia="pl-PL"/>
        </w:rPr>
        <w:drawing>
          <wp:inline distT="0" distB="0" distL="0" distR="0" wp14:anchorId="49C06979" wp14:editId="759B1DDF">
            <wp:extent cx="5122545" cy="252857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820461" w:rsidRPr="008E24AA">
        <w:rPr>
          <w:sz w:val="18"/>
          <w:highlight w:val="yellow"/>
          <w:lang w:val="en-GB"/>
        </w:rPr>
        <w:br w:type="page"/>
      </w:r>
    </w:p>
    <w:p w:rsidR="00516A50" w:rsidRPr="008E24AA" w:rsidRDefault="008E24AA" w:rsidP="00516A50">
      <w:pPr>
        <w:pStyle w:val="LID"/>
        <w:rPr>
          <w:bCs/>
          <w:sz w:val="18"/>
          <w:shd w:val="clear" w:color="auto" w:fill="FFFFFF"/>
          <w:lang w:val="en-GB"/>
        </w:rPr>
      </w:pPr>
      <w:r w:rsidRPr="00BC1C66">
        <w:rPr>
          <w:sz w:val="18"/>
          <w:lang w:val="en-GB"/>
        </w:rPr>
        <w:lastRenderedPageBreak/>
        <w:t>Table 2.</w:t>
      </w:r>
      <w:r w:rsidRPr="00BC1C66">
        <w:rPr>
          <w:sz w:val="18"/>
          <w:shd w:val="clear" w:color="auto" w:fill="FFFFFF"/>
          <w:lang w:val="en-GB"/>
        </w:rPr>
        <w:t xml:space="preserve"> </w:t>
      </w:r>
      <w:r w:rsidRPr="00BC1C66">
        <w:rPr>
          <w:bCs/>
          <w:sz w:val="18"/>
          <w:shd w:val="clear" w:color="auto" w:fill="FFFFFF"/>
          <w:lang w:val="en-GB"/>
        </w:rPr>
        <w:t xml:space="preserve">Consumer price indices in </w:t>
      </w:r>
      <w:r>
        <w:rPr>
          <w:bCs/>
          <w:sz w:val="18"/>
          <w:shd w:val="clear" w:color="auto" w:fill="FFFFFF"/>
          <w:lang w:val="en-GB"/>
        </w:rPr>
        <w:t>May</w:t>
      </w:r>
      <w:r w:rsidRPr="00BC1C66">
        <w:rPr>
          <w:bCs/>
          <w:sz w:val="18"/>
          <w:shd w:val="clear" w:color="auto" w:fill="FFFFFF"/>
          <w:lang w:val="en-GB"/>
        </w:rPr>
        <w:t xml:space="preserve"> </w:t>
      </w:r>
      <w:r w:rsidRPr="00BC1C66">
        <w:rPr>
          <w:sz w:val="18"/>
          <w:lang w:val="en-GB"/>
        </w:rPr>
        <w:t>2019</w:t>
      </w:r>
    </w:p>
    <w:p w:rsidR="009E3FA7" w:rsidRPr="008E24AA" w:rsidRDefault="009E3FA7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tbl>
      <w:tblPr>
        <w:tblW w:w="80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089"/>
        <w:gridCol w:w="75"/>
      </w:tblGrid>
      <w:tr w:rsidR="00A93892" w:rsidRPr="008E24AA" w:rsidTr="005D0389">
        <w:trPr>
          <w:gridAfter w:val="1"/>
          <w:wAfter w:w="75" w:type="dxa"/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8E24AA" w:rsidRDefault="00A02B40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E24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8E24AA" w:rsidRDefault="00F0738D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t>V 2019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8E24AA" w:rsidRDefault="00776D79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t>I-</w:t>
            </w:r>
            <w:r w:rsidR="00F0738D"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t>V 2019</w:t>
            </w:r>
          </w:p>
        </w:tc>
      </w:tr>
      <w:tr w:rsidR="005D0389" w:rsidRPr="008E24AA" w:rsidTr="005D0389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5D0389" w:rsidRPr="008E24AA" w:rsidRDefault="005D0389" w:rsidP="00A9389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8E24AA" w:rsidRDefault="00F0738D" w:rsidP="001F60D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t>V 2018</w:t>
            </w:r>
            <w:r w:rsidR="005D0389"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t>=</w:t>
            </w:r>
            <w:r w:rsidR="005D0389"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8E24AA" w:rsidRDefault="005D0389" w:rsidP="00F0738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t>XII 201</w:t>
            </w:r>
            <w:r w:rsidR="00F0738D"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t>8</w:t>
            </w:r>
            <w:r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t>=</w:t>
            </w:r>
            <w:r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8E24AA" w:rsidRDefault="00F0738D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t>I</w:t>
            </w:r>
            <w:r w:rsidR="00C31ADF"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t>V</w:t>
            </w:r>
            <w:r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2019</w:t>
            </w:r>
            <w:r w:rsidR="005D0389"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t>=</w:t>
            </w:r>
            <w:r w:rsidR="005D0389"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8E24AA" w:rsidRDefault="005D0389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t>I</w:t>
            </w:r>
            <w:r w:rsidR="00776D79"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t>-</w:t>
            </w:r>
            <w:r w:rsidR="00F0738D"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t>V 2018</w:t>
            </w:r>
            <w:r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= </w:t>
            </w:r>
            <w:r w:rsidR="00776D79"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</w:r>
            <w:r w:rsidRPr="008E24AA">
              <w:rPr>
                <w:rFonts w:eastAsia="Times New Roman" w:cs="Calibri"/>
                <w:sz w:val="16"/>
                <w:szCs w:val="16"/>
                <w:lang w:val="en-GB" w:eastAsia="pl-PL"/>
              </w:rPr>
              <w:t>=100</w:t>
            </w:r>
          </w:p>
        </w:tc>
      </w:tr>
      <w:tr w:rsidR="008E24AA" w:rsidRPr="008E24AA" w:rsidTr="00D23397">
        <w:trPr>
          <w:trHeight w:val="314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8E24AA" w:rsidRPr="008E24AA" w:rsidTr="008E24AA">
        <w:trPr>
          <w:trHeight w:val="27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8E24A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8E24AA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8E24AA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8E24AA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8E24AA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</w:tr>
      <w:tr w:rsidR="008E24AA" w:rsidRPr="008E24AA" w:rsidTr="008E24AA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8E24A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8E24AA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8E24AA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8E24AA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8E24AA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</w:tr>
      <w:tr w:rsidR="008E24AA" w:rsidRPr="008E24AA" w:rsidTr="008E24AA">
        <w:trPr>
          <w:trHeight w:val="43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8E24AA" w:rsidRPr="00BC1C66" w:rsidRDefault="008E24AA" w:rsidP="00A02B4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105,3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107,7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109,4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E24AA" w:rsidRPr="008E24AA" w:rsidTr="00D23397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98,8</w:t>
            </w:r>
          </w:p>
        </w:tc>
      </w:tr>
      <w:tr w:rsidR="008E24AA" w:rsidRPr="008E24AA" w:rsidTr="00D23397">
        <w:trPr>
          <w:trHeight w:val="4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88,9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88,5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115,8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117,3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107,8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8E24AA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97,5</w:t>
            </w:r>
          </w:p>
        </w:tc>
      </w:tr>
      <w:tr w:rsidR="008E24AA" w:rsidRPr="008E24AA" w:rsidTr="008E24AA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97,2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97,7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</w:tr>
      <w:tr w:rsidR="008E24AA" w:rsidRPr="008E24AA" w:rsidTr="008E24AA">
        <w:trPr>
          <w:trHeight w:val="39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</w:tr>
      <w:tr w:rsidR="008E24AA" w:rsidRPr="008E24AA" w:rsidTr="008E24AA">
        <w:trPr>
          <w:trHeight w:val="261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</w:tr>
      <w:tr w:rsidR="008E24AA" w:rsidRPr="008E24AA" w:rsidTr="008E24AA">
        <w:trPr>
          <w:trHeight w:val="26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118,2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112,1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93,4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</w:tr>
      <w:tr w:rsidR="008E24AA" w:rsidRPr="008E24AA" w:rsidTr="00D23397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</w:tr>
      <w:tr w:rsidR="008E24AA" w:rsidRPr="008E24AA" w:rsidTr="008E24AA">
        <w:trPr>
          <w:trHeight w:val="2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E24AA" w:rsidRPr="008E24AA" w:rsidTr="008E24AA">
        <w:trPr>
          <w:trHeight w:val="3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</w:tr>
      <w:tr w:rsidR="008E24AA" w:rsidRPr="008E24AA" w:rsidTr="008E24AA">
        <w:trPr>
          <w:trHeight w:val="47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</w:tr>
      <w:tr w:rsidR="008E24AA" w:rsidRPr="008E24AA" w:rsidTr="008E24AA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</w:tr>
      <w:tr w:rsidR="008E24AA" w:rsidRPr="008E24AA" w:rsidTr="008E24AA">
        <w:trPr>
          <w:trHeight w:val="23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95,9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95,6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109,6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</w:tr>
      <w:tr w:rsidR="00430480" w:rsidRPr="008E24AA" w:rsidTr="00D23397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30480" w:rsidRPr="008E24AA" w:rsidRDefault="008E24AA" w:rsidP="008E24AA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Liquid petroleum gas and other fuels 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8E24AA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8E24AA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30480" w:rsidRPr="008E24AA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30480" w:rsidRPr="008E24AA" w:rsidRDefault="00430480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78,9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97,2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89,6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97,5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E24AA" w:rsidRPr="008E24AA" w:rsidTr="00D23397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95,2</w:t>
            </w:r>
          </w:p>
        </w:tc>
      </w:tr>
      <w:tr w:rsidR="008E24AA" w:rsidRPr="008E24AA" w:rsidTr="00D23397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E24AA" w:rsidRPr="008E24AA" w:rsidTr="00D23397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8E24AA" w:rsidRPr="008E24AA" w:rsidTr="00D23397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8E24AA" w:rsidRPr="008E24AA" w:rsidTr="00D23397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</w:tr>
      <w:tr w:rsidR="008E24AA" w:rsidRPr="008E24AA" w:rsidTr="00D23397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</w:tr>
      <w:tr w:rsidR="008E24AA" w:rsidRPr="008E24AA" w:rsidTr="00D23397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</w:tr>
      <w:tr w:rsidR="008E24AA" w:rsidRPr="008E24AA" w:rsidTr="00D23397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E24AA" w:rsidRPr="00BC1C66" w:rsidRDefault="008E24AA" w:rsidP="00A02B40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4AA" w:rsidRPr="008E24AA" w:rsidRDefault="008E24AA" w:rsidP="00D2339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E24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95,1</w:t>
            </w:r>
          </w:p>
        </w:tc>
      </w:tr>
    </w:tbl>
    <w:p w:rsidR="001A78D0" w:rsidRPr="008E24AA" w:rsidRDefault="001A78D0" w:rsidP="00430480">
      <w:pPr>
        <w:spacing w:before="0" w:after="0" w:line="240" w:lineRule="auto"/>
        <w:jc w:val="right"/>
        <w:rPr>
          <w:rFonts w:eastAsia="Times New Roman" w:cs="Arial"/>
          <w:b/>
          <w:color w:val="000000"/>
          <w:sz w:val="16"/>
          <w:szCs w:val="16"/>
          <w:highlight w:val="yellow"/>
          <w:lang w:val="en-GB" w:eastAsia="pl-PL"/>
        </w:rPr>
      </w:pPr>
    </w:p>
    <w:p w:rsidR="001A78D0" w:rsidRPr="008E24AA" w:rsidRDefault="001A78D0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p w:rsidR="001A78D0" w:rsidRPr="008E24AA" w:rsidRDefault="001A78D0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p w:rsidR="001A78D0" w:rsidRPr="008E24AA" w:rsidRDefault="001A78D0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p w:rsidR="001A78D0" w:rsidRPr="008E24AA" w:rsidRDefault="001A78D0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p w:rsidR="001A78D0" w:rsidRPr="008E24AA" w:rsidRDefault="001A78D0" w:rsidP="00516A50">
      <w:pPr>
        <w:pStyle w:val="LID"/>
        <w:rPr>
          <w:sz w:val="18"/>
          <w:shd w:val="clear" w:color="auto" w:fill="FFFFFF"/>
          <w:lang w:val="en-GB"/>
        </w:rPr>
      </w:pPr>
    </w:p>
    <w:p w:rsidR="00DF712D" w:rsidRPr="008E24AA" w:rsidRDefault="00DF712D" w:rsidP="00883763">
      <w:pPr>
        <w:spacing w:before="0" w:after="160" w:line="259" w:lineRule="auto"/>
        <w:rPr>
          <w:lang w:val="en-GB"/>
        </w:rPr>
      </w:pPr>
    </w:p>
    <w:p w:rsidR="00685123" w:rsidRPr="008E24AA" w:rsidRDefault="00685123" w:rsidP="00883763">
      <w:pPr>
        <w:spacing w:before="0" w:after="160" w:line="259" w:lineRule="auto"/>
        <w:rPr>
          <w:b/>
          <w:noProof/>
          <w:szCs w:val="19"/>
          <w:lang w:val="en-GB" w:eastAsia="pl-PL"/>
        </w:rPr>
        <w:sectPr w:rsidR="00685123" w:rsidRPr="008E24AA" w:rsidSect="00EF7B3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8E24AA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ED45B9" w:rsidTr="00EE696D">
        <w:trPr>
          <w:trHeight w:val="1912"/>
        </w:trPr>
        <w:tc>
          <w:tcPr>
            <w:tcW w:w="4379" w:type="dxa"/>
          </w:tcPr>
          <w:p w:rsidR="008E24AA" w:rsidRPr="00BC1C66" w:rsidRDefault="008E24AA" w:rsidP="008E24AA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8E24AA" w:rsidRPr="00BC1C66" w:rsidRDefault="008E24AA" w:rsidP="008E24A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BC1C66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8E24AA" w:rsidRPr="00BC1C66" w:rsidRDefault="008E24AA" w:rsidP="008E24A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BC1C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8E24AA" w:rsidRPr="00BC1C66" w:rsidRDefault="008E24AA" w:rsidP="008E24A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BC1C6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8E24AA" w:rsidRDefault="008E24AA" w:rsidP="008E24A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BC1C66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e-mail:</w:t>
            </w:r>
            <w:r w:rsidRPr="00BC1C66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1" w:history="1">
              <w:r w:rsidRPr="00BC1C66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E24AA" w:rsidRPr="00BC1C66" w:rsidRDefault="008E24AA" w:rsidP="008E24A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BC1C66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BC1C66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8E24AA" w:rsidRPr="00BC1C66" w:rsidRDefault="008E24AA" w:rsidP="008E24A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BC1C66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8E24AA" w:rsidRPr="00BC1C66" w:rsidRDefault="008E24AA" w:rsidP="008E24A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BC1C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8E24AA" w:rsidRPr="00BC1C66" w:rsidRDefault="008E24AA" w:rsidP="008E24A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BC1C66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8E24AA" w:rsidRDefault="008E24AA" w:rsidP="008E24A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BC1C66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2" w:history="1">
              <w:r w:rsidRPr="00BC1C66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8E24AA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ED45B9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8E24AA" w:rsidRPr="00BC1C66" w:rsidRDefault="008E24AA" w:rsidP="008E24AA">
            <w:pPr>
              <w:rPr>
                <w:b/>
                <w:sz w:val="20"/>
                <w:lang w:val="en-GB"/>
              </w:rPr>
            </w:pPr>
            <w:r w:rsidRPr="00BC1C66">
              <w:rPr>
                <w:b/>
                <w:sz w:val="20"/>
                <w:lang w:val="en-GB"/>
              </w:rPr>
              <w:t>Press Office</w:t>
            </w:r>
          </w:p>
          <w:p w:rsidR="008E24AA" w:rsidRPr="00BC1C66" w:rsidRDefault="00ED45B9" w:rsidP="008E24AA">
            <w:pPr>
              <w:rPr>
                <w:sz w:val="20"/>
                <w:lang w:val="en-GB"/>
              </w:rPr>
            </w:pPr>
            <w:r w:rsidRPr="00ED45B9">
              <w:rPr>
                <w:sz w:val="20"/>
                <w:lang w:val="en-GB"/>
              </w:rPr>
              <w:t>Tel:</w:t>
            </w:r>
            <w:r w:rsidR="008E24AA" w:rsidRPr="00BC1C66">
              <w:rPr>
                <w:b/>
                <w:sz w:val="20"/>
                <w:lang w:val="en-GB"/>
              </w:rPr>
              <w:t xml:space="preserve"> </w:t>
            </w:r>
            <w:r w:rsidR="008E24AA" w:rsidRPr="00BC1C66">
              <w:rPr>
                <w:sz w:val="20"/>
                <w:lang w:val="en-GB"/>
              </w:rPr>
              <w:t xml:space="preserve">+48 22 608 34 91, 22 608 38 04 </w:t>
            </w:r>
          </w:p>
          <w:p w:rsidR="000470AA" w:rsidRPr="008E24AA" w:rsidRDefault="008E24AA" w:rsidP="008E24AA">
            <w:pPr>
              <w:rPr>
                <w:b/>
                <w:color w:val="000000" w:themeColor="text1"/>
                <w:sz w:val="18"/>
                <w:lang w:val="en-GB"/>
              </w:rPr>
            </w:pPr>
            <w:r w:rsidRPr="008E24AA">
              <w:rPr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23" w:history="1">
              <w:r w:rsidRPr="008E24AA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  <w:bookmarkStart w:id="0" w:name="_GoBack"/>
            <w:bookmarkEnd w:id="0"/>
          </w:p>
        </w:tc>
        <w:tc>
          <w:tcPr>
            <w:tcW w:w="369" w:type="pct"/>
            <w:vAlign w:val="center"/>
          </w:tcPr>
          <w:p w:rsidR="000470AA" w:rsidRPr="008E24AA" w:rsidRDefault="000470AA" w:rsidP="000470AA">
            <w:pPr>
              <w:rPr>
                <w:sz w:val="18"/>
                <w:lang w:val="en-GB"/>
              </w:rPr>
            </w:pPr>
            <w:r w:rsidRPr="008E24A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9536" behindDoc="0" locked="0" layoutInCell="1" allowOverlap="1" wp14:anchorId="5AD5E8D3" wp14:editId="5B51C76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8E24AA" w:rsidRDefault="008E24AA" w:rsidP="000470AA">
            <w:pPr>
              <w:rPr>
                <w:sz w:val="18"/>
                <w:lang w:val="en-GB"/>
              </w:rPr>
            </w:pPr>
            <w:r w:rsidRPr="00BC1C66">
              <w:rPr>
                <w:sz w:val="20"/>
                <w:lang w:val="en-GB"/>
              </w:rPr>
              <w:t>www.stat.gov.pl/en/</w:t>
            </w:r>
          </w:p>
        </w:tc>
      </w:tr>
      <w:tr w:rsidR="000470AA" w:rsidRPr="008E24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8E24A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8E24AA" w:rsidRDefault="000470AA" w:rsidP="000470AA">
            <w:pPr>
              <w:rPr>
                <w:sz w:val="18"/>
                <w:lang w:val="en-GB"/>
              </w:rPr>
            </w:pPr>
            <w:r w:rsidRPr="008E24A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1584" behindDoc="0" locked="0" layoutInCell="1" allowOverlap="1" wp14:anchorId="6B5AE78C" wp14:editId="1971C3B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E24AA" w:rsidRDefault="008E24AA" w:rsidP="000470AA">
            <w:pPr>
              <w:rPr>
                <w:sz w:val="18"/>
                <w:lang w:val="en-GB"/>
              </w:rPr>
            </w:pPr>
            <w:r w:rsidRPr="00BC1C66">
              <w:rPr>
                <w:sz w:val="20"/>
                <w:lang w:val="en-GB"/>
              </w:rPr>
              <w:t>@StatPoland</w:t>
            </w:r>
          </w:p>
        </w:tc>
      </w:tr>
      <w:tr w:rsidR="000470AA" w:rsidRPr="008E24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8E24A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8E24AA" w:rsidRDefault="000470AA" w:rsidP="000470AA">
            <w:pPr>
              <w:rPr>
                <w:sz w:val="18"/>
                <w:lang w:val="en-GB"/>
              </w:rPr>
            </w:pPr>
            <w:r w:rsidRPr="008E24A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0560" behindDoc="0" locked="0" layoutInCell="1" allowOverlap="1" wp14:anchorId="3C6F40CB" wp14:editId="13156D6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E24AA" w:rsidRDefault="008E24AA" w:rsidP="000470AA">
            <w:pPr>
              <w:rPr>
                <w:sz w:val="20"/>
                <w:lang w:val="en-GB"/>
              </w:rPr>
            </w:pPr>
            <w:r w:rsidRPr="00BC1C66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8E24AA" w:rsidRDefault="00220395" w:rsidP="00E76D26">
      <w:pPr>
        <w:rPr>
          <w:sz w:val="18"/>
          <w:lang w:val="en-GB"/>
        </w:rPr>
      </w:pPr>
      <w:r>
        <w:rPr>
          <w:noProof/>
          <w:sz w:val="18"/>
          <w:highlight w:val="yellow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 style="mso-next-textbox:#_x0000_s1030">
              <w:txbxContent>
                <w:p w:rsidR="00A02B40" w:rsidRDefault="00A02B40" w:rsidP="00883763">
                  <w:pPr>
                    <w:rPr>
                      <w:b/>
                    </w:rPr>
                  </w:pPr>
                </w:p>
                <w:p w:rsidR="00A02B40" w:rsidRPr="00FA7BB3" w:rsidRDefault="00A02B40" w:rsidP="008E24AA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A02B40" w:rsidRPr="00FA7BB3" w:rsidRDefault="00220395" w:rsidP="008E24A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7" w:history="1">
                    <w:r w:rsidR="00A02B40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A02B40" w:rsidRPr="00FA7BB3" w:rsidRDefault="00220395" w:rsidP="008E24A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8" w:history="1">
                    <w:r w:rsidR="00A02B40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A02B40" w:rsidRPr="00FA7BB3" w:rsidRDefault="00A02B40" w:rsidP="008E24AA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A02B40" w:rsidRPr="00FA7BB3" w:rsidRDefault="00A02B40" w:rsidP="008E24AA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A02B40" w:rsidRPr="00C3205E" w:rsidRDefault="00220395" w:rsidP="008E24A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9" w:history="1">
                    <w:r w:rsidR="00A02B4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A02B40" w:rsidRPr="00C3205E" w:rsidRDefault="00220395" w:rsidP="008E24A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0" w:history="1">
                    <w:r w:rsidR="00A02B4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A02B40" w:rsidRPr="00C3205E" w:rsidRDefault="00220395" w:rsidP="008E24A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 w:rsidR="00A02B4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A02B40" w:rsidRPr="00C3205E" w:rsidRDefault="00220395" w:rsidP="008E24A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 w:rsidR="00A02B40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A02B40" w:rsidRPr="00C3205E" w:rsidRDefault="00220395" w:rsidP="008E24A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 w:rsidR="00A02B40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A02B40" w:rsidRPr="00C3205E" w:rsidRDefault="00A02B40" w:rsidP="008E24AA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A02B40" w:rsidRPr="00BB6820" w:rsidRDefault="00A02B40" w:rsidP="008E24AA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A02B40" w:rsidRPr="00C3205E" w:rsidRDefault="00220395" w:rsidP="008E24A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 w:rsidR="00A02B4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A02B40" w:rsidRPr="00065E4D" w:rsidRDefault="00220395" w:rsidP="008E24A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5" w:history="1">
                    <w:r w:rsidR="00A02B4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8E24AA" w:rsidSect="00EF7B36">
      <w:headerReference w:type="default" r:id="rId36"/>
      <w:footerReference w:type="default" r:id="rId37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395" w:rsidRDefault="00220395" w:rsidP="000662E2">
      <w:pPr>
        <w:spacing w:after="0" w:line="240" w:lineRule="auto"/>
      </w:pPr>
      <w:r>
        <w:separator/>
      </w:r>
    </w:p>
  </w:endnote>
  <w:endnote w:type="continuationSeparator" w:id="0">
    <w:p w:rsidR="00220395" w:rsidRDefault="0022039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A02B40" w:rsidRDefault="00A02B4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5B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A02B40" w:rsidRDefault="00A02B4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5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A02B40" w:rsidRDefault="00A02B4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5B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395" w:rsidRDefault="00220395" w:rsidP="000662E2">
      <w:pPr>
        <w:spacing w:after="0" w:line="240" w:lineRule="auto"/>
      </w:pPr>
      <w:r>
        <w:separator/>
      </w:r>
    </w:p>
  </w:footnote>
  <w:footnote w:type="continuationSeparator" w:id="0">
    <w:p w:rsidR="00220395" w:rsidRDefault="0022039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40" w:rsidRDefault="00220395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A02B40" w:rsidRDefault="00A02B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40" w:rsidRDefault="00220395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rect id="Prostokąt 10" o:spid="_x0000_s2050" style="position:absolute;margin-left:411.15pt;margin-top:37.55pt;width:147.4pt;height:789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A02B40" w:rsidRPr="003C6C8D" w:rsidRDefault="00A02B40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BD6DF6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 w:rsidR="00A02B40">
      <w:rPr>
        <w:noProof/>
        <w:lang w:eastAsia="pl-PL"/>
      </w:rPr>
      <w:drawing>
        <wp:inline distT="0" distB="0" distL="0" distR="0" wp14:anchorId="4902AA2B" wp14:editId="06471E79">
          <wp:extent cx="1865630" cy="709295"/>
          <wp:effectExtent l="0" t="0" r="0" b="0"/>
          <wp:docPr id="2" name="Obraz 2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2B40" w:rsidRDefault="00220395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A02B40" w:rsidRDefault="00A02B40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14.06.2019</w:t>
                </w:r>
              </w:p>
              <w:p w:rsidR="00A02B40" w:rsidRPr="00C97596" w:rsidRDefault="00A02B40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B40" w:rsidRDefault="00A02B40">
    <w:pPr>
      <w:pStyle w:val="Nagwek"/>
    </w:pPr>
  </w:p>
  <w:p w:rsidR="00A02B40" w:rsidRDefault="00A02B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15pt;height:125.2pt;visibility:visible" o:bullet="t">
        <v:imagedata r:id="rId1" o:title=""/>
      </v:shape>
    </w:pict>
  </w:numPicBullet>
  <w:numPicBullet w:numPicBulletId="1">
    <w:pict>
      <v:shape id="_x0000_i1029" type="#_x0000_t75" style="width:123.65pt;height:125.2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EC7"/>
    <w:rsid w:val="00001C5B"/>
    <w:rsid w:val="00003437"/>
    <w:rsid w:val="0000709F"/>
    <w:rsid w:val="000108B8"/>
    <w:rsid w:val="000152F5"/>
    <w:rsid w:val="000201FC"/>
    <w:rsid w:val="00034160"/>
    <w:rsid w:val="0004015D"/>
    <w:rsid w:val="0004582E"/>
    <w:rsid w:val="0004646A"/>
    <w:rsid w:val="000470AA"/>
    <w:rsid w:val="00057CA1"/>
    <w:rsid w:val="00065CD6"/>
    <w:rsid w:val="00065E4D"/>
    <w:rsid w:val="000662E2"/>
    <w:rsid w:val="00066883"/>
    <w:rsid w:val="00074DD8"/>
    <w:rsid w:val="000800B4"/>
    <w:rsid w:val="000806F7"/>
    <w:rsid w:val="00093E22"/>
    <w:rsid w:val="00097840"/>
    <w:rsid w:val="000A1109"/>
    <w:rsid w:val="000A3C52"/>
    <w:rsid w:val="000A6963"/>
    <w:rsid w:val="000A7F1A"/>
    <w:rsid w:val="000B0727"/>
    <w:rsid w:val="000C135D"/>
    <w:rsid w:val="000C1437"/>
    <w:rsid w:val="000D1D43"/>
    <w:rsid w:val="000D225C"/>
    <w:rsid w:val="000D2A5C"/>
    <w:rsid w:val="000E0918"/>
    <w:rsid w:val="000F2650"/>
    <w:rsid w:val="001011C3"/>
    <w:rsid w:val="001063B5"/>
    <w:rsid w:val="001073F8"/>
    <w:rsid w:val="00110D87"/>
    <w:rsid w:val="001149A1"/>
    <w:rsid w:val="00114DB9"/>
    <w:rsid w:val="00116087"/>
    <w:rsid w:val="00130296"/>
    <w:rsid w:val="00131C4F"/>
    <w:rsid w:val="00132297"/>
    <w:rsid w:val="00133A82"/>
    <w:rsid w:val="00135B65"/>
    <w:rsid w:val="00142037"/>
    <w:rsid w:val="001423B6"/>
    <w:rsid w:val="001448A7"/>
    <w:rsid w:val="00146621"/>
    <w:rsid w:val="00151CA6"/>
    <w:rsid w:val="0015302A"/>
    <w:rsid w:val="00153826"/>
    <w:rsid w:val="00162325"/>
    <w:rsid w:val="0016276D"/>
    <w:rsid w:val="00171256"/>
    <w:rsid w:val="00173547"/>
    <w:rsid w:val="001951DA"/>
    <w:rsid w:val="001A7573"/>
    <w:rsid w:val="001A78D0"/>
    <w:rsid w:val="001B0A25"/>
    <w:rsid w:val="001B389B"/>
    <w:rsid w:val="001C3269"/>
    <w:rsid w:val="001D1DB4"/>
    <w:rsid w:val="001E1D94"/>
    <w:rsid w:val="001E7DBB"/>
    <w:rsid w:val="001F60D1"/>
    <w:rsid w:val="00202F0B"/>
    <w:rsid w:val="00220395"/>
    <w:rsid w:val="002221D9"/>
    <w:rsid w:val="002268BB"/>
    <w:rsid w:val="00241C3D"/>
    <w:rsid w:val="002574F9"/>
    <w:rsid w:val="002621B1"/>
    <w:rsid w:val="00262B61"/>
    <w:rsid w:val="0026302B"/>
    <w:rsid w:val="00263A32"/>
    <w:rsid w:val="00270EE1"/>
    <w:rsid w:val="002724FF"/>
    <w:rsid w:val="00274931"/>
    <w:rsid w:val="00275FA6"/>
    <w:rsid w:val="00276811"/>
    <w:rsid w:val="00276C9A"/>
    <w:rsid w:val="00282699"/>
    <w:rsid w:val="00284E85"/>
    <w:rsid w:val="0028787C"/>
    <w:rsid w:val="00290CB6"/>
    <w:rsid w:val="002926DF"/>
    <w:rsid w:val="00296697"/>
    <w:rsid w:val="002A4D80"/>
    <w:rsid w:val="002B0472"/>
    <w:rsid w:val="002B6B12"/>
    <w:rsid w:val="002B7898"/>
    <w:rsid w:val="002D0020"/>
    <w:rsid w:val="002E6140"/>
    <w:rsid w:val="002E6985"/>
    <w:rsid w:val="002E71B6"/>
    <w:rsid w:val="002F77C8"/>
    <w:rsid w:val="00304F22"/>
    <w:rsid w:val="00305162"/>
    <w:rsid w:val="00306C7C"/>
    <w:rsid w:val="003072AC"/>
    <w:rsid w:val="00322EDD"/>
    <w:rsid w:val="00332320"/>
    <w:rsid w:val="00347D72"/>
    <w:rsid w:val="00357611"/>
    <w:rsid w:val="00367237"/>
    <w:rsid w:val="0037077F"/>
    <w:rsid w:val="00372411"/>
    <w:rsid w:val="00373882"/>
    <w:rsid w:val="00373B39"/>
    <w:rsid w:val="0038242B"/>
    <w:rsid w:val="003843DB"/>
    <w:rsid w:val="003901AC"/>
    <w:rsid w:val="00393761"/>
    <w:rsid w:val="00397D18"/>
    <w:rsid w:val="003A1B36"/>
    <w:rsid w:val="003A2F66"/>
    <w:rsid w:val="003A440F"/>
    <w:rsid w:val="003A4BD6"/>
    <w:rsid w:val="003B1454"/>
    <w:rsid w:val="003B18B6"/>
    <w:rsid w:val="003B5096"/>
    <w:rsid w:val="003C20FB"/>
    <w:rsid w:val="003C59E0"/>
    <w:rsid w:val="003C6C8D"/>
    <w:rsid w:val="003D1AEC"/>
    <w:rsid w:val="003D3B24"/>
    <w:rsid w:val="003D4F95"/>
    <w:rsid w:val="003D5F42"/>
    <w:rsid w:val="003D60A9"/>
    <w:rsid w:val="003E66EC"/>
    <w:rsid w:val="003E6F8F"/>
    <w:rsid w:val="003F4C97"/>
    <w:rsid w:val="003F7FE6"/>
    <w:rsid w:val="00400193"/>
    <w:rsid w:val="004128FD"/>
    <w:rsid w:val="0041640D"/>
    <w:rsid w:val="004212E7"/>
    <w:rsid w:val="0042446D"/>
    <w:rsid w:val="004276B0"/>
    <w:rsid w:val="00427BF8"/>
    <w:rsid w:val="00430480"/>
    <w:rsid w:val="00431C02"/>
    <w:rsid w:val="00437395"/>
    <w:rsid w:val="00445047"/>
    <w:rsid w:val="00454E14"/>
    <w:rsid w:val="004566AB"/>
    <w:rsid w:val="0045762F"/>
    <w:rsid w:val="004601AC"/>
    <w:rsid w:val="00463E39"/>
    <w:rsid w:val="004657FC"/>
    <w:rsid w:val="004733F6"/>
    <w:rsid w:val="00474E69"/>
    <w:rsid w:val="0047633E"/>
    <w:rsid w:val="00486EE6"/>
    <w:rsid w:val="00493217"/>
    <w:rsid w:val="0049621B"/>
    <w:rsid w:val="004A4C4F"/>
    <w:rsid w:val="004C1895"/>
    <w:rsid w:val="004C6D40"/>
    <w:rsid w:val="004E1862"/>
    <w:rsid w:val="004F0C3C"/>
    <w:rsid w:val="004F63FC"/>
    <w:rsid w:val="00500ABD"/>
    <w:rsid w:val="00501254"/>
    <w:rsid w:val="00501F76"/>
    <w:rsid w:val="00502E6F"/>
    <w:rsid w:val="00505A92"/>
    <w:rsid w:val="00507879"/>
    <w:rsid w:val="00511F19"/>
    <w:rsid w:val="0051646A"/>
    <w:rsid w:val="005166DE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44F6B"/>
    <w:rsid w:val="005519E7"/>
    <w:rsid w:val="005520D8"/>
    <w:rsid w:val="0055471A"/>
    <w:rsid w:val="00556CF1"/>
    <w:rsid w:val="005762A7"/>
    <w:rsid w:val="005877DE"/>
    <w:rsid w:val="005916D7"/>
    <w:rsid w:val="0059562F"/>
    <w:rsid w:val="005A2784"/>
    <w:rsid w:val="005A698C"/>
    <w:rsid w:val="005B72AA"/>
    <w:rsid w:val="005C07F4"/>
    <w:rsid w:val="005C1AF8"/>
    <w:rsid w:val="005C6457"/>
    <w:rsid w:val="005C65ED"/>
    <w:rsid w:val="005D0389"/>
    <w:rsid w:val="005D0ADA"/>
    <w:rsid w:val="005D1C04"/>
    <w:rsid w:val="005D470D"/>
    <w:rsid w:val="005D6C0F"/>
    <w:rsid w:val="005E0799"/>
    <w:rsid w:val="005E2757"/>
    <w:rsid w:val="005F4399"/>
    <w:rsid w:val="005F5A80"/>
    <w:rsid w:val="006044FF"/>
    <w:rsid w:val="00607CC5"/>
    <w:rsid w:val="006149F0"/>
    <w:rsid w:val="00614F08"/>
    <w:rsid w:val="0061655B"/>
    <w:rsid w:val="00616723"/>
    <w:rsid w:val="00627D84"/>
    <w:rsid w:val="006321A2"/>
    <w:rsid w:val="00633014"/>
    <w:rsid w:val="0063437B"/>
    <w:rsid w:val="006449AC"/>
    <w:rsid w:val="006508EE"/>
    <w:rsid w:val="006673CA"/>
    <w:rsid w:val="00673C26"/>
    <w:rsid w:val="00674A8B"/>
    <w:rsid w:val="006812AF"/>
    <w:rsid w:val="00682B23"/>
    <w:rsid w:val="0068327D"/>
    <w:rsid w:val="00683EDE"/>
    <w:rsid w:val="00685123"/>
    <w:rsid w:val="00691225"/>
    <w:rsid w:val="00694AF0"/>
    <w:rsid w:val="006953AF"/>
    <w:rsid w:val="006A4686"/>
    <w:rsid w:val="006B0E9E"/>
    <w:rsid w:val="006B208D"/>
    <w:rsid w:val="006B20B4"/>
    <w:rsid w:val="006B5AE4"/>
    <w:rsid w:val="006C0599"/>
    <w:rsid w:val="006D1507"/>
    <w:rsid w:val="006D4054"/>
    <w:rsid w:val="006D6B72"/>
    <w:rsid w:val="006E02EC"/>
    <w:rsid w:val="006E0B45"/>
    <w:rsid w:val="007059D5"/>
    <w:rsid w:val="007068BC"/>
    <w:rsid w:val="007150AC"/>
    <w:rsid w:val="007162EB"/>
    <w:rsid w:val="007211B1"/>
    <w:rsid w:val="00723B21"/>
    <w:rsid w:val="0072400B"/>
    <w:rsid w:val="00733D55"/>
    <w:rsid w:val="00740107"/>
    <w:rsid w:val="00746187"/>
    <w:rsid w:val="00750AA7"/>
    <w:rsid w:val="00750EC3"/>
    <w:rsid w:val="00752A67"/>
    <w:rsid w:val="00761070"/>
    <w:rsid w:val="0076254F"/>
    <w:rsid w:val="00776D79"/>
    <w:rsid w:val="007801F5"/>
    <w:rsid w:val="00781552"/>
    <w:rsid w:val="00783CA4"/>
    <w:rsid w:val="007842FB"/>
    <w:rsid w:val="0078488C"/>
    <w:rsid w:val="00786124"/>
    <w:rsid w:val="0078756B"/>
    <w:rsid w:val="00792E24"/>
    <w:rsid w:val="00793E5D"/>
    <w:rsid w:val="0079514B"/>
    <w:rsid w:val="007A2DC1"/>
    <w:rsid w:val="007B072B"/>
    <w:rsid w:val="007B418B"/>
    <w:rsid w:val="007B74D8"/>
    <w:rsid w:val="007D0560"/>
    <w:rsid w:val="007D164E"/>
    <w:rsid w:val="007D3319"/>
    <w:rsid w:val="007D335D"/>
    <w:rsid w:val="007E3314"/>
    <w:rsid w:val="007E4B03"/>
    <w:rsid w:val="007F324B"/>
    <w:rsid w:val="007F6677"/>
    <w:rsid w:val="007F6FCA"/>
    <w:rsid w:val="00802A9A"/>
    <w:rsid w:val="0080553C"/>
    <w:rsid w:val="00805B46"/>
    <w:rsid w:val="00812E03"/>
    <w:rsid w:val="00820461"/>
    <w:rsid w:val="00820B10"/>
    <w:rsid w:val="0082498D"/>
    <w:rsid w:val="00825DC2"/>
    <w:rsid w:val="00831172"/>
    <w:rsid w:val="00832750"/>
    <w:rsid w:val="00834AD3"/>
    <w:rsid w:val="00840AC3"/>
    <w:rsid w:val="00843795"/>
    <w:rsid w:val="00845816"/>
    <w:rsid w:val="00847F0F"/>
    <w:rsid w:val="00852448"/>
    <w:rsid w:val="00853737"/>
    <w:rsid w:val="0088258A"/>
    <w:rsid w:val="008832C4"/>
    <w:rsid w:val="00883763"/>
    <w:rsid w:val="00886332"/>
    <w:rsid w:val="008971CA"/>
    <w:rsid w:val="008A061F"/>
    <w:rsid w:val="008A1D93"/>
    <w:rsid w:val="008A21F6"/>
    <w:rsid w:val="008A26D9"/>
    <w:rsid w:val="008B4AE0"/>
    <w:rsid w:val="008C0C29"/>
    <w:rsid w:val="008C7757"/>
    <w:rsid w:val="008C7A01"/>
    <w:rsid w:val="008D233E"/>
    <w:rsid w:val="008E24AA"/>
    <w:rsid w:val="008F09EC"/>
    <w:rsid w:val="008F19C7"/>
    <w:rsid w:val="008F3638"/>
    <w:rsid w:val="008F4441"/>
    <w:rsid w:val="008F6F31"/>
    <w:rsid w:val="008F74AF"/>
    <w:rsid w:val="008F74DF"/>
    <w:rsid w:val="00901589"/>
    <w:rsid w:val="009127BA"/>
    <w:rsid w:val="00916782"/>
    <w:rsid w:val="00917CCF"/>
    <w:rsid w:val="00921BC7"/>
    <w:rsid w:val="009227A6"/>
    <w:rsid w:val="00933B26"/>
    <w:rsid w:val="00933EC1"/>
    <w:rsid w:val="00942DCA"/>
    <w:rsid w:val="009529DE"/>
    <w:rsid w:val="009530DB"/>
    <w:rsid w:val="00953676"/>
    <w:rsid w:val="00960898"/>
    <w:rsid w:val="009705EE"/>
    <w:rsid w:val="00971217"/>
    <w:rsid w:val="0097339D"/>
    <w:rsid w:val="00973755"/>
    <w:rsid w:val="00977927"/>
    <w:rsid w:val="0098135C"/>
    <w:rsid w:val="0098156A"/>
    <w:rsid w:val="00990133"/>
    <w:rsid w:val="00991BAC"/>
    <w:rsid w:val="009A5282"/>
    <w:rsid w:val="009A6EA0"/>
    <w:rsid w:val="009B1399"/>
    <w:rsid w:val="009B746F"/>
    <w:rsid w:val="009C1335"/>
    <w:rsid w:val="009C1AB2"/>
    <w:rsid w:val="009C5407"/>
    <w:rsid w:val="009C7251"/>
    <w:rsid w:val="009D1423"/>
    <w:rsid w:val="009D62E1"/>
    <w:rsid w:val="009E2E91"/>
    <w:rsid w:val="009E3BF4"/>
    <w:rsid w:val="009E3FA7"/>
    <w:rsid w:val="009E410D"/>
    <w:rsid w:val="009F5815"/>
    <w:rsid w:val="009F5AB7"/>
    <w:rsid w:val="00A01424"/>
    <w:rsid w:val="00A025B6"/>
    <w:rsid w:val="00A02B40"/>
    <w:rsid w:val="00A07F00"/>
    <w:rsid w:val="00A12435"/>
    <w:rsid w:val="00A139F5"/>
    <w:rsid w:val="00A14E0F"/>
    <w:rsid w:val="00A15942"/>
    <w:rsid w:val="00A2136A"/>
    <w:rsid w:val="00A34C24"/>
    <w:rsid w:val="00A365F4"/>
    <w:rsid w:val="00A37CE0"/>
    <w:rsid w:val="00A4480D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810F9"/>
    <w:rsid w:val="00A86219"/>
    <w:rsid w:val="00A86ECC"/>
    <w:rsid w:val="00A86FCC"/>
    <w:rsid w:val="00A93892"/>
    <w:rsid w:val="00AA710D"/>
    <w:rsid w:val="00AB077D"/>
    <w:rsid w:val="00AB6D25"/>
    <w:rsid w:val="00AC0E6A"/>
    <w:rsid w:val="00AC5AE8"/>
    <w:rsid w:val="00AD4947"/>
    <w:rsid w:val="00AD5F17"/>
    <w:rsid w:val="00AE20FD"/>
    <w:rsid w:val="00AE2D4B"/>
    <w:rsid w:val="00AE3075"/>
    <w:rsid w:val="00AE4F99"/>
    <w:rsid w:val="00AF2B1C"/>
    <w:rsid w:val="00B06265"/>
    <w:rsid w:val="00B11B69"/>
    <w:rsid w:val="00B1483F"/>
    <w:rsid w:val="00B14952"/>
    <w:rsid w:val="00B16CC5"/>
    <w:rsid w:val="00B31E5A"/>
    <w:rsid w:val="00B322EC"/>
    <w:rsid w:val="00B3441C"/>
    <w:rsid w:val="00B44575"/>
    <w:rsid w:val="00B609CE"/>
    <w:rsid w:val="00B653AB"/>
    <w:rsid w:val="00B65F9E"/>
    <w:rsid w:val="00B66B19"/>
    <w:rsid w:val="00B81E5C"/>
    <w:rsid w:val="00B83FD5"/>
    <w:rsid w:val="00B85FE4"/>
    <w:rsid w:val="00B87225"/>
    <w:rsid w:val="00B914E9"/>
    <w:rsid w:val="00B94737"/>
    <w:rsid w:val="00B956EE"/>
    <w:rsid w:val="00B97152"/>
    <w:rsid w:val="00BA2BA1"/>
    <w:rsid w:val="00BA3562"/>
    <w:rsid w:val="00BA5A42"/>
    <w:rsid w:val="00BB4F09"/>
    <w:rsid w:val="00BC17C7"/>
    <w:rsid w:val="00BD3E8D"/>
    <w:rsid w:val="00BD4E33"/>
    <w:rsid w:val="00BD6DF6"/>
    <w:rsid w:val="00BE3187"/>
    <w:rsid w:val="00BE4B65"/>
    <w:rsid w:val="00BF790C"/>
    <w:rsid w:val="00C00EDA"/>
    <w:rsid w:val="00C030DE"/>
    <w:rsid w:val="00C0442C"/>
    <w:rsid w:val="00C059EB"/>
    <w:rsid w:val="00C22105"/>
    <w:rsid w:val="00C244B6"/>
    <w:rsid w:val="00C27D75"/>
    <w:rsid w:val="00C31ADF"/>
    <w:rsid w:val="00C3702F"/>
    <w:rsid w:val="00C37E05"/>
    <w:rsid w:val="00C4500A"/>
    <w:rsid w:val="00C55C91"/>
    <w:rsid w:val="00C64A37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B0930"/>
    <w:rsid w:val="00CB38F2"/>
    <w:rsid w:val="00CC739E"/>
    <w:rsid w:val="00CD1E2E"/>
    <w:rsid w:val="00CD58B7"/>
    <w:rsid w:val="00CE10B3"/>
    <w:rsid w:val="00CE5661"/>
    <w:rsid w:val="00CE7821"/>
    <w:rsid w:val="00CF08EF"/>
    <w:rsid w:val="00CF4099"/>
    <w:rsid w:val="00CF7C68"/>
    <w:rsid w:val="00D00796"/>
    <w:rsid w:val="00D02D2C"/>
    <w:rsid w:val="00D23397"/>
    <w:rsid w:val="00D261A2"/>
    <w:rsid w:val="00D401C9"/>
    <w:rsid w:val="00D538E4"/>
    <w:rsid w:val="00D602FF"/>
    <w:rsid w:val="00D616D2"/>
    <w:rsid w:val="00D63B5F"/>
    <w:rsid w:val="00D7066F"/>
    <w:rsid w:val="00D70EF7"/>
    <w:rsid w:val="00D7664A"/>
    <w:rsid w:val="00D815F5"/>
    <w:rsid w:val="00D8397C"/>
    <w:rsid w:val="00D931B1"/>
    <w:rsid w:val="00D93DDB"/>
    <w:rsid w:val="00D94EED"/>
    <w:rsid w:val="00D96026"/>
    <w:rsid w:val="00D96D8E"/>
    <w:rsid w:val="00DA0243"/>
    <w:rsid w:val="00DA433C"/>
    <w:rsid w:val="00DA7C1C"/>
    <w:rsid w:val="00DB147A"/>
    <w:rsid w:val="00DB1B7A"/>
    <w:rsid w:val="00DB7890"/>
    <w:rsid w:val="00DB7B24"/>
    <w:rsid w:val="00DC6708"/>
    <w:rsid w:val="00DC7CFA"/>
    <w:rsid w:val="00DF712D"/>
    <w:rsid w:val="00E01436"/>
    <w:rsid w:val="00E045BD"/>
    <w:rsid w:val="00E0462D"/>
    <w:rsid w:val="00E04C82"/>
    <w:rsid w:val="00E06A15"/>
    <w:rsid w:val="00E1015F"/>
    <w:rsid w:val="00E16D62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63312"/>
    <w:rsid w:val="00E6413B"/>
    <w:rsid w:val="00E664C5"/>
    <w:rsid w:val="00E671A2"/>
    <w:rsid w:val="00E71C1D"/>
    <w:rsid w:val="00E76D26"/>
    <w:rsid w:val="00E82C7E"/>
    <w:rsid w:val="00E83CF8"/>
    <w:rsid w:val="00EA551D"/>
    <w:rsid w:val="00EA76A7"/>
    <w:rsid w:val="00EB02C9"/>
    <w:rsid w:val="00EB1390"/>
    <w:rsid w:val="00EB2C71"/>
    <w:rsid w:val="00EB4340"/>
    <w:rsid w:val="00EB4D71"/>
    <w:rsid w:val="00EB556D"/>
    <w:rsid w:val="00EB5A7D"/>
    <w:rsid w:val="00EB73D7"/>
    <w:rsid w:val="00EB7A18"/>
    <w:rsid w:val="00ED45B9"/>
    <w:rsid w:val="00ED5044"/>
    <w:rsid w:val="00ED55C0"/>
    <w:rsid w:val="00ED682B"/>
    <w:rsid w:val="00EE41D5"/>
    <w:rsid w:val="00EE4ADB"/>
    <w:rsid w:val="00EE696D"/>
    <w:rsid w:val="00EF7B36"/>
    <w:rsid w:val="00F037A4"/>
    <w:rsid w:val="00F04C11"/>
    <w:rsid w:val="00F0738D"/>
    <w:rsid w:val="00F12FEC"/>
    <w:rsid w:val="00F236DF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6662"/>
    <w:rsid w:val="00F67D8F"/>
    <w:rsid w:val="00F739B3"/>
    <w:rsid w:val="00F74B10"/>
    <w:rsid w:val="00F80247"/>
    <w:rsid w:val="00F802BE"/>
    <w:rsid w:val="00F8055B"/>
    <w:rsid w:val="00F80E93"/>
    <w:rsid w:val="00F86024"/>
    <w:rsid w:val="00F8611A"/>
    <w:rsid w:val="00F86C02"/>
    <w:rsid w:val="00F90BB1"/>
    <w:rsid w:val="00F93CA3"/>
    <w:rsid w:val="00FA5128"/>
    <w:rsid w:val="00FB42D4"/>
    <w:rsid w:val="00FB5906"/>
    <w:rsid w:val="00FB762F"/>
    <w:rsid w:val="00FC2AED"/>
    <w:rsid w:val="00FD5EA7"/>
    <w:rsid w:val="00FD6BCF"/>
    <w:rsid w:val="00FE2339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F12DEED-6866-4AD4-A3B1-6D93346E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9" Type="http://schemas.openxmlformats.org/officeDocument/2006/relationships/theme" Target="theme/theme1.xml"/><Relationship Id="rId21" Type="http://schemas.openxmlformats.org/officeDocument/2006/relationships/hyperlink" Target="mailto:a.bobel@stat.gov.pl" TargetMode="External"/><Relationship Id="rId34" Type="http://schemas.openxmlformats.org/officeDocument/2006/relationships/hyperlink" Target="http://stat.gov.pl/en/metainformations/glossary/terms-used-in-official-statistics/711,term.htm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en/topics/prices-trade/prices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footer" Target="footer2.xml"/><Relationship Id="rId29" Type="http://schemas.openxmlformats.org/officeDocument/2006/relationships/hyperlink" Target="http://swaid.stat.gov.pl/EN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en/latest-statistical-news/news-releases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bdl.stat.gov.pl/BDL/start?lang=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en/latest-statistical-news/communications-and-announcements/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en/metainformations/glossary/terms-used-in-official-statistics/32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89167926379013E-3"/>
                  <c:y val="-4.29661822314214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9.917754870193574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479438717548304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78775294601941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Transport services</c:v>
                </c:pt>
                <c:pt idx="1">
                  <c:v>Insurance</c:v>
                </c:pt>
                <c:pt idx="2">
                  <c:v>Package holidays</c:v>
                </c:pt>
                <c:pt idx="3">
                  <c:v>Garments</c:v>
                </c:pt>
                <c:pt idx="4">
                  <c:v>Fruit</c:v>
                </c:pt>
                <c:pt idx="5">
                  <c:v>Alcoholic beverages</c:v>
                </c:pt>
                <c:pt idx="6">
                  <c:v>Catering services</c:v>
                </c:pt>
                <c:pt idx="7">
                  <c:v>Fuels for personal transport equipment</c:v>
                </c:pt>
                <c:pt idx="8">
                  <c:v>Meat</c:v>
                </c:pt>
                <c:pt idx="9">
                  <c:v>Vegetables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-0.24</c:v>
                </c:pt>
                <c:pt idx="1">
                  <c:v>-0.05</c:v>
                </c:pt>
                <c:pt idx="2">
                  <c:v>-0.04</c:v>
                </c:pt>
                <c:pt idx="3">
                  <c:v>-0.02</c:v>
                </c:pt>
                <c:pt idx="4">
                  <c:v>0.03</c:v>
                </c:pt>
                <c:pt idx="5">
                  <c:v>0.03</c:v>
                </c:pt>
                <c:pt idx="6">
                  <c:v>0.03</c:v>
                </c:pt>
                <c:pt idx="7">
                  <c:v>7.0000000000000007E-2</c:v>
                </c:pt>
                <c:pt idx="8">
                  <c:v>0.12</c:v>
                </c:pt>
                <c:pt idx="9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5006400"/>
        <c:axId val="1385010208"/>
      </c:barChart>
      <c:catAx>
        <c:axId val="1385006400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385010208"/>
        <c:crossesAt val="0"/>
        <c:auto val="1"/>
        <c:lblAlgn val="ctr"/>
        <c:lblOffset val="500"/>
        <c:tickMarkSkip val="1"/>
        <c:noMultiLvlLbl val="0"/>
      </c:catAx>
      <c:valAx>
        <c:axId val="1385010208"/>
        <c:scaling>
          <c:orientation val="minMax"/>
          <c:max val="0.15000000000000002"/>
          <c:min val="-0.25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385006400"/>
        <c:crosses val="autoZero"/>
        <c:crossBetween val="between"/>
        <c:maj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5.58</c:v>
                </c:pt>
                <c:pt idx="1">
                  <c:v>6.2</c:v>
                </c:pt>
                <c:pt idx="2">
                  <c:v>1.07</c:v>
                </c:pt>
                <c:pt idx="3">
                  <c:v>6.44</c:v>
                </c:pt>
                <c:pt idx="4">
                  <c:v>4.18</c:v>
                </c:pt>
                <c:pt idx="5">
                  <c:v>10.34</c:v>
                </c:pt>
                <c:pt idx="6">
                  <c:v>5.12</c:v>
                </c:pt>
                <c:pt idx="7">
                  <c:v>5.7</c:v>
                </c:pt>
                <c:pt idx="8">
                  <c:v>19.170000000000002</c:v>
                </c:pt>
                <c:pt idx="9">
                  <c:v>4.9400000000000004</c:v>
                </c:pt>
                <c:pt idx="10">
                  <c:v>6.37</c:v>
                </c:pt>
                <c:pt idx="11">
                  <c:v>24.89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85010752"/>
        <c:axId val="1385011840"/>
      </c:barChart>
      <c:catAx>
        <c:axId val="1385010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1385011840"/>
        <c:crosses val="autoZero"/>
        <c:auto val="0"/>
        <c:lblAlgn val="ctr"/>
        <c:lblOffset val="100"/>
        <c:noMultiLvlLbl val="0"/>
      </c:catAx>
      <c:valAx>
        <c:axId val="1385011840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3850107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5.1547268853697085E-2"/>
                  <c:y val="-1.88020320560784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3468604754157208E-2"/>
                  <c:y val="4.021265703146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9105157407450573E-3"/>
                  <c:y val="2.09376599850352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825485482203E-2"/>
                  <c:y val="-3.3952322387731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742731396210287E-2"/>
                  <c:y val="2.6535834806363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271949856009622E-2"/>
                  <c:y val="3.1419014084507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78249624288E-2"/>
                  <c:y val="-3.389963621866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6652191614570462E-2"/>
                  <c:y val="4.026660890796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7014325886839452E-2"/>
                  <c:y val="3.8174915635545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493402701699026E-2"/>
                  <c:y val="5.1123537982908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157391911064197E-2"/>
                  <c:y val="-4.7849801126294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44129818074682E-2"/>
                  <c:y val="3.5723127522798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353532040570781E-2"/>
                  <c:y val="-2.453258747078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1188969545411509E-2"/>
                  <c:y val="-3.07383898441266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1531195586912756E-2"/>
                  <c:y val="3.5722728858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55310629951E-2"/>
                  <c:y val="3.594170553357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8487169322056663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7907262469916313E-2"/>
                  <c:y val="-2.88366370259392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45311606846E-2"/>
                  <c:y val="-3.3765976688492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521798318589681E-2"/>
                  <c:y val="4.5103286384976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44975042328123E-2"/>
                  <c:y val="4.4995696400626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2624873747847007E-2"/>
                  <c:y val="3.913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'M-1'!$B$26:$B$42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'M-1'!$C$26:$C$42</c:f>
              <c:numCache>
                <c:formatCode>0.0</c:formatCode>
                <c:ptCount val="17"/>
                <c:pt idx="0">
                  <c:v>0.29999999999999716</c:v>
                </c:pt>
                <c:pt idx="1">
                  <c:v>-0.2</c:v>
                </c:pt>
                <c:pt idx="2">
                  <c:v>-0.1</c:v>
                </c:pt>
                <c:pt idx="3">
                  <c:v>0.5</c:v>
                </c:pt>
                <c:pt idx="4">
                  <c:v>0.2</c:v>
                </c:pt>
                <c:pt idx="5">
                  <c:v>0.1</c:v>
                </c:pt>
                <c:pt idx="6">
                  <c:v>-0.2</c:v>
                </c:pt>
                <c:pt idx="7">
                  <c:v>0</c:v>
                </c:pt>
                <c:pt idx="8">
                  <c:v>0.2</c:v>
                </c:pt>
                <c:pt idx="9">
                  <c:v>0.4</c:v>
                </c:pt>
                <c:pt idx="10">
                  <c:v>0</c:v>
                </c:pt>
                <c:pt idx="11">
                  <c:v>0</c:v>
                </c:pt>
                <c:pt idx="12">
                  <c:v>-0.2</c:v>
                </c:pt>
                <c:pt idx="13">
                  <c:v>0.4</c:v>
                </c:pt>
                <c:pt idx="14">
                  <c:v>0.3</c:v>
                </c:pt>
                <c:pt idx="15">
                  <c:v>1.1000000000000001</c:v>
                </c:pt>
                <c:pt idx="16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4997152"/>
        <c:axId val="1385002592"/>
      </c:lineChart>
      <c:dateAx>
        <c:axId val="138499715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385002592"/>
        <c:crossesAt val="0"/>
        <c:auto val="0"/>
        <c:lblOffset val="100"/>
        <c:baseTimeUnit val="days"/>
      </c:dateAx>
      <c:valAx>
        <c:axId val="1385002592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384997152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1704921069766414E-2"/>
                  <c:y val="-3.5315118712024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5989965527966912E-2"/>
                  <c:y val="3.86861441341706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490507253446E-2"/>
                  <c:y val="3.4004800881473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61931652225E-2"/>
                  <c:y val="3.8525893278765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28038130921367E-2"/>
                  <c:y val="-4.28304765153452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763057498853536E-2"/>
                  <c:y val="-4.53497825407203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253178118390958E-2"/>
                  <c:y val="-4.6167336289177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811718631676E-2"/>
                  <c:y val="3.8254805652034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0698055750758E-2"/>
                  <c:y val="5.3279706790123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58600765206546E-2"/>
                  <c:y val="4.8326388888888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0491591462859615E-2"/>
                  <c:y val="1.808609085318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8.8267023455649088E-3"/>
                  <c:y val="1.9664405274355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0534985815849173E-2"/>
                  <c:y val="1.6314239310437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094339725730155E-2"/>
                  <c:y val="1.6826764281793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6561255563363678E-2"/>
                  <c:y val="-3.7163235961858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668228312641521E-2"/>
                  <c:y val="-3.9268578780081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56640899508083E-2"/>
                  <c:y val="-3.0284546692901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046654173498903E-2"/>
                  <c:y val="3.4065763584077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75491427736226E-2"/>
                  <c:y val="3.6513909165566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7554992812669424E-2"/>
                  <c:y val="8.95213963462064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8226731861014813E-2"/>
                  <c:y val="4.9211383118944255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(+FE)'!$B$26:$B$42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'M-12 (+FE)'!$C$26:$C$42</c:f>
              <c:numCache>
                <c:formatCode>0.0</c:formatCode>
                <c:ptCount val="17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4997696"/>
        <c:axId val="1384998240"/>
      </c:lineChart>
      <c:dateAx>
        <c:axId val="138499769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384998240"/>
        <c:crossesAt val="0"/>
        <c:auto val="0"/>
        <c:lblOffset val="100"/>
        <c:baseTimeUnit val="days"/>
      </c:dateAx>
      <c:valAx>
        <c:axId val="1384998240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38499769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m-12'!$B$27:$B$43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'CPI_HICP m-12'!$C$27:$C$43</c:f>
              <c:numCache>
                <c:formatCode>0.0</c:formatCode>
                <c:ptCount val="17"/>
                <c:pt idx="0">
                  <c:v>1.9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m-12'!$B$27:$B$43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'CPI_HICP m-12'!$E$27:$E$42</c:f>
              <c:numCache>
                <c:formatCode>0.0</c:formatCode>
                <c:ptCount val="16"/>
                <c:pt idx="0">
                  <c:v>1.6</c:v>
                </c:pt>
                <c:pt idx="1">
                  <c:v>0.7</c:v>
                </c:pt>
                <c:pt idx="2">
                  <c:v>0.7</c:v>
                </c:pt>
                <c:pt idx="3">
                  <c:v>0.9</c:v>
                </c:pt>
                <c:pt idx="4">
                  <c:v>1.2</c:v>
                </c:pt>
                <c:pt idx="5">
                  <c:v>1.4</c:v>
                </c:pt>
                <c:pt idx="6">
                  <c:v>1.4</c:v>
                </c:pt>
                <c:pt idx="7">
                  <c:v>1.4</c:v>
                </c:pt>
                <c:pt idx="8">
                  <c:v>1.5</c:v>
                </c:pt>
                <c:pt idx="9">
                  <c:v>1.5</c:v>
                </c:pt>
                <c:pt idx="10">
                  <c:v>1.1000000000000001</c:v>
                </c:pt>
                <c:pt idx="11">
                  <c:v>0.9</c:v>
                </c:pt>
                <c:pt idx="12">
                  <c:v>0.6</c:v>
                </c:pt>
                <c:pt idx="13">
                  <c:v>1.3</c:v>
                </c:pt>
                <c:pt idx="14">
                  <c:v>1.7</c:v>
                </c:pt>
                <c:pt idx="15">
                  <c:v>2.1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5004224"/>
        <c:axId val="1480303808"/>
      </c:lineChart>
      <c:catAx>
        <c:axId val="1385004224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48030380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480303808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385004224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3947030970370129"/>
          <c:y val="0.44406669789581765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0.67697</cdr:x>
      <cdr:y>0.86694</cdr:y>
    </cdr:from>
    <cdr:to>
      <cdr:x>0.67729</cdr:x>
      <cdr:y>0.94662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467823" y="2157987"/>
          <a:ext cx="1639" cy="19834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0.94141</cdr:y>
    </cdr:from>
    <cdr:to>
      <cdr:x>0.47025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122" y="2395904"/>
          <a:ext cx="2046109" cy="1318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0.30276</cdr:x>
      <cdr:y>0.93565</cdr:y>
    </cdr:from>
    <cdr:to>
      <cdr:x>0.48498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1558637" y="2375896"/>
          <a:ext cx="938133" cy="1634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0.70003</cdr:x>
      <cdr:y>0.93091</cdr:y>
    </cdr:from>
    <cdr:to>
      <cdr:x>0.93791</cdr:x>
      <cdr:y>0.99136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603897" y="2363860"/>
          <a:ext cx="1224642" cy="153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0.2682</cdr:x>
      <cdr:y>0.93137</cdr:y>
    </cdr:from>
    <cdr:to>
      <cdr:x>0.51399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1379759" y="2463344"/>
          <a:ext cx="1264484" cy="171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0.07468</cdr:x>
      <cdr:y>0.35952</cdr:y>
    </cdr:from>
    <cdr:to>
      <cdr:x>0.93475</cdr:x>
      <cdr:y>0.35954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84203" y="925461"/>
          <a:ext cx="4424691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0.07751</cdr:x>
      <cdr:y>0.55928</cdr:y>
    </cdr:from>
    <cdr:to>
      <cdr:x>0.93854</cdr:x>
      <cdr:y>0.55956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97613" y="1434144"/>
          <a:ext cx="4416849" cy="71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0.03889</cdr:x>
      <cdr:y>0.18214</cdr:y>
    </cdr:from>
    <cdr:to>
      <cdr:x>0.30745</cdr:x>
      <cdr:y>0.27845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9226" y="479742"/>
          <a:ext cx="1375711" cy="25367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0.18422</cdr:x>
      <cdr:y>0.26384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43661" y="694944"/>
          <a:ext cx="257372" cy="22705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0.38448</cdr:x>
      <cdr:y>0.14351</cdr:y>
    </cdr:from>
    <cdr:to>
      <cdr:x>0.63752</cdr:x>
      <cdr:y>0.28872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69539" y="377991"/>
          <a:ext cx="1296208" cy="3824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target</a:t>
          </a:r>
          <a:endParaRPr lang="pl-PL" sz="800" b="1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0.73966</cdr:x>
      <cdr:y>0.93187</cdr:y>
    </cdr:from>
    <cdr:to>
      <cdr:x>0.89591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805237" y="2464691"/>
          <a:ext cx="803839" cy="1673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0.57261</cdr:x>
      <cdr:y>0.15618</cdr:y>
    </cdr:from>
    <cdr:to>
      <cdr:x>0.65462</cdr:x>
      <cdr:y>0.23579</cdr:y>
    </cdr:to>
    <cdr:sp macro="" textlink="">
      <cdr:nvSpPr>
        <cdr:cNvPr id="22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933195" y="411374"/>
          <a:ext cx="420151" cy="20968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0.57165</cdr:x>
      <cdr:y>0.23587</cdr:y>
    </cdr:from>
    <cdr:to>
      <cdr:x>0.70051</cdr:x>
      <cdr:y>0.56057</cdr:y>
    </cdr:to>
    <cdr:sp macro="" textlink="">
      <cdr:nvSpPr>
        <cdr:cNvPr id="23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928328" y="621274"/>
          <a:ext cx="660091" cy="85524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0.6747</cdr:x>
      <cdr:y>0.8679</cdr:y>
    </cdr:from>
    <cdr:to>
      <cdr:x>0.67502</cdr:x>
      <cdr:y>0.9432</cdr:y>
    </cdr:to>
    <cdr:sp macro="" textlink="">
      <cdr:nvSpPr>
        <cdr:cNvPr id="19" name="Łącznik prosty 6"/>
        <cdr:cNvSpPr/>
      </cdr:nvSpPr>
      <cdr:spPr bwMode="auto">
        <a:xfrm xmlns:a="http://schemas.openxmlformats.org/drawingml/2006/main" flipV="1">
          <a:off x="3456187" y="2286033"/>
          <a:ext cx="1639" cy="19834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0.2623</cdr:x>
      <cdr:y>0.91444</cdr:y>
    </cdr:from>
    <cdr:to>
      <cdr:x>0.51856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340118" y="2354741"/>
          <a:ext cx="1309259" cy="1780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0.73923</cdr:x>
      <cdr:y>0.92137</cdr:y>
    </cdr:from>
    <cdr:to>
      <cdr:x>0.90198</cdr:x>
      <cdr:y>0.98991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3793016" y="2348344"/>
          <a:ext cx="835074" cy="1746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0.67533</cdr:x>
      <cdr:y>0.85049</cdr:y>
    </cdr:from>
    <cdr:to>
      <cdr:x>0.67565</cdr:x>
      <cdr:y>0.92893</cdr:y>
    </cdr:to>
    <cdr:sp macro="" textlink="">
      <cdr:nvSpPr>
        <cdr:cNvPr id="9" name="Łącznik prosty 6"/>
        <cdr:cNvSpPr/>
      </cdr:nvSpPr>
      <cdr:spPr bwMode="auto">
        <a:xfrm xmlns:a="http://schemas.openxmlformats.org/drawingml/2006/main" flipV="1">
          <a:off x="3459417" y="2150521"/>
          <a:ext cx="1639" cy="19834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92E3B9-01F6-488A-BC24-F00715B3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1133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indices in May 2019</dc:title>
  <dc:creator>GUS</dc:creator>
  <cp:lastPrinted>2018-12-13T13:55:00Z</cp:lastPrinted>
  <dcterms:created xsi:type="dcterms:W3CDTF">2019-05-11T08:15:00Z</dcterms:created>
  <dcterms:modified xsi:type="dcterms:W3CDTF">2019-06-14T06:02:00Z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