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23" w:rsidRPr="00BC1C66" w:rsidRDefault="00793134" w:rsidP="00685123">
      <w:pPr>
        <w:pStyle w:val="tytuinformacji"/>
        <w:rPr>
          <w:lang w:val="en-GB"/>
        </w:rPr>
      </w:pPr>
      <w:r>
        <w:rPr>
          <w:lang w:val="en-GB"/>
        </w:rPr>
        <w:t xml:space="preserve">Consumer price indices </w:t>
      </w:r>
      <w:r w:rsidR="00C61AA5" w:rsidRPr="00BC1C66">
        <w:rPr>
          <w:lang w:val="en-GB"/>
        </w:rPr>
        <w:t>in April</w:t>
      </w:r>
      <w:r w:rsidR="008971CA" w:rsidRPr="00BC1C66">
        <w:rPr>
          <w:lang w:val="en-GB"/>
        </w:rPr>
        <w:t xml:space="preserve"> 2019</w:t>
      </w:r>
    </w:p>
    <w:p w:rsidR="00AD4947" w:rsidRPr="00BC1C66" w:rsidRDefault="00AD4947" w:rsidP="00AD4947">
      <w:pPr>
        <w:pStyle w:val="tytuinformacji"/>
        <w:rPr>
          <w:sz w:val="32"/>
          <w:lang w:val="en-GB"/>
        </w:rPr>
      </w:pPr>
    </w:p>
    <w:p w:rsidR="0061655B" w:rsidRPr="00BC1C66" w:rsidRDefault="00212C24" w:rsidP="00CF08EF">
      <w:pPr>
        <w:pStyle w:val="LID"/>
        <w:rPr>
          <w:lang w:val="en-GB"/>
        </w:rPr>
      </w:pPr>
      <w:r>
        <w:rPr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0;margin-top:6.55pt;width:2in;height:82.35pt;z-index:251772928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<v:textbox style="mso-next-textbox:#Pole tekstowe 2">
              <w:txbxContent>
                <w:p w:rsidR="008B4F3F" w:rsidRPr="00A742F3" w:rsidRDefault="008B4F3F" w:rsidP="008971CA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</w:pPr>
                  <w:r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 wp14:anchorId="07B3227F" wp14:editId="7E3F24BF">
                        <wp:extent cx="334645" cy="334645"/>
                        <wp:effectExtent l="19050" t="0" r="8255" b="0"/>
                        <wp:docPr id="3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645" cy="334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742F3">
                    <w:rPr>
                      <w:noProof/>
                      <w:color w:val="001D77"/>
                      <w:lang w:val="en-US" w:eastAsia="pl-PL"/>
                    </w:rPr>
                    <w:t xml:space="preserve"> </w:t>
                  </w:r>
                  <w:r w:rsidRPr="00A742F3"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  <w:t>1,1%</w:t>
                  </w:r>
                </w:p>
                <w:p w:rsidR="008B4F3F" w:rsidRPr="00A742F3" w:rsidRDefault="008B4F3F" w:rsidP="00C61AA5">
                  <w:pPr>
                    <w:pStyle w:val="tekstnaniebieskimtle"/>
                    <w:rPr>
                      <w:lang w:val="en-US"/>
                    </w:rPr>
                  </w:pPr>
                  <w:r w:rsidRPr="00A742F3">
                    <w:rPr>
                      <w:lang w:val="en-US"/>
                    </w:rPr>
                    <w:t>an increase compared</w:t>
                  </w:r>
                </w:p>
                <w:p w:rsidR="008B4F3F" w:rsidRPr="00A742F3" w:rsidRDefault="008B4F3F" w:rsidP="00C61AA5">
                  <w:pPr>
                    <w:pStyle w:val="tekstnaniebieskimtle"/>
                    <w:rPr>
                      <w:lang w:val="en-US"/>
                    </w:rPr>
                  </w:pPr>
                  <w:r w:rsidRPr="00A742F3">
                    <w:rPr>
                      <w:lang w:val="en-US"/>
                    </w:rPr>
                    <w:t>with the previous month</w:t>
                  </w:r>
                </w:p>
                <w:p w:rsidR="008B4F3F" w:rsidRPr="00A742F3" w:rsidRDefault="008B4F3F" w:rsidP="00D538E4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  <w:lang w:val="en-US"/>
                    </w:rPr>
                  </w:pPr>
                </w:p>
              </w:txbxContent>
            </v:textbox>
            <w10:wrap type="square" anchorx="margin"/>
          </v:shape>
        </w:pict>
      </w:r>
      <w:r w:rsidR="00C61AA5" w:rsidRPr="00BC1C66">
        <w:rPr>
          <w:lang w:val="en-GB" w:eastAsia="en-GB"/>
        </w:rPr>
        <w:t>Consumer prices in April</w:t>
      </w:r>
      <w:r w:rsidR="008971CA" w:rsidRPr="00BC1C66">
        <w:rPr>
          <w:lang w:val="en-GB"/>
        </w:rPr>
        <w:t xml:space="preserve"> </w:t>
      </w:r>
      <w:r w:rsidR="00D538E4" w:rsidRPr="00BC1C66">
        <w:rPr>
          <w:lang w:val="en-GB"/>
        </w:rPr>
        <w:t>201</w:t>
      </w:r>
      <w:r w:rsidR="008971CA" w:rsidRPr="00BC1C66">
        <w:rPr>
          <w:lang w:val="en-GB"/>
        </w:rPr>
        <w:t>9</w:t>
      </w:r>
      <w:r w:rsidR="00C61AA5" w:rsidRPr="00BC1C66">
        <w:rPr>
          <w:lang w:val="en-GB"/>
        </w:rPr>
        <w:t xml:space="preserve">, as related to the previous month, </w:t>
      </w:r>
      <w:r w:rsidR="000375EC" w:rsidRPr="00BC1C66">
        <w:rPr>
          <w:lang w:val="en-GB"/>
        </w:rPr>
        <w:t xml:space="preserve">increased by </w:t>
      </w:r>
      <w:r w:rsidR="008971CA" w:rsidRPr="00BC1C66">
        <w:rPr>
          <w:lang w:val="en-GB"/>
        </w:rPr>
        <w:t>1,1%</w:t>
      </w:r>
      <w:r w:rsidR="00D538E4" w:rsidRPr="00BC1C66">
        <w:rPr>
          <w:lang w:val="en-GB"/>
        </w:rPr>
        <w:t xml:space="preserve"> (</w:t>
      </w:r>
      <w:r w:rsidR="00BC1C66">
        <w:rPr>
          <w:lang w:val="en-GB"/>
        </w:rPr>
        <w:t>with an increase of prices of </w:t>
      </w:r>
      <w:r w:rsidR="000375EC" w:rsidRPr="00BC1C66">
        <w:rPr>
          <w:lang w:val="en-GB"/>
        </w:rPr>
        <w:t>services</w:t>
      </w:r>
      <w:r w:rsidR="008971CA" w:rsidRPr="00BC1C66">
        <w:rPr>
          <w:lang w:val="en-GB"/>
        </w:rPr>
        <w:t xml:space="preserve"> –</w:t>
      </w:r>
      <w:r w:rsidR="006953AF" w:rsidRPr="00BC1C66">
        <w:rPr>
          <w:lang w:val="en-GB"/>
        </w:rPr>
        <w:t xml:space="preserve"> </w:t>
      </w:r>
      <w:r w:rsidR="000375EC" w:rsidRPr="00BC1C66">
        <w:rPr>
          <w:lang w:val="en-GB"/>
        </w:rPr>
        <w:t xml:space="preserve">by </w:t>
      </w:r>
      <w:r w:rsidR="008971CA" w:rsidRPr="00BC1C66">
        <w:rPr>
          <w:lang w:val="en-GB"/>
        </w:rPr>
        <w:t>1,6%</w:t>
      </w:r>
      <w:r w:rsidR="0078488C" w:rsidRPr="00BC1C66">
        <w:rPr>
          <w:lang w:val="en-GB"/>
        </w:rPr>
        <w:t xml:space="preserve"> </w:t>
      </w:r>
      <w:r w:rsidR="000375EC" w:rsidRPr="00BC1C66">
        <w:rPr>
          <w:lang w:val="en-GB"/>
        </w:rPr>
        <w:t>and goods – by</w:t>
      </w:r>
      <w:r w:rsidR="008971CA" w:rsidRPr="00BC1C66">
        <w:rPr>
          <w:lang w:val="en-GB"/>
        </w:rPr>
        <w:t> 0,9%</w:t>
      </w:r>
      <w:r w:rsidR="00D538E4" w:rsidRPr="00BC1C66">
        <w:rPr>
          <w:lang w:val="en-GB"/>
        </w:rPr>
        <w:t>)</w:t>
      </w:r>
      <w:r w:rsidR="009C4C77" w:rsidRPr="00BC1C66">
        <w:rPr>
          <w:lang w:val="en-GB"/>
        </w:rPr>
        <w:t>.</w:t>
      </w:r>
      <w:r w:rsidR="00917CCF" w:rsidRPr="00BC1C66">
        <w:rPr>
          <w:lang w:val="en-GB"/>
        </w:rPr>
        <w:br/>
      </w:r>
      <w:r w:rsidR="009C4C77" w:rsidRPr="00BC1C66">
        <w:rPr>
          <w:lang w:val="en-GB"/>
        </w:rPr>
        <w:t>Compared with the corresponding month of the previous year, consumer prices increased by</w:t>
      </w:r>
      <w:r w:rsidR="00D538E4" w:rsidRPr="00BC1C66">
        <w:rPr>
          <w:lang w:val="en-GB"/>
        </w:rPr>
        <w:t xml:space="preserve"> </w:t>
      </w:r>
      <w:r w:rsidR="008971CA" w:rsidRPr="00BC1C66">
        <w:rPr>
          <w:lang w:val="en-GB"/>
        </w:rPr>
        <w:t>2</w:t>
      </w:r>
      <w:r w:rsidR="00D538E4" w:rsidRPr="00BC1C66">
        <w:rPr>
          <w:lang w:val="en-GB"/>
        </w:rPr>
        <w:t>,</w:t>
      </w:r>
      <w:r w:rsidR="008971CA" w:rsidRPr="00BC1C66">
        <w:rPr>
          <w:lang w:val="en-GB"/>
        </w:rPr>
        <w:t>2</w:t>
      </w:r>
      <w:r w:rsidR="00D538E4" w:rsidRPr="00BC1C66">
        <w:rPr>
          <w:lang w:val="en-GB"/>
        </w:rPr>
        <w:t>% (</w:t>
      </w:r>
      <w:r w:rsidR="00BC1C66">
        <w:rPr>
          <w:lang w:val="en-GB"/>
        </w:rPr>
        <w:t xml:space="preserve">of which </w:t>
      </w:r>
      <w:r w:rsidR="00310F08" w:rsidRPr="00BC1C66">
        <w:rPr>
          <w:lang w:val="en-GB"/>
        </w:rPr>
        <w:t>services</w:t>
      </w:r>
      <w:r w:rsidR="006D6B72" w:rsidRPr="00BC1C66">
        <w:rPr>
          <w:lang w:val="en-GB"/>
        </w:rPr>
        <w:t xml:space="preserve"> </w:t>
      </w:r>
      <w:r w:rsidR="00D538E4" w:rsidRPr="00BC1C66">
        <w:rPr>
          <w:lang w:val="en-GB"/>
        </w:rPr>
        <w:t>–</w:t>
      </w:r>
      <w:r w:rsidR="00B94737" w:rsidRPr="00BC1C66">
        <w:rPr>
          <w:lang w:val="en-GB"/>
        </w:rPr>
        <w:t xml:space="preserve"> </w:t>
      </w:r>
      <w:r w:rsidR="00310F08" w:rsidRPr="00BC1C66">
        <w:rPr>
          <w:lang w:val="en-GB"/>
        </w:rPr>
        <w:t>by</w:t>
      </w:r>
      <w:r w:rsidR="00D538E4" w:rsidRPr="00BC1C66">
        <w:rPr>
          <w:lang w:val="en-GB"/>
        </w:rPr>
        <w:t> </w:t>
      </w:r>
      <w:r w:rsidR="008971CA" w:rsidRPr="00BC1C66">
        <w:rPr>
          <w:lang w:val="en-GB"/>
        </w:rPr>
        <w:t>3</w:t>
      </w:r>
      <w:r w:rsidR="00D538E4" w:rsidRPr="00BC1C66">
        <w:rPr>
          <w:lang w:val="en-GB"/>
        </w:rPr>
        <w:t>,</w:t>
      </w:r>
      <w:r w:rsidR="008971CA" w:rsidRPr="00BC1C66">
        <w:rPr>
          <w:lang w:val="en-GB"/>
        </w:rPr>
        <w:t>6</w:t>
      </w:r>
      <w:r w:rsidR="00D538E4" w:rsidRPr="00BC1C66">
        <w:rPr>
          <w:lang w:val="en-GB"/>
        </w:rPr>
        <w:t xml:space="preserve">% </w:t>
      </w:r>
      <w:r w:rsidR="00310F08" w:rsidRPr="00BC1C66">
        <w:rPr>
          <w:lang w:val="en-GB"/>
        </w:rPr>
        <w:t>and goods</w:t>
      </w:r>
      <w:r w:rsidR="00EB73D7" w:rsidRPr="00BC1C66">
        <w:rPr>
          <w:lang w:val="en-GB"/>
        </w:rPr>
        <w:t xml:space="preserve"> </w:t>
      </w:r>
      <w:r w:rsidR="00310F08" w:rsidRPr="00BC1C66">
        <w:rPr>
          <w:lang w:val="en-GB"/>
        </w:rPr>
        <w:t>– by</w:t>
      </w:r>
      <w:r w:rsidR="00D538E4" w:rsidRPr="00BC1C66">
        <w:rPr>
          <w:lang w:val="en-GB"/>
        </w:rPr>
        <w:t> </w:t>
      </w:r>
      <w:r w:rsidR="008971CA" w:rsidRPr="00BC1C66">
        <w:rPr>
          <w:lang w:val="en-GB"/>
        </w:rPr>
        <w:t>1,7</w:t>
      </w:r>
      <w:r w:rsidR="00D538E4" w:rsidRPr="00BC1C66">
        <w:rPr>
          <w:lang w:val="en-GB"/>
        </w:rPr>
        <w:t>%).</w:t>
      </w:r>
    </w:p>
    <w:p w:rsidR="00486EE6" w:rsidRPr="00BC1C66" w:rsidRDefault="00486EE6" w:rsidP="00CF08EF">
      <w:pPr>
        <w:pStyle w:val="LID"/>
        <w:rPr>
          <w:highlight w:val="yellow"/>
          <w:lang w:val="en-GB"/>
        </w:rPr>
      </w:pPr>
    </w:p>
    <w:tbl>
      <w:tblPr>
        <w:tblStyle w:val="Siatkatabelijasna11"/>
        <w:tblpPr w:leftFromText="141" w:rightFromText="141" w:vertAnchor="text" w:horzAnchor="margin" w:tblpY="512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018"/>
        <w:gridCol w:w="982"/>
        <w:gridCol w:w="982"/>
        <w:gridCol w:w="984"/>
        <w:gridCol w:w="1011"/>
        <w:gridCol w:w="1306"/>
      </w:tblGrid>
      <w:tr w:rsidR="003B5096" w:rsidRPr="00BC1C66" w:rsidTr="003B0043">
        <w:trPr>
          <w:cantSplit/>
          <w:trHeight w:val="367"/>
        </w:trPr>
        <w:tc>
          <w:tcPr>
            <w:tcW w:w="3018" w:type="dxa"/>
            <w:vMerge w:val="restart"/>
            <w:vAlign w:val="center"/>
          </w:tcPr>
          <w:p w:rsidR="003B5096" w:rsidRPr="00BC1C66" w:rsidRDefault="00310F08" w:rsidP="005A2784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2948" w:type="dxa"/>
            <w:gridSpan w:val="3"/>
            <w:vAlign w:val="center"/>
          </w:tcPr>
          <w:p w:rsidR="003B5096" w:rsidRPr="00BC1C66" w:rsidRDefault="00AC5AE8" w:rsidP="005A2784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IV 2019</w:t>
            </w:r>
          </w:p>
        </w:tc>
        <w:tc>
          <w:tcPr>
            <w:tcW w:w="1011" w:type="dxa"/>
          </w:tcPr>
          <w:p w:rsidR="003B5096" w:rsidRPr="00BC1C66" w:rsidRDefault="00EB73D7" w:rsidP="00AC5AE8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I-</w:t>
            </w:r>
            <w:r w:rsidR="00AC5AE8" w:rsidRPr="00BC1C66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IV</w:t>
            </w:r>
            <w:r w:rsidR="003B5096" w:rsidRPr="00BC1C66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201</w:t>
            </w:r>
            <w:r w:rsidR="00AC5AE8" w:rsidRPr="00BC1C66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9</w:t>
            </w:r>
          </w:p>
        </w:tc>
        <w:tc>
          <w:tcPr>
            <w:tcW w:w="1306" w:type="dxa"/>
            <w:vMerge w:val="restart"/>
            <w:vAlign w:val="center"/>
          </w:tcPr>
          <w:p w:rsidR="003B5096" w:rsidRPr="00BC1C66" w:rsidRDefault="00310F08" w:rsidP="005A2784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CONTRIBUTION</w:t>
            </w:r>
            <w:r w:rsidRPr="00BC1C66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br/>
              <w:t>OF CHANGES</w:t>
            </w:r>
          </w:p>
          <w:p w:rsidR="003B5096" w:rsidRPr="00BC1C66" w:rsidRDefault="00AC5AE8" w:rsidP="00153826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III 2019</w:t>
            </w:r>
            <w:r w:rsidR="003B5096" w:rsidRPr="00BC1C66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=</w:t>
            </w:r>
            <w:r w:rsidR="003B5096" w:rsidRPr="00BC1C66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br/>
              <w:t>=100</w:t>
            </w:r>
          </w:p>
        </w:tc>
      </w:tr>
      <w:tr w:rsidR="003B5096" w:rsidRPr="00BC1C66" w:rsidTr="003B0043">
        <w:trPr>
          <w:cantSplit/>
          <w:trHeight w:val="57"/>
        </w:trPr>
        <w:tc>
          <w:tcPr>
            <w:tcW w:w="3018" w:type="dxa"/>
            <w:vMerge/>
            <w:tcBorders>
              <w:bottom w:val="single" w:sz="12" w:space="0" w:color="212492"/>
            </w:tcBorders>
            <w:vAlign w:val="center"/>
          </w:tcPr>
          <w:p w:rsidR="003B5096" w:rsidRPr="00BC1C66" w:rsidRDefault="003B5096" w:rsidP="003B509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982" w:type="dxa"/>
            <w:tcBorders>
              <w:bottom w:val="single" w:sz="12" w:space="0" w:color="212492"/>
            </w:tcBorders>
            <w:vAlign w:val="center"/>
          </w:tcPr>
          <w:p w:rsidR="003B5096" w:rsidRPr="00BC1C66" w:rsidRDefault="00AC5AE8" w:rsidP="003B5096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IV 2018</w:t>
            </w:r>
            <w:r w:rsidR="003B5096" w:rsidRPr="00BC1C66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=</w:t>
            </w:r>
            <w:r w:rsidR="003B5096" w:rsidRPr="00BC1C66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br/>
              <w:t>=100</w:t>
            </w:r>
          </w:p>
        </w:tc>
        <w:tc>
          <w:tcPr>
            <w:tcW w:w="982" w:type="dxa"/>
            <w:tcBorders>
              <w:bottom w:val="single" w:sz="12" w:space="0" w:color="212492"/>
            </w:tcBorders>
            <w:vAlign w:val="center"/>
          </w:tcPr>
          <w:p w:rsidR="003B5096" w:rsidRPr="00BC1C66" w:rsidRDefault="00AC5AE8" w:rsidP="003B5096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XII 2018</w:t>
            </w:r>
            <w:r w:rsidR="003B5096" w:rsidRPr="00BC1C66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=</w:t>
            </w:r>
            <w:r w:rsidR="003B5096" w:rsidRPr="00BC1C66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br/>
              <w:t>=100</w:t>
            </w:r>
          </w:p>
        </w:tc>
        <w:tc>
          <w:tcPr>
            <w:tcW w:w="984" w:type="dxa"/>
            <w:tcBorders>
              <w:bottom w:val="single" w:sz="12" w:space="0" w:color="212492"/>
            </w:tcBorders>
            <w:vAlign w:val="center"/>
          </w:tcPr>
          <w:p w:rsidR="003B5096" w:rsidRPr="00BC1C66" w:rsidRDefault="00AC5AE8" w:rsidP="00153826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III 2019</w:t>
            </w:r>
            <w:r w:rsidR="003B5096" w:rsidRPr="00BC1C66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=</w:t>
            </w:r>
            <w:r w:rsidR="003B5096" w:rsidRPr="00BC1C66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br/>
              <w:t>=100</w:t>
            </w:r>
          </w:p>
        </w:tc>
        <w:tc>
          <w:tcPr>
            <w:tcW w:w="1011" w:type="dxa"/>
            <w:tcBorders>
              <w:bottom w:val="single" w:sz="12" w:space="0" w:color="212492"/>
            </w:tcBorders>
          </w:tcPr>
          <w:p w:rsidR="003B5096" w:rsidRPr="00BC1C66" w:rsidRDefault="00EB73D7" w:rsidP="00153826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I-</w:t>
            </w:r>
            <w:r w:rsidR="00C0442C" w:rsidRPr="00BC1C66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</w:t>
            </w:r>
            <w:r w:rsidR="00AC5AE8" w:rsidRPr="00BC1C66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V 2018</w:t>
            </w:r>
            <w:r w:rsidR="003B5096" w:rsidRPr="00BC1C66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=</w:t>
            </w:r>
            <w:r w:rsidR="003B5096" w:rsidRPr="00BC1C66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br/>
              <w:t>=100</w:t>
            </w:r>
          </w:p>
        </w:tc>
        <w:tc>
          <w:tcPr>
            <w:tcW w:w="1306" w:type="dxa"/>
            <w:vMerge/>
            <w:tcBorders>
              <w:bottom w:val="single" w:sz="12" w:space="0" w:color="212492"/>
            </w:tcBorders>
            <w:vAlign w:val="center"/>
          </w:tcPr>
          <w:p w:rsidR="003B5096" w:rsidRPr="00BC1C66" w:rsidRDefault="003B5096" w:rsidP="003B5096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highlight w:val="yellow"/>
                <w:lang w:val="en-GB"/>
              </w:rPr>
            </w:pPr>
          </w:p>
        </w:tc>
      </w:tr>
      <w:tr w:rsidR="003B0043" w:rsidRPr="00BC1C66" w:rsidTr="003B0043">
        <w:trPr>
          <w:cantSplit/>
          <w:trHeight w:val="57"/>
        </w:trPr>
        <w:tc>
          <w:tcPr>
            <w:tcW w:w="3018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3B0043" w:rsidRPr="00BC1C66" w:rsidRDefault="003B0043" w:rsidP="003B0043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982" w:type="dxa"/>
            <w:tcBorders>
              <w:top w:val="single" w:sz="12" w:space="0" w:color="212492"/>
              <w:bottom w:val="single" w:sz="4" w:space="0" w:color="212492"/>
            </w:tcBorders>
          </w:tcPr>
          <w:p w:rsidR="003B0043" w:rsidRPr="00BC1C66" w:rsidRDefault="003B0043" w:rsidP="003B0043">
            <w:pPr>
              <w:jc w:val="right"/>
              <w:rPr>
                <w:lang w:val="en-GB"/>
              </w:rPr>
            </w:pPr>
            <w:r w:rsidRPr="00BC1C66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102,2</w:t>
            </w:r>
          </w:p>
        </w:tc>
        <w:tc>
          <w:tcPr>
            <w:tcW w:w="982" w:type="dxa"/>
            <w:tcBorders>
              <w:top w:val="single" w:sz="12" w:space="0" w:color="212492"/>
              <w:bottom w:val="single" w:sz="4" w:space="0" w:color="212492"/>
            </w:tcBorders>
          </w:tcPr>
          <w:p w:rsidR="003B0043" w:rsidRPr="00BC1C66" w:rsidRDefault="003B0043" w:rsidP="003B004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101,6</w:t>
            </w:r>
          </w:p>
        </w:tc>
        <w:tc>
          <w:tcPr>
            <w:tcW w:w="984" w:type="dxa"/>
            <w:tcBorders>
              <w:top w:val="single" w:sz="12" w:space="0" w:color="212492"/>
              <w:bottom w:val="single" w:sz="4" w:space="0" w:color="212492"/>
            </w:tcBorders>
          </w:tcPr>
          <w:p w:rsidR="003B0043" w:rsidRPr="00BC1C66" w:rsidRDefault="003B0043" w:rsidP="003B004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101,1</w:t>
            </w:r>
          </w:p>
        </w:tc>
        <w:tc>
          <w:tcPr>
            <w:tcW w:w="1011" w:type="dxa"/>
            <w:tcBorders>
              <w:top w:val="single" w:sz="12" w:space="0" w:color="212492"/>
              <w:bottom w:val="single" w:sz="4" w:space="0" w:color="212492"/>
            </w:tcBorders>
          </w:tcPr>
          <w:p w:rsidR="003B0043" w:rsidRPr="00BC1C66" w:rsidRDefault="003B0043" w:rsidP="003B004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101,5</w:t>
            </w:r>
          </w:p>
        </w:tc>
        <w:tc>
          <w:tcPr>
            <w:tcW w:w="1306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3B0043" w:rsidRPr="00BC1C66" w:rsidRDefault="003B0043" w:rsidP="003B004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x</w:t>
            </w:r>
          </w:p>
        </w:tc>
      </w:tr>
      <w:tr w:rsidR="003B0043" w:rsidRPr="00BC1C66" w:rsidTr="003B0043">
        <w:trPr>
          <w:cantSplit/>
          <w:trHeight w:val="57"/>
        </w:trPr>
        <w:tc>
          <w:tcPr>
            <w:tcW w:w="30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B0043" w:rsidRPr="00BC1C66" w:rsidRDefault="003B0043" w:rsidP="003B0043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Food and non-alcoholic </w:t>
            </w:r>
            <w:r w:rsidRPr="00BC1C66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beverages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103,3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103,4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101,0</w:t>
            </w:r>
          </w:p>
        </w:tc>
        <w:tc>
          <w:tcPr>
            <w:tcW w:w="1011" w:type="dxa"/>
            <w:tcBorders>
              <w:top w:val="single" w:sz="4" w:space="0" w:color="212492"/>
              <w:bottom w:val="single" w:sz="4" w:space="0" w:color="212492"/>
            </w:tcBorders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102,2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0,26</w:t>
            </w:r>
          </w:p>
        </w:tc>
      </w:tr>
      <w:tr w:rsidR="003B0043" w:rsidRPr="00BC1C66" w:rsidTr="003B0043">
        <w:trPr>
          <w:cantSplit/>
          <w:trHeight w:val="57"/>
        </w:trPr>
        <w:tc>
          <w:tcPr>
            <w:tcW w:w="30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B0043" w:rsidRPr="00BC1C66" w:rsidRDefault="003B0043" w:rsidP="003B0043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Alcoholic beverages </w:t>
            </w:r>
            <w:r w:rsidRPr="00BC1C66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and tobacco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101,1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99,9</w:t>
            </w:r>
          </w:p>
        </w:tc>
        <w:tc>
          <w:tcPr>
            <w:tcW w:w="1011" w:type="dxa"/>
            <w:tcBorders>
              <w:top w:val="single" w:sz="4" w:space="0" w:color="212492"/>
              <w:bottom w:val="single" w:sz="4" w:space="0" w:color="212492"/>
            </w:tcBorders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101,3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-0,01</w:t>
            </w:r>
          </w:p>
        </w:tc>
      </w:tr>
      <w:tr w:rsidR="003B0043" w:rsidRPr="00BC1C66" w:rsidTr="003B0043">
        <w:trPr>
          <w:cantSplit/>
          <w:trHeight w:val="57"/>
        </w:trPr>
        <w:tc>
          <w:tcPr>
            <w:tcW w:w="30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B0043" w:rsidRPr="00BC1C66" w:rsidRDefault="003B0043" w:rsidP="003B0043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97,8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103,1</w:t>
            </w:r>
          </w:p>
        </w:tc>
        <w:tc>
          <w:tcPr>
            <w:tcW w:w="1011" w:type="dxa"/>
            <w:tcBorders>
              <w:top w:val="single" w:sz="4" w:space="0" w:color="212492"/>
              <w:bottom w:val="single" w:sz="4" w:space="0" w:color="212492"/>
            </w:tcBorders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97,3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0,15</w:t>
            </w:r>
          </w:p>
        </w:tc>
      </w:tr>
      <w:tr w:rsidR="003B0043" w:rsidRPr="00BC1C66" w:rsidTr="003B0043">
        <w:trPr>
          <w:cantSplit/>
          <w:trHeight w:val="57"/>
        </w:trPr>
        <w:tc>
          <w:tcPr>
            <w:tcW w:w="30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B0043" w:rsidRPr="00BC1C66" w:rsidRDefault="003B0043" w:rsidP="003B0043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Housing, water, electricity, </w:t>
            </w:r>
          </w:p>
          <w:p w:rsidR="003B0043" w:rsidRPr="00BC1C66" w:rsidRDefault="003B0043" w:rsidP="003B0043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gas and other fuels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101,6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1011" w:type="dxa"/>
            <w:tcBorders>
              <w:top w:val="single" w:sz="4" w:space="0" w:color="212492"/>
              <w:bottom w:val="single" w:sz="4" w:space="0" w:color="212492"/>
            </w:tcBorders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100,9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0,14</w:t>
            </w:r>
          </w:p>
        </w:tc>
      </w:tr>
      <w:tr w:rsidR="003B0043" w:rsidRPr="00BC1C66" w:rsidTr="003B0043">
        <w:trPr>
          <w:cantSplit/>
          <w:trHeight w:val="57"/>
        </w:trPr>
        <w:tc>
          <w:tcPr>
            <w:tcW w:w="30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B0043" w:rsidRPr="00BC1C66" w:rsidRDefault="003B0043" w:rsidP="003B0043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101,0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1011" w:type="dxa"/>
            <w:tcBorders>
              <w:top w:val="single" w:sz="4" w:space="0" w:color="212492"/>
              <w:bottom w:val="single" w:sz="4" w:space="0" w:color="212492"/>
            </w:tcBorders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100,9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0,01</w:t>
            </w:r>
          </w:p>
        </w:tc>
      </w:tr>
      <w:tr w:rsidR="003B0043" w:rsidRPr="00BC1C66" w:rsidTr="003B0043">
        <w:trPr>
          <w:cantSplit/>
          <w:trHeight w:val="57"/>
        </w:trPr>
        <w:tc>
          <w:tcPr>
            <w:tcW w:w="30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B0043" w:rsidRPr="00BC1C66" w:rsidRDefault="003B0043" w:rsidP="003B0043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Health 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103,0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100,9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1011" w:type="dxa"/>
            <w:tcBorders>
              <w:top w:val="single" w:sz="4" w:space="0" w:color="212492"/>
              <w:bottom w:val="single" w:sz="4" w:space="0" w:color="212492"/>
            </w:tcBorders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102,8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0,02</w:t>
            </w:r>
          </w:p>
        </w:tc>
      </w:tr>
      <w:tr w:rsidR="003B0043" w:rsidRPr="00BC1C66" w:rsidTr="003B0043">
        <w:trPr>
          <w:cantSplit/>
          <w:trHeight w:val="57"/>
        </w:trPr>
        <w:tc>
          <w:tcPr>
            <w:tcW w:w="30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B0043" w:rsidRPr="00BC1C66" w:rsidRDefault="003B0043" w:rsidP="003B0043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104,8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102,3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104,4</w:t>
            </w:r>
          </w:p>
        </w:tc>
        <w:tc>
          <w:tcPr>
            <w:tcW w:w="1011" w:type="dxa"/>
            <w:tcBorders>
              <w:top w:val="single" w:sz="4" w:space="0" w:color="212492"/>
              <w:bottom w:val="single" w:sz="4" w:space="0" w:color="212492"/>
            </w:tcBorders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103,2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0,45</w:t>
            </w:r>
          </w:p>
        </w:tc>
      </w:tr>
      <w:tr w:rsidR="003B0043" w:rsidRPr="00BC1C66" w:rsidTr="003B0043">
        <w:trPr>
          <w:cantSplit/>
          <w:trHeight w:val="57"/>
        </w:trPr>
        <w:tc>
          <w:tcPr>
            <w:tcW w:w="30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B0043" w:rsidRPr="00BC1C66" w:rsidRDefault="003B0043" w:rsidP="003B0043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98,1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102,7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011" w:type="dxa"/>
            <w:tcBorders>
              <w:top w:val="single" w:sz="4" w:space="0" w:color="212492"/>
              <w:bottom w:val="single" w:sz="4" w:space="0" w:color="212492"/>
            </w:tcBorders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97,2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0,00</w:t>
            </w:r>
          </w:p>
        </w:tc>
      </w:tr>
      <w:tr w:rsidR="003B0043" w:rsidRPr="00BC1C66" w:rsidTr="003B0043">
        <w:trPr>
          <w:cantSplit/>
          <w:trHeight w:val="57"/>
        </w:trPr>
        <w:tc>
          <w:tcPr>
            <w:tcW w:w="30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B0043" w:rsidRPr="00BC1C66" w:rsidRDefault="003B0043" w:rsidP="003B0043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102,4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102,0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1011" w:type="dxa"/>
            <w:tcBorders>
              <w:top w:val="single" w:sz="4" w:space="0" w:color="212492"/>
              <w:bottom w:val="single" w:sz="4" w:space="0" w:color="212492"/>
            </w:tcBorders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101,7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0,04</w:t>
            </w:r>
          </w:p>
        </w:tc>
      </w:tr>
      <w:tr w:rsidR="003B0043" w:rsidRPr="00BC1C66" w:rsidTr="003B0043">
        <w:trPr>
          <w:cantSplit/>
          <w:trHeight w:val="57"/>
        </w:trPr>
        <w:tc>
          <w:tcPr>
            <w:tcW w:w="30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B0043" w:rsidRPr="00BC1C66" w:rsidRDefault="003B0043" w:rsidP="003B0043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103,0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011" w:type="dxa"/>
            <w:tcBorders>
              <w:top w:val="single" w:sz="4" w:space="0" w:color="212492"/>
              <w:bottom w:val="single" w:sz="4" w:space="0" w:color="212492"/>
            </w:tcBorders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103,1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0,00</w:t>
            </w:r>
          </w:p>
        </w:tc>
      </w:tr>
      <w:tr w:rsidR="003B0043" w:rsidRPr="00BC1C66" w:rsidTr="003B0043">
        <w:trPr>
          <w:cantSplit/>
          <w:trHeight w:val="57"/>
        </w:trPr>
        <w:tc>
          <w:tcPr>
            <w:tcW w:w="30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B0043" w:rsidRPr="00BC1C66" w:rsidRDefault="003B0043" w:rsidP="003B0043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103,8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101,5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1011" w:type="dxa"/>
            <w:tcBorders>
              <w:top w:val="single" w:sz="4" w:space="0" w:color="212492"/>
              <w:bottom w:val="single" w:sz="4" w:space="0" w:color="212492"/>
            </w:tcBorders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103,5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0,02</w:t>
            </w:r>
          </w:p>
        </w:tc>
      </w:tr>
      <w:tr w:rsidR="003B0043" w:rsidRPr="00BC1C66" w:rsidTr="003B0043">
        <w:trPr>
          <w:cantSplit/>
          <w:trHeight w:val="445"/>
        </w:trPr>
        <w:tc>
          <w:tcPr>
            <w:tcW w:w="3018" w:type="dxa"/>
            <w:tcBorders>
              <w:top w:val="single" w:sz="4" w:space="0" w:color="212492"/>
              <w:bottom w:val="nil"/>
            </w:tcBorders>
            <w:vAlign w:val="center"/>
          </w:tcPr>
          <w:p w:rsidR="003B0043" w:rsidRPr="00BC1C66" w:rsidRDefault="003B0043" w:rsidP="003B0043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Miscellaneous goods and services</w:t>
            </w:r>
          </w:p>
        </w:tc>
        <w:tc>
          <w:tcPr>
            <w:tcW w:w="982" w:type="dxa"/>
            <w:tcBorders>
              <w:top w:val="single" w:sz="4" w:space="0" w:color="212492"/>
              <w:bottom w:val="nil"/>
            </w:tcBorders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101,5</w:t>
            </w:r>
          </w:p>
        </w:tc>
        <w:tc>
          <w:tcPr>
            <w:tcW w:w="982" w:type="dxa"/>
            <w:tcBorders>
              <w:top w:val="single" w:sz="4" w:space="0" w:color="212492"/>
              <w:bottom w:val="nil"/>
            </w:tcBorders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101,0</w:t>
            </w:r>
          </w:p>
        </w:tc>
        <w:tc>
          <w:tcPr>
            <w:tcW w:w="984" w:type="dxa"/>
            <w:tcBorders>
              <w:top w:val="single" w:sz="4" w:space="0" w:color="212492"/>
              <w:bottom w:val="nil"/>
            </w:tcBorders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1011" w:type="dxa"/>
            <w:tcBorders>
              <w:top w:val="single" w:sz="4" w:space="0" w:color="212492"/>
              <w:bottom w:val="nil"/>
            </w:tcBorders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100,9</w:t>
            </w:r>
          </w:p>
        </w:tc>
        <w:tc>
          <w:tcPr>
            <w:tcW w:w="1306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3B0043" w:rsidRPr="00BC1C66" w:rsidRDefault="003B0043" w:rsidP="003B0043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0,04</w:t>
            </w:r>
          </w:p>
        </w:tc>
      </w:tr>
    </w:tbl>
    <w:p w:rsidR="00AD4947" w:rsidRPr="00BC1C66" w:rsidRDefault="00310F08" w:rsidP="00D538E4">
      <w:pPr>
        <w:pStyle w:val="tytuwykresu"/>
        <w:rPr>
          <w:lang w:val="en-GB"/>
        </w:rPr>
      </w:pPr>
      <w:r w:rsidRPr="00BC1C66">
        <w:rPr>
          <w:lang w:val="en-GB"/>
        </w:rPr>
        <w:t>Table 1. Consumer price indices in April 2</w:t>
      </w:r>
      <w:r w:rsidR="00AC5AE8" w:rsidRPr="00BC1C66">
        <w:rPr>
          <w:lang w:val="en-GB"/>
        </w:rPr>
        <w:t>019</w:t>
      </w:r>
    </w:p>
    <w:p w:rsidR="00C27D75" w:rsidRPr="00BC1C66" w:rsidRDefault="006B20B4" w:rsidP="00C27D75">
      <w:pPr>
        <w:rPr>
          <w:rFonts w:ascii="Fira Sans SemiBold" w:eastAsia="Times New Roman" w:hAnsi="Fira Sans SemiBold" w:cs="Times New Roman"/>
          <w:color w:val="001D77"/>
          <w:szCs w:val="24"/>
          <w:highlight w:val="yellow"/>
          <w:shd w:val="clear" w:color="auto" w:fill="FFFFFF"/>
          <w:lang w:val="en-GB" w:eastAsia="pl-PL"/>
        </w:rPr>
      </w:pPr>
      <w:r w:rsidRPr="00BC1C66">
        <w:rPr>
          <w:highlight w:val="yellow"/>
          <w:shd w:val="clear" w:color="auto" w:fill="FFFFFF"/>
          <w:lang w:val="en-GB"/>
        </w:rPr>
        <w:t xml:space="preserve"> </w:t>
      </w:r>
      <w:r w:rsidR="00C27D75" w:rsidRPr="00BC1C66">
        <w:rPr>
          <w:highlight w:val="yellow"/>
          <w:shd w:val="clear" w:color="auto" w:fill="FFFFFF"/>
          <w:lang w:val="en-GB"/>
        </w:rPr>
        <w:br w:type="page"/>
      </w:r>
    </w:p>
    <w:p w:rsidR="00A07F00" w:rsidRPr="00BC1C66" w:rsidRDefault="00813E56" w:rsidP="00C27D75">
      <w:pPr>
        <w:pStyle w:val="Nagwek1"/>
        <w:spacing w:before="120" w:line="240" w:lineRule="exact"/>
        <w:rPr>
          <w:lang w:val="en-GB"/>
        </w:rPr>
      </w:pPr>
      <w:r w:rsidRPr="00BC1C66">
        <w:rPr>
          <w:shd w:val="clear" w:color="auto" w:fill="FFFFFF"/>
          <w:lang w:val="en-GB"/>
        </w:rPr>
        <w:lastRenderedPageBreak/>
        <w:t>Contribution of price changes to the total consumer price index</w:t>
      </w:r>
    </w:p>
    <w:p w:rsidR="00A07F00" w:rsidRPr="00BC1C66" w:rsidRDefault="004C0D4D" w:rsidP="00CD5ABC">
      <w:pPr>
        <w:rPr>
          <w:lang w:val="en-GB"/>
        </w:rPr>
      </w:pPr>
      <w:r w:rsidRPr="00BC1C66">
        <w:rPr>
          <w:lang w:val="en-GB"/>
        </w:rPr>
        <w:t>In April of the current year, compared with the previous month, the highest contribution to the total consumer price index came from higher prices related to Transport (by</w:t>
      </w:r>
      <w:r w:rsidR="00A07F00" w:rsidRPr="00BC1C66">
        <w:rPr>
          <w:lang w:val="en-GB"/>
        </w:rPr>
        <w:t> </w:t>
      </w:r>
      <w:r w:rsidR="00832750" w:rsidRPr="00BC1C66">
        <w:rPr>
          <w:lang w:val="en-GB"/>
        </w:rPr>
        <w:t>4</w:t>
      </w:r>
      <w:r w:rsidR="0078488C" w:rsidRPr="00BC1C66">
        <w:rPr>
          <w:lang w:val="en-GB"/>
        </w:rPr>
        <w:t>,</w:t>
      </w:r>
      <w:r w:rsidR="00832750" w:rsidRPr="00BC1C66">
        <w:rPr>
          <w:lang w:val="en-GB"/>
        </w:rPr>
        <w:t>4</w:t>
      </w:r>
      <w:r w:rsidR="00A07F00" w:rsidRPr="00BC1C66">
        <w:rPr>
          <w:lang w:val="en-GB"/>
        </w:rPr>
        <w:t>%)</w:t>
      </w:r>
      <w:r w:rsidR="006953AF" w:rsidRPr="00BC1C66">
        <w:rPr>
          <w:lang w:val="en-GB"/>
        </w:rPr>
        <w:t xml:space="preserve"> </w:t>
      </w:r>
      <w:r w:rsidRPr="00BC1C66">
        <w:rPr>
          <w:lang w:val="en-GB"/>
        </w:rPr>
        <w:t xml:space="preserve">and </w:t>
      </w:r>
      <w:r w:rsidR="00713F97" w:rsidRPr="00BC1C66">
        <w:rPr>
          <w:lang w:val="en-GB"/>
        </w:rPr>
        <w:t>Food (by</w:t>
      </w:r>
      <w:r w:rsidR="005519E7" w:rsidRPr="00BC1C66">
        <w:rPr>
          <w:lang w:val="en-GB"/>
        </w:rPr>
        <w:t xml:space="preserve"> 1</w:t>
      </w:r>
      <w:r w:rsidR="008F74AF" w:rsidRPr="00BC1C66">
        <w:rPr>
          <w:lang w:val="en-GB"/>
        </w:rPr>
        <w:t>,</w:t>
      </w:r>
      <w:r w:rsidR="005519E7" w:rsidRPr="00BC1C66">
        <w:rPr>
          <w:lang w:val="en-GB"/>
        </w:rPr>
        <w:t>2</w:t>
      </w:r>
      <w:r w:rsidR="008F74AF" w:rsidRPr="00BC1C66">
        <w:rPr>
          <w:lang w:val="en-GB"/>
        </w:rPr>
        <w:t xml:space="preserve">%), </w:t>
      </w:r>
      <w:r w:rsidR="00BC1C66" w:rsidRPr="00BC1C66">
        <w:rPr>
          <w:lang w:val="en-GB"/>
        </w:rPr>
        <w:t>which</w:t>
      </w:r>
      <w:r w:rsidR="00713F97" w:rsidRPr="00BC1C66">
        <w:rPr>
          <w:lang w:val="en-GB"/>
        </w:rPr>
        <w:t xml:space="preserve"> increased the index by</w:t>
      </w:r>
      <w:r w:rsidR="00501254" w:rsidRPr="00BC1C66">
        <w:rPr>
          <w:lang w:val="en-GB"/>
        </w:rPr>
        <w:t> </w:t>
      </w:r>
      <w:r w:rsidR="00A07F00" w:rsidRPr="00BC1C66">
        <w:rPr>
          <w:lang w:val="en-GB"/>
        </w:rPr>
        <w:t>0,</w:t>
      </w:r>
      <w:r w:rsidR="005519E7" w:rsidRPr="00BC1C66">
        <w:rPr>
          <w:lang w:val="en-GB"/>
        </w:rPr>
        <w:t>45</w:t>
      </w:r>
      <w:r w:rsidR="00674A8B" w:rsidRPr="00BC1C66">
        <w:rPr>
          <w:lang w:val="en-GB"/>
        </w:rPr>
        <w:t xml:space="preserve"> p</w:t>
      </w:r>
      <w:r w:rsidR="00713F97" w:rsidRPr="00BC1C66">
        <w:rPr>
          <w:lang w:val="en-GB"/>
        </w:rPr>
        <w:t>p</w:t>
      </w:r>
      <w:r w:rsidR="005519E7" w:rsidRPr="00BC1C66">
        <w:rPr>
          <w:lang w:val="en-GB"/>
        </w:rPr>
        <w:t xml:space="preserve"> </w:t>
      </w:r>
      <w:r w:rsidR="00713F97" w:rsidRPr="00BC1C66">
        <w:rPr>
          <w:lang w:val="en-GB"/>
        </w:rPr>
        <w:t>and</w:t>
      </w:r>
      <w:r w:rsidR="005519E7" w:rsidRPr="00BC1C66">
        <w:rPr>
          <w:lang w:val="en-GB"/>
        </w:rPr>
        <w:t xml:space="preserve"> </w:t>
      </w:r>
      <w:r w:rsidR="00CE10B3" w:rsidRPr="00BC1C66">
        <w:rPr>
          <w:lang w:val="en-GB"/>
        </w:rPr>
        <w:t>0,28 p</w:t>
      </w:r>
      <w:r w:rsidR="00713F97" w:rsidRPr="00BC1C66">
        <w:rPr>
          <w:lang w:val="en-GB"/>
        </w:rPr>
        <w:t>p, respectively</w:t>
      </w:r>
      <w:r w:rsidR="005519E7" w:rsidRPr="00BC1C66">
        <w:rPr>
          <w:lang w:val="en-GB"/>
        </w:rPr>
        <w:t>.</w:t>
      </w:r>
      <w:r w:rsidR="00E63312" w:rsidRPr="00BC1C66">
        <w:rPr>
          <w:lang w:val="en-GB"/>
        </w:rPr>
        <w:t xml:space="preserve"> </w:t>
      </w:r>
      <w:r w:rsidR="00CD5ABC" w:rsidRPr="00BC1C66">
        <w:rPr>
          <w:lang w:val="en-GB"/>
        </w:rPr>
        <w:t>Lower prices of Alcoholic beverages and tobacco</w:t>
      </w:r>
      <w:r w:rsidR="0078488C" w:rsidRPr="00BC1C66">
        <w:rPr>
          <w:lang w:val="en-GB"/>
        </w:rPr>
        <w:t xml:space="preserve"> </w:t>
      </w:r>
      <w:r w:rsidR="00CD5ABC" w:rsidRPr="00BC1C66">
        <w:rPr>
          <w:lang w:val="en-GB"/>
        </w:rPr>
        <w:t>(by</w:t>
      </w:r>
      <w:r w:rsidR="00A07F00" w:rsidRPr="00BC1C66">
        <w:rPr>
          <w:lang w:val="en-GB"/>
        </w:rPr>
        <w:t xml:space="preserve"> </w:t>
      </w:r>
      <w:r w:rsidR="00750EC3" w:rsidRPr="00BC1C66">
        <w:rPr>
          <w:lang w:val="en-GB"/>
        </w:rPr>
        <w:t>0,1</w:t>
      </w:r>
      <w:r w:rsidR="00A07F00" w:rsidRPr="00BC1C66">
        <w:rPr>
          <w:lang w:val="en-GB"/>
        </w:rPr>
        <w:t>%)</w:t>
      </w:r>
      <w:r w:rsidR="001B0A25" w:rsidRPr="00BC1C66">
        <w:rPr>
          <w:lang w:val="en-GB"/>
        </w:rPr>
        <w:t xml:space="preserve"> </w:t>
      </w:r>
      <w:r w:rsidR="00CD5ABC" w:rsidRPr="00BC1C66">
        <w:rPr>
          <w:lang w:val="en-GB"/>
        </w:rPr>
        <w:t>decreased the index by</w:t>
      </w:r>
      <w:r w:rsidR="00A07F00" w:rsidRPr="00BC1C66">
        <w:rPr>
          <w:lang w:val="en-GB"/>
        </w:rPr>
        <w:t xml:space="preserve"> 0,</w:t>
      </w:r>
      <w:r w:rsidR="00750EC3" w:rsidRPr="00BC1C66">
        <w:rPr>
          <w:lang w:val="en-GB"/>
        </w:rPr>
        <w:t>01</w:t>
      </w:r>
      <w:r w:rsidR="00A07F00" w:rsidRPr="00BC1C66">
        <w:rPr>
          <w:lang w:val="en-GB"/>
        </w:rPr>
        <w:t xml:space="preserve"> </w:t>
      </w:r>
      <w:r w:rsidR="00173547" w:rsidRPr="00BC1C66">
        <w:rPr>
          <w:lang w:val="en-GB"/>
        </w:rPr>
        <w:t>p</w:t>
      </w:r>
      <w:r w:rsidR="00CD5ABC" w:rsidRPr="00BC1C66">
        <w:rPr>
          <w:lang w:val="en-GB"/>
        </w:rPr>
        <w:t>p</w:t>
      </w:r>
      <w:r w:rsidR="0078488C" w:rsidRPr="00BC1C66">
        <w:rPr>
          <w:b/>
          <w:lang w:val="en-GB"/>
        </w:rPr>
        <w:t>.</w:t>
      </w:r>
      <w:r w:rsidR="00917CCF" w:rsidRPr="00BC1C66">
        <w:rPr>
          <w:b/>
          <w:lang w:val="en-GB"/>
        </w:rPr>
        <w:br/>
      </w:r>
      <w:r w:rsidR="00CD5ABC" w:rsidRPr="00BC1C66">
        <w:rPr>
          <w:lang w:val="en-GB"/>
        </w:rPr>
        <w:t>Compared with the corresponding month of the previ</w:t>
      </w:r>
      <w:r w:rsidR="00BC1C66">
        <w:rPr>
          <w:lang w:val="en-GB"/>
        </w:rPr>
        <w:t>ous year, higher prices of Food (</w:t>
      </w:r>
      <w:r w:rsidR="00991E1A" w:rsidRPr="00BC1C66">
        <w:rPr>
          <w:lang w:val="en-GB"/>
        </w:rPr>
        <w:t>by</w:t>
      </w:r>
      <w:r w:rsidR="00A07F00" w:rsidRPr="00BC1C66">
        <w:rPr>
          <w:lang w:val="en-GB"/>
        </w:rPr>
        <w:t> </w:t>
      </w:r>
      <w:r w:rsidR="00750EC3" w:rsidRPr="00BC1C66">
        <w:rPr>
          <w:lang w:val="en-GB"/>
        </w:rPr>
        <w:t>3,6</w:t>
      </w:r>
      <w:r w:rsidR="0015302A" w:rsidRPr="00BC1C66">
        <w:rPr>
          <w:lang w:val="en-GB"/>
        </w:rPr>
        <w:t>%)</w:t>
      </w:r>
      <w:r w:rsidR="0028787C" w:rsidRPr="00BC1C66">
        <w:rPr>
          <w:lang w:val="en-GB"/>
        </w:rPr>
        <w:t> </w:t>
      </w:r>
      <w:r w:rsidR="00991E1A" w:rsidRPr="00BC1C66">
        <w:rPr>
          <w:lang w:val="en-GB"/>
        </w:rPr>
        <w:t>and</w:t>
      </w:r>
      <w:r w:rsidR="0028787C" w:rsidRPr="00BC1C66">
        <w:rPr>
          <w:lang w:val="en-GB"/>
        </w:rPr>
        <w:t> </w:t>
      </w:r>
      <w:r w:rsidR="00991E1A" w:rsidRPr="00BC1C66">
        <w:rPr>
          <w:lang w:val="en-GB"/>
        </w:rPr>
        <w:t>related to T</w:t>
      </w:r>
      <w:r w:rsidR="00750EC3" w:rsidRPr="00BC1C66">
        <w:rPr>
          <w:lang w:val="en-GB"/>
        </w:rPr>
        <w:t>ransport</w:t>
      </w:r>
      <w:r w:rsidR="00A07F00" w:rsidRPr="00BC1C66">
        <w:rPr>
          <w:lang w:val="en-GB"/>
        </w:rPr>
        <w:t xml:space="preserve"> </w:t>
      </w:r>
      <w:r w:rsidR="00991E1A" w:rsidRPr="00BC1C66">
        <w:rPr>
          <w:lang w:val="en-GB"/>
        </w:rPr>
        <w:t>(by</w:t>
      </w:r>
      <w:r w:rsidR="009D1423" w:rsidRPr="00BC1C66">
        <w:rPr>
          <w:lang w:val="en-GB"/>
        </w:rPr>
        <w:t xml:space="preserve"> </w:t>
      </w:r>
      <w:r w:rsidR="00750EC3" w:rsidRPr="00BC1C66">
        <w:rPr>
          <w:lang w:val="en-GB"/>
        </w:rPr>
        <w:t>4</w:t>
      </w:r>
      <w:r w:rsidR="009D1423" w:rsidRPr="00BC1C66">
        <w:rPr>
          <w:lang w:val="en-GB"/>
        </w:rPr>
        <w:t xml:space="preserve">,8%) </w:t>
      </w:r>
      <w:r w:rsidR="00991E1A" w:rsidRPr="00BC1C66">
        <w:rPr>
          <w:lang w:val="en-GB"/>
        </w:rPr>
        <w:t>increased the consumer price index by</w:t>
      </w:r>
      <w:r w:rsidR="00A07F00" w:rsidRPr="00BC1C66">
        <w:rPr>
          <w:lang w:val="en-GB"/>
        </w:rPr>
        <w:t> 0,</w:t>
      </w:r>
      <w:r w:rsidR="00750EC3" w:rsidRPr="00BC1C66">
        <w:rPr>
          <w:lang w:val="en-GB"/>
        </w:rPr>
        <w:t>81</w:t>
      </w:r>
      <w:r w:rsidR="00A07F00" w:rsidRPr="00BC1C66">
        <w:rPr>
          <w:lang w:val="en-GB"/>
        </w:rPr>
        <w:t xml:space="preserve"> </w:t>
      </w:r>
      <w:r w:rsidR="00991E1A" w:rsidRPr="00BC1C66">
        <w:rPr>
          <w:lang w:val="en-GB"/>
        </w:rPr>
        <w:t>p</w:t>
      </w:r>
      <w:r w:rsidR="00A07F00" w:rsidRPr="00BC1C66">
        <w:rPr>
          <w:lang w:val="en-GB"/>
        </w:rPr>
        <w:t>p.</w:t>
      </w:r>
      <w:r w:rsidR="00991E1A" w:rsidRPr="00BC1C66">
        <w:rPr>
          <w:lang w:val="en-GB"/>
        </w:rPr>
        <w:t xml:space="preserve"> and </w:t>
      </w:r>
      <w:r w:rsidR="00A07F00" w:rsidRPr="00BC1C66">
        <w:rPr>
          <w:lang w:val="en-GB"/>
        </w:rPr>
        <w:t>0,</w:t>
      </w:r>
      <w:r w:rsidR="00674A8B" w:rsidRPr="00BC1C66">
        <w:rPr>
          <w:lang w:val="en-GB"/>
        </w:rPr>
        <w:t>4</w:t>
      </w:r>
      <w:r w:rsidR="00750EC3" w:rsidRPr="00BC1C66">
        <w:rPr>
          <w:lang w:val="en-GB"/>
        </w:rPr>
        <w:t>9</w:t>
      </w:r>
      <w:r w:rsidR="003C20FB" w:rsidRPr="00BC1C66">
        <w:rPr>
          <w:lang w:val="en-GB"/>
        </w:rPr>
        <w:t xml:space="preserve"> </w:t>
      </w:r>
      <w:r w:rsidR="00991E1A" w:rsidRPr="00BC1C66">
        <w:rPr>
          <w:lang w:val="en-GB"/>
        </w:rPr>
        <w:t>pp., respectively</w:t>
      </w:r>
      <w:r w:rsidR="00A07F00" w:rsidRPr="00BC1C66">
        <w:rPr>
          <w:lang w:val="en-GB"/>
        </w:rPr>
        <w:t xml:space="preserve">. </w:t>
      </w:r>
      <w:r w:rsidR="00991E1A" w:rsidRPr="00BC1C66">
        <w:rPr>
          <w:lang w:val="en-GB"/>
        </w:rPr>
        <w:t>Lower prices of Clothing and footwear (by</w:t>
      </w:r>
      <w:r w:rsidR="00544F6B" w:rsidRPr="00BC1C66">
        <w:rPr>
          <w:lang w:val="en-GB"/>
        </w:rPr>
        <w:t xml:space="preserve"> </w:t>
      </w:r>
      <w:r w:rsidR="006953AF" w:rsidRPr="00BC1C66">
        <w:rPr>
          <w:lang w:val="en-GB"/>
        </w:rPr>
        <w:t>2,2</w:t>
      </w:r>
      <w:r w:rsidR="00544F6B" w:rsidRPr="00BC1C66">
        <w:rPr>
          <w:lang w:val="en-GB"/>
        </w:rPr>
        <w:t xml:space="preserve">%) </w:t>
      </w:r>
      <w:r w:rsidR="00991E1A" w:rsidRPr="00BC1C66">
        <w:rPr>
          <w:lang w:val="en-GB"/>
        </w:rPr>
        <w:t>and related to Communication (by</w:t>
      </w:r>
      <w:r w:rsidR="00A07F00" w:rsidRPr="00BC1C66">
        <w:rPr>
          <w:lang w:val="en-GB"/>
        </w:rPr>
        <w:t xml:space="preserve"> </w:t>
      </w:r>
      <w:r w:rsidR="0028787C" w:rsidRPr="00BC1C66">
        <w:rPr>
          <w:lang w:val="en-GB"/>
        </w:rPr>
        <w:t>1</w:t>
      </w:r>
      <w:r w:rsidR="00544F6B" w:rsidRPr="00BC1C66">
        <w:rPr>
          <w:lang w:val="en-GB"/>
        </w:rPr>
        <w:t>,</w:t>
      </w:r>
      <w:r w:rsidR="0028787C" w:rsidRPr="00BC1C66">
        <w:rPr>
          <w:lang w:val="en-GB"/>
        </w:rPr>
        <w:t>9</w:t>
      </w:r>
      <w:r w:rsidR="00674A8B" w:rsidRPr="00BC1C66">
        <w:rPr>
          <w:lang w:val="en-GB"/>
        </w:rPr>
        <w:t xml:space="preserve">%) </w:t>
      </w:r>
      <w:r w:rsidR="00991E1A" w:rsidRPr="00BC1C66">
        <w:rPr>
          <w:lang w:val="en-GB"/>
        </w:rPr>
        <w:t xml:space="preserve">decreased the index </w:t>
      </w:r>
      <w:r w:rsidR="009C345F" w:rsidRPr="00BC1C66">
        <w:rPr>
          <w:lang w:val="en-GB"/>
        </w:rPr>
        <w:t>by</w:t>
      </w:r>
      <w:r w:rsidR="00A07F00" w:rsidRPr="00BC1C66">
        <w:rPr>
          <w:lang w:val="en-GB"/>
        </w:rPr>
        <w:t xml:space="preserve"> 0,</w:t>
      </w:r>
      <w:r w:rsidR="0028787C" w:rsidRPr="00BC1C66">
        <w:rPr>
          <w:lang w:val="en-GB"/>
        </w:rPr>
        <w:t>11</w:t>
      </w:r>
      <w:r w:rsidR="00D401C9" w:rsidRPr="00BC1C66">
        <w:rPr>
          <w:lang w:val="en-GB"/>
        </w:rPr>
        <w:t xml:space="preserve"> </w:t>
      </w:r>
      <w:r w:rsidR="009C345F" w:rsidRPr="00BC1C66">
        <w:rPr>
          <w:lang w:val="en-GB"/>
        </w:rPr>
        <w:t>p</w:t>
      </w:r>
      <w:r w:rsidR="00D401C9" w:rsidRPr="00BC1C66">
        <w:rPr>
          <w:lang w:val="en-GB"/>
        </w:rPr>
        <w:t>p.</w:t>
      </w:r>
      <w:r w:rsidR="009C345F" w:rsidRPr="00BC1C66">
        <w:rPr>
          <w:lang w:val="en-GB"/>
        </w:rPr>
        <w:t xml:space="preserve"> and </w:t>
      </w:r>
      <w:r w:rsidR="0028787C" w:rsidRPr="00BC1C66">
        <w:rPr>
          <w:lang w:val="en-GB"/>
        </w:rPr>
        <w:t>0,08</w:t>
      </w:r>
      <w:r w:rsidR="00544F6B" w:rsidRPr="00BC1C66">
        <w:rPr>
          <w:lang w:val="en-GB"/>
        </w:rPr>
        <w:t xml:space="preserve"> </w:t>
      </w:r>
      <w:r w:rsidR="009C345F" w:rsidRPr="00BC1C66">
        <w:rPr>
          <w:lang w:val="en-GB"/>
        </w:rPr>
        <w:t>pp., respectively</w:t>
      </w:r>
      <w:r w:rsidR="00544F6B" w:rsidRPr="00BC1C66">
        <w:rPr>
          <w:lang w:val="en-GB"/>
        </w:rPr>
        <w:t>.</w:t>
      </w:r>
    </w:p>
    <w:p w:rsidR="00813E56" w:rsidRPr="00BC1C66" w:rsidRDefault="00813E56" w:rsidP="00C27D75">
      <w:pPr>
        <w:rPr>
          <w:lang w:val="en-GB"/>
        </w:rPr>
      </w:pPr>
    </w:p>
    <w:p w:rsidR="00A07F00" w:rsidRPr="00BC1C66" w:rsidRDefault="002C7748" w:rsidP="00C27D75">
      <w:pPr>
        <w:pStyle w:val="tytuwykresu"/>
        <w:rPr>
          <w:b w:val="0"/>
          <w:noProof/>
          <w:shd w:val="clear" w:color="auto" w:fill="FFFFFF"/>
          <w:lang w:val="en-GB" w:eastAsia="pl-PL"/>
        </w:rPr>
      </w:pPr>
      <w:r w:rsidRPr="00BC1C66">
        <w:rPr>
          <w:noProof/>
          <w:lang w:eastAsia="pl-PL"/>
        </w:rPr>
        <w:drawing>
          <wp:anchor distT="0" distB="0" distL="114300" distR="114300" simplePos="0" relativeHeight="251794432" behindDoc="0" locked="0" layoutInCell="1" allowOverlap="1" wp14:anchorId="7AF85DC0" wp14:editId="253181B1">
            <wp:simplePos x="0" y="0"/>
            <wp:positionH relativeFrom="column">
              <wp:posOffset>-28575</wp:posOffset>
            </wp:positionH>
            <wp:positionV relativeFrom="paragraph">
              <wp:posOffset>406400</wp:posOffset>
            </wp:positionV>
            <wp:extent cx="5093970" cy="2955290"/>
            <wp:effectExtent l="0" t="0" r="0" b="0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3C02" w:rsidRPr="00BC1C66">
        <w:rPr>
          <w:lang w:val="en-GB"/>
        </w:rPr>
        <w:t>Chart 1. Contribution of price changes of selected groups of consumer goods and services</w:t>
      </w:r>
      <w:r w:rsidR="00793134">
        <w:rPr>
          <w:lang w:val="en-GB"/>
        </w:rPr>
        <w:t xml:space="preserve"> in April </w:t>
      </w:r>
      <w:r w:rsidR="00A07F00" w:rsidRPr="00BC1C66">
        <w:rPr>
          <w:shd w:val="clear" w:color="auto" w:fill="FFFFFF"/>
          <w:lang w:val="en-GB"/>
        </w:rPr>
        <w:t>201</w:t>
      </w:r>
      <w:r w:rsidR="00EB7A18" w:rsidRPr="00BC1C66">
        <w:rPr>
          <w:shd w:val="clear" w:color="auto" w:fill="FFFFFF"/>
          <w:lang w:val="en-GB"/>
        </w:rPr>
        <w:t>9</w:t>
      </w:r>
      <w:r w:rsidR="00793C02" w:rsidRPr="00BC1C66">
        <w:rPr>
          <w:shd w:val="clear" w:color="auto" w:fill="FFFFFF"/>
          <w:lang w:val="en-GB"/>
        </w:rPr>
        <w:t xml:space="preserve"> </w:t>
      </w:r>
      <w:r w:rsidR="0051646A" w:rsidRPr="00BC1C66">
        <w:rPr>
          <w:noProof/>
          <w:shd w:val="clear" w:color="auto" w:fill="FFFFFF"/>
          <w:lang w:val="en-GB" w:eastAsia="pl-PL"/>
        </w:rPr>
        <w:t>(</w:t>
      </w:r>
      <w:r w:rsidR="00793C02" w:rsidRPr="00BC1C66">
        <w:rPr>
          <w:noProof/>
          <w:lang w:val="en-GB" w:eastAsia="pl-PL"/>
        </w:rPr>
        <w:t>change in pp compared with the previous period</w:t>
      </w:r>
      <w:r w:rsidR="0051646A" w:rsidRPr="00BC1C66">
        <w:rPr>
          <w:shd w:val="clear" w:color="auto" w:fill="FFFFFF"/>
          <w:lang w:val="en-GB"/>
        </w:rPr>
        <w:t>)</w:t>
      </w:r>
    </w:p>
    <w:p w:rsidR="00A07F00" w:rsidRPr="00BC1C66" w:rsidRDefault="001A62AA" w:rsidP="00C27D75">
      <w:pPr>
        <w:pStyle w:val="tytuwykresu"/>
        <w:rPr>
          <w:b w:val="0"/>
          <w:highlight w:val="yellow"/>
          <w:shd w:val="clear" w:color="auto" w:fill="FFFFFF"/>
          <w:lang w:val="en-GB"/>
        </w:rPr>
      </w:pPr>
      <w:r w:rsidRPr="00BC1C66">
        <w:rPr>
          <w:noProof/>
          <w:lang w:eastAsia="pl-PL"/>
        </w:rPr>
        <w:drawing>
          <wp:anchor distT="0" distB="0" distL="114300" distR="114300" simplePos="0" relativeHeight="251789312" behindDoc="0" locked="0" layoutInCell="1" allowOverlap="1" wp14:anchorId="77492F33" wp14:editId="4DA4B7CE">
            <wp:simplePos x="0" y="0"/>
            <wp:positionH relativeFrom="column">
              <wp:posOffset>-25400</wp:posOffset>
            </wp:positionH>
            <wp:positionV relativeFrom="paragraph">
              <wp:posOffset>3517265</wp:posOffset>
            </wp:positionV>
            <wp:extent cx="5122545" cy="3599815"/>
            <wp:effectExtent l="0" t="0" r="0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63B5" w:rsidRPr="00BC1C66" w:rsidRDefault="00212C24" w:rsidP="001063B5">
      <w:pPr>
        <w:spacing w:before="0" w:after="160" w:line="259" w:lineRule="auto"/>
        <w:rPr>
          <w:noProof/>
          <w:lang w:val="en-GB" w:eastAsia="pl-PL"/>
        </w:rPr>
      </w:pPr>
      <w:r>
        <w:rPr>
          <w:b/>
          <w:noProof/>
          <w:spacing w:val="-2"/>
          <w:sz w:val="18"/>
          <w:lang w:val="en-GB" w:eastAsia="en-GB"/>
        </w:rPr>
        <w:pict>
          <v:shape id="_x0000_s1028" type="#_x0000_t202" style="position:absolute;margin-left:414.75pt;margin-top:513pt;width:135.85pt;height:141.75pt;z-index:-251532288;visibility:visible;mso-wrap-distance-top:3.6pt;mso-wrap-distance-bottom:3.6p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" filled="f" stroked="f">
            <v:textbox style="mso-next-textbox:#_x0000_s1028">
              <w:txbxContent>
                <w:p w:rsidR="008B4F3F" w:rsidRPr="00A742F3" w:rsidRDefault="008B4F3F" w:rsidP="00EB7A18">
                  <w:pPr>
                    <w:pStyle w:val="Tekstprzypisudolnego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US" w:eastAsia="pl-PL"/>
                    </w:rPr>
                  </w:pPr>
                  <w:r w:rsidRPr="00EE65A6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In 2019, similarly to previous years, the largest share of expenditures in the compilations of the consumer price index have Food and non-alcoholic beverages (24,89%) and goods and services related to Housing, water, electricity, gas and other fuels (19,17%)</w:t>
                  </w:r>
                </w:p>
                <w:p w:rsidR="008B4F3F" w:rsidRPr="00A742F3" w:rsidRDefault="008B4F3F" w:rsidP="00792E24">
                  <w:pP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US" w:eastAsia="pl-PL"/>
                    </w:rPr>
                  </w:pPr>
                </w:p>
              </w:txbxContent>
            </v:textbox>
            <w10:wrap type="tight" anchory="page"/>
          </v:shape>
        </w:pict>
      </w:r>
      <w:r w:rsidR="00793C02" w:rsidRPr="00BC1C66">
        <w:rPr>
          <w:lang w:val="en-GB"/>
        </w:rPr>
        <w:t xml:space="preserve"> </w:t>
      </w:r>
      <w:r w:rsidR="00793C02" w:rsidRPr="00BC1C66">
        <w:rPr>
          <w:b/>
          <w:noProof/>
          <w:spacing w:val="-2"/>
          <w:sz w:val="18"/>
          <w:lang w:val="en-GB" w:eastAsia="en-GB"/>
        </w:rPr>
        <w:t>Chart 2. Weighting system used in the compilations of consumer price indices in 2019</w:t>
      </w:r>
      <w:r w:rsidR="00EB7A18" w:rsidRPr="00BC1C66">
        <w:rPr>
          <w:noProof/>
          <w:lang w:val="en-GB" w:eastAsia="pl-PL"/>
        </w:rPr>
        <w:t xml:space="preserve"> </w:t>
      </w:r>
    </w:p>
    <w:p w:rsidR="001A62AA" w:rsidRPr="00BC1C66" w:rsidRDefault="001A62AA">
      <w:pPr>
        <w:spacing w:before="0" w:after="160" w:line="259" w:lineRule="auto"/>
        <w:rPr>
          <w:b/>
          <w:spacing w:val="-2"/>
          <w:sz w:val="18"/>
          <w:shd w:val="clear" w:color="auto" w:fill="FFFFFF"/>
          <w:lang w:val="en-GB"/>
        </w:rPr>
      </w:pPr>
      <w:r w:rsidRPr="00BC1C66">
        <w:rPr>
          <w:b/>
          <w:spacing w:val="-2"/>
          <w:sz w:val="18"/>
          <w:shd w:val="clear" w:color="auto" w:fill="FFFFFF"/>
          <w:lang w:val="en-GB"/>
        </w:rPr>
        <w:br w:type="page"/>
      </w:r>
    </w:p>
    <w:p w:rsidR="00DA0243" w:rsidRPr="00BC1C66" w:rsidRDefault="00B472EC" w:rsidP="00A01424">
      <w:pPr>
        <w:spacing w:before="0" w:after="160" w:line="259" w:lineRule="auto"/>
        <w:rPr>
          <w:noProof/>
          <w:lang w:val="en-GB" w:eastAsia="pl-PL"/>
        </w:rPr>
      </w:pPr>
      <w:r w:rsidRPr="00BC1C66">
        <w:rPr>
          <w:noProof/>
          <w:lang w:eastAsia="pl-PL"/>
        </w:rPr>
        <w:lastRenderedPageBreak/>
        <w:drawing>
          <wp:anchor distT="0" distB="0" distL="114300" distR="114300" simplePos="0" relativeHeight="251791360" behindDoc="0" locked="0" layoutInCell="1" allowOverlap="1" wp14:anchorId="432C327A" wp14:editId="11994798">
            <wp:simplePos x="0" y="0"/>
            <wp:positionH relativeFrom="column">
              <wp:posOffset>0</wp:posOffset>
            </wp:positionH>
            <wp:positionV relativeFrom="line">
              <wp:posOffset>254000</wp:posOffset>
            </wp:positionV>
            <wp:extent cx="5122545" cy="2526665"/>
            <wp:effectExtent l="0" t="0" r="0" b="6985"/>
            <wp:wrapSquare wrapText="bothSides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62AA" w:rsidRPr="00BC1C66">
        <w:rPr>
          <w:b/>
          <w:spacing w:val="-2"/>
          <w:sz w:val="18"/>
          <w:shd w:val="clear" w:color="auto" w:fill="FFFFFF"/>
          <w:lang w:val="en-GB"/>
        </w:rPr>
        <w:t>Chart 3. Consumer prices (change in % compared with the previous period)</w:t>
      </w:r>
    </w:p>
    <w:p w:rsidR="007D164E" w:rsidRPr="00BC1C66" w:rsidRDefault="007D164E" w:rsidP="00A01424">
      <w:pPr>
        <w:spacing w:before="0" w:after="160" w:line="259" w:lineRule="auto"/>
        <w:rPr>
          <w:b/>
          <w:noProof/>
          <w:highlight w:val="yellow"/>
          <w:shd w:val="clear" w:color="auto" w:fill="FFFFFF"/>
          <w:lang w:val="en-GB" w:eastAsia="pl-PL"/>
        </w:rPr>
      </w:pPr>
    </w:p>
    <w:p w:rsidR="00034160" w:rsidRPr="00BC1C66" w:rsidRDefault="00212C24" w:rsidP="00034160">
      <w:pPr>
        <w:pStyle w:val="tytuwykresu"/>
        <w:rPr>
          <w:shd w:val="clear" w:color="auto" w:fill="FFFFFF"/>
          <w:lang w:val="en-GB"/>
        </w:rPr>
      </w:pPr>
      <w:r>
        <w:rPr>
          <w:noProof/>
          <w:lang w:val="en-GB" w:eastAsia="en-GB"/>
        </w:rPr>
        <w:pict>
          <v:shape id="Text Box 25" o:spid="_x0000_s1029" type="#_x0000_t202" style="position:absolute;margin-left:414.75pt;margin-top:315.75pt;width:135.85pt;height:125.25pt;z-index:-251566080;visibility:visible;mso-wrap-distance-top:3.6pt;mso-wrap-distance-bottom:3.6p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5KNvA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" filled="f" stroked="f">
            <v:textbox style="mso-next-textbox:#Text Box 25">
              <w:txbxContent>
                <w:p w:rsidR="008B4F3F" w:rsidRPr="00793134" w:rsidRDefault="008B4F3F" w:rsidP="00AB077D">
                  <w:pPr>
                    <w:pStyle w:val="Tekstprzypisudolnego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</w:pPr>
                  <w:r w:rsidRPr="0079313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In </w:t>
                  </w:r>
                  <w:r w:rsidR="00DC605C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April</w:t>
                  </w:r>
                  <w:r w:rsidRPr="0079313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 2019 consumer price index was within the deviations from inflation target determined by the Monetary Policy Council (2,5% +/- 1 pp)</w:t>
                  </w:r>
                </w:p>
                <w:p w:rsidR="008B4F3F" w:rsidRPr="00A742F3" w:rsidRDefault="008B4F3F" w:rsidP="00034160">
                  <w:pP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US" w:eastAsia="pl-PL"/>
                    </w:rPr>
                  </w:pPr>
                </w:p>
              </w:txbxContent>
            </v:textbox>
            <w10:wrap type="tight" anchory="page"/>
          </v:shape>
        </w:pict>
      </w:r>
      <w:r w:rsidR="00655BAA" w:rsidRPr="00BC1C66">
        <w:rPr>
          <w:lang w:val="en-GB"/>
        </w:rPr>
        <w:t xml:space="preserve">Chart 4. Consumer prices </w:t>
      </w:r>
      <w:r w:rsidR="00655BAA" w:rsidRPr="00BC1C66">
        <w:rPr>
          <w:lang w:val="en-GB"/>
        </w:rPr>
        <w:br/>
      </w:r>
      <w:r w:rsidR="00B472EC" w:rsidRPr="00BC1C66">
        <w:rPr>
          <w:noProof/>
          <w:lang w:eastAsia="pl-PL"/>
        </w:rPr>
        <w:drawing>
          <wp:anchor distT="0" distB="0" distL="114300" distR="114300" simplePos="0" relativeHeight="251793408" behindDoc="0" locked="0" layoutInCell="1" allowOverlap="1" wp14:anchorId="405C3A75" wp14:editId="2D3B62BC">
            <wp:simplePos x="0" y="0"/>
            <wp:positionH relativeFrom="column">
              <wp:posOffset>0</wp:posOffset>
            </wp:positionH>
            <wp:positionV relativeFrom="line">
              <wp:posOffset>236220</wp:posOffset>
            </wp:positionV>
            <wp:extent cx="5122545" cy="2634615"/>
            <wp:effectExtent l="0" t="0" r="0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5BAA" w:rsidRPr="00BC1C66">
        <w:rPr>
          <w:lang w:val="en-GB"/>
        </w:rPr>
        <w:t>(change in % compared with the corresponding period of the previous year)</w:t>
      </w:r>
    </w:p>
    <w:p w:rsidR="00034160" w:rsidRPr="00BC1C66" w:rsidRDefault="00034160" w:rsidP="00740107">
      <w:pPr>
        <w:spacing w:before="0" w:line="259" w:lineRule="auto"/>
        <w:rPr>
          <w:sz w:val="18"/>
          <w:highlight w:val="yellow"/>
          <w:lang w:val="en-GB"/>
        </w:rPr>
      </w:pPr>
    </w:p>
    <w:p w:rsidR="001E7DBB" w:rsidRPr="00BC1C66" w:rsidRDefault="00655BAA" w:rsidP="001E7DBB">
      <w:pPr>
        <w:pStyle w:val="tytuwykresu"/>
        <w:rPr>
          <w:bCs/>
          <w:shd w:val="clear" w:color="auto" w:fill="FFFFFF"/>
          <w:lang w:val="en-GB"/>
        </w:rPr>
      </w:pPr>
      <w:r w:rsidRPr="00BC1C66">
        <w:rPr>
          <w:lang w:val="en-GB"/>
        </w:rPr>
        <w:t>Chart 5.</w:t>
      </w:r>
      <w:r w:rsidRPr="00BC1C66">
        <w:rPr>
          <w:shd w:val="clear" w:color="auto" w:fill="FFFFFF"/>
          <w:lang w:val="en-GB"/>
        </w:rPr>
        <w:t xml:space="preserve"> </w:t>
      </w:r>
      <w:r w:rsidRPr="00BC1C66">
        <w:rPr>
          <w:bCs/>
          <w:shd w:val="clear" w:color="auto" w:fill="FFFFFF"/>
          <w:lang w:val="en-GB"/>
        </w:rPr>
        <w:t xml:space="preserve">Consumer price index (CPI) and harmonised index of consumer prices (HICP) </w:t>
      </w:r>
      <w:r w:rsidRPr="00BC1C66">
        <w:rPr>
          <w:bCs/>
          <w:shd w:val="clear" w:color="auto" w:fill="FFFFFF"/>
          <w:lang w:val="en-GB"/>
        </w:rPr>
        <w:br/>
        <w:t>(change in % compared with the corresponding period of the previous year)</w:t>
      </w:r>
    </w:p>
    <w:p w:rsidR="00820461" w:rsidRPr="00BC1C66" w:rsidRDefault="00065CD6">
      <w:pPr>
        <w:spacing w:before="0" w:after="160" w:line="259" w:lineRule="auto"/>
        <w:rPr>
          <w:b/>
          <w:noProof/>
          <w:sz w:val="18"/>
          <w:szCs w:val="19"/>
          <w:highlight w:val="yellow"/>
          <w:lang w:val="en-GB" w:eastAsia="pl-PL"/>
        </w:rPr>
      </w:pPr>
      <w:r w:rsidRPr="00BC1C66">
        <w:rPr>
          <w:noProof/>
          <w:lang w:eastAsia="pl-PL"/>
        </w:rPr>
        <w:drawing>
          <wp:anchor distT="0" distB="0" distL="114300" distR="114300" simplePos="0" relativeHeight="251787264" behindDoc="0" locked="0" layoutInCell="1" allowOverlap="1" wp14:anchorId="5A47A408" wp14:editId="096CA9AA">
            <wp:simplePos x="457200" y="7315200"/>
            <wp:positionH relativeFrom="column">
              <wp:align>left</wp:align>
            </wp:positionH>
            <wp:positionV relativeFrom="line">
              <wp:posOffset>36195</wp:posOffset>
            </wp:positionV>
            <wp:extent cx="5122800" cy="2527200"/>
            <wp:effectExtent l="0" t="0" r="0" b="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461" w:rsidRPr="00BC1C66">
        <w:rPr>
          <w:sz w:val="18"/>
          <w:highlight w:val="yellow"/>
          <w:lang w:val="en-GB"/>
        </w:rPr>
        <w:br w:type="page"/>
      </w:r>
    </w:p>
    <w:p w:rsidR="00516A50" w:rsidRPr="00BC1C66" w:rsidRDefault="00253CE5" w:rsidP="00516A50">
      <w:pPr>
        <w:pStyle w:val="LID"/>
        <w:rPr>
          <w:bCs/>
          <w:sz w:val="18"/>
          <w:shd w:val="clear" w:color="auto" w:fill="FFFFFF"/>
          <w:lang w:val="en-GB"/>
        </w:rPr>
      </w:pPr>
      <w:r w:rsidRPr="00BC1C66">
        <w:rPr>
          <w:sz w:val="18"/>
          <w:lang w:val="en-GB"/>
        </w:rPr>
        <w:lastRenderedPageBreak/>
        <w:t>Table 2.</w:t>
      </w:r>
      <w:r w:rsidRPr="00BC1C66">
        <w:rPr>
          <w:sz w:val="18"/>
          <w:shd w:val="clear" w:color="auto" w:fill="FFFFFF"/>
          <w:lang w:val="en-GB"/>
        </w:rPr>
        <w:t xml:space="preserve"> </w:t>
      </w:r>
      <w:r w:rsidRPr="00BC1C66">
        <w:rPr>
          <w:bCs/>
          <w:sz w:val="18"/>
          <w:shd w:val="clear" w:color="auto" w:fill="FFFFFF"/>
          <w:lang w:val="en-GB"/>
        </w:rPr>
        <w:t xml:space="preserve">Consumer price indices in April </w:t>
      </w:r>
      <w:r w:rsidRPr="00BC1C66">
        <w:rPr>
          <w:sz w:val="18"/>
          <w:lang w:val="en-GB"/>
        </w:rPr>
        <w:t>2019</w:t>
      </w:r>
    </w:p>
    <w:tbl>
      <w:tblPr>
        <w:tblW w:w="80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9"/>
        <w:gridCol w:w="1086"/>
        <w:gridCol w:w="1086"/>
        <w:gridCol w:w="1093"/>
        <w:gridCol w:w="1176"/>
      </w:tblGrid>
      <w:tr w:rsidR="00A93892" w:rsidRPr="00BC1C66" w:rsidTr="00793134">
        <w:trPr>
          <w:trHeight w:val="315"/>
          <w:tblHeader/>
        </w:trPr>
        <w:tc>
          <w:tcPr>
            <w:tcW w:w="363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93892" w:rsidRPr="00BC1C66" w:rsidRDefault="00253CE5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sz w:val="16"/>
                <w:szCs w:val="16"/>
                <w:lang w:val="en-GB" w:eastAsia="pl-PL"/>
              </w:rPr>
              <w:t>SPECIFICATION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93892" w:rsidRPr="00BC1C66" w:rsidRDefault="00F0738D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Calibri"/>
                <w:sz w:val="16"/>
                <w:szCs w:val="16"/>
                <w:lang w:val="en-GB" w:eastAsia="pl-PL"/>
              </w:rPr>
              <w:t>IV 2019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93892" w:rsidRPr="00BC1C66" w:rsidRDefault="00776D79" w:rsidP="00131C4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Calibri"/>
                <w:sz w:val="16"/>
                <w:szCs w:val="16"/>
                <w:lang w:val="en-GB" w:eastAsia="pl-PL"/>
              </w:rPr>
              <w:t>I-</w:t>
            </w:r>
            <w:r w:rsidR="005C6457" w:rsidRPr="00BC1C66">
              <w:rPr>
                <w:rFonts w:eastAsia="Times New Roman" w:cs="Calibri"/>
                <w:sz w:val="16"/>
                <w:szCs w:val="16"/>
                <w:lang w:val="en-GB" w:eastAsia="pl-PL"/>
              </w:rPr>
              <w:t>I</w:t>
            </w:r>
            <w:r w:rsidR="00F0738D" w:rsidRPr="00BC1C66">
              <w:rPr>
                <w:rFonts w:eastAsia="Times New Roman" w:cs="Calibri"/>
                <w:sz w:val="16"/>
                <w:szCs w:val="16"/>
                <w:lang w:val="en-GB" w:eastAsia="pl-PL"/>
              </w:rPr>
              <w:t>V 2019</w:t>
            </w:r>
          </w:p>
        </w:tc>
      </w:tr>
      <w:tr w:rsidR="005D0389" w:rsidRPr="00BC1C66" w:rsidTr="00793134">
        <w:trPr>
          <w:trHeight w:val="465"/>
          <w:tblHeader/>
        </w:trPr>
        <w:tc>
          <w:tcPr>
            <w:tcW w:w="363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5D0389" w:rsidRPr="00BC1C66" w:rsidRDefault="005D0389" w:rsidP="00A93892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BC1C66" w:rsidRDefault="005C6457" w:rsidP="001F60D1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Calibri"/>
                <w:sz w:val="16"/>
                <w:szCs w:val="16"/>
                <w:lang w:val="en-GB" w:eastAsia="pl-PL"/>
              </w:rPr>
              <w:t>I</w:t>
            </w:r>
            <w:r w:rsidR="00F0738D" w:rsidRPr="00BC1C66">
              <w:rPr>
                <w:rFonts w:eastAsia="Times New Roman" w:cs="Calibri"/>
                <w:sz w:val="16"/>
                <w:szCs w:val="16"/>
                <w:lang w:val="en-GB" w:eastAsia="pl-PL"/>
              </w:rPr>
              <w:t>V 2018</w:t>
            </w:r>
            <w:r w:rsidR="005D0389" w:rsidRPr="00BC1C66">
              <w:rPr>
                <w:rFonts w:eastAsia="Times New Roman" w:cs="Calibri"/>
                <w:sz w:val="16"/>
                <w:szCs w:val="16"/>
                <w:lang w:val="en-GB" w:eastAsia="pl-PL"/>
              </w:rPr>
              <w:t>=</w:t>
            </w:r>
            <w:r w:rsidR="005D0389" w:rsidRPr="00BC1C66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BC1C66" w:rsidRDefault="005D0389" w:rsidP="00F0738D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Calibri"/>
                <w:sz w:val="16"/>
                <w:szCs w:val="16"/>
                <w:lang w:val="en-GB" w:eastAsia="pl-PL"/>
              </w:rPr>
              <w:t>XII 201</w:t>
            </w:r>
            <w:r w:rsidR="00F0738D" w:rsidRPr="00BC1C66">
              <w:rPr>
                <w:rFonts w:eastAsia="Times New Roman" w:cs="Calibri"/>
                <w:sz w:val="16"/>
                <w:szCs w:val="16"/>
                <w:lang w:val="en-GB" w:eastAsia="pl-PL"/>
              </w:rPr>
              <w:t>8</w:t>
            </w:r>
            <w:r w:rsidRPr="00BC1C66">
              <w:rPr>
                <w:rFonts w:eastAsia="Times New Roman" w:cs="Calibri"/>
                <w:sz w:val="16"/>
                <w:szCs w:val="16"/>
                <w:lang w:val="en-GB" w:eastAsia="pl-PL"/>
              </w:rPr>
              <w:t>=</w:t>
            </w:r>
            <w:r w:rsidRPr="00BC1C66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BC1C66" w:rsidRDefault="00F0738D" w:rsidP="00131C4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Calibri"/>
                <w:sz w:val="16"/>
                <w:szCs w:val="16"/>
                <w:lang w:val="en-GB" w:eastAsia="pl-PL"/>
              </w:rPr>
              <w:t>III 2019</w:t>
            </w:r>
            <w:r w:rsidR="005D0389" w:rsidRPr="00BC1C66">
              <w:rPr>
                <w:rFonts w:eastAsia="Times New Roman" w:cs="Calibri"/>
                <w:sz w:val="16"/>
                <w:szCs w:val="16"/>
                <w:lang w:val="en-GB" w:eastAsia="pl-PL"/>
              </w:rPr>
              <w:t>=</w:t>
            </w:r>
            <w:r w:rsidR="005D0389" w:rsidRPr="00BC1C66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BC1C66" w:rsidRDefault="005D0389" w:rsidP="00131C4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Calibri"/>
                <w:sz w:val="16"/>
                <w:szCs w:val="16"/>
                <w:lang w:val="en-GB" w:eastAsia="pl-PL"/>
              </w:rPr>
              <w:t>I</w:t>
            </w:r>
            <w:r w:rsidR="00776D79" w:rsidRPr="00BC1C66">
              <w:rPr>
                <w:rFonts w:eastAsia="Times New Roman" w:cs="Calibri"/>
                <w:sz w:val="16"/>
                <w:szCs w:val="16"/>
                <w:lang w:val="en-GB" w:eastAsia="pl-PL"/>
              </w:rPr>
              <w:t>-</w:t>
            </w:r>
            <w:r w:rsidR="005C6457" w:rsidRPr="00BC1C66">
              <w:rPr>
                <w:rFonts w:eastAsia="Times New Roman" w:cs="Calibri"/>
                <w:sz w:val="16"/>
                <w:szCs w:val="16"/>
                <w:lang w:val="en-GB" w:eastAsia="pl-PL"/>
              </w:rPr>
              <w:t>I</w:t>
            </w:r>
            <w:r w:rsidR="00F0738D" w:rsidRPr="00BC1C66">
              <w:rPr>
                <w:rFonts w:eastAsia="Times New Roman" w:cs="Calibri"/>
                <w:sz w:val="16"/>
                <w:szCs w:val="16"/>
                <w:lang w:val="en-GB" w:eastAsia="pl-PL"/>
              </w:rPr>
              <w:t>V 2018</w:t>
            </w:r>
            <w:r w:rsidRPr="00BC1C66">
              <w:rPr>
                <w:rFonts w:eastAsia="Times New Roman" w:cs="Calibri"/>
                <w:sz w:val="16"/>
                <w:szCs w:val="16"/>
                <w:lang w:val="en-GB" w:eastAsia="pl-PL"/>
              </w:rPr>
              <w:t xml:space="preserve">= </w:t>
            </w:r>
            <w:r w:rsidR="00776D79" w:rsidRPr="00BC1C66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</w:r>
            <w:r w:rsidRPr="00BC1C66">
              <w:rPr>
                <w:rFonts w:eastAsia="Times New Roman" w:cs="Calibri"/>
                <w:sz w:val="16"/>
                <w:szCs w:val="16"/>
                <w:lang w:val="en-GB" w:eastAsia="pl-PL"/>
              </w:rPr>
              <w:t>=100</w:t>
            </w:r>
          </w:p>
        </w:tc>
      </w:tr>
      <w:tr w:rsidR="00253CE5" w:rsidRPr="00BC1C66" w:rsidTr="00793134">
        <w:trPr>
          <w:trHeight w:val="330"/>
        </w:trPr>
        <w:tc>
          <w:tcPr>
            <w:tcW w:w="363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2C7748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5C6457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4276B0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  <w:tc>
          <w:tcPr>
            <w:tcW w:w="109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5C6457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1176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53CE5" w:rsidRPr="00BC1C66" w:rsidRDefault="00253CE5" w:rsidP="003072AC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</w:tr>
      <w:tr w:rsidR="00253CE5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2C774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Goods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</w:tr>
      <w:tr w:rsidR="00253CE5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2C774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103,6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103,0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</w:tr>
      <w:tr w:rsidR="00253CE5" w:rsidRPr="00BC1C66" w:rsidTr="00793134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2C7748">
            <w:pPr>
              <w:spacing w:before="0" w:after="0" w:line="240" w:lineRule="auto"/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  <w:t xml:space="preserve">FOOD, NON-ALCOHOLIC BEVERAGES, </w:t>
            </w:r>
          </w:p>
          <w:p w:rsidR="00253CE5" w:rsidRPr="00BC1C66" w:rsidRDefault="00253CE5" w:rsidP="002C774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  <w:t>ALCOHOLIC BEVERAGES AND TOBACCO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</w:tr>
      <w:tr w:rsidR="00253CE5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2C7748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103,3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103,4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</w:tr>
      <w:tr w:rsidR="00253CE5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2C774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Food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103,6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103,8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</w:tr>
      <w:tr w:rsidR="00253CE5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53CE5" w:rsidRPr="00BC1C66" w:rsidRDefault="00253CE5" w:rsidP="002C7748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253CE5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2C7748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Rice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102,4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</w:tr>
      <w:tr w:rsidR="00253CE5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2C7748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Flour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99,3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107,4</w:t>
            </w:r>
          </w:p>
        </w:tc>
      </w:tr>
      <w:tr w:rsidR="00253CE5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2C7748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Bread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109,3</w:t>
            </w:r>
          </w:p>
        </w:tc>
      </w:tr>
      <w:tr w:rsidR="00253CE5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2C7748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Pasta products and couscous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</w:tr>
      <w:tr w:rsidR="00253CE5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2C7748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Meat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104,1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104,5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103,4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</w:tr>
      <w:tr w:rsidR="00253CE5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53CE5" w:rsidRPr="00BC1C66" w:rsidRDefault="00253CE5" w:rsidP="002C7748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253CE5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2C7748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Beef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</w:tr>
      <w:tr w:rsidR="00253CE5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2C7748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Veal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</w:tr>
      <w:tr w:rsidR="00253CE5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2C7748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Pork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109,9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</w:tr>
      <w:tr w:rsidR="00253CE5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2C7748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Poultry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</w:tr>
      <w:tr w:rsidR="00253CE5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2C7748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Dried, salted or smoked meat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</w:tr>
      <w:tr w:rsidR="00253CE5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2C7748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Fish and seafood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</w:tr>
      <w:tr w:rsidR="00253CE5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2C7748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Milk, cheese and eggs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99,7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53CE5" w:rsidRPr="00BC1C66" w:rsidRDefault="00253CE5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98,9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F40129" w:rsidRPr="00BC1C66" w:rsidTr="00793134">
        <w:trPr>
          <w:trHeight w:val="31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Milk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98,7</w:t>
            </w:r>
          </w:p>
        </w:tc>
      </w:tr>
      <w:tr w:rsidR="00F40129" w:rsidRPr="00BC1C66" w:rsidTr="00793134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Yoghurt, cream, milk-based desserts, milk-based beverages and other similar milk-based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Cheese and curd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99,5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Eggs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89,2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88,0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Oils and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Vegetable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99,5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Animal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94,1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96,2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454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of which butter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93,6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Fruit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88,8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87,6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Vegetables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116,0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114,1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Sugar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114,8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115,9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105,0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Non-alcoholic beverages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Coffee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Tea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Cocoa and powdered chocolate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Mineral or spring waters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</w:tr>
      <w:tr w:rsidR="001B389B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BC1C66" w:rsidRDefault="00F40129" w:rsidP="001B38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Fruit and vegetable juices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BC1C66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BC1C66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BC1C66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BC1C66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ALCOHOLIC BEVERAGES AND TOBACCO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Alcoholic beverages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Tobacco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97,3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Garments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97,0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Footwear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97,6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DWELLING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</w:tr>
      <w:tr w:rsidR="00F40129" w:rsidRPr="00BC1C66" w:rsidTr="00793134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HOUSING, WATER, ELECTRICITY, GAS </w:t>
            </w: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AND OTHER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Actual rentals for housing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104,9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Water supply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Refuse collection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116,8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116,2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110,5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Sewage collection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98,6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Electricity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94,2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94,2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93,2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Gas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104,0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Liquid and solid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Heat energy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</w:tr>
      <w:tr w:rsidR="00F40129" w:rsidRPr="00BC1C66" w:rsidTr="00793134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F40129" w:rsidRPr="00BC1C66" w:rsidTr="00793134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Furniture and furnishings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Household appliances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Cleaning and maintenance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</w:tr>
      <w:tr w:rsidR="00F40129" w:rsidRPr="00BC1C66" w:rsidTr="00793134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Domestic services and household </w:t>
            </w: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104,6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HEALTH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Pharmaceutical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Therapeutic appliances and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Medical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104,3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Dental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103,6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Hospital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103,2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Purchase of vehicles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95,8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of which motor cars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95,6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106,6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Diesel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111,0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Petrol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104,2</w:t>
            </w:r>
          </w:p>
        </w:tc>
      </w:tr>
      <w:tr w:rsidR="00F40129" w:rsidRPr="00BC1C66" w:rsidTr="00793134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Liquid petroleum gas and other fuels for personal transport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107,1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Transport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127,2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104,4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97,2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90,4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89,6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97,4</w:t>
            </w:r>
          </w:p>
        </w:tc>
      </w:tr>
      <w:tr w:rsidR="00F40129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2C7748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40129" w:rsidRPr="00BC1C66" w:rsidRDefault="00F40129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</w:tr>
      <w:tr w:rsidR="00B472EC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72EC" w:rsidRPr="00BC1C66" w:rsidRDefault="00B472EC" w:rsidP="002C7748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B472EC" w:rsidRPr="00BC1C66" w:rsidTr="00793134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2C774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Audio-visual, photographic and information processing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95,2</w:t>
            </w:r>
          </w:p>
        </w:tc>
      </w:tr>
      <w:tr w:rsidR="00B472EC" w:rsidRPr="00BC1C66" w:rsidTr="00793134">
        <w:trPr>
          <w:trHeight w:val="300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2C774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Recreational and cultural 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</w:tr>
      <w:tr w:rsidR="00B472EC" w:rsidRPr="00BC1C66" w:rsidTr="00793134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72EC" w:rsidRPr="00BC1C66" w:rsidRDefault="00B472EC" w:rsidP="002C7748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B472EC" w:rsidRPr="00BC1C66" w:rsidTr="00793134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2C7748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Recreational and sporting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103,0</w:t>
            </w:r>
          </w:p>
        </w:tc>
      </w:tr>
      <w:tr w:rsidR="00B472EC" w:rsidRPr="00BC1C66" w:rsidTr="00793134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2C7748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Cultural 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102,4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</w:tr>
      <w:tr w:rsidR="00B472EC" w:rsidRPr="00BC1C66" w:rsidTr="00793134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2C7748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of which television and radio licence fees, subscriptions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98,8</w:t>
            </w:r>
          </w:p>
        </w:tc>
      </w:tr>
      <w:tr w:rsidR="00B472EC" w:rsidRPr="00BC1C66" w:rsidTr="00793134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2C774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Books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98,3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99,5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</w:tr>
      <w:tr w:rsidR="00B472EC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2C774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Newspapers and periodicals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106,1</w:t>
            </w:r>
          </w:p>
        </w:tc>
      </w:tr>
      <w:tr w:rsidR="00B472EC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2C774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Stationery and drawing materials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</w:tr>
      <w:tr w:rsidR="00B472EC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2C774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Package holidays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103,2</w:t>
            </w:r>
          </w:p>
        </w:tc>
      </w:tr>
      <w:tr w:rsidR="00B472EC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2C7748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Package domestic holidays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</w:tr>
      <w:tr w:rsidR="00B472EC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2C7748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Package international holidays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103,4</w:t>
            </w:r>
          </w:p>
        </w:tc>
      </w:tr>
      <w:tr w:rsidR="00B472EC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2C7748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103,0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</w:tr>
      <w:tr w:rsidR="00B472EC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2C7748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103,5</w:t>
            </w:r>
          </w:p>
        </w:tc>
      </w:tr>
      <w:tr w:rsidR="00B472EC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2C7748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MISCELLANEOUS GOODS AND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</w:tr>
      <w:tr w:rsidR="00B472EC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72EC" w:rsidRPr="00BC1C66" w:rsidRDefault="00B472EC" w:rsidP="002C7748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B472EC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2C774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Personal care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</w:tr>
      <w:tr w:rsidR="00B472EC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72EC" w:rsidRPr="00BC1C66" w:rsidRDefault="00B472EC" w:rsidP="002C7748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B472EC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2C7748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Hairdressing salons and personal grooming establishments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104,3</w:t>
            </w:r>
          </w:p>
        </w:tc>
      </w:tr>
      <w:tr w:rsidR="00B472EC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2C7748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Articles for personal hygiene and wellness, esoteric products and beauty products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</w:tr>
      <w:tr w:rsidR="00B472EC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2C774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Social protection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104,4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104,0</w:t>
            </w:r>
          </w:p>
        </w:tc>
      </w:tr>
      <w:tr w:rsidR="00B472EC" w:rsidRPr="00BC1C66" w:rsidTr="0079313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2C774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Insurance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</w:tr>
      <w:tr w:rsidR="00B472EC" w:rsidRPr="00BC1C66" w:rsidTr="00793134">
        <w:trPr>
          <w:trHeight w:val="450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2C7748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Charges by banks and post offices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72EC" w:rsidRPr="00BC1C66" w:rsidRDefault="00B472EC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94,0</w:t>
            </w:r>
          </w:p>
        </w:tc>
      </w:tr>
    </w:tbl>
    <w:p w:rsidR="001A78D0" w:rsidRPr="00BC1C66" w:rsidRDefault="001A78D0" w:rsidP="00516A50">
      <w:pPr>
        <w:pStyle w:val="LID"/>
        <w:rPr>
          <w:bCs/>
          <w:sz w:val="18"/>
          <w:shd w:val="clear" w:color="auto" w:fill="FFFFFF"/>
          <w:lang w:val="en-GB"/>
        </w:rPr>
      </w:pPr>
    </w:p>
    <w:p w:rsidR="001A78D0" w:rsidRPr="00BC1C66" w:rsidRDefault="001A78D0" w:rsidP="00516A50">
      <w:pPr>
        <w:pStyle w:val="LID"/>
        <w:rPr>
          <w:bCs/>
          <w:sz w:val="18"/>
          <w:shd w:val="clear" w:color="auto" w:fill="FFFFFF"/>
          <w:lang w:val="en-GB"/>
        </w:rPr>
      </w:pPr>
    </w:p>
    <w:p w:rsidR="001A78D0" w:rsidRPr="00BC1C66" w:rsidRDefault="001A78D0" w:rsidP="00516A50">
      <w:pPr>
        <w:pStyle w:val="LID"/>
        <w:rPr>
          <w:bCs/>
          <w:sz w:val="18"/>
          <w:shd w:val="clear" w:color="auto" w:fill="FFFFFF"/>
          <w:lang w:val="en-GB"/>
        </w:rPr>
      </w:pPr>
    </w:p>
    <w:p w:rsidR="001A78D0" w:rsidRPr="00BC1C66" w:rsidRDefault="001A78D0" w:rsidP="00516A50">
      <w:pPr>
        <w:pStyle w:val="LID"/>
        <w:rPr>
          <w:bCs/>
          <w:sz w:val="18"/>
          <w:shd w:val="clear" w:color="auto" w:fill="FFFFFF"/>
          <w:lang w:val="en-GB"/>
        </w:rPr>
      </w:pPr>
    </w:p>
    <w:p w:rsidR="001A78D0" w:rsidRPr="00BC1C66" w:rsidRDefault="001A78D0" w:rsidP="00516A50">
      <w:pPr>
        <w:pStyle w:val="LID"/>
        <w:rPr>
          <w:bCs/>
          <w:sz w:val="18"/>
          <w:shd w:val="clear" w:color="auto" w:fill="FFFFFF"/>
          <w:lang w:val="en-GB"/>
        </w:rPr>
      </w:pPr>
    </w:p>
    <w:p w:rsidR="001A78D0" w:rsidRPr="00BC1C66" w:rsidRDefault="001A78D0" w:rsidP="00516A50">
      <w:pPr>
        <w:pStyle w:val="LID"/>
        <w:rPr>
          <w:sz w:val="18"/>
          <w:shd w:val="clear" w:color="auto" w:fill="FFFFFF"/>
          <w:lang w:val="en-GB"/>
        </w:rPr>
      </w:pPr>
    </w:p>
    <w:p w:rsidR="00DF712D" w:rsidRPr="00BC1C66" w:rsidRDefault="00DF712D" w:rsidP="00883763">
      <w:pPr>
        <w:spacing w:before="0" w:after="160" w:line="259" w:lineRule="auto"/>
        <w:rPr>
          <w:lang w:val="en-GB"/>
        </w:rPr>
      </w:pPr>
    </w:p>
    <w:p w:rsidR="00685123" w:rsidRPr="00BC1C66" w:rsidRDefault="00685123" w:rsidP="00883763">
      <w:pPr>
        <w:spacing w:before="0" w:after="160" w:line="259" w:lineRule="auto"/>
        <w:rPr>
          <w:b/>
          <w:noProof/>
          <w:szCs w:val="19"/>
          <w:lang w:val="en-GB" w:eastAsia="pl-PL"/>
        </w:rPr>
        <w:sectPr w:rsidR="00685123" w:rsidRPr="00BC1C66" w:rsidSect="00EF7B36">
          <w:headerReference w:type="default" r:id="rId17"/>
          <w:footerReference w:type="default" r:id="rId18"/>
          <w:headerReference w:type="first" r:id="rId19"/>
          <w:footerReference w:type="first" r:id="rId20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BC1C66" w:rsidRDefault="000470AA" w:rsidP="000470AA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A742F3" w:rsidTr="00EE696D">
        <w:trPr>
          <w:trHeight w:val="1912"/>
        </w:trPr>
        <w:tc>
          <w:tcPr>
            <w:tcW w:w="4379" w:type="dxa"/>
          </w:tcPr>
          <w:p w:rsidR="00B472EC" w:rsidRPr="00BC1C66" w:rsidRDefault="00B472EC" w:rsidP="00B472EC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B472EC" w:rsidRPr="00BC1C66" w:rsidRDefault="00B472EC" w:rsidP="00B472EC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BC1C66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B472EC" w:rsidRPr="00BC1C66" w:rsidRDefault="00B472EC" w:rsidP="00B472EC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BC1C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B472EC" w:rsidRPr="00BC1C66" w:rsidRDefault="00B472EC" w:rsidP="00B472EC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BC1C66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35 12</w:t>
            </w:r>
          </w:p>
          <w:p w:rsidR="00883763" w:rsidRPr="00BC1C66" w:rsidRDefault="00B472EC" w:rsidP="00B472EC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  <w:r w:rsidRPr="00BC1C66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>e-mail:</w:t>
            </w:r>
            <w:r w:rsidRPr="00BC1C66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GB"/>
              </w:rPr>
              <w:t xml:space="preserve"> </w:t>
            </w:r>
            <w:hyperlink r:id="rId21" w:history="1">
              <w:r w:rsidRPr="00BC1C66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942" w:type="dxa"/>
          </w:tcPr>
          <w:p w:rsidR="00B472EC" w:rsidRPr="00BC1C66" w:rsidRDefault="00B472EC" w:rsidP="00B472EC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BC1C66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BC1C66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B472EC" w:rsidRPr="00BC1C66" w:rsidRDefault="00B472EC" w:rsidP="00B472EC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BC1C66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Statistics Poland</w:t>
            </w:r>
          </w:p>
          <w:p w:rsidR="00B472EC" w:rsidRPr="00BC1C66" w:rsidRDefault="00B472EC" w:rsidP="00B472EC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BC1C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 Dawidziuk</w:t>
            </w:r>
          </w:p>
          <w:p w:rsidR="00B472EC" w:rsidRPr="00BC1C66" w:rsidRDefault="00B472EC" w:rsidP="00B472EC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BC1C66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34 75, +48 22 608 30 09</w:t>
            </w:r>
          </w:p>
          <w:p w:rsidR="00883763" w:rsidRPr="00BC1C66" w:rsidRDefault="00B472EC" w:rsidP="00B472EC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  <w:r w:rsidRPr="00BC1C66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2" w:history="1">
              <w:r w:rsidRPr="00BC1C66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470AA" w:rsidRPr="00BC1C66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A742F3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B472EC" w:rsidRPr="00BC1C66" w:rsidRDefault="00B472EC" w:rsidP="00B472EC">
            <w:pPr>
              <w:rPr>
                <w:b/>
                <w:sz w:val="20"/>
                <w:lang w:val="en-GB"/>
              </w:rPr>
            </w:pPr>
            <w:r w:rsidRPr="00BC1C66">
              <w:rPr>
                <w:b/>
                <w:sz w:val="20"/>
                <w:lang w:val="en-GB"/>
              </w:rPr>
              <w:t>Press Office</w:t>
            </w:r>
          </w:p>
          <w:p w:rsidR="00B472EC" w:rsidRPr="00BC1C66" w:rsidRDefault="00A742F3" w:rsidP="00B472EC">
            <w:pPr>
              <w:rPr>
                <w:sz w:val="20"/>
                <w:lang w:val="en-GB"/>
              </w:rPr>
            </w:pPr>
            <w:r w:rsidRPr="00A742F3">
              <w:rPr>
                <w:sz w:val="20"/>
                <w:lang w:val="en-GB"/>
              </w:rPr>
              <w:t>Tel:</w:t>
            </w:r>
            <w:r w:rsidR="00B472EC" w:rsidRPr="00BC1C66">
              <w:rPr>
                <w:b/>
                <w:sz w:val="20"/>
                <w:lang w:val="en-GB"/>
              </w:rPr>
              <w:t xml:space="preserve"> </w:t>
            </w:r>
            <w:r w:rsidR="00B472EC" w:rsidRPr="00BC1C66">
              <w:rPr>
                <w:sz w:val="20"/>
                <w:lang w:val="en-GB"/>
              </w:rPr>
              <w:t xml:space="preserve">+48 22 608 34 91, 22 608 38 04 </w:t>
            </w:r>
          </w:p>
          <w:p w:rsidR="000470AA" w:rsidRPr="00BC1C66" w:rsidRDefault="00B472EC" w:rsidP="00B472EC">
            <w:pPr>
              <w:rPr>
                <w:sz w:val="18"/>
                <w:lang w:val="en-GB"/>
              </w:rPr>
            </w:pPr>
            <w:r w:rsidRPr="00BC1C66">
              <w:rPr>
                <w:b/>
                <w:sz w:val="20"/>
                <w:lang w:val="en-GB"/>
              </w:rPr>
              <w:t>e-mail:</w:t>
            </w:r>
            <w:r w:rsidRPr="00BC1C66">
              <w:rPr>
                <w:sz w:val="20"/>
                <w:lang w:val="en-GB"/>
              </w:rPr>
              <w:t xml:space="preserve"> </w:t>
            </w:r>
            <w:hyperlink r:id="rId23" w:history="1">
              <w:r w:rsidRPr="00A742F3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BC1C66" w:rsidRDefault="000470AA" w:rsidP="000470AA">
            <w:pPr>
              <w:rPr>
                <w:sz w:val="18"/>
                <w:lang w:val="en-GB"/>
              </w:rPr>
            </w:pPr>
            <w:r w:rsidRPr="00BC1C66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49536" behindDoc="0" locked="0" layoutInCell="1" allowOverlap="1" wp14:anchorId="28B5A1AC" wp14:editId="5B07FED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BC1C66" w:rsidRDefault="00B472EC" w:rsidP="000470AA">
            <w:pPr>
              <w:rPr>
                <w:sz w:val="18"/>
                <w:lang w:val="en-GB"/>
              </w:rPr>
            </w:pPr>
            <w:r w:rsidRPr="00BC1C66">
              <w:rPr>
                <w:sz w:val="20"/>
                <w:lang w:val="en-GB"/>
              </w:rPr>
              <w:t>www.stat.gov.pl/en/</w:t>
            </w:r>
          </w:p>
        </w:tc>
      </w:tr>
      <w:tr w:rsidR="000470AA" w:rsidRPr="00BC1C66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BC1C66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BC1C66" w:rsidRDefault="000470AA" w:rsidP="000470AA">
            <w:pPr>
              <w:rPr>
                <w:sz w:val="18"/>
                <w:lang w:val="en-GB"/>
              </w:rPr>
            </w:pPr>
            <w:r w:rsidRPr="00BC1C66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1584" behindDoc="0" locked="0" layoutInCell="1" allowOverlap="1" wp14:anchorId="5CC7DF75" wp14:editId="7AD4808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BC1C66" w:rsidRDefault="00B472EC" w:rsidP="000470AA">
            <w:pPr>
              <w:rPr>
                <w:sz w:val="18"/>
                <w:lang w:val="en-GB"/>
              </w:rPr>
            </w:pPr>
            <w:r w:rsidRPr="00BC1C66">
              <w:rPr>
                <w:sz w:val="20"/>
                <w:lang w:val="en-GB"/>
              </w:rPr>
              <w:t>@StatPoland</w:t>
            </w:r>
          </w:p>
        </w:tc>
      </w:tr>
      <w:tr w:rsidR="000470AA" w:rsidRPr="00BC1C66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BC1C66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BC1C66" w:rsidRDefault="000470AA" w:rsidP="000470AA">
            <w:pPr>
              <w:rPr>
                <w:sz w:val="18"/>
                <w:lang w:val="en-GB"/>
              </w:rPr>
            </w:pPr>
            <w:r w:rsidRPr="00BC1C66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0560" behindDoc="0" locked="0" layoutInCell="1" allowOverlap="1" wp14:anchorId="455423B2" wp14:editId="47EA3D5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BC1C66" w:rsidRDefault="00B472EC" w:rsidP="000470AA">
            <w:pPr>
              <w:rPr>
                <w:sz w:val="20"/>
                <w:lang w:val="en-GB"/>
              </w:rPr>
            </w:pPr>
            <w:r w:rsidRPr="00BC1C66">
              <w:rPr>
                <w:sz w:val="20"/>
                <w:lang w:val="en-GB"/>
              </w:rPr>
              <w:t>@GlownyUrzadStatystyczny</w:t>
            </w:r>
          </w:p>
        </w:tc>
      </w:tr>
    </w:tbl>
    <w:p w:rsidR="00D261A2" w:rsidRPr="00BC1C66" w:rsidRDefault="00212C24" w:rsidP="00E76D26">
      <w:pPr>
        <w:rPr>
          <w:sz w:val="18"/>
          <w:lang w:val="en-GB"/>
        </w:rPr>
      </w:pPr>
      <w:bookmarkStart w:id="0" w:name="_GoBack"/>
      <w:bookmarkEnd w:id="0"/>
      <w:r>
        <w:rPr>
          <w:noProof/>
          <w:sz w:val="18"/>
          <w:highlight w:val="yellow"/>
          <w:lang w:val="en-GB" w:eastAsia="en-GB"/>
        </w:rPr>
        <w:pict>
          <v:shape id="_x0000_s1030" type="#_x0000_t202" style="position:absolute;margin-left:1.5pt;margin-top:34.7pt;width:516.5pt;height:349.85pt;z-index:25174425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dMPw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Acf+dMPwIAAHQEAAAO&#10;AAAAAAAAAAAAAAAAAC4CAABkcnMvZTJvRG9jLnhtbFBLAQItABQABgAIAAAAIQArLl6j3wAAAAkB&#10;AAAPAAAAAAAAAAAAAAAAAJkEAABkcnMvZG93bnJldi54bWxQSwUGAAAAAAQABADzAAAApQUAAAAA&#10;" fillcolor="#f2f2f2 [3052]" strokecolor="white [3212]">
            <v:textbox style="mso-next-textbox:#_x0000_s1030">
              <w:txbxContent>
                <w:p w:rsidR="008B4F3F" w:rsidRDefault="008B4F3F" w:rsidP="00883763">
                  <w:pPr>
                    <w:rPr>
                      <w:b/>
                    </w:rPr>
                  </w:pPr>
                </w:p>
                <w:p w:rsidR="008B4F3F" w:rsidRPr="00FA7BB3" w:rsidRDefault="008B4F3F" w:rsidP="00B472EC">
                  <w:pPr>
                    <w:rPr>
                      <w:b/>
                      <w:lang w:val="en-GB"/>
                    </w:rPr>
                  </w:pPr>
                  <w:r w:rsidRPr="00FA7BB3">
                    <w:rPr>
                      <w:b/>
                      <w:lang w:val="en-GB"/>
                    </w:rPr>
                    <w:t>Related information</w:t>
                  </w:r>
                </w:p>
                <w:p w:rsidR="008B4F3F" w:rsidRPr="00FA7BB3" w:rsidRDefault="00212C24" w:rsidP="00B472E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7" w:history="1">
                    <w:r w:rsidR="008B4F3F" w:rsidRPr="00FA7BB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Communications and Announcements</w:t>
                    </w:r>
                  </w:hyperlink>
                </w:p>
                <w:p w:rsidR="008B4F3F" w:rsidRPr="00FA7BB3" w:rsidRDefault="00212C24" w:rsidP="00B472E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8" w:history="1">
                    <w:r w:rsidR="008B4F3F" w:rsidRPr="00FA7BB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News releases</w:t>
                    </w:r>
                  </w:hyperlink>
                </w:p>
                <w:p w:rsidR="008B4F3F" w:rsidRPr="00FA7BB3" w:rsidRDefault="008B4F3F" w:rsidP="00B472EC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8B4F3F" w:rsidRPr="00FA7BB3" w:rsidRDefault="008B4F3F" w:rsidP="00B472EC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FA7BB3">
                    <w:rPr>
                      <w:b/>
                      <w:color w:val="000000" w:themeColor="text1"/>
                      <w:szCs w:val="24"/>
                      <w:lang w:val="en-GB"/>
                    </w:rPr>
                    <w:t>Data available in databases</w:t>
                  </w:r>
                </w:p>
                <w:p w:rsidR="008B4F3F" w:rsidRPr="00C3205E" w:rsidRDefault="00212C24" w:rsidP="00B472E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9" w:history="1">
                    <w:r w:rsidR="008B4F3F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Knowledge Database Prices</w:t>
                    </w:r>
                  </w:hyperlink>
                </w:p>
                <w:p w:rsidR="008B4F3F" w:rsidRPr="00C3205E" w:rsidRDefault="00212C24" w:rsidP="00B472E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0" w:history="1">
                    <w:r w:rsidR="008B4F3F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Macroeconomic Data Bank</w:t>
                    </w:r>
                  </w:hyperlink>
                </w:p>
                <w:p w:rsidR="008B4F3F" w:rsidRPr="00C3205E" w:rsidRDefault="00212C24" w:rsidP="00B472E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1" w:history="1">
                    <w:r w:rsidR="008B4F3F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Local Data Bank</w:t>
                    </w:r>
                  </w:hyperlink>
                </w:p>
                <w:p w:rsidR="008B4F3F" w:rsidRPr="00C3205E" w:rsidRDefault="00212C24" w:rsidP="00B472E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2" w:history="1">
                    <w:r w:rsidR="008B4F3F" w:rsidRPr="00C3205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indices (Topics: Prices, Trade)</w:t>
                    </w:r>
                  </w:hyperlink>
                </w:p>
                <w:p w:rsidR="008B4F3F" w:rsidRPr="00C3205E" w:rsidRDefault="00212C24" w:rsidP="00B472E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3" w:history="1">
                    <w:r w:rsidR="008B4F3F" w:rsidRPr="00C3205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Prices (Topics: Prices, Trade)</w:t>
                    </w:r>
                  </w:hyperlink>
                </w:p>
                <w:p w:rsidR="008B4F3F" w:rsidRPr="00C3205E" w:rsidRDefault="008B4F3F" w:rsidP="00B472EC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8B4F3F" w:rsidRPr="00BB6820" w:rsidRDefault="008B4F3F" w:rsidP="00B472EC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BB6820">
                    <w:rPr>
                      <w:b/>
                      <w:color w:val="000000" w:themeColor="text1"/>
                      <w:szCs w:val="24"/>
                      <w:lang w:val="en-GB"/>
                    </w:rPr>
                    <w:t>Terms used in official statistics</w:t>
                  </w:r>
                </w:p>
                <w:p w:rsidR="008B4F3F" w:rsidRPr="00C3205E" w:rsidRDefault="00212C24" w:rsidP="00B472E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4" w:history="1">
                    <w:r w:rsidR="008B4F3F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index of consumer goods and services</w:t>
                    </w:r>
                  </w:hyperlink>
                </w:p>
                <w:p w:rsidR="008B4F3F" w:rsidRPr="00065E4D" w:rsidRDefault="00212C24" w:rsidP="00B472E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5" w:history="1">
                    <w:r w:rsidR="008B4F3F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Retail price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BC1C66" w:rsidSect="00EF7B36">
      <w:headerReference w:type="default" r:id="rId36"/>
      <w:footerReference w:type="default" r:id="rId37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C24" w:rsidRDefault="00212C24" w:rsidP="000662E2">
      <w:pPr>
        <w:spacing w:after="0" w:line="240" w:lineRule="auto"/>
      </w:pPr>
      <w:r>
        <w:separator/>
      </w:r>
    </w:p>
  </w:endnote>
  <w:endnote w:type="continuationSeparator" w:id="0">
    <w:p w:rsidR="00212C24" w:rsidRDefault="00212C2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8B4F3F" w:rsidRDefault="008B4F3F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2F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8B4F3F" w:rsidRDefault="008B4F3F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2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8B4F3F" w:rsidRDefault="008B4F3F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2F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C24" w:rsidRDefault="00212C24" w:rsidP="000662E2">
      <w:pPr>
        <w:spacing w:after="0" w:line="240" w:lineRule="auto"/>
      </w:pPr>
      <w:r>
        <w:separator/>
      </w:r>
    </w:p>
  </w:footnote>
  <w:footnote w:type="continuationSeparator" w:id="0">
    <w:p w:rsidR="00212C24" w:rsidRDefault="00212C2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F3F" w:rsidRDefault="00212C24">
    <w:pPr>
      <w:pStyle w:val="Nagwek"/>
    </w:pPr>
    <w:r>
      <w:rPr>
        <w:noProof/>
        <w:lang w:val="en-GB" w:eastAsia="en-GB"/>
      </w:rPr>
      <w:pict>
        <v:rect id="Prostokąt 24" o:spid="_x0000_s2052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<v:path arrowok="t"/>
        </v:rect>
      </w:pict>
    </w:r>
  </w:p>
  <w:p w:rsidR="008B4F3F" w:rsidRDefault="008B4F3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F3F" w:rsidRDefault="00212C24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shape id="Schemat blokowy: opóźnienie 6" o:spid="_x0000_s2051" style="position:absolute;margin-left:396.6pt;margin-top:15.65pt;width:162.25pt;height:28.15pt;flip:x;z-index:251668480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ga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7K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waRoGk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8B4F3F" w:rsidRPr="003C6C8D" w:rsidRDefault="008B4F3F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 w:rsidRPr="00411531">
                  <w:rPr>
                    <w:rFonts w:ascii="Fira Sans SemiBold" w:hAnsi="Fira Sans SemiBold"/>
                  </w:rPr>
                  <w:t>NEWS RELEASES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rect id="Prostokąt 10" o:spid="_x0000_s2050" style="position:absolute;margin-left:410.95pt;margin-top:40.3pt;width:147.4pt;height:1803.55pt;z-index:-251650048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<v:path arrowok="t"/>
          <w10:wrap type="tight"/>
        </v:rect>
      </w:pict>
    </w:r>
    <w:r w:rsidR="008B4F3F">
      <w:rPr>
        <w:noProof/>
        <w:lang w:eastAsia="pl-PL"/>
      </w:rPr>
      <w:drawing>
        <wp:inline distT="0" distB="0" distL="0" distR="0" wp14:anchorId="6022DAB1" wp14:editId="342CB0DD">
          <wp:extent cx="1865630" cy="709295"/>
          <wp:effectExtent l="0" t="0" r="0" b="0"/>
          <wp:docPr id="5" name="Obraz 5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4F3F" w:rsidRDefault="00212C24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1m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CIw1m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8B4F3F" w:rsidRPr="00C97596" w:rsidRDefault="008B4F3F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15.05.2019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F3F" w:rsidRDefault="008B4F3F">
    <w:pPr>
      <w:pStyle w:val="Nagwek"/>
    </w:pPr>
  </w:p>
  <w:p w:rsidR="008B4F3F" w:rsidRDefault="008B4F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7pt;height:124.9pt;visibility:visible" o:bullet="t">
        <v:imagedata r:id="rId1" o:title=""/>
      </v:shape>
    </w:pict>
  </w:numPicBullet>
  <w:numPicBullet w:numPicBulletId="1">
    <w:pict>
      <v:shape id="_x0000_i1031" type="#_x0000_t75" style="width:124.3pt;height:124.9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3"/>
    <o:shapelayout v:ext="edit">
      <o:idmap v:ext="edit" data="2"/>
    </o:shapelayout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0EC7"/>
    <w:rsid w:val="00001C5B"/>
    <w:rsid w:val="00003437"/>
    <w:rsid w:val="0000709F"/>
    <w:rsid w:val="000108B8"/>
    <w:rsid w:val="000152F5"/>
    <w:rsid w:val="000201FC"/>
    <w:rsid w:val="00034160"/>
    <w:rsid w:val="000375EC"/>
    <w:rsid w:val="0004015D"/>
    <w:rsid w:val="0004582E"/>
    <w:rsid w:val="0004646A"/>
    <w:rsid w:val="000470AA"/>
    <w:rsid w:val="00057CA1"/>
    <w:rsid w:val="00065CD6"/>
    <w:rsid w:val="00065E4D"/>
    <w:rsid w:val="000662E2"/>
    <w:rsid w:val="00066883"/>
    <w:rsid w:val="00074DD8"/>
    <w:rsid w:val="000800B4"/>
    <w:rsid w:val="000806F7"/>
    <w:rsid w:val="00097840"/>
    <w:rsid w:val="000A3C52"/>
    <w:rsid w:val="000A6963"/>
    <w:rsid w:val="000A7F1A"/>
    <w:rsid w:val="000B0727"/>
    <w:rsid w:val="000C135D"/>
    <w:rsid w:val="000D1D43"/>
    <w:rsid w:val="000D225C"/>
    <w:rsid w:val="000D2A5C"/>
    <w:rsid w:val="000E0918"/>
    <w:rsid w:val="000F2650"/>
    <w:rsid w:val="001011C3"/>
    <w:rsid w:val="001063B5"/>
    <w:rsid w:val="00110D87"/>
    <w:rsid w:val="001149A1"/>
    <w:rsid w:val="00114DB9"/>
    <w:rsid w:val="00116087"/>
    <w:rsid w:val="00130296"/>
    <w:rsid w:val="00131C4F"/>
    <w:rsid w:val="00132297"/>
    <w:rsid w:val="00133A82"/>
    <w:rsid w:val="00135B65"/>
    <w:rsid w:val="00142037"/>
    <w:rsid w:val="001423B6"/>
    <w:rsid w:val="001448A7"/>
    <w:rsid w:val="00146621"/>
    <w:rsid w:val="0015302A"/>
    <w:rsid w:val="00153826"/>
    <w:rsid w:val="00162325"/>
    <w:rsid w:val="0016276D"/>
    <w:rsid w:val="00171256"/>
    <w:rsid w:val="00173547"/>
    <w:rsid w:val="001951DA"/>
    <w:rsid w:val="001A62AA"/>
    <w:rsid w:val="001A7573"/>
    <w:rsid w:val="001A78D0"/>
    <w:rsid w:val="001B0A25"/>
    <w:rsid w:val="001B389B"/>
    <w:rsid w:val="001C3269"/>
    <w:rsid w:val="001D1DB4"/>
    <w:rsid w:val="001D68C3"/>
    <w:rsid w:val="001E1D94"/>
    <w:rsid w:val="001E43C1"/>
    <w:rsid w:val="001E7DBB"/>
    <w:rsid w:val="001F60D1"/>
    <w:rsid w:val="00212C24"/>
    <w:rsid w:val="002221D9"/>
    <w:rsid w:val="002268BB"/>
    <w:rsid w:val="00241C3D"/>
    <w:rsid w:val="00253CE5"/>
    <w:rsid w:val="002574F9"/>
    <w:rsid w:val="002621B1"/>
    <w:rsid w:val="00262B61"/>
    <w:rsid w:val="0026302B"/>
    <w:rsid w:val="00263A32"/>
    <w:rsid w:val="002724FF"/>
    <w:rsid w:val="00274931"/>
    <w:rsid w:val="00275FA6"/>
    <w:rsid w:val="00276811"/>
    <w:rsid w:val="00276C9A"/>
    <w:rsid w:val="00282699"/>
    <w:rsid w:val="00284E85"/>
    <w:rsid w:val="0028787C"/>
    <w:rsid w:val="00290CB6"/>
    <w:rsid w:val="002926DF"/>
    <w:rsid w:val="00296697"/>
    <w:rsid w:val="002A4D80"/>
    <w:rsid w:val="002B0472"/>
    <w:rsid w:val="002B6B12"/>
    <w:rsid w:val="002B7898"/>
    <w:rsid w:val="002C7748"/>
    <w:rsid w:val="002D0020"/>
    <w:rsid w:val="002E6140"/>
    <w:rsid w:val="002E6985"/>
    <w:rsid w:val="002E71B6"/>
    <w:rsid w:val="002F77C8"/>
    <w:rsid w:val="00304F22"/>
    <w:rsid w:val="00305162"/>
    <w:rsid w:val="00306C7C"/>
    <w:rsid w:val="003072AC"/>
    <w:rsid w:val="00310F08"/>
    <w:rsid w:val="00322EDD"/>
    <w:rsid w:val="00332320"/>
    <w:rsid w:val="00347D72"/>
    <w:rsid w:val="00357611"/>
    <w:rsid w:val="00367237"/>
    <w:rsid w:val="0037077F"/>
    <w:rsid w:val="00372411"/>
    <w:rsid w:val="00373882"/>
    <w:rsid w:val="00373B39"/>
    <w:rsid w:val="003843DB"/>
    <w:rsid w:val="003901AC"/>
    <w:rsid w:val="00393761"/>
    <w:rsid w:val="00397D18"/>
    <w:rsid w:val="003A1B36"/>
    <w:rsid w:val="003A2F66"/>
    <w:rsid w:val="003A440F"/>
    <w:rsid w:val="003A4BD6"/>
    <w:rsid w:val="003B0043"/>
    <w:rsid w:val="003B1454"/>
    <w:rsid w:val="003B18B6"/>
    <w:rsid w:val="003B5096"/>
    <w:rsid w:val="003C20FB"/>
    <w:rsid w:val="003C59E0"/>
    <w:rsid w:val="003C6C8D"/>
    <w:rsid w:val="003D3B24"/>
    <w:rsid w:val="003D4F95"/>
    <w:rsid w:val="003D5F42"/>
    <w:rsid w:val="003D60A9"/>
    <w:rsid w:val="003E6F8F"/>
    <w:rsid w:val="003F4C97"/>
    <w:rsid w:val="003F7FE6"/>
    <w:rsid w:val="00400193"/>
    <w:rsid w:val="004212E7"/>
    <w:rsid w:val="0042446D"/>
    <w:rsid w:val="004276B0"/>
    <w:rsid w:val="00427BF8"/>
    <w:rsid w:val="0043074D"/>
    <w:rsid w:val="00431C02"/>
    <w:rsid w:val="00437395"/>
    <w:rsid w:val="00445047"/>
    <w:rsid w:val="00454E14"/>
    <w:rsid w:val="004566AB"/>
    <w:rsid w:val="0045762F"/>
    <w:rsid w:val="004601AC"/>
    <w:rsid w:val="00463E39"/>
    <w:rsid w:val="004657FC"/>
    <w:rsid w:val="004733F6"/>
    <w:rsid w:val="00474E69"/>
    <w:rsid w:val="00486EE6"/>
    <w:rsid w:val="00493217"/>
    <w:rsid w:val="0049621B"/>
    <w:rsid w:val="004A4C4F"/>
    <w:rsid w:val="004C0D4D"/>
    <w:rsid w:val="004C1895"/>
    <w:rsid w:val="004C6D40"/>
    <w:rsid w:val="004F0C3C"/>
    <w:rsid w:val="004F63FC"/>
    <w:rsid w:val="00500ABD"/>
    <w:rsid w:val="00501254"/>
    <w:rsid w:val="00501F76"/>
    <w:rsid w:val="00502E6F"/>
    <w:rsid w:val="00505A92"/>
    <w:rsid w:val="00511F19"/>
    <w:rsid w:val="0051646A"/>
    <w:rsid w:val="005166DE"/>
    <w:rsid w:val="00516A50"/>
    <w:rsid w:val="005203F1"/>
    <w:rsid w:val="0052058B"/>
    <w:rsid w:val="00521BC3"/>
    <w:rsid w:val="00526A58"/>
    <w:rsid w:val="00533632"/>
    <w:rsid w:val="0053648F"/>
    <w:rsid w:val="00541E6E"/>
    <w:rsid w:val="0054251F"/>
    <w:rsid w:val="00544F6B"/>
    <w:rsid w:val="005519E7"/>
    <w:rsid w:val="005520D8"/>
    <w:rsid w:val="00556CF1"/>
    <w:rsid w:val="005762A7"/>
    <w:rsid w:val="005877DE"/>
    <w:rsid w:val="005916D7"/>
    <w:rsid w:val="0059562F"/>
    <w:rsid w:val="005A2784"/>
    <w:rsid w:val="005A698C"/>
    <w:rsid w:val="005B72AA"/>
    <w:rsid w:val="005C1AF8"/>
    <w:rsid w:val="005C6457"/>
    <w:rsid w:val="005C6EF6"/>
    <w:rsid w:val="005D0389"/>
    <w:rsid w:val="005D0ADA"/>
    <w:rsid w:val="005D1C04"/>
    <w:rsid w:val="005D470D"/>
    <w:rsid w:val="005D6C0F"/>
    <w:rsid w:val="005E0799"/>
    <w:rsid w:val="005E2757"/>
    <w:rsid w:val="005F4399"/>
    <w:rsid w:val="005F5A80"/>
    <w:rsid w:val="006044FF"/>
    <w:rsid w:val="00607CC5"/>
    <w:rsid w:val="006149F0"/>
    <w:rsid w:val="00614F08"/>
    <w:rsid w:val="0061655B"/>
    <w:rsid w:val="00616723"/>
    <w:rsid w:val="00627D84"/>
    <w:rsid w:val="006321A2"/>
    <w:rsid w:val="00633014"/>
    <w:rsid w:val="0063437B"/>
    <w:rsid w:val="006449AC"/>
    <w:rsid w:val="00655BAA"/>
    <w:rsid w:val="006673CA"/>
    <w:rsid w:val="00673C26"/>
    <w:rsid w:val="00674A8B"/>
    <w:rsid w:val="006812AF"/>
    <w:rsid w:val="00682B23"/>
    <w:rsid w:val="0068327D"/>
    <w:rsid w:val="00683EDE"/>
    <w:rsid w:val="00685123"/>
    <w:rsid w:val="00691225"/>
    <w:rsid w:val="00694AF0"/>
    <w:rsid w:val="006953AF"/>
    <w:rsid w:val="006A4686"/>
    <w:rsid w:val="006B0E9E"/>
    <w:rsid w:val="006B208D"/>
    <w:rsid w:val="006B20B4"/>
    <w:rsid w:val="006B5AE4"/>
    <w:rsid w:val="006D1507"/>
    <w:rsid w:val="006D3273"/>
    <w:rsid w:val="006D4054"/>
    <w:rsid w:val="006D6B72"/>
    <w:rsid w:val="006E02EC"/>
    <w:rsid w:val="006E43B9"/>
    <w:rsid w:val="007059D5"/>
    <w:rsid w:val="007068BC"/>
    <w:rsid w:val="00713F97"/>
    <w:rsid w:val="007162EB"/>
    <w:rsid w:val="007211B1"/>
    <w:rsid w:val="00723B21"/>
    <w:rsid w:val="0072400B"/>
    <w:rsid w:val="00733D55"/>
    <w:rsid w:val="00740107"/>
    <w:rsid w:val="00746187"/>
    <w:rsid w:val="00750EC3"/>
    <w:rsid w:val="00752A67"/>
    <w:rsid w:val="00761070"/>
    <w:rsid w:val="0076254F"/>
    <w:rsid w:val="00776D79"/>
    <w:rsid w:val="007801F5"/>
    <w:rsid w:val="00781552"/>
    <w:rsid w:val="00783CA4"/>
    <w:rsid w:val="007842FB"/>
    <w:rsid w:val="0078488C"/>
    <w:rsid w:val="00786124"/>
    <w:rsid w:val="0078756B"/>
    <w:rsid w:val="00792E24"/>
    <w:rsid w:val="00793134"/>
    <w:rsid w:val="00793C02"/>
    <w:rsid w:val="0079514B"/>
    <w:rsid w:val="007A2DC1"/>
    <w:rsid w:val="007B072B"/>
    <w:rsid w:val="007B418B"/>
    <w:rsid w:val="007B74D8"/>
    <w:rsid w:val="007D164E"/>
    <w:rsid w:val="007D3319"/>
    <w:rsid w:val="007D335D"/>
    <w:rsid w:val="007E3314"/>
    <w:rsid w:val="007E4B03"/>
    <w:rsid w:val="007F324B"/>
    <w:rsid w:val="007F6677"/>
    <w:rsid w:val="00802A9A"/>
    <w:rsid w:val="0080553C"/>
    <w:rsid w:val="00805B46"/>
    <w:rsid w:val="00812E03"/>
    <w:rsid w:val="00813E56"/>
    <w:rsid w:val="00820461"/>
    <w:rsid w:val="00820B10"/>
    <w:rsid w:val="0082498D"/>
    <w:rsid w:val="00825DC2"/>
    <w:rsid w:val="00831172"/>
    <w:rsid w:val="00832750"/>
    <w:rsid w:val="00834AD3"/>
    <w:rsid w:val="00840AC3"/>
    <w:rsid w:val="00843795"/>
    <w:rsid w:val="00847F0F"/>
    <w:rsid w:val="00852448"/>
    <w:rsid w:val="0088258A"/>
    <w:rsid w:val="008832C4"/>
    <w:rsid w:val="00883763"/>
    <w:rsid w:val="00886332"/>
    <w:rsid w:val="008971CA"/>
    <w:rsid w:val="008A1D93"/>
    <w:rsid w:val="008A26D9"/>
    <w:rsid w:val="008B4AE0"/>
    <w:rsid w:val="008B4F3F"/>
    <w:rsid w:val="008C0C29"/>
    <w:rsid w:val="008C7A01"/>
    <w:rsid w:val="008F09EC"/>
    <w:rsid w:val="008F19C7"/>
    <w:rsid w:val="008F3638"/>
    <w:rsid w:val="008F4441"/>
    <w:rsid w:val="008F6F31"/>
    <w:rsid w:val="008F74AF"/>
    <w:rsid w:val="008F74DF"/>
    <w:rsid w:val="009127BA"/>
    <w:rsid w:val="00916782"/>
    <w:rsid w:val="00917CCF"/>
    <w:rsid w:val="00921BC7"/>
    <w:rsid w:val="009227A6"/>
    <w:rsid w:val="00933B26"/>
    <w:rsid w:val="00933EC1"/>
    <w:rsid w:val="00942DCA"/>
    <w:rsid w:val="009529DE"/>
    <w:rsid w:val="009530DB"/>
    <w:rsid w:val="00953676"/>
    <w:rsid w:val="009705EE"/>
    <w:rsid w:val="00971217"/>
    <w:rsid w:val="0097339D"/>
    <w:rsid w:val="00973755"/>
    <w:rsid w:val="00977927"/>
    <w:rsid w:val="0098135C"/>
    <w:rsid w:val="0098156A"/>
    <w:rsid w:val="00990133"/>
    <w:rsid w:val="00991BAC"/>
    <w:rsid w:val="00991E1A"/>
    <w:rsid w:val="009A6EA0"/>
    <w:rsid w:val="009B1399"/>
    <w:rsid w:val="009B746F"/>
    <w:rsid w:val="009C1335"/>
    <w:rsid w:val="009C1AB2"/>
    <w:rsid w:val="009C345F"/>
    <w:rsid w:val="009C4C77"/>
    <w:rsid w:val="009C5407"/>
    <w:rsid w:val="009C7251"/>
    <w:rsid w:val="009D1423"/>
    <w:rsid w:val="009D62E1"/>
    <w:rsid w:val="009E2E91"/>
    <w:rsid w:val="009E3BF4"/>
    <w:rsid w:val="009E3FA7"/>
    <w:rsid w:val="009E410D"/>
    <w:rsid w:val="009F5815"/>
    <w:rsid w:val="009F5AB7"/>
    <w:rsid w:val="00A01424"/>
    <w:rsid w:val="00A025B6"/>
    <w:rsid w:val="00A07F00"/>
    <w:rsid w:val="00A12435"/>
    <w:rsid w:val="00A139F5"/>
    <w:rsid w:val="00A14E0F"/>
    <w:rsid w:val="00A2136A"/>
    <w:rsid w:val="00A34C24"/>
    <w:rsid w:val="00A365F4"/>
    <w:rsid w:val="00A37CE0"/>
    <w:rsid w:val="00A459FF"/>
    <w:rsid w:val="00A460E6"/>
    <w:rsid w:val="00A46BD5"/>
    <w:rsid w:val="00A47937"/>
    <w:rsid w:val="00A47D80"/>
    <w:rsid w:val="00A51BB2"/>
    <w:rsid w:val="00A53132"/>
    <w:rsid w:val="00A563F2"/>
    <w:rsid w:val="00A566E8"/>
    <w:rsid w:val="00A742F3"/>
    <w:rsid w:val="00A810F9"/>
    <w:rsid w:val="00A86219"/>
    <w:rsid w:val="00A86ECC"/>
    <w:rsid w:val="00A86FCC"/>
    <w:rsid w:val="00A93892"/>
    <w:rsid w:val="00AA710D"/>
    <w:rsid w:val="00AB077D"/>
    <w:rsid w:val="00AB6D25"/>
    <w:rsid w:val="00AC0E6A"/>
    <w:rsid w:val="00AC5AE8"/>
    <w:rsid w:val="00AD4947"/>
    <w:rsid w:val="00AD5F17"/>
    <w:rsid w:val="00AE20FD"/>
    <w:rsid w:val="00AE2D4B"/>
    <w:rsid w:val="00AE3075"/>
    <w:rsid w:val="00AE4F99"/>
    <w:rsid w:val="00B06265"/>
    <w:rsid w:val="00B11B69"/>
    <w:rsid w:val="00B14534"/>
    <w:rsid w:val="00B1483F"/>
    <w:rsid w:val="00B14952"/>
    <w:rsid w:val="00B31E5A"/>
    <w:rsid w:val="00B322EC"/>
    <w:rsid w:val="00B44575"/>
    <w:rsid w:val="00B472EC"/>
    <w:rsid w:val="00B609CE"/>
    <w:rsid w:val="00B653AB"/>
    <w:rsid w:val="00B65F9E"/>
    <w:rsid w:val="00B66B19"/>
    <w:rsid w:val="00B87225"/>
    <w:rsid w:val="00B914E9"/>
    <w:rsid w:val="00B94737"/>
    <w:rsid w:val="00B956EE"/>
    <w:rsid w:val="00B97152"/>
    <w:rsid w:val="00BA2BA1"/>
    <w:rsid w:val="00BA3562"/>
    <w:rsid w:val="00BA5A42"/>
    <w:rsid w:val="00BB4F09"/>
    <w:rsid w:val="00BC17C7"/>
    <w:rsid w:val="00BC1C66"/>
    <w:rsid w:val="00BD3E8D"/>
    <w:rsid w:val="00BD4E33"/>
    <w:rsid w:val="00BE4B65"/>
    <w:rsid w:val="00BF790C"/>
    <w:rsid w:val="00C00EDA"/>
    <w:rsid w:val="00C030DE"/>
    <w:rsid w:val="00C0442C"/>
    <w:rsid w:val="00C059EB"/>
    <w:rsid w:val="00C22105"/>
    <w:rsid w:val="00C244B6"/>
    <w:rsid w:val="00C27D75"/>
    <w:rsid w:val="00C3702F"/>
    <w:rsid w:val="00C37E05"/>
    <w:rsid w:val="00C4500A"/>
    <w:rsid w:val="00C55C91"/>
    <w:rsid w:val="00C61AA5"/>
    <w:rsid w:val="00C64A37"/>
    <w:rsid w:val="00C7158E"/>
    <w:rsid w:val="00C7250B"/>
    <w:rsid w:val="00C7346B"/>
    <w:rsid w:val="00C73B5E"/>
    <w:rsid w:val="00C77C0E"/>
    <w:rsid w:val="00C8000E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B0930"/>
    <w:rsid w:val="00CC739E"/>
    <w:rsid w:val="00CD1E2E"/>
    <w:rsid w:val="00CD58B7"/>
    <w:rsid w:val="00CD5ABC"/>
    <w:rsid w:val="00CE10B3"/>
    <w:rsid w:val="00CE5661"/>
    <w:rsid w:val="00CF08EF"/>
    <w:rsid w:val="00CF4099"/>
    <w:rsid w:val="00CF7C68"/>
    <w:rsid w:val="00D00796"/>
    <w:rsid w:val="00D02D2C"/>
    <w:rsid w:val="00D261A2"/>
    <w:rsid w:val="00D401C9"/>
    <w:rsid w:val="00D538E4"/>
    <w:rsid w:val="00D616D2"/>
    <w:rsid w:val="00D63B5F"/>
    <w:rsid w:val="00D7066F"/>
    <w:rsid w:val="00D70EF7"/>
    <w:rsid w:val="00D7664A"/>
    <w:rsid w:val="00D815F5"/>
    <w:rsid w:val="00D8397C"/>
    <w:rsid w:val="00D931B1"/>
    <w:rsid w:val="00D93DDB"/>
    <w:rsid w:val="00D94EED"/>
    <w:rsid w:val="00D96026"/>
    <w:rsid w:val="00DA0243"/>
    <w:rsid w:val="00DA433C"/>
    <w:rsid w:val="00DA7C1C"/>
    <w:rsid w:val="00DB147A"/>
    <w:rsid w:val="00DB1B7A"/>
    <w:rsid w:val="00DB7890"/>
    <w:rsid w:val="00DC605C"/>
    <w:rsid w:val="00DC6708"/>
    <w:rsid w:val="00DC7CFA"/>
    <w:rsid w:val="00DF712D"/>
    <w:rsid w:val="00E01436"/>
    <w:rsid w:val="00E045BD"/>
    <w:rsid w:val="00E06A15"/>
    <w:rsid w:val="00E1015F"/>
    <w:rsid w:val="00E16D62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714C"/>
    <w:rsid w:val="00E51AEB"/>
    <w:rsid w:val="00E522A7"/>
    <w:rsid w:val="00E54452"/>
    <w:rsid w:val="00E63312"/>
    <w:rsid w:val="00E664C5"/>
    <w:rsid w:val="00E671A2"/>
    <w:rsid w:val="00E76D26"/>
    <w:rsid w:val="00E82C7E"/>
    <w:rsid w:val="00E83CF8"/>
    <w:rsid w:val="00EA76A7"/>
    <w:rsid w:val="00EB02C9"/>
    <w:rsid w:val="00EB1390"/>
    <w:rsid w:val="00EB2C71"/>
    <w:rsid w:val="00EB4340"/>
    <w:rsid w:val="00EB4D71"/>
    <w:rsid w:val="00EB556D"/>
    <w:rsid w:val="00EB5A7D"/>
    <w:rsid w:val="00EB73D7"/>
    <w:rsid w:val="00EB7A18"/>
    <w:rsid w:val="00ED5044"/>
    <w:rsid w:val="00ED55C0"/>
    <w:rsid w:val="00ED682B"/>
    <w:rsid w:val="00EE41D5"/>
    <w:rsid w:val="00EE4ADB"/>
    <w:rsid w:val="00EE696D"/>
    <w:rsid w:val="00EF7B36"/>
    <w:rsid w:val="00F037A4"/>
    <w:rsid w:val="00F04C11"/>
    <w:rsid w:val="00F0738D"/>
    <w:rsid w:val="00F12FEC"/>
    <w:rsid w:val="00F236DF"/>
    <w:rsid w:val="00F26013"/>
    <w:rsid w:val="00F27C8F"/>
    <w:rsid w:val="00F30A0C"/>
    <w:rsid w:val="00F32749"/>
    <w:rsid w:val="00F37172"/>
    <w:rsid w:val="00F40129"/>
    <w:rsid w:val="00F4477E"/>
    <w:rsid w:val="00F45717"/>
    <w:rsid w:val="00F65EEC"/>
    <w:rsid w:val="00F6637E"/>
    <w:rsid w:val="00F66662"/>
    <w:rsid w:val="00F67D8F"/>
    <w:rsid w:val="00F739B3"/>
    <w:rsid w:val="00F74B10"/>
    <w:rsid w:val="00F80247"/>
    <w:rsid w:val="00F802BE"/>
    <w:rsid w:val="00F8055B"/>
    <w:rsid w:val="00F80E93"/>
    <w:rsid w:val="00F86024"/>
    <w:rsid w:val="00F8611A"/>
    <w:rsid w:val="00F86C02"/>
    <w:rsid w:val="00F90BB1"/>
    <w:rsid w:val="00F93CA3"/>
    <w:rsid w:val="00FA5128"/>
    <w:rsid w:val="00FB42D4"/>
    <w:rsid w:val="00FB5906"/>
    <w:rsid w:val="00FB762F"/>
    <w:rsid w:val="00FC2AED"/>
    <w:rsid w:val="00FD5EA7"/>
    <w:rsid w:val="00FD6BCF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3EB821D0-513B-4A19-9D5A-787AF8DF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footer" Target="footer1.xml"/><Relationship Id="rId26" Type="http://schemas.openxmlformats.org/officeDocument/2006/relationships/image" Target="media/image7.png"/><Relationship Id="rId39" Type="http://schemas.openxmlformats.org/officeDocument/2006/relationships/theme" Target="theme/theme1.xml"/><Relationship Id="rId21" Type="http://schemas.openxmlformats.org/officeDocument/2006/relationships/hyperlink" Target="mailto:a.bobel@stat.gov.pl" TargetMode="External"/><Relationship Id="rId34" Type="http://schemas.openxmlformats.org/officeDocument/2006/relationships/hyperlink" Target="http://stat.gov.pl/en/metainformations/glossary/terms-used-in-official-statistics/711,term.html" TargetMode="Externa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eader" Target="header1.xml"/><Relationship Id="rId25" Type="http://schemas.openxmlformats.org/officeDocument/2006/relationships/image" Target="media/image6.png"/><Relationship Id="rId33" Type="http://schemas.openxmlformats.org/officeDocument/2006/relationships/hyperlink" Target="http://stat.gov.pl/en/topics/prices-trade/prices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0" Type="http://schemas.openxmlformats.org/officeDocument/2006/relationships/footer" Target="footer2.xml"/><Relationship Id="rId29" Type="http://schemas.openxmlformats.org/officeDocument/2006/relationships/hyperlink" Target="http://swaid.stat.gov.pl/EN/SitePagesDBW/Ceny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5.png"/><Relationship Id="rId32" Type="http://schemas.openxmlformats.org/officeDocument/2006/relationships/hyperlink" Target="http://stat.gov.pl/en/topics/prices-trade/price-indices/" TargetMode="External"/><Relationship Id="rId37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://stat.gov.pl/en/latest-statistical-news/news-releases/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s://bdl.stat.gov.pl/BDL/start?lang=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hyperlink" Target="mailto:rzecznik@stat.gov.pl" TargetMode="External"/><Relationship Id="rId27" Type="http://schemas.openxmlformats.org/officeDocument/2006/relationships/hyperlink" Target="http://stat.gov.pl/en/latest-statistical-news/communications-and-announcements/" TargetMode="External"/><Relationship Id="rId30" Type="http://schemas.openxmlformats.org/officeDocument/2006/relationships/hyperlink" Target="http://bdm.stat.gov.pl/" TargetMode="External"/><Relationship Id="rId35" Type="http://schemas.openxmlformats.org/officeDocument/2006/relationships/hyperlink" Target="http://stat.gov.pl/en/metainformations/glossary/terms-used-in-official-statistics/32,term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9.9222344774682284E-3"/>
                  <c:y val="4.296618223141991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9.917754870193574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9588774350968982E-3"/>
                  <c:y val="-3.99350700836627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479438717548304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4787752946019418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WPŁYWY!$A$1:$A$12</c:f>
              <c:strCache>
                <c:ptCount val="12"/>
                <c:pt idx="0">
                  <c:v>Butter</c:v>
                </c:pt>
                <c:pt idx="1">
                  <c:v>Milk, cheese and eggs</c:v>
                </c:pt>
                <c:pt idx="2">
                  <c:v>Alcoholic beverages</c:v>
                </c:pt>
                <c:pt idx="3">
                  <c:v>Package holidays</c:v>
                </c:pt>
                <c:pt idx="4">
                  <c:v>Footwear</c:v>
                </c:pt>
                <c:pt idx="5">
                  <c:v>Electricity, gas and other fuels</c:v>
                </c:pt>
                <c:pt idx="6">
                  <c:v>Refuse collection</c:v>
                </c:pt>
                <c:pt idx="7">
                  <c:v>Vegetables</c:v>
                </c:pt>
                <c:pt idx="8">
                  <c:v>Garments</c:v>
                </c:pt>
                <c:pt idx="9">
                  <c:v>Meat</c:v>
                </c:pt>
                <c:pt idx="10">
                  <c:v>Fuels for personal transport equipment</c:v>
                </c:pt>
                <c:pt idx="11">
                  <c:v>Transport services</c:v>
                </c:pt>
              </c:strCache>
            </c:strRef>
          </c:cat>
          <c:val>
            <c:numRef>
              <c:f>WPŁYWY!$C$1:$C$12</c:f>
              <c:numCache>
                <c:formatCode>0.00</c:formatCode>
                <c:ptCount val="12"/>
                <c:pt idx="0">
                  <c:v>-0.02</c:v>
                </c:pt>
                <c:pt idx="1">
                  <c:v>-0.01</c:v>
                </c:pt>
                <c:pt idx="2">
                  <c:v>-0.01</c:v>
                </c:pt>
                <c:pt idx="3">
                  <c:v>0.04</c:v>
                </c:pt>
                <c:pt idx="4">
                  <c:v>0.05</c:v>
                </c:pt>
                <c:pt idx="5">
                  <c:v>0.05</c:v>
                </c:pt>
                <c:pt idx="6">
                  <c:v>0.06</c:v>
                </c:pt>
                <c:pt idx="7">
                  <c:v>7.0000000000000007E-2</c:v>
                </c:pt>
                <c:pt idx="8">
                  <c:v>0.09</c:v>
                </c:pt>
                <c:pt idx="9">
                  <c:v>0.21</c:v>
                </c:pt>
                <c:pt idx="10">
                  <c:v>0.22</c:v>
                </c:pt>
                <c:pt idx="11">
                  <c:v>0.25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931018096"/>
        <c:axId val="-931017008"/>
      </c:barChart>
      <c:catAx>
        <c:axId val="-931018096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931017008"/>
        <c:crossesAt val="0"/>
        <c:auto val="1"/>
        <c:lblAlgn val="ctr"/>
        <c:lblOffset val="300"/>
        <c:tickMarkSkip val="1"/>
        <c:noMultiLvlLbl val="0"/>
      </c:catAx>
      <c:valAx>
        <c:axId val="-931017008"/>
        <c:scaling>
          <c:orientation val="minMax"/>
          <c:max val="0.28000000000000003"/>
          <c:min val="-4.0000000000000008E-2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931018096"/>
        <c:crosses val="autoZero"/>
        <c:crossBetween val="between"/>
        <c:majorUnit val="4.0000000000000008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4.5267504380125223E-2"/>
          <c:w val="0.51626076491275064"/>
          <c:h val="0.8785142984150642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Miscellaneous goods and services</c:v>
                </c:pt>
                <c:pt idx="1">
                  <c:v>Restaurants and hotels</c:v>
                </c:pt>
                <c:pt idx="2">
                  <c:v>Education</c:v>
                </c:pt>
                <c:pt idx="3">
                  <c:v>Recreation and culture</c:v>
                </c:pt>
                <c:pt idx="4">
                  <c:v>Communication</c:v>
                </c:pt>
                <c:pt idx="5">
                  <c:v>Transport</c:v>
                </c:pt>
                <c:pt idx="6">
                  <c:v>Health</c:v>
                </c:pt>
                <c:pt idx="7">
                  <c:v>Furnishings, household equipment and routine household maintenance</c:v>
                </c:pt>
                <c:pt idx="8">
                  <c:v>Housing, water, electricity, gas 
and other fuels</c:v>
                </c:pt>
                <c:pt idx="9">
                  <c:v>Clothing and footwear</c:v>
                </c:pt>
                <c:pt idx="10">
                  <c:v>Alcoholic beverages and tobacco</c:v>
                </c:pt>
                <c:pt idx="11">
                  <c:v>Food and non-alcoholic beverages</c:v>
                </c:pt>
              </c:strCache>
            </c:strRef>
          </c:cat>
          <c:val>
            <c:numRef>
              <c:f>'SYSTEM WAG'!$H$2:$H$13</c:f>
              <c:numCache>
                <c:formatCode>0.00</c:formatCode>
                <c:ptCount val="12"/>
                <c:pt idx="0">
                  <c:v>5.58</c:v>
                </c:pt>
                <c:pt idx="1">
                  <c:v>6.2</c:v>
                </c:pt>
                <c:pt idx="2">
                  <c:v>1.07</c:v>
                </c:pt>
                <c:pt idx="3">
                  <c:v>6.44</c:v>
                </c:pt>
                <c:pt idx="4">
                  <c:v>4.18</c:v>
                </c:pt>
                <c:pt idx="5">
                  <c:v>10.34</c:v>
                </c:pt>
                <c:pt idx="6">
                  <c:v>5.12</c:v>
                </c:pt>
                <c:pt idx="7">
                  <c:v>5.7</c:v>
                </c:pt>
                <c:pt idx="8">
                  <c:v>19.170000000000002</c:v>
                </c:pt>
                <c:pt idx="9">
                  <c:v>4.9400000000000004</c:v>
                </c:pt>
                <c:pt idx="10">
                  <c:v>6.37</c:v>
                </c:pt>
                <c:pt idx="11">
                  <c:v>24.89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-931014832"/>
        <c:axId val="-861816336"/>
      </c:barChart>
      <c:catAx>
        <c:axId val="-9310148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pl-PL"/>
          </a:p>
        </c:txPr>
        <c:crossAx val="-861816336"/>
        <c:crosses val="autoZero"/>
        <c:auto val="0"/>
        <c:lblAlgn val="ctr"/>
        <c:lblOffset val="100"/>
        <c:noMultiLvlLbl val="0"/>
      </c:catAx>
      <c:valAx>
        <c:axId val="-861816336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046223117610507"/>
              <c:y val="0.93581559052340313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-93101483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6670781351773575E-2"/>
                  <c:y val="-4.39299819869488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3468604754157208E-2"/>
                  <c:y val="4.0212657031465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9105157407450573E-3"/>
                  <c:y val="2.09376599850352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188758712710232E-2"/>
                  <c:y val="-4.90314307595190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7181844786106931E-2"/>
                  <c:y val="-2.47512621411144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5.3797914194180611E-3"/>
                  <c:y val="-3.572113198639436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47716857724923E-2"/>
                  <c:y val="4.107391800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4271949856009622E-2"/>
                  <c:y val="3.14190140845070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5603517024352331E-2"/>
                  <c:y val="-2.9814122688991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2651778249624288E-2"/>
                  <c:y val="-3.3899636218667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6652191614570462E-2"/>
                  <c:y val="4.0266608907966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9576602783747541E-2"/>
                  <c:y val="-4.8670499744023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5493402701699026E-2"/>
                  <c:y val="5.11235379829086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0157391911064197E-2"/>
                  <c:y val="-4.78498011262946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8644160275800589E-2"/>
                  <c:y val="5.08062057853628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2892181330777363E-2"/>
                  <c:y val="-1.9509782021485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3211671326599962E-2"/>
                  <c:y val="4.0027109184232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5.1531195586912756E-2"/>
                  <c:y val="3.572272885832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9165355310629951E-2"/>
                  <c:y val="3.5941705533573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4.8487169322056663E-2"/>
                  <c:y val="-3.9129512261248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7907262469916313E-2"/>
                  <c:y val="-2.88366370259392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0174145311606846E-2"/>
                  <c:y val="-3.37659766884929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7521798318589681E-2"/>
                  <c:y val="4.51032863849765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4.7544975042328123E-2"/>
                  <c:y val="4.4995696400626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4.2624873747847007E-2"/>
                  <c:y val="3.9138888888888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4.0509009646396567E-2"/>
                  <c:y val="-4.5661189358372462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48E-2"/>
                  <c:y val="2.7183200707218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'M-1'!$B$26:$B$41</c:f>
              <c:strCache>
                <c:ptCount val="1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'M-1'!$C$26:$C$41</c:f>
              <c:numCache>
                <c:formatCode>0.0</c:formatCode>
                <c:ptCount val="16"/>
                <c:pt idx="0">
                  <c:v>0.29999999999999716</c:v>
                </c:pt>
                <c:pt idx="1">
                  <c:v>-0.2</c:v>
                </c:pt>
                <c:pt idx="2">
                  <c:v>-0.1</c:v>
                </c:pt>
                <c:pt idx="3">
                  <c:v>0.5</c:v>
                </c:pt>
                <c:pt idx="4">
                  <c:v>0.2</c:v>
                </c:pt>
                <c:pt idx="5">
                  <c:v>0.1</c:v>
                </c:pt>
                <c:pt idx="6">
                  <c:v>-0.2</c:v>
                </c:pt>
                <c:pt idx="7">
                  <c:v>0</c:v>
                </c:pt>
                <c:pt idx="8">
                  <c:v>0.2</c:v>
                </c:pt>
                <c:pt idx="9">
                  <c:v>0.4</c:v>
                </c:pt>
                <c:pt idx="10">
                  <c:v>0</c:v>
                </c:pt>
                <c:pt idx="11">
                  <c:v>0</c:v>
                </c:pt>
                <c:pt idx="12">
                  <c:v>-0.2</c:v>
                </c:pt>
                <c:pt idx="13">
                  <c:v>0.4</c:v>
                </c:pt>
                <c:pt idx="14">
                  <c:v>0.3</c:v>
                </c:pt>
                <c:pt idx="15">
                  <c:v>1.1000000000000001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61820144"/>
        <c:axId val="-861823952"/>
      </c:lineChart>
      <c:dateAx>
        <c:axId val="-861820144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861823952"/>
        <c:crossesAt val="0"/>
        <c:auto val="0"/>
        <c:lblOffset val="100"/>
        <c:baseTimeUnit val="days"/>
      </c:dateAx>
      <c:valAx>
        <c:axId val="-861823952"/>
        <c:scaling>
          <c:orientation val="minMax"/>
          <c:max val="1.2000000000000011"/>
          <c:min val="-0.60000000000000064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861820144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1704921069766414E-2"/>
                  <c:y val="-3.53151187120246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3511800746382395E-2"/>
                  <c:y val="2.9043074763216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7022490507253446E-2"/>
                  <c:y val="3.40048008814736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025327753596577E-2"/>
                  <c:y val="4.33474638366176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2107876545614117E-2"/>
                  <c:y val="-3.9890996379663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2671210203485838E-2"/>
                  <c:y val="3.89985046434755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65991626910811E-2"/>
                  <c:y val="-4.1409570281756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9124135916658552E-2"/>
                  <c:y val="-4.1339131119156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8328062778168191E-2"/>
                  <c:y val="4.61064023005902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5253178118390958E-2"/>
                  <c:y val="-4.61673362891771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4620811718631676E-2"/>
                  <c:y val="3.82548056520349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4580698055750758E-2"/>
                  <c:y val="5.32797067901234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558600765206546E-2"/>
                  <c:y val="4.83263888888888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1.0491591462859615E-2"/>
                  <c:y val="1.808609085318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8.8267995958424376E-3"/>
                  <c:y val="1.00211919584452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8.0566132798307183E-3"/>
                  <c:y val="-2.963912926942792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3159795424377277E-2"/>
                  <c:y val="-3.6210080217950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4.6561255563363678E-2"/>
                  <c:y val="-3.7163235961858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6668228312641521E-2"/>
                  <c:y val="-3.92685787800817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3519808548307189E-2"/>
                  <c:y val="-3.99764480203369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2.5646131022097288E-2"/>
                  <c:y val="-4.44528530346602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7856640899508083E-2"/>
                  <c:y val="-3.02845466929014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046654173498903E-2"/>
                  <c:y val="3.4065763584077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4.7575491427736226E-2"/>
                  <c:y val="3.65139091655663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7554992812669424E-2"/>
                  <c:y val="8.952139634620643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8226731861014813E-2"/>
                  <c:y val="4.9211383118944255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1,2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(+FE)'!$B$26:$B$41</c:f>
              <c:strCache>
                <c:ptCount val="1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'M-12 (+FE)'!$C$26:$C$41</c:f>
              <c:numCache>
                <c:formatCode>0.0</c:formatCode>
                <c:ptCount val="16"/>
                <c:pt idx="0">
                  <c:v>1.9000000000000057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61819600"/>
        <c:axId val="-861819056"/>
      </c:lineChart>
      <c:dateAx>
        <c:axId val="-861819600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861819056"/>
        <c:crossesAt val="0"/>
        <c:auto val="0"/>
        <c:lblOffset val="100"/>
        <c:baseTimeUnit val="days"/>
      </c:dateAx>
      <c:valAx>
        <c:axId val="-861819056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861819600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12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m-12'!$B$27:$B$42</c:f>
              <c:strCache>
                <c:ptCount val="1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'CPI_HICP m-12'!$C$27:$C$42</c:f>
              <c:numCache>
                <c:formatCode>0.0</c:formatCode>
                <c:ptCount val="16"/>
                <c:pt idx="0">
                  <c:v>1.9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007AC9"/>
              </a:solidFill>
            </a:ln>
          </c:spPr>
          <c:marker>
            <c:symbol val="none"/>
          </c:marker>
          <c:cat>
            <c:strRef>
              <c:f>'CPI_HICP m-12'!$B$27:$B$42</c:f>
              <c:strCache>
                <c:ptCount val="1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'CPI_HICP m-12'!$E$27:$E$41</c:f>
              <c:numCache>
                <c:formatCode>0.0</c:formatCode>
                <c:ptCount val="15"/>
                <c:pt idx="0">
                  <c:v>1.6</c:v>
                </c:pt>
                <c:pt idx="1">
                  <c:v>0.7</c:v>
                </c:pt>
                <c:pt idx="2">
                  <c:v>0.7</c:v>
                </c:pt>
                <c:pt idx="3">
                  <c:v>0.9</c:v>
                </c:pt>
                <c:pt idx="4">
                  <c:v>1.2</c:v>
                </c:pt>
                <c:pt idx="5">
                  <c:v>1.4</c:v>
                </c:pt>
                <c:pt idx="6">
                  <c:v>1.4</c:v>
                </c:pt>
                <c:pt idx="7">
                  <c:v>1.4</c:v>
                </c:pt>
                <c:pt idx="8">
                  <c:v>1.5</c:v>
                </c:pt>
                <c:pt idx="9">
                  <c:v>1.5</c:v>
                </c:pt>
                <c:pt idx="10">
                  <c:v>1.1000000000000001</c:v>
                </c:pt>
                <c:pt idx="11">
                  <c:v>0.9</c:v>
                </c:pt>
                <c:pt idx="12">
                  <c:v>0.6</c:v>
                </c:pt>
                <c:pt idx="13">
                  <c:v>1.3</c:v>
                </c:pt>
                <c:pt idx="14">
                  <c:v>1.7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861814160"/>
        <c:axId val="-730806528"/>
      </c:lineChart>
      <c:catAx>
        <c:axId val="-861814160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730806528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-730806528"/>
        <c:scaling>
          <c:orientation val="minMax"/>
          <c:max val="3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861814160"/>
        <c:crosses val="autoZero"/>
        <c:crossBetween val="between"/>
        <c:majorUnit val="0.5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4434612092231498"/>
          <c:y val="5.8309637463072016E-2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0.71788</cdr:x>
      <cdr:y>0.86694</cdr:y>
    </cdr:from>
    <cdr:to>
      <cdr:x>0.7182</cdr:x>
      <cdr:y>0.94662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3695784" y="2201432"/>
          <a:ext cx="1648" cy="202331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0.06988</cdr:x>
      <cdr:y>0.94141</cdr:y>
    </cdr:from>
    <cdr:to>
      <cdr:x>0.47025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7122" y="2395904"/>
          <a:ext cx="2046109" cy="13188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0.30276</cdr:x>
      <cdr:y>0.93565</cdr:y>
    </cdr:from>
    <cdr:to>
      <cdr:x>0.48498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1558637" y="2375896"/>
          <a:ext cx="938133" cy="16340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0.70003</cdr:x>
      <cdr:y>0.93091</cdr:y>
    </cdr:from>
    <cdr:to>
      <cdr:x>0.93791</cdr:x>
      <cdr:y>0.99136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3603897" y="2363860"/>
          <a:ext cx="1224642" cy="153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0.09502</cdr:x>
      <cdr:y>0.93504</cdr:y>
    </cdr:from>
    <cdr:to>
      <cdr:x>0.44296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85657" y="2412651"/>
          <a:ext cx="1778364" cy="1676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0.2682</cdr:x>
      <cdr:y>0.93137</cdr:y>
    </cdr:from>
    <cdr:to>
      <cdr:x>0.51399</cdr:x>
      <cdr:y>0.99633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1379759" y="2463344"/>
          <a:ext cx="1264484" cy="1718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0.07468</cdr:x>
      <cdr:y>0.35952</cdr:y>
    </cdr:from>
    <cdr:to>
      <cdr:x>0.93475</cdr:x>
      <cdr:y>0.35954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84203" y="925461"/>
          <a:ext cx="4424691" cy="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0.07751</cdr:x>
      <cdr:y>0.55928</cdr:y>
    </cdr:from>
    <cdr:to>
      <cdr:x>0.93854</cdr:x>
      <cdr:y>0.55956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97613" y="1434144"/>
          <a:ext cx="4416849" cy="718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11" y="396457"/>
          <a:ext cx="4410665" cy="32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0.0603</cdr:x>
      <cdr:y>0.18198</cdr:y>
    </cdr:from>
    <cdr:to>
      <cdr:x>0.27309</cdr:x>
      <cdr:y>0.27829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08900" y="479443"/>
          <a:ext cx="1089996" cy="25374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0.18117</cdr:x>
      <cdr:y>0.26419</cdr:y>
    </cdr:from>
    <cdr:to>
      <cdr:x>0.23446</cdr:x>
      <cdr:y>0.35004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928049" y="696036"/>
          <a:ext cx="272984" cy="22618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0.46183</cdr:x>
      <cdr:y>0.14364</cdr:y>
    </cdr:from>
    <cdr:to>
      <cdr:x>0.66298</cdr:x>
      <cdr:y>0.28885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2365767" y="378436"/>
          <a:ext cx="1030400" cy="38257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</a:t>
          </a:r>
        </a:p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inflation</a:t>
          </a: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target</a:t>
          </a:r>
          <a:endParaRPr lang="pl-PL" sz="800" b="1">
            <a:solidFill>
              <a:sysClr val="windowText" lastClr="000000"/>
            </a:solidFill>
            <a:latin typeface="Fira Sans" pitchFamily="34" charset="0"/>
            <a:ea typeface="Fira Sans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0.73966</cdr:x>
      <cdr:y>0.93187</cdr:y>
    </cdr:from>
    <cdr:to>
      <cdr:x>0.89591</cdr:x>
      <cdr:y>0.99515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3805237" y="2464691"/>
          <a:ext cx="803839" cy="1673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0.63409</cdr:x>
      <cdr:y>0.15352</cdr:y>
    </cdr:from>
    <cdr:to>
      <cdr:x>0.71611</cdr:x>
      <cdr:y>0.23311</cdr:y>
    </cdr:to>
    <cdr:sp macro="" textlink="">
      <cdr:nvSpPr>
        <cdr:cNvPr id="24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3248166" y="404462"/>
          <a:ext cx="420145" cy="20968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</cdr:sp>
  </cdr:relSizeAnchor>
  <cdr:relSizeAnchor xmlns:cdr="http://schemas.openxmlformats.org/drawingml/2006/chartDrawing">
    <cdr:from>
      <cdr:x>0.63314</cdr:x>
      <cdr:y>0.23319</cdr:y>
    </cdr:from>
    <cdr:to>
      <cdr:x>0.762</cdr:x>
      <cdr:y>0.55781</cdr:y>
    </cdr:to>
    <cdr:sp macro="" textlink="">
      <cdr:nvSpPr>
        <cdr:cNvPr id="25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3243263" y="614362"/>
          <a:ext cx="660131" cy="85524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0.2623</cdr:x>
      <cdr:y>0.91444</cdr:y>
    </cdr:from>
    <cdr:to>
      <cdr:x>0.51856</cdr:x>
      <cdr:y>0.9836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1340118" y="2354741"/>
          <a:ext cx="1309259" cy="1780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0.71337</cdr:x>
      <cdr:y>0.85697</cdr:y>
    </cdr:from>
    <cdr:to>
      <cdr:x>0.71363</cdr:x>
      <cdr:y>0.93382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3660299" y="2184207"/>
          <a:ext cx="1333" cy="19587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0.73923</cdr:x>
      <cdr:y>0.92137</cdr:y>
    </cdr:from>
    <cdr:to>
      <cdr:x>0.90198</cdr:x>
      <cdr:y>0.98991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3793016" y="2348344"/>
          <a:ext cx="835074" cy="1746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56E704-4FA6-4A5D-AAE1-87226738C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1133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7919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Zawistowska Beata</dc:creator>
  <cp:lastModifiedBy>Karczmarski Jacek</cp:lastModifiedBy>
  <cp:revision>7</cp:revision>
  <cp:lastPrinted>2018-12-13T13:55:00Z</cp:lastPrinted>
  <dcterms:created xsi:type="dcterms:W3CDTF">2019-05-11T08:15:00Z</dcterms:created>
  <dcterms:modified xsi:type="dcterms:W3CDTF">2019-05-15T07:04:00Z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