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411531" w:rsidRDefault="00411531" w:rsidP="00685123">
      <w:pPr>
        <w:pStyle w:val="tytuinformacji"/>
        <w:rPr>
          <w:shd w:val="clear" w:color="auto" w:fill="FFFFFF"/>
          <w:lang w:val="en-GB"/>
        </w:rPr>
      </w:pPr>
      <w:bookmarkStart w:id="0" w:name="_GoBack"/>
      <w:bookmarkEnd w:id="0"/>
      <w:r w:rsidRPr="00411531">
        <w:rPr>
          <w:lang w:val="en-GB"/>
        </w:rPr>
        <w:t>Consumer price indices</w:t>
      </w:r>
      <w:r w:rsidR="00CC10A8">
        <w:rPr>
          <w:lang w:val="en-GB"/>
        </w:rPr>
        <w:t xml:space="preserve"> </w:t>
      </w:r>
      <w:r w:rsidRPr="00411531">
        <w:rPr>
          <w:lang w:val="en-GB"/>
        </w:rPr>
        <w:t>in January 201</w:t>
      </w:r>
      <w:r w:rsidR="00B659BB">
        <w:rPr>
          <w:lang w:val="en-GB"/>
        </w:rPr>
        <w:t>9</w:t>
      </w:r>
      <w:r w:rsidR="00B659BB">
        <w:rPr>
          <w:lang w:val="en-GB"/>
        </w:rPr>
        <w:br/>
      </w:r>
      <w:r w:rsidR="00685123" w:rsidRPr="00411531">
        <w:rPr>
          <w:lang w:val="en-GB"/>
        </w:rPr>
        <w:t>(</w:t>
      </w:r>
      <w:r w:rsidR="00CC10A8">
        <w:rPr>
          <w:lang w:val="en-GB"/>
        </w:rPr>
        <w:t>preliminary data</w:t>
      </w:r>
      <w:r w:rsidR="00B659BB" w:rsidRPr="00685123">
        <w:rPr>
          <w:vertAlign w:val="superscript"/>
        </w:rPr>
        <w:footnoteReference w:id="1"/>
      </w:r>
      <w:r w:rsidR="00685123" w:rsidRPr="00411531">
        <w:rPr>
          <w:lang w:val="en-GB"/>
        </w:rPr>
        <w:t>)</w:t>
      </w:r>
    </w:p>
    <w:p w:rsidR="00393761" w:rsidRPr="00411531" w:rsidRDefault="00393761" w:rsidP="00074DD8">
      <w:pPr>
        <w:pStyle w:val="tytuinformacji"/>
        <w:rPr>
          <w:sz w:val="32"/>
          <w:lang w:val="en-GB"/>
        </w:rPr>
      </w:pPr>
    </w:p>
    <w:p w:rsidR="00685123" w:rsidRPr="00735461" w:rsidRDefault="009019A4" w:rsidP="00685123">
      <w:pPr>
        <w:pStyle w:val="LID"/>
        <w:contextualSpacing/>
        <w:rPr>
          <w:lang w:val="en-GB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9019A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42900"/>
                                  <wp:effectExtent l="0" t="0" r="0" b="0"/>
                                  <wp:docPr id="2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0266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100,1</w:t>
                            </w:r>
                          </w:p>
                          <w:p w:rsidR="00883763" w:rsidRPr="00735461" w:rsidRDefault="00482FE5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735461">
                              <w:rPr>
                                <w:lang w:val="en-GB"/>
                              </w:rPr>
                              <w:t xml:space="preserve">compared with the previous month </w:t>
                            </w:r>
                            <w:r w:rsidR="00883763" w:rsidRPr="00735461">
                              <w:rPr>
                                <w:lang w:val="en-GB"/>
                              </w:rPr>
                              <w:t>(</w:t>
                            </w:r>
                            <w:r w:rsidRPr="00735461">
                              <w:rPr>
                                <w:lang w:val="en-GB"/>
                              </w:rPr>
                              <w:t xml:space="preserve">December </w:t>
                            </w:r>
                            <w:r w:rsidR="00883763" w:rsidRPr="00735461">
                              <w:rPr>
                                <w:lang w:val="en-GB"/>
                              </w:rPr>
                              <w:t>201</w:t>
                            </w:r>
                            <w:r w:rsidR="00F02665">
                              <w:rPr>
                                <w:lang w:val="en-GB"/>
                              </w:rPr>
                              <w:t>8</w:t>
                            </w:r>
                            <w:r w:rsidR="00883763" w:rsidRPr="00735461">
                              <w:rPr>
                                <w:lang w:val="en-GB"/>
                              </w:rPr>
                              <w:t>)</w:t>
                            </w:r>
                          </w:p>
                          <w:p w:rsidR="00685123" w:rsidRPr="00735461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685123" w:rsidRPr="00B66B19" w:rsidRDefault="009019A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42900"/>
                            <wp:effectExtent l="0" t="0" r="0" b="0"/>
                            <wp:docPr id="2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0266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100,1</w:t>
                      </w:r>
                    </w:p>
                    <w:p w:rsidR="00883763" w:rsidRPr="00735461" w:rsidRDefault="00482FE5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735461">
                        <w:rPr>
                          <w:lang w:val="en-GB"/>
                        </w:rPr>
                        <w:t xml:space="preserve">compared with the previous month </w:t>
                      </w:r>
                      <w:r w:rsidR="00883763" w:rsidRPr="00735461">
                        <w:rPr>
                          <w:lang w:val="en-GB"/>
                        </w:rPr>
                        <w:t>(</w:t>
                      </w:r>
                      <w:r w:rsidRPr="00735461">
                        <w:rPr>
                          <w:lang w:val="en-GB"/>
                        </w:rPr>
                        <w:t xml:space="preserve">December </w:t>
                      </w:r>
                      <w:r w:rsidR="00883763" w:rsidRPr="00735461">
                        <w:rPr>
                          <w:lang w:val="en-GB"/>
                        </w:rPr>
                        <w:t>201</w:t>
                      </w:r>
                      <w:r w:rsidR="00F02665">
                        <w:rPr>
                          <w:lang w:val="en-GB"/>
                        </w:rPr>
                        <w:t>8</w:t>
                      </w:r>
                      <w:r w:rsidR="00883763" w:rsidRPr="00735461">
                        <w:rPr>
                          <w:lang w:val="en-GB"/>
                        </w:rPr>
                        <w:t>)</w:t>
                      </w:r>
                    </w:p>
                    <w:p w:rsidR="00685123" w:rsidRPr="00735461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665">
        <w:rPr>
          <w:lang w:val="en-GB"/>
        </w:rPr>
        <w:t>In January 2019</w:t>
      </w:r>
      <w:r w:rsidR="00735461" w:rsidRPr="00735461">
        <w:rPr>
          <w:lang w:val="en-GB"/>
        </w:rPr>
        <w:t xml:space="preserve"> the </w:t>
      </w:r>
      <w:r w:rsidR="00735461">
        <w:rPr>
          <w:lang w:val="en-GB"/>
        </w:rPr>
        <w:t xml:space="preserve">consumer </w:t>
      </w:r>
      <w:r w:rsidR="00735461" w:rsidRPr="00735461">
        <w:rPr>
          <w:lang w:val="en-GB"/>
        </w:rPr>
        <w:t>prices, according to prel</w:t>
      </w:r>
      <w:r w:rsidR="00735461">
        <w:rPr>
          <w:lang w:val="en-GB"/>
        </w:rPr>
        <w:t>imanary data</w:t>
      </w:r>
      <w:r w:rsidR="00F02665">
        <w:rPr>
          <w:lang w:val="en-GB"/>
        </w:rPr>
        <w:t>, were higher by 0,1</w:t>
      </w:r>
      <w:r w:rsidR="00735461" w:rsidRPr="00735461">
        <w:rPr>
          <w:lang w:val="en-GB"/>
        </w:rPr>
        <w:t>% compared with December of the previous year.</w:t>
      </w:r>
      <w:r w:rsidR="00FF3EB7">
        <w:rPr>
          <w:lang w:val="en-GB"/>
        </w:rPr>
        <w:t xml:space="preserve"> </w:t>
      </w:r>
      <w:r w:rsidR="00FF3EB7" w:rsidRPr="00FF3EB7">
        <w:rPr>
          <w:lang w:val="en-GB"/>
        </w:rPr>
        <w:t xml:space="preserve">Compared with the corresponding month of the previous year, consumer prices increased by </w:t>
      </w:r>
      <w:r w:rsidR="00FF3EB7">
        <w:rPr>
          <w:lang w:val="en-GB"/>
        </w:rPr>
        <w:t>0,9%</w:t>
      </w:r>
      <w:r w:rsidR="00FF3EB7" w:rsidRPr="00FF3EB7">
        <w:rPr>
          <w:lang w:val="en-GB"/>
        </w:rPr>
        <w:t>.</w:t>
      </w:r>
    </w:p>
    <w:p w:rsidR="00685123" w:rsidRPr="00735461" w:rsidRDefault="00685123" w:rsidP="00685123">
      <w:pPr>
        <w:pStyle w:val="LID"/>
        <w:contextualSpacing/>
        <w:rPr>
          <w:lang w:val="en-GB"/>
        </w:rPr>
      </w:pPr>
    </w:p>
    <w:p w:rsidR="00685123" w:rsidRPr="00735461" w:rsidRDefault="00685123" w:rsidP="00685123">
      <w:pPr>
        <w:pStyle w:val="LID"/>
        <w:contextualSpacing/>
        <w:rPr>
          <w:lang w:val="en-GB"/>
        </w:rPr>
      </w:pPr>
    </w:p>
    <w:p w:rsidR="00685123" w:rsidRPr="00735461" w:rsidRDefault="00685123" w:rsidP="00685123">
      <w:pPr>
        <w:pStyle w:val="LID"/>
        <w:contextualSpacing/>
        <w:rPr>
          <w:lang w:val="en-GB"/>
        </w:rPr>
      </w:pPr>
    </w:p>
    <w:p w:rsidR="00685123" w:rsidRPr="00735461" w:rsidRDefault="00685123" w:rsidP="00685123">
      <w:pPr>
        <w:pStyle w:val="LID"/>
        <w:rPr>
          <w:lang w:val="en-GB"/>
        </w:rPr>
      </w:pPr>
    </w:p>
    <w:tbl>
      <w:tblPr>
        <w:tblStyle w:val="Siatkatabelijasna10"/>
        <w:tblpPr w:leftFromText="142" w:rightFromText="142" w:vertAnchor="text" w:horzAnchor="margin" w:tblpXSpec="center" w:tblpY="341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1"/>
        <w:gridCol w:w="2251"/>
        <w:gridCol w:w="2246"/>
      </w:tblGrid>
      <w:tr w:rsidR="00685123" w:rsidRPr="00FA5128" w:rsidTr="00685123">
        <w:trPr>
          <w:trHeight w:val="57"/>
        </w:trPr>
        <w:tc>
          <w:tcPr>
            <w:tcW w:w="3571" w:type="dxa"/>
            <w:vMerge w:val="restart"/>
            <w:vAlign w:val="center"/>
          </w:tcPr>
          <w:p w:rsidR="00685123" w:rsidRPr="009C7251" w:rsidRDefault="00452CB1" w:rsidP="00685123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452CB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4497" w:type="dxa"/>
            <w:gridSpan w:val="2"/>
            <w:vAlign w:val="center"/>
          </w:tcPr>
          <w:p w:rsidR="00685123" w:rsidRPr="00FA5128" w:rsidRDefault="003F1F84" w:rsidP="0068512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E1DCF">
              <w:rPr>
                <w:rFonts w:ascii="Fira Sans" w:hAnsi="Fira Sans"/>
                <w:color w:val="000000" w:themeColor="text1"/>
                <w:sz w:val="16"/>
                <w:szCs w:val="16"/>
              </w:rPr>
              <w:t>I 2019</w:t>
            </w:r>
          </w:p>
        </w:tc>
      </w:tr>
      <w:tr w:rsidR="00685123" w:rsidRPr="00FA5128" w:rsidTr="00685123">
        <w:trPr>
          <w:trHeight w:val="57"/>
        </w:trPr>
        <w:tc>
          <w:tcPr>
            <w:tcW w:w="3571" w:type="dxa"/>
            <w:vMerge/>
            <w:tcBorders>
              <w:bottom w:val="single" w:sz="12" w:space="0" w:color="212492"/>
            </w:tcBorders>
            <w:vAlign w:val="center"/>
          </w:tcPr>
          <w:p w:rsidR="00685123" w:rsidRPr="00FA5128" w:rsidRDefault="00685123" w:rsidP="00685123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tcBorders>
              <w:bottom w:val="single" w:sz="12" w:space="0" w:color="212492"/>
            </w:tcBorders>
            <w:vAlign w:val="center"/>
          </w:tcPr>
          <w:p w:rsidR="00685123" w:rsidRPr="00FA5128" w:rsidRDefault="003F1F84" w:rsidP="006851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DCF">
              <w:rPr>
                <w:color w:val="000000" w:themeColor="text1"/>
                <w:sz w:val="16"/>
                <w:szCs w:val="16"/>
              </w:rPr>
              <w:t>I 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6E1DC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46" w:type="dxa"/>
            <w:tcBorders>
              <w:bottom w:val="single" w:sz="12" w:space="0" w:color="212492"/>
            </w:tcBorders>
            <w:vAlign w:val="center"/>
          </w:tcPr>
          <w:p w:rsidR="00685123" w:rsidRPr="00FA5128" w:rsidRDefault="003F1F84" w:rsidP="006851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DCF">
              <w:rPr>
                <w:color w:val="000000" w:themeColor="text1"/>
                <w:sz w:val="16"/>
                <w:szCs w:val="16"/>
              </w:rPr>
              <w:t>XII 2018=100</w:t>
            </w:r>
          </w:p>
        </w:tc>
      </w:tr>
      <w:tr w:rsidR="00E367B0" w:rsidRPr="00FA5128" w:rsidTr="00685123">
        <w:trPr>
          <w:trHeight w:val="57"/>
        </w:trPr>
        <w:tc>
          <w:tcPr>
            <w:tcW w:w="3571" w:type="dxa"/>
            <w:tcBorders>
              <w:top w:val="single" w:sz="12" w:space="0" w:color="212492"/>
            </w:tcBorders>
            <w:vAlign w:val="center"/>
          </w:tcPr>
          <w:p w:rsidR="00E367B0" w:rsidRPr="00FA5128" w:rsidRDefault="00E367B0" w:rsidP="00E367B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452CB1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251" w:type="dxa"/>
            <w:tcBorders>
              <w:top w:val="single" w:sz="12" w:space="0" w:color="212492"/>
            </w:tcBorders>
            <w:vAlign w:val="center"/>
          </w:tcPr>
          <w:p w:rsidR="00E367B0" w:rsidRPr="006E1DCF" w:rsidRDefault="00E367B0" w:rsidP="00E367B0">
            <w:pPr>
              <w:spacing w:line="22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E1DCF">
              <w:rPr>
                <w:rFonts w:cs="Arial"/>
                <w:b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2246" w:type="dxa"/>
            <w:tcBorders>
              <w:top w:val="single" w:sz="12" w:space="0" w:color="212492"/>
            </w:tcBorders>
            <w:vAlign w:val="center"/>
          </w:tcPr>
          <w:p w:rsidR="00E367B0" w:rsidRPr="006E1DCF" w:rsidRDefault="00E367B0" w:rsidP="00E367B0">
            <w:pPr>
              <w:spacing w:line="22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E1DCF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E367B0" w:rsidRPr="00FA5128" w:rsidTr="00685123">
        <w:trPr>
          <w:trHeight w:val="57"/>
        </w:trPr>
        <w:tc>
          <w:tcPr>
            <w:tcW w:w="3571" w:type="dxa"/>
            <w:vAlign w:val="center"/>
          </w:tcPr>
          <w:p w:rsidR="00E367B0" w:rsidRPr="00452CB1" w:rsidRDefault="00E367B0" w:rsidP="00E367B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52CB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Food, non-alcoholic and alcoholic beverages, tobacco</w:t>
            </w:r>
          </w:p>
        </w:tc>
        <w:tc>
          <w:tcPr>
            <w:tcW w:w="2251" w:type="dxa"/>
            <w:vAlign w:val="center"/>
          </w:tcPr>
          <w:p w:rsidR="00E367B0" w:rsidRPr="00072E75" w:rsidRDefault="00E367B0" w:rsidP="00E367B0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2246" w:type="dxa"/>
            <w:vAlign w:val="center"/>
          </w:tcPr>
          <w:p w:rsidR="00E367B0" w:rsidRPr="00072E75" w:rsidRDefault="00E367B0" w:rsidP="00E367B0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</w:tr>
      <w:tr w:rsidR="00E367B0" w:rsidRPr="00296068" w:rsidTr="00685123">
        <w:trPr>
          <w:trHeight w:val="57"/>
        </w:trPr>
        <w:tc>
          <w:tcPr>
            <w:tcW w:w="3571" w:type="dxa"/>
            <w:vAlign w:val="center"/>
          </w:tcPr>
          <w:p w:rsidR="00E367B0" w:rsidRPr="00296068" w:rsidRDefault="00E367B0" w:rsidP="00E367B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 w:rsidRPr="00452CB1">
              <w:rPr>
                <w:rFonts w:cstheme="majorBidi"/>
                <w:bCs/>
                <w:color w:val="000000" w:themeColor="text1"/>
                <w:sz w:val="16"/>
                <w:szCs w:val="16"/>
              </w:rPr>
              <w:t>Dwelling</w:t>
            </w:r>
            <w:r w:rsidRPr="0006476D">
              <w:rPr>
                <w:rStyle w:val="Odwoanieprzypisudolnego"/>
                <w:rFonts w:cstheme="majorBidi"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2251" w:type="dxa"/>
            <w:vAlign w:val="center"/>
          </w:tcPr>
          <w:p w:rsidR="00E367B0" w:rsidRPr="00072E75" w:rsidRDefault="00E367B0" w:rsidP="00E367B0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100,6</w:t>
            </w:r>
          </w:p>
        </w:tc>
        <w:tc>
          <w:tcPr>
            <w:tcW w:w="2246" w:type="dxa"/>
            <w:vAlign w:val="center"/>
          </w:tcPr>
          <w:p w:rsidR="00E367B0" w:rsidRPr="00072E75" w:rsidRDefault="00E367B0" w:rsidP="00E367B0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99,3</w:t>
            </w:r>
          </w:p>
        </w:tc>
      </w:tr>
      <w:tr w:rsidR="00E367B0" w:rsidRPr="00FA5128" w:rsidTr="00685123">
        <w:trPr>
          <w:trHeight w:val="57"/>
        </w:trPr>
        <w:tc>
          <w:tcPr>
            <w:tcW w:w="3571" w:type="dxa"/>
            <w:vAlign w:val="center"/>
          </w:tcPr>
          <w:p w:rsidR="00E367B0" w:rsidRPr="00660093" w:rsidRDefault="00E367B0" w:rsidP="00E367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660093">
              <w:rPr>
                <w:rFonts w:cs="Arial"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2251" w:type="dxa"/>
            <w:vAlign w:val="center"/>
          </w:tcPr>
          <w:p w:rsidR="00E367B0" w:rsidRPr="00072E75" w:rsidRDefault="00E367B0" w:rsidP="00E367B0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2246" w:type="dxa"/>
            <w:vAlign w:val="center"/>
          </w:tcPr>
          <w:p w:rsidR="00E367B0" w:rsidRPr="00072E75" w:rsidRDefault="00E367B0" w:rsidP="00E367B0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</w:tr>
    </w:tbl>
    <w:p w:rsidR="00685123" w:rsidRPr="00AB7DB1" w:rsidRDefault="00685123" w:rsidP="00685123">
      <w:pPr>
        <w:pStyle w:val="LID"/>
        <w:spacing w:before="0" w:after="0"/>
        <w:rPr>
          <w:shd w:val="clear" w:color="auto" w:fill="FFFFFF"/>
          <w:lang w:val="en-GB"/>
        </w:rPr>
      </w:pPr>
      <w:r w:rsidRPr="00AB7DB1">
        <w:rPr>
          <w:lang w:val="en-GB"/>
        </w:rPr>
        <w:t>Tabl</w:t>
      </w:r>
      <w:r w:rsidR="00AB7DB1" w:rsidRPr="00AB7DB1">
        <w:rPr>
          <w:lang w:val="en-GB"/>
        </w:rPr>
        <w:t>e</w:t>
      </w:r>
      <w:r w:rsidRPr="00AB7DB1">
        <w:rPr>
          <w:lang w:val="en-GB"/>
        </w:rPr>
        <w:t xml:space="preserve"> 1.</w:t>
      </w:r>
      <w:r w:rsidRPr="00AB7DB1">
        <w:rPr>
          <w:shd w:val="clear" w:color="auto" w:fill="FFFFFF"/>
          <w:lang w:val="en-GB"/>
        </w:rPr>
        <w:t xml:space="preserve"> </w:t>
      </w:r>
      <w:r w:rsidR="00AB7DB1" w:rsidRPr="00AB7DB1">
        <w:rPr>
          <w:shd w:val="clear" w:color="auto" w:fill="FFFFFF"/>
          <w:lang w:val="en-GB"/>
        </w:rPr>
        <w:t xml:space="preserve">Consumer price indices in January </w:t>
      </w:r>
      <w:r w:rsidRPr="00AB7DB1">
        <w:rPr>
          <w:bCs/>
          <w:shd w:val="clear" w:color="auto" w:fill="FFFFFF"/>
          <w:lang w:val="en-GB"/>
        </w:rPr>
        <w:t>201</w:t>
      </w:r>
      <w:r w:rsidR="003F1F84">
        <w:rPr>
          <w:bCs/>
          <w:shd w:val="clear" w:color="auto" w:fill="FFFFFF"/>
          <w:lang w:val="en-GB"/>
        </w:rPr>
        <w:t>9</w:t>
      </w:r>
    </w:p>
    <w:p w:rsidR="00685123" w:rsidRDefault="00685123" w:rsidP="00685123">
      <w:pPr>
        <w:pStyle w:val="tytuwykresu"/>
        <w:spacing w:before="0" w:after="0"/>
        <w:rPr>
          <w:sz w:val="12"/>
          <w:lang w:val="en-GB"/>
        </w:rPr>
      </w:pPr>
    </w:p>
    <w:p w:rsidR="009523E1" w:rsidRPr="009523E1" w:rsidRDefault="003F095D" w:rsidP="00C4034C">
      <w:pPr>
        <w:pStyle w:val="tytuwykresu"/>
        <w:rPr>
          <w:b w:val="0"/>
          <w:shd w:val="clear" w:color="auto" w:fill="FFFFFF"/>
          <w:lang w:val="en-GB"/>
        </w:rPr>
      </w:pPr>
      <w:r w:rsidRPr="009523E1">
        <w:rPr>
          <w:lang w:val="en-GB"/>
        </w:rPr>
        <w:t>Chart</w:t>
      </w:r>
      <w:r w:rsidR="00685123" w:rsidRPr="009523E1">
        <w:rPr>
          <w:lang w:val="en-GB"/>
        </w:rPr>
        <w:t xml:space="preserve"> 1.</w:t>
      </w:r>
      <w:r w:rsidR="00685123" w:rsidRPr="009523E1">
        <w:rPr>
          <w:shd w:val="clear" w:color="auto" w:fill="FFFFFF"/>
          <w:lang w:val="en-GB"/>
        </w:rPr>
        <w:t xml:space="preserve"> </w:t>
      </w:r>
      <w:r w:rsidR="00C602B4">
        <w:rPr>
          <w:shd w:val="clear" w:color="auto" w:fill="FFFFFF"/>
          <w:lang w:val="en-GB"/>
        </w:rPr>
        <w:t>Consumer p</w:t>
      </w:r>
      <w:r w:rsidRPr="003F095D">
        <w:rPr>
          <w:shd w:val="clear" w:color="auto" w:fill="FFFFFF"/>
          <w:lang w:val="en-GB"/>
        </w:rPr>
        <w:t>rices</w:t>
      </w:r>
      <w:r w:rsidR="00E367B0">
        <w:rPr>
          <w:shd w:val="clear" w:color="auto" w:fill="FFFFFF"/>
          <w:lang w:val="en-GB"/>
        </w:rPr>
        <w:t>*</w:t>
      </w:r>
      <w:r w:rsidRPr="003F095D">
        <w:rPr>
          <w:shd w:val="clear" w:color="auto" w:fill="FFFFFF"/>
          <w:lang w:val="en-GB"/>
        </w:rPr>
        <w:t xml:space="preserve"> </w:t>
      </w:r>
      <w:r w:rsidRPr="002C5135">
        <w:rPr>
          <w:shd w:val="clear" w:color="auto" w:fill="FFFFFF"/>
          <w:lang w:val="en-GB"/>
        </w:rPr>
        <w:t>(change in % compared with the previous period)</w:t>
      </w:r>
    </w:p>
    <w:p w:rsidR="00685123" w:rsidRPr="002C5135" w:rsidRDefault="003130D8">
      <w:pPr>
        <w:spacing w:before="0" w:after="160" w:line="259" w:lineRule="auto"/>
        <w:rPr>
          <w:b/>
          <w:noProof/>
          <w:szCs w:val="19"/>
          <w:lang w:val="en-GB" w:eastAsia="pl-PL"/>
        </w:rPr>
      </w:pPr>
      <w:r w:rsidRPr="00F15E50">
        <w:rPr>
          <w:noProof/>
          <w:lang w:eastAsia="pl-PL"/>
        </w:rPr>
        <w:lastRenderedPageBreak/>
        <w:drawing>
          <wp:inline distT="0" distB="0" distL="0" distR="0" wp14:anchorId="1A569BC6" wp14:editId="07A2AA96">
            <wp:extent cx="5122545" cy="2499995"/>
            <wp:effectExtent l="0" t="0" r="0" b="0"/>
            <wp:docPr id="6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130D8" w:rsidRPr="0006476D" w:rsidRDefault="003130D8" w:rsidP="00C4034C">
      <w:pPr>
        <w:spacing w:before="240" w:line="200" w:lineRule="exact"/>
        <w:rPr>
          <w:noProof/>
          <w:color w:val="000000" w:themeColor="text1"/>
          <w:sz w:val="16"/>
          <w:szCs w:val="19"/>
          <w:lang w:eastAsia="pl-PL"/>
        </w:rPr>
      </w:pPr>
      <w:r w:rsidRPr="003130D8">
        <w:rPr>
          <w:noProof/>
          <w:color w:val="000000" w:themeColor="text1"/>
          <w:sz w:val="16"/>
          <w:szCs w:val="16"/>
          <w:lang w:eastAsia="pl-PL"/>
        </w:rPr>
        <w:t xml:space="preserve">* </w:t>
      </w:r>
      <w:r w:rsidRPr="003130D8">
        <w:rPr>
          <w:noProof/>
          <w:color w:val="000000" w:themeColor="text1"/>
          <w:sz w:val="16"/>
          <w:szCs w:val="19"/>
          <w:lang w:eastAsia="pl-PL"/>
        </w:rPr>
        <w:t>Final data with the exception of</w:t>
      </w:r>
      <w:r w:rsidR="00156A11">
        <w:rPr>
          <w:noProof/>
          <w:color w:val="000000" w:themeColor="text1"/>
          <w:sz w:val="16"/>
          <w:szCs w:val="19"/>
          <w:lang w:eastAsia="pl-PL"/>
        </w:rPr>
        <w:t xml:space="preserve"> the preliminary data for January 2019.</w:t>
      </w:r>
    </w:p>
    <w:p w:rsidR="00883763" w:rsidRPr="009523E1" w:rsidRDefault="009019A4" w:rsidP="00883763">
      <w:pPr>
        <w:pStyle w:val="tytuwykresu"/>
        <w:rPr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434975</wp:posOffset>
                </wp:positionV>
                <wp:extent cx="1725295" cy="2022475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2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763" w:rsidRPr="00ED3125" w:rsidRDefault="000C62FF" w:rsidP="00BF5A0C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According to preliminary data, in January 2019 </w:t>
                            </w:r>
                            <w:r w:rsidR="00ED31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</w:t>
                            </w:r>
                            <w:r w:rsidR="00854A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consumer </w:t>
                            </w:r>
                            <w:r w:rsidR="00ED31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price index was </w:t>
                            </w:r>
                            <w:r w:rsidR="001134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below</w:t>
                            </w:r>
                            <w:r w:rsidR="00ED31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the</w:t>
                            </w:r>
                            <w:r w:rsidR="001134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lower band for deviations from </w:t>
                            </w:r>
                            <w:r w:rsidR="00854A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inflation target</w:t>
                            </w:r>
                            <w:r w:rsidR="00C2575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determined by the </w:t>
                            </w:r>
                            <w:r w:rsidR="00ED31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Monetary Policy Council (2.5</w:t>
                            </w:r>
                            <w:r w:rsidR="00ED3125" w:rsidRPr="00662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% +/- 1 </w:t>
                            </w:r>
                            <w:r w:rsidR="00BF5A0C" w:rsidRPr="00662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pp</w:t>
                            </w:r>
                            <w:r w:rsidR="00ED3125" w:rsidRPr="00662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414.75pt;margin-top:34.25pt;width:135.85pt;height:159.25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OquA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" filled="f" stroked="f">
                <v:textbox>
                  <w:txbxContent>
                    <w:p w:rsidR="00883763" w:rsidRPr="00ED3125" w:rsidRDefault="000C62FF" w:rsidP="00BF5A0C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According to preliminary data, in January 2019 </w:t>
                      </w:r>
                      <w:r w:rsidR="00ED31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</w:t>
                      </w:r>
                      <w:r w:rsidR="00854A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consumer </w:t>
                      </w:r>
                      <w:r w:rsidR="00ED31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price index was </w:t>
                      </w:r>
                      <w:r w:rsidR="001134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below</w:t>
                      </w:r>
                      <w:r w:rsidR="00ED31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the</w:t>
                      </w:r>
                      <w:r w:rsidR="001134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lower band for deviations from </w:t>
                      </w:r>
                      <w:r w:rsidR="00854A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inflation target</w:t>
                      </w:r>
                      <w:r w:rsidR="00C2575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determined by the </w:t>
                      </w:r>
                      <w:r w:rsidR="00ED31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Monetary Policy Council (2.5</w:t>
                      </w:r>
                      <w:r w:rsidR="00ED3125" w:rsidRPr="00662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% +/- 1 </w:t>
                      </w:r>
                      <w:r w:rsidR="00BF5A0C" w:rsidRPr="00662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pp</w:t>
                      </w:r>
                      <w:r w:rsidR="00ED3125" w:rsidRPr="00662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602B4">
        <w:rPr>
          <w:lang w:val="en-GB"/>
        </w:rPr>
        <w:t>Chart</w:t>
      </w:r>
      <w:r w:rsidR="00883763" w:rsidRPr="000D128F">
        <w:rPr>
          <w:lang w:val="en-GB"/>
        </w:rPr>
        <w:t xml:space="preserve"> 2.</w:t>
      </w:r>
      <w:r w:rsidR="00883763" w:rsidRPr="000D128F">
        <w:rPr>
          <w:shd w:val="clear" w:color="auto" w:fill="FFFFFF"/>
          <w:lang w:val="en-GB"/>
        </w:rPr>
        <w:t xml:space="preserve"> </w:t>
      </w:r>
      <w:r w:rsidR="00C602B4">
        <w:rPr>
          <w:shd w:val="clear" w:color="auto" w:fill="FFFFFF"/>
          <w:lang w:val="en-GB"/>
        </w:rPr>
        <w:t>Consumer p</w:t>
      </w:r>
      <w:r w:rsidR="009523E1" w:rsidRPr="009523E1">
        <w:rPr>
          <w:shd w:val="clear" w:color="auto" w:fill="FFFFFF"/>
          <w:lang w:val="en-GB"/>
        </w:rPr>
        <w:t>rices</w:t>
      </w:r>
      <w:r w:rsidR="000C62FF">
        <w:rPr>
          <w:shd w:val="clear" w:color="auto" w:fill="FFFFFF"/>
          <w:lang w:val="en-GB"/>
        </w:rPr>
        <w:t>*</w:t>
      </w:r>
      <w:r w:rsidR="00883763" w:rsidRPr="009523E1">
        <w:rPr>
          <w:bCs/>
          <w:shd w:val="clear" w:color="auto" w:fill="FFFFFF"/>
          <w:lang w:val="en-GB"/>
        </w:rPr>
        <w:t xml:space="preserve"> </w:t>
      </w:r>
      <w:r w:rsidR="000C62FF">
        <w:rPr>
          <w:bCs/>
          <w:shd w:val="clear" w:color="auto" w:fill="FFFFFF"/>
          <w:lang w:val="en-GB"/>
        </w:rPr>
        <w:br/>
      </w:r>
      <w:r w:rsidR="000C62FF" w:rsidRPr="00767603">
        <w:rPr>
          <w:noProof/>
          <w:lang w:eastAsia="pl-PL"/>
        </w:rPr>
        <w:drawing>
          <wp:anchor distT="0" distB="0" distL="114300" distR="114300" simplePos="0" relativeHeight="251746304" behindDoc="0" locked="0" layoutInCell="1" allowOverlap="1" wp14:anchorId="74FCA06D" wp14:editId="1AA37B6C">
            <wp:simplePos x="0" y="0"/>
            <wp:positionH relativeFrom="column">
              <wp:posOffset>-12700</wp:posOffset>
            </wp:positionH>
            <wp:positionV relativeFrom="line">
              <wp:posOffset>249555</wp:posOffset>
            </wp:positionV>
            <wp:extent cx="5124450" cy="2530475"/>
            <wp:effectExtent l="0" t="0" r="0" b="3175"/>
            <wp:wrapSquare wrapText="bothSides"/>
            <wp:docPr id="12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523E1" w:rsidRPr="009523E1">
        <w:rPr>
          <w:shd w:val="clear" w:color="auto" w:fill="FFFFFF"/>
          <w:lang w:val="en-GB"/>
        </w:rPr>
        <w:t>(change in % compared with the corresponding period of the previous year)</w:t>
      </w:r>
    </w:p>
    <w:p w:rsidR="00410609" w:rsidRPr="0006476D" w:rsidRDefault="00410609" w:rsidP="009D632E">
      <w:pPr>
        <w:spacing w:before="360" w:line="200" w:lineRule="exact"/>
        <w:rPr>
          <w:noProof/>
          <w:color w:val="000000" w:themeColor="text1"/>
          <w:sz w:val="16"/>
          <w:szCs w:val="19"/>
          <w:lang w:eastAsia="pl-PL"/>
        </w:rPr>
      </w:pPr>
      <w:r w:rsidRPr="003130D8">
        <w:rPr>
          <w:noProof/>
          <w:color w:val="000000" w:themeColor="text1"/>
          <w:sz w:val="16"/>
          <w:szCs w:val="16"/>
          <w:lang w:eastAsia="pl-PL"/>
        </w:rPr>
        <w:t xml:space="preserve">* </w:t>
      </w:r>
      <w:r w:rsidRPr="003130D8">
        <w:rPr>
          <w:noProof/>
          <w:color w:val="000000" w:themeColor="text1"/>
          <w:sz w:val="16"/>
          <w:szCs w:val="19"/>
          <w:lang w:eastAsia="pl-PL"/>
        </w:rPr>
        <w:t>Final data with the exception of</w:t>
      </w:r>
      <w:r>
        <w:rPr>
          <w:noProof/>
          <w:color w:val="000000" w:themeColor="text1"/>
          <w:sz w:val="16"/>
          <w:szCs w:val="19"/>
          <w:lang w:eastAsia="pl-PL"/>
        </w:rPr>
        <w:t xml:space="preserve"> the preliminary data for January 2019.</w:t>
      </w:r>
    </w:p>
    <w:p w:rsidR="00883763" w:rsidRDefault="00883763" w:rsidP="009D632E">
      <w:pPr>
        <w:spacing w:before="0" w:after="360" w:line="259" w:lineRule="auto"/>
        <w:rPr>
          <w:lang w:val="en-GB"/>
        </w:rPr>
      </w:pPr>
    </w:p>
    <w:p w:rsidR="00883763" w:rsidRPr="009523E1" w:rsidRDefault="00A954A3" w:rsidP="00883763">
      <w:pPr>
        <w:pStyle w:val="tytuwykresu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48352" behindDoc="0" locked="0" layoutInCell="1" allowOverlap="1" wp14:anchorId="0B419109" wp14:editId="6D65ABE2">
            <wp:simplePos x="0" y="0"/>
            <wp:positionH relativeFrom="column">
              <wp:posOffset>-219075</wp:posOffset>
            </wp:positionH>
            <wp:positionV relativeFrom="line">
              <wp:posOffset>278130</wp:posOffset>
            </wp:positionV>
            <wp:extent cx="5115560" cy="395986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576222">
        <w:rPr>
          <w:lang w:val="en-GB"/>
        </w:rPr>
        <w:t xml:space="preserve">Chart </w:t>
      </w:r>
      <w:r w:rsidR="00883763" w:rsidRPr="000D128F">
        <w:rPr>
          <w:lang w:val="en-GB"/>
        </w:rPr>
        <w:t>3.</w:t>
      </w:r>
      <w:r w:rsidR="00883763" w:rsidRPr="000D128F">
        <w:rPr>
          <w:shd w:val="clear" w:color="auto" w:fill="FFFFFF"/>
          <w:lang w:val="en-GB"/>
        </w:rPr>
        <w:t xml:space="preserve"> </w:t>
      </w:r>
      <w:r w:rsidR="009523E1" w:rsidRPr="00662A45">
        <w:rPr>
          <w:bCs/>
          <w:iCs/>
          <w:shd w:val="clear" w:color="auto" w:fill="FFFFFF"/>
          <w:lang w:val="en-GB"/>
        </w:rPr>
        <w:t>Weighting system</w:t>
      </w:r>
      <w:r w:rsidR="009523E1" w:rsidRPr="009523E1">
        <w:rPr>
          <w:bCs/>
          <w:iCs/>
          <w:shd w:val="clear" w:color="auto" w:fill="FFFFFF"/>
          <w:lang w:val="en-GB"/>
        </w:rPr>
        <w:t xml:space="preserve"> used in the compilations o</w:t>
      </w:r>
      <w:r>
        <w:rPr>
          <w:bCs/>
          <w:iCs/>
          <w:shd w:val="clear" w:color="auto" w:fill="FFFFFF"/>
          <w:lang w:val="en-GB"/>
        </w:rPr>
        <w:t>f consumer price indices in 2018</w:t>
      </w:r>
      <w:r w:rsidRPr="0006476D">
        <w:rPr>
          <w:rStyle w:val="Odwoanieprzypisudolnego"/>
          <w:bCs/>
          <w:iCs/>
          <w:sz w:val="20"/>
          <w:szCs w:val="20"/>
          <w:shd w:val="clear" w:color="auto" w:fill="FFFFFF"/>
        </w:rPr>
        <w:footnoteReference w:id="3"/>
      </w:r>
    </w:p>
    <w:p w:rsidR="00214D96" w:rsidRDefault="00214D96" w:rsidP="00883763">
      <w:pPr>
        <w:spacing w:before="0" w:after="160" w:line="259" w:lineRule="auto"/>
        <w:rPr>
          <w:b/>
          <w:noProof/>
          <w:szCs w:val="19"/>
          <w:lang w:eastAsia="pl-PL"/>
        </w:rPr>
      </w:pPr>
    </w:p>
    <w:p w:rsidR="00214D96" w:rsidRPr="00883763" w:rsidRDefault="00214D96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214D96" w:rsidRPr="00883763" w:rsidSect="003B18B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4B4984" w:rsidTr="00E74016">
        <w:trPr>
          <w:trHeight w:val="1912"/>
        </w:trPr>
        <w:tc>
          <w:tcPr>
            <w:tcW w:w="4379" w:type="dxa"/>
          </w:tcPr>
          <w:p w:rsidR="00883763" w:rsidRPr="00F6116B" w:rsidRDefault="00CC10A8" w:rsidP="00E7401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F6116B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883763" w:rsidRPr="00F6116B" w:rsidRDefault="00F6116B" w:rsidP="00E7401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F6116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Trade and Services </w:t>
            </w:r>
            <w:r w:rsidR="00883763" w:rsidRPr="00F6116B">
              <w:rPr>
                <w:rFonts w:cs="Arial"/>
                <w:b/>
                <w:color w:val="000000" w:themeColor="text1"/>
                <w:sz w:val="20"/>
                <w:lang w:val="en-GB"/>
              </w:rPr>
              <w:t>Department</w:t>
            </w:r>
          </w:p>
          <w:p w:rsidR="00883763" w:rsidRPr="003A5CC6" w:rsidRDefault="00883763" w:rsidP="00E7401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296673" w:rsidP="00E7401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966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="00883763" w:rsidRPr="002966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el:</w:t>
            </w:r>
            <w:r w:rsidR="00883763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E403D" w:rsidRPr="007E403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 w:rsidR="007E403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83763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 w:rsidR="0088376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608 35 12</w:t>
            </w:r>
          </w:p>
          <w:p w:rsidR="00883763" w:rsidRPr="008F3638" w:rsidRDefault="00883763" w:rsidP="00E7401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3A5CC6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19" w:history="1">
              <w:r w:rsidRPr="0029606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E47C9F" w:rsidRPr="00653909" w:rsidRDefault="00E47C9F" w:rsidP="00E47C9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E47C9F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E47C9F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E47C9F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r w:rsidR="00CA3B68" w:rsidRPr="00653909">
              <w:rPr>
                <w:rFonts w:cs="Arial"/>
                <w:b/>
                <w:color w:val="000000" w:themeColor="text1"/>
                <w:sz w:val="20"/>
                <w:lang w:val="en-GB"/>
              </w:rPr>
              <w:t>Spokesperson</w:t>
            </w:r>
            <w:r w:rsidRPr="0065390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E47C9F" w:rsidRPr="00E47C9F" w:rsidRDefault="00E47C9F" w:rsidP="00E47C9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65390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883763" w:rsidRPr="00E47C9F" w:rsidRDefault="00E47C9F" w:rsidP="00E47C9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E47C9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883763" w:rsidRPr="008F3638" w:rsidRDefault="00296673" w:rsidP="00E7401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966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="00883763" w:rsidRPr="002966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el:</w:t>
            </w:r>
            <w:r w:rsidR="00883763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95F6F" w:rsidRPr="00695F6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83763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88376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83763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 w:rsidR="00695F6F" w:rsidRPr="00695F6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83763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88376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83763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E7401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B498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D128F" w:rsidRDefault="001047EB" w:rsidP="000470AA">
            <w:pPr>
              <w:rPr>
                <w:b/>
                <w:sz w:val="20"/>
                <w:lang w:val="en-GB"/>
              </w:rPr>
            </w:pPr>
            <w:r w:rsidRPr="000D128F">
              <w:rPr>
                <w:b/>
                <w:sz w:val="20"/>
                <w:lang w:val="en-GB"/>
              </w:rPr>
              <w:t>Press Office</w:t>
            </w:r>
          </w:p>
          <w:p w:rsidR="000470AA" w:rsidRPr="000D128F" w:rsidRDefault="00296673" w:rsidP="000470AA">
            <w:pPr>
              <w:rPr>
                <w:sz w:val="20"/>
                <w:lang w:val="en-GB"/>
              </w:rPr>
            </w:pPr>
            <w:r w:rsidRPr="007E403D">
              <w:rPr>
                <w:b/>
                <w:sz w:val="20"/>
                <w:lang w:val="en-GB"/>
              </w:rPr>
              <w:t xml:space="preserve">tel.: </w:t>
            </w:r>
            <w:r w:rsidR="006A641E" w:rsidRPr="00F27687">
              <w:rPr>
                <w:sz w:val="20"/>
                <w:lang w:val="en-GB"/>
              </w:rPr>
              <w:t xml:space="preserve">+48 </w:t>
            </w:r>
            <w:r w:rsidR="00097840" w:rsidRPr="000D128F">
              <w:rPr>
                <w:sz w:val="20"/>
                <w:lang w:val="en-GB"/>
              </w:rPr>
              <w:t>22 608 34 91, 22</w:t>
            </w:r>
            <w:r w:rsidR="000470AA" w:rsidRPr="000D128F">
              <w:rPr>
                <w:sz w:val="20"/>
                <w:lang w:val="en-GB"/>
              </w:rPr>
              <w:t xml:space="preserve"> 608 38 04 </w:t>
            </w:r>
          </w:p>
          <w:p w:rsidR="000470AA" w:rsidRPr="00685123" w:rsidRDefault="00296673" w:rsidP="000470AA">
            <w:pPr>
              <w:rPr>
                <w:sz w:val="20"/>
                <w:lang w:val="en-US"/>
              </w:rPr>
            </w:pPr>
            <w:r w:rsidRPr="007E403D">
              <w:rPr>
                <w:b/>
                <w:sz w:val="20"/>
                <w:lang w:val="en-GB"/>
              </w:rPr>
              <w:t xml:space="preserve">fax: </w:t>
            </w:r>
            <w:r w:rsidR="00215C50" w:rsidRPr="00F27687">
              <w:rPr>
                <w:sz w:val="20"/>
                <w:lang w:val="en-GB"/>
              </w:rPr>
              <w:t xml:space="preserve">+48 </w:t>
            </w:r>
            <w:r w:rsidR="00097840" w:rsidRPr="00685123">
              <w:rPr>
                <w:sz w:val="20"/>
                <w:lang w:val="en-US"/>
              </w:rPr>
              <w:t>22</w:t>
            </w:r>
            <w:r w:rsidR="000470AA" w:rsidRPr="00685123">
              <w:rPr>
                <w:sz w:val="20"/>
                <w:lang w:val="en-US"/>
              </w:rPr>
              <w:t xml:space="preserve"> 608 38 86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1" w:history="1">
              <w:r w:rsidRPr="00685123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EAF1F36" wp14:editId="7F4D554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7E403D" w:rsidRDefault="007E403D" w:rsidP="000470AA">
            <w:pPr>
              <w:rPr>
                <w:sz w:val="18"/>
                <w:lang w:val="en-US"/>
              </w:rPr>
            </w:pPr>
            <w:r w:rsidRPr="007E403D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7E403D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7E403D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4CD4588" wp14:editId="61F149D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C4034C" w:rsidRDefault="007E403D" w:rsidP="000470AA">
            <w:pPr>
              <w:rPr>
                <w:sz w:val="18"/>
                <w:lang w:val="en-GB"/>
              </w:rPr>
            </w:pPr>
            <w:r w:rsidRPr="00C4034C">
              <w:rPr>
                <w:sz w:val="20"/>
                <w:lang w:val="en-GB"/>
              </w:rPr>
              <w:t>@StatPoland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0AAE2B4" wp14:editId="36C7B0D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9019A4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Default="00883763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883763" w:rsidRPr="000D128F" w:rsidRDefault="00BB6820" w:rsidP="00883763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0D128F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883763" w:rsidRPr="00BB6820" w:rsidRDefault="00CC3D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BB6820" w:rsidRPr="00BB68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883763" w:rsidRPr="00BB6820" w:rsidRDefault="00CC3D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BB6820" w:rsidRPr="00BB68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883763" w:rsidRPr="00BB6820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883763" w:rsidRPr="000D128F" w:rsidRDefault="00BB6820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0D128F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883763" w:rsidRPr="00BB6820" w:rsidRDefault="00CC3D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BB6820" w:rsidRPr="00BB68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Databases</w:t>
                              </w:r>
                              <w:r w:rsidR="00883763" w:rsidRPr="00BB68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 (DBW) </w:t>
                              </w:r>
                              <w:r w:rsidR="00BB6820" w:rsidRPr="00BB68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</w:t>
                              </w:r>
                            </w:hyperlink>
                          </w:p>
                          <w:p w:rsidR="00883763" w:rsidRPr="008D69B1" w:rsidRDefault="00CC3D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8D69B1" w:rsidRPr="008D69B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  <w:r w:rsidR="00883763" w:rsidRPr="008D69B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 (BDM)</w:t>
                              </w:r>
                            </w:hyperlink>
                          </w:p>
                          <w:p w:rsidR="00883763" w:rsidRPr="008D69B1" w:rsidRDefault="00CC3D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BB6820" w:rsidRPr="008A290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 (BDL)</w:t>
                              </w:r>
                            </w:hyperlink>
                          </w:p>
                          <w:p w:rsidR="00883763" w:rsidRPr="00BB6820" w:rsidRDefault="00CC3D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BB6820" w:rsidRPr="00BB68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Price indices </w:t>
                              </w:r>
                              <w:r w:rsidR="00883763" w:rsidRPr="00BB68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(</w:t>
                              </w:r>
                              <w:r w:rsidR="00BB6820" w:rsidRPr="00BB68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Topics: Prices, Trade</w:t>
                              </w:r>
                              <w:r w:rsidR="00883763" w:rsidRPr="00BB68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)</w:t>
                              </w:r>
                            </w:hyperlink>
                          </w:p>
                          <w:p w:rsidR="00883763" w:rsidRPr="00BB6820" w:rsidRDefault="00CC3D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F11750" w:rsidRPr="00BB68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  <w:r w:rsidR="00F11750" w:rsidRPr="00BB68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 </w:t>
                            </w:r>
                          </w:p>
                          <w:p w:rsidR="00883763" w:rsidRPr="00BB6820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883763" w:rsidRPr="00BB6820" w:rsidRDefault="00BB6820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B6820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883763" w:rsidRPr="00C05B37" w:rsidRDefault="00CC3D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C05B37" w:rsidRPr="00C05B3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883763" w:rsidRPr="008D69B1" w:rsidRDefault="00CC3DB8" w:rsidP="00EA3A3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EA3A3A" w:rsidRPr="008A290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883763" w:rsidRDefault="00883763" w:rsidP="00883763">
                      <w:pPr>
                        <w:rPr>
                          <w:b/>
                        </w:rPr>
                      </w:pPr>
                    </w:p>
                    <w:p w:rsidR="00883763" w:rsidRPr="000D128F" w:rsidRDefault="00BB6820" w:rsidP="00883763">
                      <w:pPr>
                        <w:rPr>
                          <w:b/>
                          <w:lang w:val="en-GB"/>
                        </w:rPr>
                      </w:pPr>
                      <w:r w:rsidRPr="000D128F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883763" w:rsidRPr="00BB6820" w:rsidRDefault="00CC3D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BB6820" w:rsidRPr="00BB682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883763" w:rsidRPr="00BB6820" w:rsidRDefault="00CC3D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BB6820" w:rsidRPr="00BB682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883763" w:rsidRPr="00BB6820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883763" w:rsidRPr="000D128F" w:rsidRDefault="00BB6820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0D128F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883763" w:rsidRPr="00BB6820" w:rsidRDefault="00CC3D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BB6820" w:rsidRPr="00BB682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Databases</w:t>
                        </w:r>
                        <w:r w:rsidR="00883763" w:rsidRPr="00BB682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 (DBW) </w:t>
                        </w:r>
                        <w:r w:rsidR="00BB6820" w:rsidRPr="00BB682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</w:t>
                        </w:r>
                      </w:hyperlink>
                    </w:p>
                    <w:p w:rsidR="00883763" w:rsidRPr="008D69B1" w:rsidRDefault="00CC3D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8D69B1" w:rsidRPr="008D69B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  <w:r w:rsidR="00883763" w:rsidRPr="008D69B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 (BDM)</w:t>
                        </w:r>
                      </w:hyperlink>
                    </w:p>
                    <w:p w:rsidR="00883763" w:rsidRPr="008D69B1" w:rsidRDefault="00CC3D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BB6820" w:rsidRPr="008A290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 (BDL)</w:t>
                        </w:r>
                      </w:hyperlink>
                    </w:p>
                    <w:p w:rsidR="00883763" w:rsidRPr="00BB6820" w:rsidRDefault="00CC3D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BB6820" w:rsidRPr="00BB682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Price indices </w:t>
                        </w:r>
                        <w:r w:rsidR="00883763" w:rsidRPr="00BB682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(</w:t>
                        </w:r>
                        <w:r w:rsidR="00BB6820" w:rsidRPr="00BB682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Topics: Prices, Trade</w:t>
                        </w:r>
                        <w:r w:rsidR="00883763" w:rsidRPr="00BB682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)</w:t>
                        </w:r>
                      </w:hyperlink>
                    </w:p>
                    <w:p w:rsidR="00883763" w:rsidRPr="00BB6820" w:rsidRDefault="00CC3D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F11750" w:rsidRPr="00BB682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  <w:r w:rsidR="00F11750" w:rsidRPr="00BB68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 </w:t>
                      </w:r>
                    </w:p>
                    <w:p w:rsidR="00883763" w:rsidRPr="00BB6820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883763" w:rsidRPr="00BB6820" w:rsidRDefault="00BB6820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B6820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883763" w:rsidRPr="00C05B37" w:rsidRDefault="00CC3D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C05B37" w:rsidRPr="00C05B3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883763" w:rsidRPr="008D69B1" w:rsidRDefault="00CC3DB8" w:rsidP="00EA3A3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EA3A3A" w:rsidRPr="008A290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B8" w:rsidRDefault="00CC3DB8" w:rsidP="000662E2">
      <w:pPr>
        <w:spacing w:after="0" w:line="240" w:lineRule="auto"/>
      </w:pPr>
      <w:r>
        <w:separator/>
      </w:r>
    </w:p>
  </w:endnote>
  <w:endnote w:type="continuationSeparator" w:id="0">
    <w:p w:rsidR="00CC3DB8" w:rsidRDefault="00CC3DB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E7401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E7401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D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E7401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9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B8" w:rsidRDefault="00CC3DB8" w:rsidP="000662E2">
      <w:pPr>
        <w:spacing w:after="0" w:line="240" w:lineRule="auto"/>
      </w:pPr>
      <w:r>
        <w:separator/>
      </w:r>
    </w:p>
  </w:footnote>
  <w:footnote w:type="continuationSeparator" w:id="0">
    <w:p w:rsidR="00CC3DB8" w:rsidRDefault="00CC3DB8" w:rsidP="000662E2">
      <w:pPr>
        <w:spacing w:after="0" w:line="240" w:lineRule="auto"/>
      </w:pPr>
      <w:r>
        <w:continuationSeparator/>
      </w:r>
    </w:p>
  </w:footnote>
  <w:footnote w:id="1">
    <w:p w:rsidR="00B659BB" w:rsidRPr="004617A9" w:rsidRDefault="00B659BB" w:rsidP="00B659BB">
      <w:pPr>
        <w:pStyle w:val="Tekstprzypisudolnego"/>
        <w:spacing w:before="0"/>
        <w:rPr>
          <w:bCs/>
          <w:sz w:val="16"/>
          <w:szCs w:val="16"/>
          <w:lang w:val="en-GB"/>
        </w:rPr>
      </w:pPr>
      <w:r>
        <w:rPr>
          <w:rStyle w:val="Odwoanieprzypisudolnego"/>
        </w:rPr>
        <w:footnoteRef/>
      </w:r>
      <w:r w:rsidRPr="004617A9">
        <w:rPr>
          <w:lang w:val="en-GB"/>
        </w:rPr>
        <w:t xml:space="preserve"> </w:t>
      </w:r>
      <w:r w:rsidRPr="004617A9">
        <w:rPr>
          <w:bCs/>
          <w:sz w:val="16"/>
          <w:szCs w:val="16"/>
          <w:lang w:val="en-GB"/>
        </w:rPr>
        <w:t xml:space="preserve">Data </w:t>
      </w:r>
      <w:r w:rsidR="00410609">
        <w:rPr>
          <w:bCs/>
          <w:sz w:val="16"/>
          <w:szCs w:val="16"/>
          <w:lang w:val="en-GB"/>
        </w:rPr>
        <w:t>is</w:t>
      </w:r>
      <w:r w:rsidRPr="004617A9">
        <w:rPr>
          <w:bCs/>
          <w:sz w:val="16"/>
          <w:szCs w:val="16"/>
          <w:lang w:val="en-GB"/>
        </w:rPr>
        <w:t xml:space="preserve"> preliminary and</w:t>
      </w:r>
      <w:r w:rsidR="00410609">
        <w:rPr>
          <w:bCs/>
          <w:sz w:val="16"/>
          <w:szCs w:val="16"/>
          <w:lang w:val="en-GB"/>
        </w:rPr>
        <w:t xml:space="preserve"> is</w:t>
      </w:r>
      <w:r w:rsidRPr="004617A9">
        <w:rPr>
          <w:bCs/>
          <w:sz w:val="16"/>
          <w:szCs w:val="16"/>
          <w:lang w:val="en-GB"/>
        </w:rPr>
        <w:t xml:space="preserve"> presented in a narrower scope. It is calculated based on the structure of households’ expenditure (excl</w:t>
      </w:r>
      <w:r w:rsidR="005C19A6">
        <w:rPr>
          <w:bCs/>
          <w:sz w:val="16"/>
          <w:szCs w:val="16"/>
          <w:lang w:val="en-GB"/>
        </w:rPr>
        <w:t>uding own consumption) from 2017.</w:t>
      </w:r>
    </w:p>
  </w:footnote>
  <w:footnote w:id="2">
    <w:p w:rsidR="00E367B0" w:rsidRPr="00A954A3" w:rsidRDefault="00E367B0" w:rsidP="00E367B0">
      <w:pPr>
        <w:pStyle w:val="Tekstprzypisudolnego"/>
        <w:spacing w:before="0"/>
        <w:rPr>
          <w:color w:val="000000" w:themeColor="text1"/>
          <w:lang w:val="en-GB"/>
        </w:rPr>
      </w:pPr>
      <w:r w:rsidRPr="00A954A3">
        <w:rPr>
          <w:rStyle w:val="Odwoanieprzypisudolnego"/>
          <w:color w:val="000000" w:themeColor="text1"/>
          <w:lang w:val="en-GB"/>
        </w:rPr>
        <w:footnoteRef/>
      </w:r>
      <w:r w:rsidRPr="00A954A3">
        <w:rPr>
          <w:color w:val="000000" w:themeColor="text1"/>
          <w:lang w:val="en-GB"/>
        </w:rPr>
        <w:t xml:space="preserve"> </w:t>
      </w:r>
      <w:r w:rsidR="00A954A3" w:rsidRPr="00A954A3">
        <w:rPr>
          <w:bCs/>
          <w:color w:val="000000" w:themeColor="text1"/>
          <w:sz w:val="16"/>
          <w:szCs w:val="16"/>
          <w:lang w:val="en-GB"/>
        </w:rPr>
        <w:t xml:space="preserve">In the compilations of consumer price indices of electricity, the provisions of the Act of 28 December 2018 </w:t>
      </w:r>
      <w:r w:rsidR="00A954A3">
        <w:rPr>
          <w:bCs/>
          <w:color w:val="000000" w:themeColor="text1"/>
          <w:sz w:val="16"/>
          <w:szCs w:val="16"/>
          <w:lang w:val="en-GB"/>
        </w:rPr>
        <w:t>amending the Act on</w:t>
      </w:r>
      <w:r w:rsidR="00A954A3" w:rsidRPr="00A954A3">
        <w:rPr>
          <w:bCs/>
          <w:color w:val="000000" w:themeColor="text1"/>
          <w:sz w:val="16"/>
          <w:szCs w:val="16"/>
          <w:lang w:val="en-GB"/>
        </w:rPr>
        <w:t xml:space="preserve"> Excise Duty and certain other acts</w:t>
      </w:r>
      <w:r w:rsidR="00A954A3">
        <w:rPr>
          <w:bCs/>
          <w:color w:val="000000" w:themeColor="text1"/>
          <w:sz w:val="16"/>
          <w:szCs w:val="16"/>
          <w:lang w:val="en-GB"/>
        </w:rPr>
        <w:t xml:space="preserve"> </w:t>
      </w:r>
      <w:r w:rsidR="00A954A3" w:rsidRPr="00A954A3">
        <w:rPr>
          <w:bCs/>
          <w:color w:val="000000" w:themeColor="text1"/>
          <w:sz w:val="16"/>
          <w:szCs w:val="16"/>
          <w:lang w:val="en-GB"/>
        </w:rPr>
        <w:t>(Journal of Laws of the Republic of Poland from 2018 item 2538</w:t>
      </w:r>
      <w:r w:rsidR="00A954A3">
        <w:rPr>
          <w:bCs/>
          <w:color w:val="000000" w:themeColor="text1"/>
          <w:sz w:val="16"/>
          <w:szCs w:val="16"/>
          <w:lang w:val="en-GB"/>
        </w:rPr>
        <w:t>) were taken into account.</w:t>
      </w:r>
    </w:p>
  </w:footnote>
  <w:footnote w:id="3">
    <w:p w:rsidR="00A954A3" w:rsidRPr="0006476D" w:rsidRDefault="00A954A3" w:rsidP="00A954A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C73761">
        <w:t xml:space="preserve"> </w:t>
      </w:r>
      <w:r w:rsidRPr="00C4034C">
        <w:rPr>
          <w:sz w:val="16"/>
          <w:szCs w:val="16"/>
          <w:lang w:val="en-GB"/>
        </w:rPr>
        <w:t>Structure of households’ expenditure (excluding own consumption) from 2017.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9019A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DE27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9019A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41153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411531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41153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411531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BC65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0F683B">
      <w:rPr>
        <w:noProof/>
        <w:lang w:eastAsia="pl-PL"/>
      </w:rPr>
      <w:drawing>
        <wp:inline distT="0" distB="0" distL="0" distR="0" wp14:anchorId="3629D414" wp14:editId="7DB9C38D">
          <wp:extent cx="1865630" cy="709295"/>
          <wp:effectExtent l="0" t="0" r="0" b="0"/>
          <wp:docPr id="1" name="Obraz 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9019A4" w:rsidP="00F02665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F0266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15.02.2019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F0266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15.02.2019</w:t>
                    </w:r>
                  </w:p>
                </w:txbxContent>
              </v:textbox>
            </v:shape>
          </w:pict>
        </mc:Fallback>
      </mc:AlternateContent>
    </w:r>
    <w:r w:rsidR="00F02665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" o:bullet="t">
        <v:imagedata r:id="rId1" o:title=""/>
      </v:shape>
    </w:pict>
  </w:numPicBullet>
  <w:numPicBullet w:numPicBulletId="1">
    <w:pict>
      <v:shape id="_x0000_i1031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2669"/>
    <w:rsid w:val="000152F5"/>
    <w:rsid w:val="00023C0E"/>
    <w:rsid w:val="0004582E"/>
    <w:rsid w:val="000470AA"/>
    <w:rsid w:val="00057CA1"/>
    <w:rsid w:val="00060009"/>
    <w:rsid w:val="000662E2"/>
    <w:rsid w:val="00066883"/>
    <w:rsid w:val="00074DD8"/>
    <w:rsid w:val="000806F7"/>
    <w:rsid w:val="00097840"/>
    <w:rsid w:val="000B0727"/>
    <w:rsid w:val="000C135D"/>
    <w:rsid w:val="000C62FF"/>
    <w:rsid w:val="000D128F"/>
    <w:rsid w:val="000D1D43"/>
    <w:rsid w:val="000D225C"/>
    <w:rsid w:val="000D2A5C"/>
    <w:rsid w:val="000E0918"/>
    <w:rsid w:val="000E6861"/>
    <w:rsid w:val="000F683B"/>
    <w:rsid w:val="001011C3"/>
    <w:rsid w:val="001047EB"/>
    <w:rsid w:val="00110D87"/>
    <w:rsid w:val="001134A7"/>
    <w:rsid w:val="00114DB9"/>
    <w:rsid w:val="00116087"/>
    <w:rsid w:val="00130296"/>
    <w:rsid w:val="001423B6"/>
    <w:rsid w:val="001448A7"/>
    <w:rsid w:val="00146621"/>
    <w:rsid w:val="00156A11"/>
    <w:rsid w:val="00162325"/>
    <w:rsid w:val="001951DA"/>
    <w:rsid w:val="001A7056"/>
    <w:rsid w:val="001C3269"/>
    <w:rsid w:val="001D1DB4"/>
    <w:rsid w:val="00206FBB"/>
    <w:rsid w:val="00214D96"/>
    <w:rsid w:val="00215C50"/>
    <w:rsid w:val="002574F9"/>
    <w:rsid w:val="00262B61"/>
    <w:rsid w:val="00276811"/>
    <w:rsid w:val="00282699"/>
    <w:rsid w:val="002926DF"/>
    <w:rsid w:val="00296673"/>
    <w:rsid w:val="00296697"/>
    <w:rsid w:val="002B0472"/>
    <w:rsid w:val="002B275D"/>
    <w:rsid w:val="002B6B12"/>
    <w:rsid w:val="002C5135"/>
    <w:rsid w:val="002D1A97"/>
    <w:rsid w:val="002D700E"/>
    <w:rsid w:val="002E6140"/>
    <w:rsid w:val="002E6985"/>
    <w:rsid w:val="002E71B6"/>
    <w:rsid w:val="002F0F84"/>
    <w:rsid w:val="002F77C8"/>
    <w:rsid w:val="00304F22"/>
    <w:rsid w:val="00306C7C"/>
    <w:rsid w:val="003130D8"/>
    <w:rsid w:val="00322EDD"/>
    <w:rsid w:val="00332320"/>
    <w:rsid w:val="00347D72"/>
    <w:rsid w:val="00357611"/>
    <w:rsid w:val="00367237"/>
    <w:rsid w:val="0037077F"/>
    <w:rsid w:val="00372411"/>
    <w:rsid w:val="00373882"/>
    <w:rsid w:val="003843DB"/>
    <w:rsid w:val="00393761"/>
    <w:rsid w:val="00397D18"/>
    <w:rsid w:val="003A1B36"/>
    <w:rsid w:val="003A415A"/>
    <w:rsid w:val="003B1454"/>
    <w:rsid w:val="003B18B6"/>
    <w:rsid w:val="003C59E0"/>
    <w:rsid w:val="003C6C8D"/>
    <w:rsid w:val="003D4F95"/>
    <w:rsid w:val="003D5F42"/>
    <w:rsid w:val="003D60A9"/>
    <w:rsid w:val="003E1FBC"/>
    <w:rsid w:val="003F095D"/>
    <w:rsid w:val="003F1F84"/>
    <w:rsid w:val="003F4C97"/>
    <w:rsid w:val="003F7FE6"/>
    <w:rsid w:val="00400193"/>
    <w:rsid w:val="00410609"/>
    <w:rsid w:val="00411531"/>
    <w:rsid w:val="004212E7"/>
    <w:rsid w:val="0042446D"/>
    <w:rsid w:val="00427BF8"/>
    <w:rsid w:val="00431C02"/>
    <w:rsid w:val="00437395"/>
    <w:rsid w:val="00445047"/>
    <w:rsid w:val="00452CB1"/>
    <w:rsid w:val="004617A9"/>
    <w:rsid w:val="00463E39"/>
    <w:rsid w:val="004657FC"/>
    <w:rsid w:val="004733F6"/>
    <w:rsid w:val="00474E69"/>
    <w:rsid w:val="0047671E"/>
    <w:rsid w:val="00482FE5"/>
    <w:rsid w:val="0048729D"/>
    <w:rsid w:val="0049621B"/>
    <w:rsid w:val="004B4984"/>
    <w:rsid w:val="004C1895"/>
    <w:rsid w:val="004C6D40"/>
    <w:rsid w:val="004F0C3C"/>
    <w:rsid w:val="004F63FC"/>
    <w:rsid w:val="00505A92"/>
    <w:rsid w:val="005203F1"/>
    <w:rsid w:val="00521BC3"/>
    <w:rsid w:val="00532478"/>
    <w:rsid w:val="00533632"/>
    <w:rsid w:val="00541E6E"/>
    <w:rsid w:val="0054251F"/>
    <w:rsid w:val="005520D8"/>
    <w:rsid w:val="00556CF1"/>
    <w:rsid w:val="00576222"/>
    <w:rsid w:val="005762A7"/>
    <w:rsid w:val="005916D7"/>
    <w:rsid w:val="005A698C"/>
    <w:rsid w:val="005C19A6"/>
    <w:rsid w:val="005E0799"/>
    <w:rsid w:val="005F5A80"/>
    <w:rsid w:val="006044FF"/>
    <w:rsid w:val="00605407"/>
    <w:rsid w:val="00607CC5"/>
    <w:rsid w:val="00633014"/>
    <w:rsid w:val="0063437B"/>
    <w:rsid w:val="00653909"/>
    <w:rsid w:val="00662A45"/>
    <w:rsid w:val="006673CA"/>
    <w:rsid w:val="00673C26"/>
    <w:rsid w:val="006812AF"/>
    <w:rsid w:val="0068327D"/>
    <w:rsid w:val="00685123"/>
    <w:rsid w:val="00694AF0"/>
    <w:rsid w:val="00695F6F"/>
    <w:rsid w:val="006A4686"/>
    <w:rsid w:val="006A641E"/>
    <w:rsid w:val="006B0E9E"/>
    <w:rsid w:val="006B5AE4"/>
    <w:rsid w:val="006D1507"/>
    <w:rsid w:val="006D4054"/>
    <w:rsid w:val="006E02EC"/>
    <w:rsid w:val="006F0D3B"/>
    <w:rsid w:val="007211B1"/>
    <w:rsid w:val="007266DB"/>
    <w:rsid w:val="00735461"/>
    <w:rsid w:val="007367CD"/>
    <w:rsid w:val="00746187"/>
    <w:rsid w:val="0076254F"/>
    <w:rsid w:val="007801F5"/>
    <w:rsid w:val="00783CA4"/>
    <w:rsid w:val="007842FB"/>
    <w:rsid w:val="00786124"/>
    <w:rsid w:val="0079514B"/>
    <w:rsid w:val="007A2DC1"/>
    <w:rsid w:val="007D3319"/>
    <w:rsid w:val="007D335D"/>
    <w:rsid w:val="007E3314"/>
    <w:rsid w:val="007E403D"/>
    <w:rsid w:val="007E4B03"/>
    <w:rsid w:val="007F324B"/>
    <w:rsid w:val="0080553C"/>
    <w:rsid w:val="00805B46"/>
    <w:rsid w:val="00825DC2"/>
    <w:rsid w:val="00831643"/>
    <w:rsid w:val="00834AD3"/>
    <w:rsid w:val="00843795"/>
    <w:rsid w:val="00847F0F"/>
    <w:rsid w:val="00852448"/>
    <w:rsid w:val="00854A09"/>
    <w:rsid w:val="0088258A"/>
    <w:rsid w:val="00883763"/>
    <w:rsid w:val="00886332"/>
    <w:rsid w:val="008A26D9"/>
    <w:rsid w:val="008A290B"/>
    <w:rsid w:val="008C0C29"/>
    <w:rsid w:val="008D69B1"/>
    <w:rsid w:val="008F0103"/>
    <w:rsid w:val="008F3638"/>
    <w:rsid w:val="008F4441"/>
    <w:rsid w:val="008F6F31"/>
    <w:rsid w:val="008F74DF"/>
    <w:rsid w:val="009019A4"/>
    <w:rsid w:val="009127BA"/>
    <w:rsid w:val="009227A6"/>
    <w:rsid w:val="00933EC1"/>
    <w:rsid w:val="009523E1"/>
    <w:rsid w:val="009530DB"/>
    <w:rsid w:val="00953676"/>
    <w:rsid w:val="009705EE"/>
    <w:rsid w:val="00977927"/>
    <w:rsid w:val="0098135C"/>
    <w:rsid w:val="0098156A"/>
    <w:rsid w:val="00991BAC"/>
    <w:rsid w:val="009A6EA0"/>
    <w:rsid w:val="009C1335"/>
    <w:rsid w:val="009C1AB2"/>
    <w:rsid w:val="009C7251"/>
    <w:rsid w:val="009D632E"/>
    <w:rsid w:val="009E2E91"/>
    <w:rsid w:val="00A139F5"/>
    <w:rsid w:val="00A34C24"/>
    <w:rsid w:val="00A365F4"/>
    <w:rsid w:val="00A47D80"/>
    <w:rsid w:val="00A53132"/>
    <w:rsid w:val="00A563F2"/>
    <w:rsid w:val="00A566E8"/>
    <w:rsid w:val="00A810F9"/>
    <w:rsid w:val="00A86ECC"/>
    <w:rsid w:val="00A86FCC"/>
    <w:rsid w:val="00A954A3"/>
    <w:rsid w:val="00AA710D"/>
    <w:rsid w:val="00AB6D25"/>
    <w:rsid w:val="00AB7DB1"/>
    <w:rsid w:val="00AE2D4B"/>
    <w:rsid w:val="00AE4F99"/>
    <w:rsid w:val="00AF6759"/>
    <w:rsid w:val="00B11B69"/>
    <w:rsid w:val="00B14952"/>
    <w:rsid w:val="00B31E5A"/>
    <w:rsid w:val="00B31EBB"/>
    <w:rsid w:val="00B653AB"/>
    <w:rsid w:val="00B659BB"/>
    <w:rsid w:val="00B65F9E"/>
    <w:rsid w:val="00B66B19"/>
    <w:rsid w:val="00B914E9"/>
    <w:rsid w:val="00B956EE"/>
    <w:rsid w:val="00B96FFE"/>
    <w:rsid w:val="00BA2BA1"/>
    <w:rsid w:val="00BA3562"/>
    <w:rsid w:val="00BB4F09"/>
    <w:rsid w:val="00BB6820"/>
    <w:rsid w:val="00BD4E33"/>
    <w:rsid w:val="00BF5A0C"/>
    <w:rsid w:val="00C030DE"/>
    <w:rsid w:val="00C05B37"/>
    <w:rsid w:val="00C22105"/>
    <w:rsid w:val="00C244B6"/>
    <w:rsid w:val="00C25754"/>
    <w:rsid w:val="00C3702F"/>
    <w:rsid w:val="00C4034C"/>
    <w:rsid w:val="00C4500A"/>
    <w:rsid w:val="00C602B4"/>
    <w:rsid w:val="00C64A37"/>
    <w:rsid w:val="00C7158E"/>
    <w:rsid w:val="00C7250B"/>
    <w:rsid w:val="00C7346B"/>
    <w:rsid w:val="00C77C0E"/>
    <w:rsid w:val="00C91687"/>
    <w:rsid w:val="00C924A8"/>
    <w:rsid w:val="00C945FE"/>
    <w:rsid w:val="00C950B4"/>
    <w:rsid w:val="00C969FB"/>
    <w:rsid w:val="00C96FAA"/>
    <w:rsid w:val="00C97A04"/>
    <w:rsid w:val="00CA107B"/>
    <w:rsid w:val="00CA3B68"/>
    <w:rsid w:val="00CA484D"/>
    <w:rsid w:val="00CA4FB6"/>
    <w:rsid w:val="00CC10A8"/>
    <w:rsid w:val="00CC3DB8"/>
    <w:rsid w:val="00CC739E"/>
    <w:rsid w:val="00CD58B7"/>
    <w:rsid w:val="00CF183F"/>
    <w:rsid w:val="00CF4099"/>
    <w:rsid w:val="00D00796"/>
    <w:rsid w:val="00D261A2"/>
    <w:rsid w:val="00D40004"/>
    <w:rsid w:val="00D616D2"/>
    <w:rsid w:val="00D63B5F"/>
    <w:rsid w:val="00D63C19"/>
    <w:rsid w:val="00D64C02"/>
    <w:rsid w:val="00D70EF7"/>
    <w:rsid w:val="00D8397C"/>
    <w:rsid w:val="00D94EED"/>
    <w:rsid w:val="00D96026"/>
    <w:rsid w:val="00DA7C1C"/>
    <w:rsid w:val="00DB147A"/>
    <w:rsid w:val="00DB1B7A"/>
    <w:rsid w:val="00DC6708"/>
    <w:rsid w:val="00DD18DA"/>
    <w:rsid w:val="00E01436"/>
    <w:rsid w:val="00E045BD"/>
    <w:rsid w:val="00E17B77"/>
    <w:rsid w:val="00E23337"/>
    <w:rsid w:val="00E259EA"/>
    <w:rsid w:val="00E3106B"/>
    <w:rsid w:val="00E32061"/>
    <w:rsid w:val="00E367B0"/>
    <w:rsid w:val="00E42FF9"/>
    <w:rsid w:val="00E4714C"/>
    <w:rsid w:val="00E47C9F"/>
    <w:rsid w:val="00E51AEB"/>
    <w:rsid w:val="00E522A7"/>
    <w:rsid w:val="00E54452"/>
    <w:rsid w:val="00E664C5"/>
    <w:rsid w:val="00E66855"/>
    <w:rsid w:val="00E671A2"/>
    <w:rsid w:val="00E74016"/>
    <w:rsid w:val="00E76D26"/>
    <w:rsid w:val="00E83253"/>
    <w:rsid w:val="00EA3A3A"/>
    <w:rsid w:val="00EB1390"/>
    <w:rsid w:val="00EB2C71"/>
    <w:rsid w:val="00EB4340"/>
    <w:rsid w:val="00EB556D"/>
    <w:rsid w:val="00EB5A7D"/>
    <w:rsid w:val="00ED3125"/>
    <w:rsid w:val="00ED55C0"/>
    <w:rsid w:val="00ED682B"/>
    <w:rsid w:val="00EE41D5"/>
    <w:rsid w:val="00F02665"/>
    <w:rsid w:val="00F037A4"/>
    <w:rsid w:val="00F11750"/>
    <w:rsid w:val="00F27687"/>
    <w:rsid w:val="00F27C8F"/>
    <w:rsid w:val="00F32749"/>
    <w:rsid w:val="00F37172"/>
    <w:rsid w:val="00F4477E"/>
    <w:rsid w:val="00F6116B"/>
    <w:rsid w:val="00F67D8F"/>
    <w:rsid w:val="00F739B3"/>
    <w:rsid w:val="00F802BE"/>
    <w:rsid w:val="00F80E93"/>
    <w:rsid w:val="00F86024"/>
    <w:rsid w:val="00F8611A"/>
    <w:rsid w:val="00FA5128"/>
    <w:rsid w:val="00FB42D4"/>
    <w:rsid w:val="00FB5906"/>
    <w:rsid w:val="00FB762F"/>
    <w:rsid w:val="00FC2AED"/>
    <w:rsid w:val="00FD5EA7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2D2F8-A171-452F-B5B7-A571C425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A3A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bdl.stat.gov.pl/BDL/start?lang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.bobel@stat.gov.pl" TargetMode="External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en/latest-statistical-news/communications-and-announcements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en/metainformations/glossary/terms-used-in-official-statistics/71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9\WYKRESY\01_2019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9\WYKRESY\01_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26E-2"/>
          <c:y val="4.8511576626240401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692166686676253E-2"/>
                  <c:y val="5.09603432471216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4E-2"/>
                  <c:y val="-2.980654449009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1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5E-2"/>
                  <c:y val="-2.475126214111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29E-2"/>
                  <c:y val="3.1637865954991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768583780132725E-2"/>
                  <c:y val="3.61504521756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601E-2"/>
                  <c:y val="3.1419014084507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8E-2"/>
                  <c:y val="-2.9814122688991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95E-2"/>
                  <c:y val="-3.3899636218667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5E-2"/>
                  <c:y val="-2.4751262141114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331E-2"/>
                  <c:y val="3.6353017391737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805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93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5E-2"/>
                  <c:y val="3.5723127522798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2E-2"/>
                  <c:y val="-2.4532587470783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9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784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8E-2"/>
                  <c:y val="3.5941705533573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7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2E-2"/>
                  <c:y val="-2.8836637025939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67E-2"/>
                  <c:y val="-3.3765976688492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4.5089211077803712E-2"/>
                  <c:y val="4.51034579123664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0089386039603589E-2"/>
                  <c:y val="4.4956353996452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31152355955506E-2"/>
                  <c:y val="-4.0281813207216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5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51E-2"/>
                  <c:y val="2.7183200707218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'M-1'!$B$14:$B$38</c:f>
              <c:strCache>
                <c:ptCount val="2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'M-1'!$C$14:$C$38</c:f>
              <c:numCache>
                <c:formatCode>0.0</c:formatCode>
                <c:ptCount val="25"/>
                <c:pt idx="0">
                  <c:v>0.40000000000000568</c:v>
                </c:pt>
                <c:pt idx="1">
                  <c:v>0.29999999999999727</c:v>
                </c:pt>
                <c:pt idx="2">
                  <c:v>-9.9999999999994357E-2</c:v>
                </c:pt>
                <c:pt idx="3">
                  <c:v>0.29999999999999727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-9.9999999999994357E-2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0.29999999999999727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  <c:pt idx="22">
                  <c:v>0</c:v>
                </c:pt>
                <c:pt idx="23">
                  <c:v>0</c:v>
                </c:pt>
                <c:pt idx="24" formatCode="General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9459312"/>
        <c:axId val="-969173664"/>
      </c:lineChart>
      <c:dateAx>
        <c:axId val="-10094593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969173664"/>
        <c:crossesAt val="0"/>
        <c:auto val="0"/>
        <c:lblOffset val="100"/>
        <c:baseTimeUnit val="days"/>
      </c:dateAx>
      <c:valAx>
        <c:axId val="-969173664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00945931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2"/>
            <c:bubble3D val="0"/>
            <c:spPr>
              <a:ln>
                <a:solidFill>
                  <a:srgbClr val="001D77"/>
                </a:solidFill>
              </a:ln>
            </c:spPr>
          </c:dPt>
          <c:dPt>
            <c:idx val="24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393E-2"/>
                  <c:y val="-3.53151187120245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089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811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062778168191E-2"/>
                  <c:y val="4.610640230059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81853673805E-2"/>
                  <c:y val="3.2987740275465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502459592410401E-2"/>
                  <c:y val="4.3238610564552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07292376602E-2"/>
                  <c:y val="3.2046277349283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105411103302892E-2"/>
                  <c:y val="-3.773119418798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159795424377277E-2"/>
                  <c:y val="-3.6210080217950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6561255563363713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0109705629733754E-2"/>
                  <c:y val="3.651430301195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0228385873709119E-2"/>
                  <c:y val="-4.9847289175866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(+FE)'!$B$14:$B$38</c:f>
              <c:strCache>
                <c:ptCount val="2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'M-12 (+FE)'!$C$14:$C$38</c:f>
              <c:numCache>
                <c:formatCode>0.0</c:formatCode>
                <c:ptCount val="25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  <c:pt idx="24">
                  <c:v>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69169312"/>
        <c:axId val="-969172032"/>
      </c:lineChart>
      <c:dateAx>
        <c:axId val="-9691693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969172032"/>
        <c:crossesAt val="0"/>
        <c:auto val="0"/>
        <c:lblOffset val="100"/>
        <c:baseTimeUnit val="days"/>
      </c:dateAx>
      <c:valAx>
        <c:axId val="-96917203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96916931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31"/>
          <c:y val="4.5267504380125223E-2"/>
          <c:w val="0.51977086663049898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8.7399999999999984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969170944"/>
        <c:axId val="-969171488"/>
      </c:barChart>
      <c:catAx>
        <c:axId val="-96917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pl-PL"/>
          </a:p>
        </c:txPr>
        <c:crossAx val="-969171488"/>
        <c:crosses val="autoZero"/>
        <c:auto val="0"/>
        <c:lblAlgn val="ctr"/>
        <c:lblOffset val="100"/>
        <c:noMultiLvlLbl val="0"/>
      </c:catAx>
      <c:valAx>
        <c:axId val="-969171488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65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9691709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0.48733</cdr:x>
      <cdr:y>0.86938</cdr:y>
    </cdr:from>
    <cdr:to>
      <cdr:x>0.48765</cdr:x>
      <cdr:y>0.94906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500592" y="2229443"/>
          <a:ext cx="1642" cy="204331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0.92678</cdr:y>
    </cdr:from>
    <cdr:to>
      <cdr:x>0.44753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963" y="2321999"/>
          <a:ext cx="1934530" cy="1830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0.52296</cdr:x>
      <cdr:y>0.93654</cdr:y>
    </cdr:from>
    <cdr:to>
      <cdr:x>0.80828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678886" y="2341683"/>
          <a:ext cx="1461565" cy="1586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0.87142</cdr:x>
      <cdr:y>0.93433</cdr:y>
    </cdr:from>
    <cdr:to>
      <cdr:x>0.97174</cdr:x>
      <cdr:y>1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446985" y="2399109"/>
          <a:ext cx="511969" cy="1666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0.89548</cdr:x>
      <cdr:y>0.86631</cdr:y>
    </cdr:from>
    <cdr:to>
      <cdr:x>0.89691</cdr:x>
      <cdr:y>0.94905</cdr:y>
    </cdr:to>
    <cdr:sp macro="" textlink="">
      <cdr:nvSpPr>
        <cdr:cNvPr id="8" name="Łącznik prosty 7"/>
        <cdr:cNvSpPr/>
      </cdr:nvSpPr>
      <cdr:spPr>
        <a:xfrm xmlns:a="http://schemas.openxmlformats.org/drawingml/2006/main">
          <a:off x="4587121" y="2166090"/>
          <a:ext cx="7318" cy="20686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0.93639</cdr:y>
    </cdr:from>
    <cdr:to>
      <cdr:x>0.44376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074" y="2369581"/>
          <a:ext cx="1912149" cy="1609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0.53924</cdr:x>
      <cdr:y>0.93596</cdr:y>
    </cdr:from>
    <cdr:to>
      <cdr:x>0.80082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763547" y="2371594"/>
          <a:ext cx="1340570" cy="162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0.48182</cdr:x>
      <cdr:y>0.86763</cdr:y>
    </cdr:from>
    <cdr:to>
      <cdr:x>0.48217</cdr:x>
      <cdr:y>0.95258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469076" y="2195522"/>
          <a:ext cx="1794" cy="21496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0.03232</cdr:x>
      <cdr:y>0.17622</cdr:y>
    </cdr:from>
    <cdr:to>
      <cdr:x>0.30088</cdr:x>
      <cdr:y>0.27253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5598" y="445926"/>
          <a:ext cx="1376222" cy="2437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0.16068</cdr:x>
      <cdr:y>0.24832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23394" y="628380"/>
          <a:ext cx="378086" cy="25738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0.40395</cdr:x>
      <cdr:y>0.18103</cdr:y>
    </cdr:from>
    <cdr:to>
      <cdr:x>0.72287</cdr:x>
      <cdr:y>0.26249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070037" y="458095"/>
          <a:ext cx="1634299" cy="2061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inflation target</a:t>
          </a:r>
          <a:endParaRPr lang="pl-PL" sz="800" b="1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0.37984</cdr:x>
      <cdr:y>0.15742</cdr:y>
    </cdr:from>
    <cdr:to>
      <cdr:x>0.41541</cdr:x>
      <cdr:y>0.22693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946493" y="398350"/>
          <a:ext cx="182230" cy="1758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0.20825</cdr:x>
      <cdr:y>0.2254</cdr:y>
    </cdr:from>
    <cdr:to>
      <cdr:x>0.41518</cdr:x>
      <cdr:y>0.55675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067165" y="570367"/>
          <a:ext cx="1060398" cy="83847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0.86273</cdr:x>
      <cdr:y>0.93639</cdr:y>
    </cdr:from>
    <cdr:to>
      <cdr:x>0.98421</cdr:x>
      <cdr:y>0.99279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4419600" y="2474686"/>
          <a:ext cx="622300" cy="149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0.89435</cdr:x>
      <cdr:y>0.86735</cdr:y>
    </cdr:from>
    <cdr:to>
      <cdr:x>0.8947</cdr:x>
      <cdr:y>0.9523</cdr:y>
    </cdr:to>
    <cdr:sp macro="" textlink="">
      <cdr:nvSpPr>
        <cdr:cNvPr id="22" name="Łącznik prosty 9"/>
        <cdr:cNvSpPr/>
      </cdr:nvSpPr>
      <cdr:spPr bwMode="auto">
        <a:xfrm xmlns:a="http://schemas.openxmlformats.org/drawingml/2006/main" flipH="1" flipV="1">
          <a:off x="4583071" y="2194807"/>
          <a:ext cx="1794" cy="21496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3B1AF-E820-4D00-84E4-DE0B27DE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Sobocińska Aleksandra</dc:creator>
  <cp:lastModifiedBy>Żołynia Marcin</cp:lastModifiedBy>
  <cp:revision>2</cp:revision>
  <cp:lastPrinted>2018-02-14T10:13:00Z</cp:lastPrinted>
  <dcterms:created xsi:type="dcterms:W3CDTF">2019-02-15T08:45:00Z</dcterms:created>
  <dcterms:modified xsi:type="dcterms:W3CDTF">2019-02-15T08:45:00Z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