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612A93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1F1170">
        <w:rPr>
          <w:b/>
          <w:szCs w:val="32"/>
          <w:lang w:val="en-US"/>
        </w:rPr>
        <w:t xml:space="preserve">Residential construction </w:t>
      </w:r>
      <w:r w:rsidR="00A05A3A">
        <w:rPr>
          <w:rStyle w:val="Odwoanieprzypisudolnego"/>
          <w:b/>
          <w:szCs w:val="32"/>
          <w:lang w:val="en-US"/>
        </w:rPr>
        <w:footnoteReference w:id="1"/>
      </w:r>
      <w:r w:rsidRPr="001F1170">
        <w:rPr>
          <w:b/>
          <w:szCs w:val="32"/>
          <w:lang w:val="en-US"/>
        </w:rPr>
        <w:t xml:space="preserve"> in the period I-</w:t>
      </w:r>
      <w:r w:rsidR="00B82E2D">
        <w:rPr>
          <w:b/>
          <w:szCs w:val="32"/>
          <w:lang w:val="en-US"/>
        </w:rPr>
        <w:t>X</w:t>
      </w:r>
      <w:r w:rsidR="00612A93">
        <w:rPr>
          <w:b/>
          <w:szCs w:val="32"/>
          <w:lang w:val="en-US"/>
        </w:rPr>
        <w:t>I</w:t>
      </w:r>
      <w:r w:rsidRPr="001F1170">
        <w:rPr>
          <w:b/>
          <w:szCs w:val="32"/>
          <w:lang w:val="en-US"/>
        </w:rPr>
        <w:t xml:space="preserve"> of </w:t>
      </w:r>
      <w:r w:rsidRPr="001F1170">
        <w:rPr>
          <w:b/>
          <w:szCs w:val="32"/>
          <w:shd w:val="clear" w:color="auto" w:fill="FFFFFF"/>
          <w:lang w:val="en-US"/>
        </w:rPr>
        <w:t>2018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612A93" w:rsidRDefault="005F302D" w:rsidP="00095A18">
      <w:pPr>
        <w:pStyle w:val="LID"/>
        <w:jc w:val="both"/>
        <w:rPr>
          <w:lang w:val="en-GB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612A93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4862B6"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612A93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4862B6"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612A93"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="00010800"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612A93"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:rsidR="004862B6" w:rsidRPr="00A519B5" w:rsidRDefault="00542771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="00313E16">
                              <w:rPr>
                                <w:lang w:val="en-US"/>
                              </w:rPr>
                              <w:t>ndex</w:t>
                            </w:r>
                            <w:r w:rsidR="00AD1492"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 w:rsidR="00AD1492"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612A93"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="00010800"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612A93"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</w:p>
                    <w:p w:rsidR="004862B6" w:rsidRPr="00A519B5" w:rsidRDefault="00542771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 w:rsidR="00313E16">
                        <w:rPr>
                          <w:lang w:val="en-US"/>
                        </w:rPr>
                        <w:t>ndex</w:t>
                      </w:r>
                      <w:r w:rsidR="00AD1492" w:rsidRPr="001D3843">
                        <w:rPr>
                          <w:lang w:val="en-US"/>
                        </w:rPr>
                        <w:t xml:space="preserve"> number of dwellings </w:t>
                      </w:r>
                      <w:r w:rsidR="00AD1492"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AD1492">
        <w:rPr>
          <w:lang w:val="en-US"/>
        </w:rPr>
        <w:t xml:space="preserve">the period of </w:t>
      </w:r>
      <w:r w:rsidR="00612A93">
        <w:rPr>
          <w:lang w:val="en-US"/>
        </w:rPr>
        <w:t>eleven</w:t>
      </w:r>
      <w:r w:rsidR="00AD1492">
        <w:rPr>
          <w:lang w:val="en-US"/>
        </w:rPr>
        <w:t xml:space="preserve"> months of 2018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>The number of dwellings for which permits have been granted or which have been registered with a construction proje</w:t>
      </w:r>
      <w:r w:rsidR="00095A18">
        <w:rPr>
          <w:lang w:val="en-US"/>
        </w:rPr>
        <w:t>c</w:t>
      </w:r>
      <w:r w:rsidR="00095A18" w:rsidRPr="007323FA">
        <w:rPr>
          <w:lang w:val="en-US"/>
        </w:rPr>
        <w:t xml:space="preserve">t and the number of </w:t>
      </w:r>
      <w:r w:rsidR="00095A18">
        <w:rPr>
          <w:lang w:val="en-US"/>
        </w:rPr>
        <w:t>dwellings in which construction has begun also increased.</w:t>
      </w:r>
      <w:bookmarkStart w:id="0" w:name="_GoBack"/>
      <w:bookmarkEnd w:id="0"/>
    </w:p>
    <w:p w:rsidR="0075636C" w:rsidRPr="00612A93" w:rsidRDefault="00542771" w:rsidP="00095A18">
      <w:pPr>
        <w:pStyle w:val="LID"/>
        <w:jc w:val="both"/>
        <w:rPr>
          <w:lang w:val="en-GB"/>
        </w:rPr>
      </w:pPr>
      <w:r>
        <w:rPr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97155</wp:posOffset>
                </wp:positionV>
                <wp:extent cx="1805305" cy="629920"/>
                <wp:effectExtent l="0" t="0" r="0" b="0"/>
                <wp:wrapTight wrapText="bothSides">
                  <wp:wrapPolygon edited="0">
                    <wp:start x="684" y="0"/>
                    <wp:lineTo x="684" y="20903"/>
                    <wp:lineTo x="20741" y="20903"/>
                    <wp:lineTo x="20741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D1492" w:rsidRDefault="000E1F4F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AD1492" w:rsidRPr="00463A76">
                              <w:rPr>
                                <w:lang w:val="en-US"/>
                              </w:rPr>
                              <w:t xml:space="preserve">umber of dwellings </w:t>
                            </w:r>
                            <w:r w:rsidR="00AD1492">
                              <w:rPr>
                                <w:lang w:val="en-US"/>
                              </w:rPr>
                              <w:t xml:space="preserve">completed </w:t>
                            </w:r>
                            <w:r w:rsidR="00612A93">
                              <w:rPr>
                                <w:lang w:val="en-US"/>
                              </w:rPr>
                              <w:t>increased by 2.5</w:t>
                            </w:r>
                            <w:r w:rsidR="00AD1492" w:rsidRPr="00463A76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AD1492">
                              <w:rPr>
                                <w:lang w:val="en-US"/>
                              </w:rPr>
                              <w:t>the period I-</w:t>
                            </w:r>
                            <w:r w:rsidR="00B82E2D">
                              <w:rPr>
                                <w:lang w:val="en-US"/>
                              </w:rPr>
                              <w:t>X</w:t>
                            </w:r>
                            <w:r w:rsidR="00612A93">
                              <w:rPr>
                                <w:lang w:val="en-US"/>
                              </w:rPr>
                              <w:t>I</w:t>
                            </w:r>
                            <w:r w:rsidR="00AD1492">
                              <w:rPr>
                                <w:lang w:val="en-US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2.3pt;margin-top:7.65pt;width:142.15pt;height:49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" filled="f" stroked="f">
                <v:textbox>
                  <w:txbxContent>
                    <w:p w:rsidR="004862B6" w:rsidRPr="00AD1492" w:rsidRDefault="000E1F4F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AD1492" w:rsidRPr="00463A76">
                        <w:rPr>
                          <w:lang w:val="en-US"/>
                        </w:rPr>
                        <w:t xml:space="preserve">umber of dwellings </w:t>
                      </w:r>
                      <w:r w:rsidR="00AD1492">
                        <w:rPr>
                          <w:lang w:val="en-US"/>
                        </w:rPr>
                        <w:t xml:space="preserve">completed </w:t>
                      </w:r>
                      <w:r w:rsidR="00612A93">
                        <w:rPr>
                          <w:lang w:val="en-US"/>
                        </w:rPr>
                        <w:t>increased by 2.5</w:t>
                      </w:r>
                      <w:r w:rsidR="00AD1492" w:rsidRPr="00463A76">
                        <w:rPr>
                          <w:lang w:val="en-US"/>
                        </w:rPr>
                        <w:t xml:space="preserve">% y/y in </w:t>
                      </w:r>
                      <w:r w:rsidR="00AD1492">
                        <w:rPr>
                          <w:lang w:val="en-US"/>
                        </w:rPr>
                        <w:t>the period I-</w:t>
                      </w:r>
                      <w:r w:rsidR="00B82E2D">
                        <w:rPr>
                          <w:lang w:val="en-US"/>
                        </w:rPr>
                        <w:t>X</w:t>
                      </w:r>
                      <w:r w:rsidR="00612A93">
                        <w:rPr>
                          <w:lang w:val="en-US"/>
                        </w:rPr>
                        <w:t>I</w:t>
                      </w:r>
                      <w:r w:rsidR="00AD1492">
                        <w:rPr>
                          <w:lang w:val="en-US"/>
                        </w:rPr>
                        <w:t xml:space="preserve">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612A93">
        <w:rPr>
          <w:shd w:val="clear" w:color="auto" w:fill="FFFFFF"/>
          <w:lang w:val="en-GB"/>
        </w:rPr>
        <w:t xml:space="preserve"> </w:t>
      </w:r>
    </w:p>
    <w:p w:rsidR="00BF0335" w:rsidRPr="00A33759" w:rsidRDefault="00471D34" w:rsidP="009B0770">
      <w:pPr>
        <w:jc w:val="both"/>
        <w:rPr>
          <w:spacing w:val="-4"/>
          <w:shd w:val="clear" w:color="auto" w:fill="FFFFFF"/>
          <w:lang w:val="en-US"/>
        </w:rPr>
      </w:pPr>
      <w:r w:rsidRPr="00A33759">
        <w:rPr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5770245</wp:posOffset>
                </wp:positionH>
                <wp:positionV relativeFrom="paragraph">
                  <wp:posOffset>1629410</wp:posOffset>
                </wp:positionV>
                <wp:extent cx="1743710" cy="61404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EC9" w:rsidRPr="00AE3772" w:rsidRDefault="000E1F4F" w:rsidP="00983BE8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B77EC9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</w:t>
                            </w:r>
                            <w:r w:rsidR="007204E8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useful </w:t>
                            </w:r>
                            <w:r w:rsidR="00B77EC9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floor </w:t>
                            </w:r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 w:rsidR="000717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  <w:t xml:space="preserve">a </w:t>
                            </w:r>
                            <w:r w:rsidR="00DE41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dwelling in the period</w:t>
                            </w:r>
                            <w:r w:rsidR="00DE41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  <w:t xml:space="preserve">I-XI </w:t>
                            </w:r>
                            <w:r w:rsidR="00E162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2018 was 91.0</w:t>
                            </w:r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proofErr w:type="spellStart"/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sq</w:t>
                            </w:r>
                            <w:proofErr w:type="spellEnd"/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4.35pt;margin-top:128.3pt;width:137.3pt;height:48.3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" filled="f" stroked="f">
                <v:textbox>
                  <w:txbxContent>
                    <w:p w:rsidR="00B77EC9" w:rsidRPr="00AE3772" w:rsidRDefault="000E1F4F" w:rsidP="00983BE8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B77EC9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verage </w:t>
                      </w:r>
                      <w:r w:rsidR="007204E8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useful </w:t>
                      </w:r>
                      <w:r w:rsidR="00B77EC9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floor </w:t>
                      </w:r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 w:rsidR="000717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  <w:t xml:space="preserve">a </w:t>
                      </w:r>
                      <w:r w:rsidR="00DE41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dwelling in the period</w:t>
                      </w:r>
                      <w:r w:rsidR="00DE41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="00DE41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I-XI </w:t>
                      </w:r>
                      <w:r w:rsidR="00E162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2018 was 91.0</w:t>
                      </w:r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proofErr w:type="spellStart"/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sq</w:t>
                      </w:r>
                      <w:proofErr w:type="spellEnd"/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>According to preliminary data, in the period January-</w:t>
      </w:r>
      <w:r w:rsidR="00612A93" w:rsidRPr="00A33759">
        <w:rPr>
          <w:spacing w:val="-4"/>
          <w:shd w:val="clear" w:color="auto" w:fill="FFFFFF"/>
          <w:lang w:val="en-US"/>
        </w:rPr>
        <w:t>November</w:t>
      </w:r>
      <w:r w:rsidR="00AD1492" w:rsidRPr="00A33759">
        <w:rPr>
          <w:spacing w:val="-4"/>
          <w:shd w:val="clear" w:color="auto" w:fill="FFFFFF"/>
          <w:lang w:val="en-US"/>
        </w:rPr>
        <w:t xml:space="preserve"> of 2018, </w:t>
      </w:r>
      <w:r w:rsidR="00612A93" w:rsidRPr="00A33759">
        <w:rPr>
          <w:spacing w:val="-4"/>
          <w:shd w:val="clear" w:color="auto" w:fill="FFFFFF"/>
          <w:lang w:val="en-US"/>
        </w:rPr>
        <w:t>163.8</w:t>
      </w:r>
      <w:r w:rsidR="0037385E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37385E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37385E" w:rsidRPr="00A33759">
        <w:rPr>
          <w:spacing w:val="-4"/>
          <w:shd w:val="clear" w:color="auto" w:fill="FFFFFF"/>
          <w:lang w:val="en-US"/>
        </w:rPr>
        <w:t>.</w:t>
      </w:r>
      <w:r w:rsidR="00AD1492" w:rsidRPr="00A33759">
        <w:rPr>
          <w:spacing w:val="-4"/>
          <w:shd w:val="clear" w:color="auto" w:fill="FFFFFF"/>
          <w:lang w:val="en-US"/>
        </w:rPr>
        <w:t xml:space="preserve"> dwellings were completed, i.e. by </w:t>
      </w:r>
      <w:r w:rsidR="00612A93" w:rsidRPr="00A33759">
        <w:rPr>
          <w:spacing w:val="-4"/>
          <w:shd w:val="clear" w:color="auto" w:fill="FFFFFF"/>
          <w:lang w:val="en-US"/>
        </w:rPr>
        <w:t>2</w:t>
      </w:r>
      <w:r w:rsidR="00AD1492" w:rsidRPr="00A33759">
        <w:rPr>
          <w:spacing w:val="-4"/>
          <w:shd w:val="clear" w:color="auto" w:fill="FFFFFF"/>
          <w:lang w:val="en-US"/>
        </w:rPr>
        <w:t>.</w:t>
      </w:r>
      <w:r w:rsidR="00612A93" w:rsidRPr="00A33759">
        <w:rPr>
          <w:spacing w:val="-4"/>
          <w:shd w:val="clear" w:color="auto" w:fill="FFFFFF"/>
          <w:lang w:val="en-US"/>
        </w:rPr>
        <w:t>5</w:t>
      </w:r>
      <w:r w:rsidR="00AD1492" w:rsidRPr="00A33759">
        <w:rPr>
          <w:spacing w:val="-4"/>
          <w:shd w:val="clear" w:color="auto" w:fill="FFFFFF"/>
          <w:lang w:val="en-US"/>
        </w:rPr>
        <w:t xml:space="preserve">% more than </w:t>
      </w:r>
      <w:r w:rsidR="00856FE3" w:rsidRPr="00A33759">
        <w:rPr>
          <w:spacing w:val="-4"/>
          <w:shd w:val="clear" w:color="auto" w:fill="FFFFFF"/>
          <w:lang w:val="en-US"/>
        </w:rPr>
        <w:t xml:space="preserve">the year before. </w:t>
      </w:r>
      <w:r w:rsidR="00FD0C2F" w:rsidRPr="00A33759">
        <w:rPr>
          <w:spacing w:val="-4"/>
          <w:shd w:val="clear" w:color="auto" w:fill="FFFFFF"/>
          <w:lang w:val="en-US"/>
        </w:rPr>
        <w:t>I</w:t>
      </w:r>
      <w:r w:rsidR="005F6FE0" w:rsidRPr="00A33759">
        <w:rPr>
          <w:spacing w:val="-4"/>
          <w:shd w:val="clear" w:color="auto" w:fill="FFFFFF"/>
          <w:lang w:val="en-US"/>
        </w:rPr>
        <w:t xml:space="preserve">nvestors of </w:t>
      </w:r>
      <w:r w:rsidR="00AD1492" w:rsidRPr="00A33759">
        <w:rPr>
          <w:spacing w:val="-4"/>
          <w:shd w:val="clear" w:color="auto" w:fill="FFFFFF"/>
          <w:lang w:val="en-US"/>
        </w:rPr>
        <w:t xml:space="preserve">two </w:t>
      </w:r>
      <w:r w:rsidR="00BF0335" w:rsidRPr="00A33759">
        <w:rPr>
          <w:spacing w:val="-4"/>
          <w:shd w:val="clear" w:color="auto" w:fill="FFFFFF"/>
          <w:lang w:val="en-US"/>
        </w:rPr>
        <w:t>main forms of construc</w:t>
      </w:r>
      <w:r w:rsidR="00443D4F" w:rsidRPr="00A33759">
        <w:rPr>
          <w:spacing w:val="-4"/>
          <w:shd w:val="clear" w:color="auto" w:fill="FFFFFF"/>
          <w:lang w:val="en-US"/>
        </w:rPr>
        <w:t>tion</w:t>
      </w:r>
      <w:r w:rsidR="00AD1492" w:rsidRPr="00A33759">
        <w:rPr>
          <w:spacing w:val="-4"/>
          <w:shd w:val="clear" w:color="auto" w:fill="FFFFFF"/>
          <w:lang w:val="en-US"/>
        </w:rPr>
        <w:t xml:space="preserve"> </w:t>
      </w:r>
      <w:r w:rsidR="004C57EC" w:rsidRPr="00A33759">
        <w:rPr>
          <w:spacing w:val="-4"/>
          <w:shd w:val="clear" w:color="auto" w:fill="FFFFFF"/>
          <w:lang w:val="en-US"/>
        </w:rPr>
        <w:t>on</w:t>
      </w:r>
      <w:r w:rsidR="00A33759">
        <w:rPr>
          <w:spacing w:val="-4"/>
          <w:shd w:val="clear" w:color="auto" w:fill="FFFFFF"/>
          <w:lang w:val="en-US"/>
        </w:rPr>
        <w:t> </w:t>
      </w:r>
      <w:r w:rsidR="00AD1492" w:rsidRPr="00A33759">
        <w:rPr>
          <w:spacing w:val="-4"/>
          <w:shd w:val="clear" w:color="auto" w:fill="FFFFFF"/>
          <w:lang w:val="en-US"/>
        </w:rPr>
        <w:t>the housing market</w:t>
      </w:r>
      <w:r w:rsidR="00443D4F" w:rsidRPr="00A33759">
        <w:rPr>
          <w:spacing w:val="-4"/>
          <w:shd w:val="clear" w:color="auto" w:fill="FFFFFF"/>
          <w:lang w:val="en-US"/>
        </w:rPr>
        <w:t>, i.e.</w:t>
      </w:r>
      <w:r w:rsidR="00AD1492" w:rsidRPr="00A33759">
        <w:rPr>
          <w:b/>
          <w:spacing w:val="-4"/>
          <w:shd w:val="clear" w:color="auto" w:fill="FFFFFF"/>
          <w:lang w:val="en-US"/>
        </w:rPr>
        <w:t xml:space="preserve"> developers</w:t>
      </w:r>
      <w:r w:rsidR="00AD1492" w:rsidRPr="00A33759">
        <w:rPr>
          <w:spacing w:val="-4"/>
          <w:shd w:val="clear" w:color="auto" w:fill="FFFFFF"/>
          <w:lang w:val="en-US"/>
        </w:rPr>
        <w:t xml:space="preserve"> and </w:t>
      </w:r>
      <w:r w:rsidR="00AD1492" w:rsidRPr="00A33759">
        <w:rPr>
          <w:b/>
          <w:spacing w:val="-4"/>
          <w:shd w:val="clear" w:color="auto" w:fill="FFFFFF"/>
          <w:lang w:val="en-US"/>
        </w:rPr>
        <w:t>private investors</w:t>
      </w:r>
      <w:r w:rsidR="00AD1492" w:rsidRPr="00A33759">
        <w:rPr>
          <w:spacing w:val="-4"/>
          <w:shd w:val="clear" w:color="auto" w:fill="FFFFFF"/>
          <w:lang w:val="en-US"/>
        </w:rPr>
        <w:t xml:space="preserve"> </w:t>
      </w:r>
      <w:r w:rsidR="000717DD" w:rsidRPr="00A33759">
        <w:rPr>
          <w:spacing w:val="-4"/>
          <w:shd w:val="clear" w:color="auto" w:fill="FFFFFF"/>
          <w:lang w:val="en-US"/>
        </w:rPr>
        <w:t xml:space="preserve">completed respectively </w:t>
      </w:r>
      <w:r w:rsidR="00612A93" w:rsidRPr="00A33759">
        <w:rPr>
          <w:spacing w:val="-4"/>
          <w:shd w:val="clear" w:color="auto" w:fill="FFFFFF"/>
          <w:lang w:val="en-US"/>
        </w:rPr>
        <w:t>98.2</w:t>
      </w:r>
      <w:r w:rsidR="000717DD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0717DD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0717DD" w:rsidRPr="00A33759">
        <w:rPr>
          <w:spacing w:val="-4"/>
          <w:shd w:val="clear" w:color="auto" w:fill="FFFFFF"/>
          <w:lang w:val="en-US"/>
        </w:rPr>
        <w:t xml:space="preserve">. dwellings </w:t>
      </w:r>
      <w:r w:rsidR="00450A42" w:rsidRPr="00A33759">
        <w:rPr>
          <w:spacing w:val="-4"/>
          <w:shd w:val="clear" w:color="auto" w:fill="FFFFFF"/>
          <w:lang w:val="en-US"/>
        </w:rPr>
        <w:t xml:space="preserve">(by 4.4% more than in the corresponding period of the previous year) </w:t>
      </w:r>
      <w:r w:rsidR="00612A93" w:rsidRPr="00A33759">
        <w:rPr>
          <w:spacing w:val="-4"/>
          <w:shd w:val="clear" w:color="auto" w:fill="FFFFFF"/>
          <w:lang w:val="en-US"/>
        </w:rPr>
        <w:t>and 60.0</w:t>
      </w:r>
      <w:r w:rsidR="0037385E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37385E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37385E" w:rsidRPr="00A33759">
        <w:rPr>
          <w:spacing w:val="-4"/>
          <w:shd w:val="clear" w:color="auto" w:fill="FFFFFF"/>
          <w:lang w:val="en-US"/>
        </w:rPr>
        <w:t>.</w:t>
      </w:r>
      <w:r w:rsidR="00C05C8B" w:rsidRPr="00A33759">
        <w:rPr>
          <w:spacing w:val="-4"/>
          <w:shd w:val="clear" w:color="auto" w:fill="FFFFFF"/>
          <w:lang w:val="en-US"/>
        </w:rPr>
        <w:t xml:space="preserve"> </w:t>
      </w:r>
      <w:r w:rsidR="001D087B" w:rsidRPr="00A33759">
        <w:rPr>
          <w:spacing w:val="-4"/>
          <w:shd w:val="clear" w:color="auto" w:fill="FFFFFF"/>
          <w:lang w:val="en-US"/>
        </w:rPr>
        <w:t>d</w:t>
      </w:r>
      <w:r w:rsidR="00AD1492" w:rsidRPr="00A33759">
        <w:rPr>
          <w:spacing w:val="-4"/>
          <w:shd w:val="clear" w:color="auto" w:fill="FFFFFF"/>
          <w:lang w:val="en-US"/>
        </w:rPr>
        <w:t>wellings</w:t>
      </w:r>
      <w:r w:rsidR="00450A42" w:rsidRPr="00A33759">
        <w:rPr>
          <w:spacing w:val="-4"/>
          <w:shd w:val="clear" w:color="auto" w:fill="FFFFFF"/>
          <w:lang w:val="en-US"/>
        </w:rPr>
        <w:t xml:space="preserve"> (i.e. by</w:t>
      </w:r>
      <w:r w:rsidR="000717DD" w:rsidRPr="00A33759">
        <w:rPr>
          <w:spacing w:val="-4"/>
          <w:shd w:val="clear" w:color="auto" w:fill="FFFFFF"/>
          <w:lang w:val="en-US"/>
        </w:rPr>
        <w:t xml:space="preserve"> </w:t>
      </w:r>
      <w:r w:rsidR="00612A93" w:rsidRPr="00A33759">
        <w:rPr>
          <w:spacing w:val="-4"/>
          <w:shd w:val="clear" w:color="auto" w:fill="FFFFFF"/>
          <w:lang w:val="en-US"/>
        </w:rPr>
        <w:t>1.2</w:t>
      </w:r>
      <w:r w:rsidR="00C05C8B" w:rsidRPr="00A33759">
        <w:rPr>
          <w:spacing w:val="-4"/>
          <w:shd w:val="clear" w:color="auto" w:fill="FFFFFF"/>
          <w:lang w:val="en-US"/>
        </w:rPr>
        <w:t>%</w:t>
      </w:r>
      <w:r w:rsidR="001D087B" w:rsidRPr="00A33759">
        <w:rPr>
          <w:spacing w:val="-4"/>
          <w:shd w:val="clear" w:color="auto" w:fill="FFFFFF"/>
          <w:lang w:val="en-US"/>
        </w:rPr>
        <w:t xml:space="preserve"> </w:t>
      </w:r>
      <w:r w:rsidR="00612A93" w:rsidRPr="00A33759">
        <w:rPr>
          <w:spacing w:val="-4"/>
          <w:shd w:val="clear" w:color="auto" w:fill="FFFFFF"/>
          <w:lang w:val="en-US"/>
        </w:rPr>
        <w:t>less</w:t>
      </w:r>
      <w:r w:rsidR="00450A42" w:rsidRPr="00A33759">
        <w:rPr>
          <w:spacing w:val="-4"/>
          <w:shd w:val="clear" w:color="auto" w:fill="FFFFFF"/>
          <w:lang w:val="en-US"/>
        </w:rPr>
        <w:t>)</w:t>
      </w:r>
      <w:r w:rsidR="00856FE3" w:rsidRPr="00A33759">
        <w:rPr>
          <w:spacing w:val="-4"/>
          <w:shd w:val="clear" w:color="auto" w:fill="FFFFFF"/>
          <w:lang w:val="en-US"/>
        </w:rPr>
        <w:t xml:space="preserve">. </w:t>
      </w:r>
      <w:r w:rsidR="00AD1492" w:rsidRPr="00A33759">
        <w:rPr>
          <w:spacing w:val="-4"/>
          <w:shd w:val="clear" w:color="auto" w:fill="FFFFFF"/>
          <w:lang w:val="en-US"/>
        </w:rPr>
        <w:t>The share of these form</w:t>
      </w:r>
      <w:r w:rsidR="00BF0335" w:rsidRPr="00A33759">
        <w:rPr>
          <w:spacing w:val="-4"/>
          <w:shd w:val="clear" w:color="auto" w:fill="FFFFFF"/>
          <w:lang w:val="en-US"/>
        </w:rPr>
        <w:t>s of construction amounted to 96</w:t>
      </w:r>
      <w:r w:rsidR="00AD1492" w:rsidRPr="00A33759">
        <w:rPr>
          <w:spacing w:val="-4"/>
          <w:shd w:val="clear" w:color="auto" w:fill="FFFFFF"/>
          <w:lang w:val="en-US"/>
        </w:rPr>
        <w:t>.</w:t>
      </w:r>
      <w:r w:rsidR="00612A93" w:rsidRPr="00A33759">
        <w:rPr>
          <w:spacing w:val="-4"/>
          <w:shd w:val="clear" w:color="auto" w:fill="FFFFFF"/>
          <w:lang w:val="en-US"/>
        </w:rPr>
        <w:t>5</w:t>
      </w:r>
      <w:r w:rsidR="00AD1492" w:rsidRPr="00A33759">
        <w:rPr>
          <w:spacing w:val="-4"/>
          <w:shd w:val="clear" w:color="auto" w:fill="FFFFFF"/>
          <w:lang w:val="en-US"/>
        </w:rPr>
        <w:t xml:space="preserve">% of the total number of dwellings completed in </w:t>
      </w:r>
      <w:r w:rsidR="00B6240E" w:rsidRPr="00A33759">
        <w:rPr>
          <w:spacing w:val="-4"/>
          <w:shd w:val="clear" w:color="auto" w:fill="FFFFFF"/>
          <w:lang w:val="en-US"/>
        </w:rPr>
        <w:t>the</w:t>
      </w:r>
      <w:r w:rsidR="000F445C" w:rsidRPr="00A33759">
        <w:rPr>
          <w:spacing w:val="-4"/>
          <w:shd w:val="clear" w:color="auto" w:fill="FFFFFF"/>
          <w:lang w:val="en-US"/>
        </w:rPr>
        <w:t xml:space="preserve"> period </w:t>
      </w:r>
      <w:r w:rsidR="00AD1492" w:rsidRPr="00A33759">
        <w:rPr>
          <w:spacing w:val="-4"/>
          <w:shd w:val="clear" w:color="auto" w:fill="FFFFFF"/>
          <w:lang w:val="en-US"/>
        </w:rPr>
        <w:t xml:space="preserve">of </w:t>
      </w:r>
      <w:r w:rsidR="00612A93" w:rsidRPr="00A33759">
        <w:rPr>
          <w:spacing w:val="-4"/>
          <w:shd w:val="clear" w:color="auto" w:fill="FFFFFF"/>
          <w:lang w:val="en-US"/>
        </w:rPr>
        <w:t>eleven</w:t>
      </w:r>
      <w:r w:rsidR="003B5AC1" w:rsidRPr="00A33759">
        <w:rPr>
          <w:spacing w:val="-4"/>
          <w:shd w:val="clear" w:color="auto" w:fill="FFFFFF"/>
          <w:lang w:val="en-US"/>
        </w:rPr>
        <w:t xml:space="preserve"> months of </w:t>
      </w:r>
      <w:r w:rsidR="00AD1492" w:rsidRPr="00A33759">
        <w:rPr>
          <w:spacing w:val="-4"/>
          <w:shd w:val="clear" w:color="auto" w:fill="FFFFFF"/>
          <w:lang w:val="en-US"/>
        </w:rPr>
        <w:t xml:space="preserve">2018 (of which developers </w:t>
      </w:r>
      <w:r w:rsidR="00450A42" w:rsidRPr="00A33759">
        <w:rPr>
          <w:spacing w:val="-4"/>
          <w:shd w:val="clear" w:color="auto" w:fill="FFFFFF"/>
          <w:lang w:val="en-US"/>
        </w:rPr>
        <w:t xml:space="preserve">built </w:t>
      </w:r>
      <w:r w:rsidR="00AD1492" w:rsidRPr="00A33759">
        <w:rPr>
          <w:spacing w:val="-4"/>
          <w:shd w:val="clear" w:color="auto" w:fill="FFFFFF"/>
          <w:lang w:val="en-US"/>
        </w:rPr>
        <w:t>5</w:t>
      </w:r>
      <w:r w:rsidR="00C021FE" w:rsidRPr="00A33759">
        <w:rPr>
          <w:spacing w:val="-4"/>
          <w:shd w:val="clear" w:color="auto" w:fill="FFFFFF"/>
          <w:lang w:val="en-US"/>
        </w:rPr>
        <w:t>9</w:t>
      </w:r>
      <w:r w:rsidR="00612A93" w:rsidRPr="00A33759">
        <w:rPr>
          <w:spacing w:val="-4"/>
          <w:shd w:val="clear" w:color="auto" w:fill="FFFFFF"/>
          <w:lang w:val="en-US"/>
        </w:rPr>
        <w:t>.9</w:t>
      </w:r>
      <w:r w:rsidR="00C021FE" w:rsidRPr="00A33759">
        <w:rPr>
          <w:spacing w:val="-4"/>
          <w:shd w:val="clear" w:color="auto" w:fill="FFFFFF"/>
          <w:lang w:val="en-US"/>
        </w:rPr>
        <w:t xml:space="preserve">% and </w:t>
      </w:r>
      <w:r w:rsidR="00BF0335" w:rsidRPr="00A33759">
        <w:rPr>
          <w:spacing w:val="-4"/>
          <w:shd w:val="clear" w:color="auto" w:fill="FFFFFF"/>
          <w:lang w:val="en-US"/>
        </w:rPr>
        <w:t>private investors</w:t>
      </w:r>
      <w:r w:rsidR="00612A93" w:rsidRPr="00A33759">
        <w:rPr>
          <w:spacing w:val="-4"/>
          <w:shd w:val="clear" w:color="auto" w:fill="FFFFFF"/>
          <w:lang w:val="en-US"/>
        </w:rPr>
        <w:t xml:space="preserve"> 36.6</w:t>
      </w:r>
      <w:r w:rsidR="00856FE3" w:rsidRPr="00A33759">
        <w:rPr>
          <w:spacing w:val="-4"/>
          <w:shd w:val="clear" w:color="auto" w:fill="FFFFFF"/>
          <w:lang w:val="en-US"/>
        </w:rPr>
        <w:t>%</w:t>
      </w:r>
      <w:r w:rsidR="005E3825" w:rsidRPr="00A33759">
        <w:rPr>
          <w:spacing w:val="-4"/>
          <w:shd w:val="clear" w:color="auto" w:fill="FFFFFF"/>
          <w:lang w:val="en-US"/>
        </w:rPr>
        <w:t xml:space="preserve"> of dwellings</w:t>
      </w:r>
      <w:r w:rsidR="00856FE3" w:rsidRPr="00A33759">
        <w:rPr>
          <w:spacing w:val="-4"/>
          <w:shd w:val="clear" w:color="auto" w:fill="FFFFFF"/>
          <w:lang w:val="en-US"/>
        </w:rPr>
        <w:t xml:space="preserve">). </w:t>
      </w:r>
      <w:r w:rsidR="0037385E" w:rsidRPr="00A33759">
        <w:rPr>
          <w:spacing w:val="-4"/>
          <w:shd w:val="clear" w:color="auto" w:fill="FFFFFF"/>
          <w:lang w:val="en-US"/>
        </w:rPr>
        <w:t>More</w:t>
      </w:r>
      <w:r w:rsidR="009B0770" w:rsidRPr="00A33759">
        <w:rPr>
          <w:spacing w:val="-4"/>
          <w:shd w:val="clear" w:color="auto" w:fill="FFFFFF"/>
          <w:lang w:val="en-US"/>
        </w:rPr>
        <w:t xml:space="preserve"> dwellings, in comparison with January</w:t>
      </w:r>
      <w:r w:rsidR="00A33759">
        <w:rPr>
          <w:spacing w:val="-4"/>
          <w:shd w:val="clear" w:color="auto" w:fill="FFFFFF"/>
          <w:lang w:val="en-US"/>
        </w:rPr>
        <w:noBreakHyphen/>
      </w:r>
      <w:r w:rsidR="00612A93" w:rsidRPr="00A33759">
        <w:rPr>
          <w:spacing w:val="-4"/>
          <w:shd w:val="clear" w:color="auto" w:fill="FFFFFF"/>
          <w:lang w:val="en-US"/>
        </w:rPr>
        <w:t>November</w:t>
      </w:r>
      <w:r w:rsidR="009B0770" w:rsidRPr="00A33759">
        <w:rPr>
          <w:spacing w:val="-4"/>
          <w:shd w:val="clear" w:color="auto" w:fill="FFFFFF"/>
          <w:lang w:val="en-US"/>
        </w:rPr>
        <w:t xml:space="preserve"> of 2017, were completed </w:t>
      </w:r>
      <w:r w:rsidR="00D536C0" w:rsidRPr="00A33759">
        <w:rPr>
          <w:spacing w:val="-4"/>
          <w:shd w:val="clear" w:color="auto" w:fill="FFFFFF"/>
          <w:lang w:val="en-US"/>
        </w:rPr>
        <w:t>in</w:t>
      </w:r>
      <w:r w:rsidR="009B0770" w:rsidRPr="00A33759">
        <w:rPr>
          <w:spacing w:val="-4"/>
          <w:shd w:val="clear" w:color="auto" w:fill="FFFFFF"/>
          <w:lang w:val="en-US"/>
        </w:rPr>
        <w:t xml:space="preserve"> the </w:t>
      </w:r>
      <w:r w:rsidR="009B0770" w:rsidRPr="00A33759">
        <w:rPr>
          <w:b/>
          <w:spacing w:val="-4"/>
          <w:shd w:val="clear" w:color="auto" w:fill="FFFFFF"/>
          <w:lang w:val="en-US"/>
        </w:rPr>
        <w:t>cooperative</w:t>
      </w:r>
      <w:r w:rsidR="00D536C0" w:rsidRPr="00A33759">
        <w:rPr>
          <w:b/>
          <w:spacing w:val="-4"/>
          <w:shd w:val="clear" w:color="auto" w:fill="FFFFFF"/>
          <w:lang w:val="en-US"/>
        </w:rPr>
        <w:t xml:space="preserve"> </w:t>
      </w:r>
      <w:r w:rsidR="00D536C0" w:rsidRPr="00A33759">
        <w:rPr>
          <w:spacing w:val="-4"/>
          <w:shd w:val="clear" w:color="auto" w:fill="FFFFFF"/>
          <w:lang w:val="en-US"/>
        </w:rPr>
        <w:t>construction</w:t>
      </w:r>
      <w:r w:rsidR="00BF0335" w:rsidRPr="00A33759">
        <w:rPr>
          <w:spacing w:val="-4"/>
          <w:shd w:val="clear" w:color="auto" w:fill="FFFFFF"/>
          <w:lang w:val="en-US"/>
        </w:rPr>
        <w:t xml:space="preserve"> (2</w:t>
      </w:r>
      <w:r w:rsidR="000441C0" w:rsidRPr="00A33759">
        <w:rPr>
          <w:spacing w:val="-4"/>
          <w:shd w:val="clear" w:color="auto" w:fill="FFFFFF"/>
          <w:lang w:val="en-US"/>
        </w:rPr>
        <w:t>.</w:t>
      </w:r>
      <w:r w:rsidR="00612A93" w:rsidRPr="00A33759">
        <w:rPr>
          <w:spacing w:val="-4"/>
          <w:shd w:val="clear" w:color="auto" w:fill="FFFFFF"/>
          <w:lang w:val="en-US"/>
        </w:rPr>
        <w:t>5</w:t>
      </w:r>
      <w:r w:rsidR="0037385E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37385E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37385E" w:rsidRPr="00A33759">
        <w:rPr>
          <w:spacing w:val="-4"/>
          <w:shd w:val="clear" w:color="auto" w:fill="FFFFFF"/>
          <w:lang w:val="en-US"/>
        </w:rPr>
        <w:t xml:space="preserve">. </w:t>
      </w:r>
      <w:r w:rsidR="009B0770" w:rsidRPr="00A33759">
        <w:rPr>
          <w:spacing w:val="-4"/>
          <w:shd w:val="clear" w:color="auto" w:fill="FFFFFF"/>
          <w:lang w:val="en-US"/>
        </w:rPr>
        <w:t xml:space="preserve">dwellings against </w:t>
      </w:r>
      <w:r w:rsidR="00612A93" w:rsidRPr="00A33759">
        <w:rPr>
          <w:spacing w:val="-4"/>
          <w:shd w:val="clear" w:color="auto" w:fill="FFFFFF"/>
          <w:lang w:val="en-US"/>
        </w:rPr>
        <w:t>2</w:t>
      </w:r>
      <w:r w:rsidR="000441C0" w:rsidRPr="00A33759">
        <w:rPr>
          <w:spacing w:val="-4"/>
          <w:shd w:val="clear" w:color="auto" w:fill="FFFFFF"/>
          <w:lang w:val="en-US"/>
        </w:rPr>
        <w:t>.</w:t>
      </w:r>
      <w:r w:rsidR="00612A93" w:rsidRPr="00A33759">
        <w:rPr>
          <w:spacing w:val="-4"/>
          <w:shd w:val="clear" w:color="auto" w:fill="FFFFFF"/>
          <w:lang w:val="en-US"/>
        </w:rPr>
        <w:t>0</w:t>
      </w:r>
      <w:r w:rsidR="0037385E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37385E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37385E" w:rsidRPr="00A33759">
        <w:rPr>
          <w:spacing w:val="-4"/>
          <w:shd w:val="clear" w:color="auto" w:fill="FFFFFF"/>
          <w:lang w:val="en-US"/>
        </w:rPr>
        <w:t>.</w:t>
      </w:r>
      <w:r w:rsidR="00317C29" w:rsidRPr="00A33759">
        <w:rPr>
          <w:spacing w:val="-4"/>
          <w:shd w:val="clear" w:color="auto" w:fill="FFFFFF"/>
          <w:lang w:val="en-US"/>
        </w:rPr>
        <w:t>).</w:t>
      </w:r>
      <w:r w:rsidR="00086F9F" w:rsidRPr="00A33759">
        <w:rPr>
          <w:spacing w:val="-4"/>
          <w:shd w:val="clear" w:color="auto" w:fill="FFFFFF"/>
          <w:lang w:val="en-US"/>
        </w:rPr>
        <w:t xml:space="preserve"> </w:t>
      </w:r>
      <w:r w:rsidR="00317C29" w:rsidRPr="00A33759">
        <w:rPr>
          <w:spacing w:val="-4"/>
          <w:shd w:val="clear" w:color="auto" w:fill="FFFFFF"/>
          <w:lang w:val="en-US"/>
        </w:rPr>
        <w:t>I</w:t>
      </w:r>
      <w:r w:rsidR="009B0770" w:rsidRPr="00A33759">
        <w:rPr>
          <w:spacing w:val="-4"/>
          <w:shd w:val="clear" w:color="auto" w:fill="FFFFFF"/>
          <w:lang w:val="en-US"/>
        </w:rPr>
        <w:t xml:space="preserve">n </w:t>
      </w:r>
      <w:r w:rsidR="00F52D79" w:rsidRPr="00A33759">
        <w:rPr>
          <w:b/>
          <w:spacing w:val="-4"/>
          <w:shd w:val="clear" w:color="auto" w:fill="FFFFFF"/>
          <w:lang w:val="en-US"/>
        </w:rPr>
        <w:t xml:space="preserve">other forms </w:t>
      </w:r>
      <w:r w:rsidR="00F52D79" w:rsidRPr="00A33759">
        <w:rPr>
          <w:spacing w:val="-4"/>
          <w:shd w:val="clear" w:color="auto" w:fill="FFFFFF"/>
          <w:lang w:val="en-US"/>
        </w:rPr>
        <w:t>of construction</w:t>
      </w:r>
      <w:r w:rsidR="00086F9F" w:rsidRPr="00A33759">
        <w:rPr>
          <w:spacing w:val="-4"/>
          <w:shd w:val="clear" w:color="auto" w:fill="FFFFFF"/>
          <w:lang w:val="en-US"/>
        </w:rPr>
        <w:t xml:space="preserve"> (</w:t>
      </w:r>
      <w:r w:rsidR="00BF0335" w:rsidRPr="00A33759">
        <w:rPr>
          <w:spacing w:val="-4"/>
          <w:shd w:val="clear" w:color="auto" w:fill="FFFFFF"/>
          <w:lang w:val="en-US"/>
        </w:rPr>
        <w:t xml:space="preserve">the public building society, the municipal and the company construction) </w:t>
      </w:r>
      <w:r w:rsidR="00317C29" w:rsidRPr="00A33759">
        <w:rPr>
          <w:spacing w:val="-4"/>
          <w:shd w:val="clear" w:color="auto" w:fill="FFFFFF"/>
          <w:lang w:val="en-US"/>
        </w:rPr>
        <w:t xml:space="preserve">altogether </w:t>
      </w:r>
      <w:r w:rsidR="00612A93" w:rsidRPr="00A33759">
        <w:rPr>
          <w:spacing w:val="-4"/>
          <w:shd w:val="clear" w:color="auto" w:fill="FFFFFF"/>
          <w:lang w:val="en-US"/>
        </w:rPr>
        <w:t xml:space="preserve">3.2 </w:t>
      </w:r>
      <w:proofErr w:type="spellStart"/>
      <w:r w:rsidR="00612A93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612A93" w:rsidRPr="00A33759">
        <w:rPr>
          <w:spacing w:val="-4"/>
          <w:shd w:val="clear" w:color="auto" w:fill="FFFFFF"/>
          <w:lang w:val="en-US"/>
        </w:rPr>
        <w:t>. dwellings</w:t>
      </w:r>
      <w:r w:rsidR="00317C29" w:rsidRPr="00A33759">
        <w:rPr>
          <w:spacing w:val="-4"/>
          <w:shd w:val="clear" w:color="auto" w:fill="FFFFFF"/>
          <w:lang w:val="en-US"/>
        </w:rPr>
        <w:t xml:space="preserve"> were completed</w:t>
      </w:r>
      <w:r w:rsidR="00612A93" w:rsidRPr="00A33759">
        <w:rPr>
          <w:spacing w:val="-4"/>
          <w:shd w:val="clear" w:color="auto" w:fill="FFFFFF"/>
          <w:lang w:val="en-US"/>
        </w:rPr>
        <w:t>, i.e. by 3.2</w:t>
      </w:r>
      <w:r w:rsidR="00BF0335" w:rsidRPr="00A33759">
        <w:rPr>
          <w:spacing w:val="-4"/>
          <w:shd w:val="clear" w:color="auto" w:fill="FFFFFF"/>
          <w:lang w:val="en-US"/>
        </w:rPr>
        <w:t xml:space="preserve">% </w:t>
      </w:r>
      <w:r w:rsidR="00612A93" w:rsidRPr="00A33759">
        <w:rPr>
          <w:spacing w:val="-4"/>
          <w:shd w:val="clear" w:color="auto" w:fill="FFFFFF"/>
          <w:lang w:val="en-US"/>
        </w:rPr>
        <w:t>more</w:t>
      </w:r>
      <w:r w:rsidR="00BF0335" w:rsidRPr="00A33759">
        <w:rPr>
          <w:spacing w:val="-4"/>
          <w:shd w:val="clear" w:color="auto" w:fill="FFFFFF"/>
          <w:lang w:val="en-US"/>
        </w:rPr>
        <w:t xml:space="preserve"> than the year before.</w:t>
      </w:r>
    </w:p>
    <w:p w:rsidR="00C021FE" w:rsidRDefault="00471D34" w:rsidP="009B0770">
      <w:pPr>
        <w:jc w:val="both"/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5701030</wp:posOffset>
                </wp:positionH>
                <wp:positionV relativeFrom="paragraph">
                  <wp:posOffset>571500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7CE4" w:rsidRPr="00AD1492" w:rsidRDefault="00BD601A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="00C47CE4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C47CE4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C47CE4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C47C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 xml:space="preserve">increased by </w:t>
                            </w:r>
                            <w:r w:rsidR="008D5496">
                              <w:rPr>
                                <w:lang w:val="en-US"/>
                              </w:rPr>
                              <w:t>2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>.</w:t>
                            </w:r>
                            <w:r w:rsidR="00E16266">
                              <w:rPr>
                                <w:lang w:val="en-US"/>
                              </w:rPr>
                              <w:t>9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>% y/y in the period I-</w:t>
                            </w:r>
                            <w:r w:rsidR="00B82E2D">
                              <w:rPr>
                                <w:lang w:val="en-US"/>
                              </w:rPr>
                              <w:t>X</w:t>
                            </w:r>
                            <w:r w:rsidR="00E16266">
                              <w:rPr>
                                <w:lang w:val="en-US"/>
                              </w:rPr>
                              <w:t>I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 xml:space="preserve"> 2018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left:0;text-align:left;margin-left:448.9pt;margin-top: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zYs7q+IAAAALAQAA&#10;DwAAAAAAAAAAAAAAAACUBAAAZHJzL2Rvd25yZXYueG1sUEsFBgAAAAAEAAQA8wAAAKMFAAAAAA==&#10;" filled="f" stroked="f" strokeweight=".5pt">
                <v:textbox>
                  <w:txbxContent>
                    <w:p w:rsidR="00C47CE4" w:rsidRPr="00AD1492" w:rsidRDefault="00BD601A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="00C47CE4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C47CE4">
                        <w:rPr>
                          <w:lang w:val="en-US"/>
                        </w:rPr>
                        <w:t xml:space="preserve">d or which have been registered </w:t>
                      </w:r>
                      <w:r w:rsidR="00C47CE4" w:rsidRPr="004C57EC">
                        <w:rPr>
                          <w:lang w:val="en-US"/>
                        </w:rPr>
                        <w:t>with a construction project</w:t>
                      </w:r>
                      <w:r w:rsidR="00C47CE4">
                        <w:rPr>
                          <w:lang w:val="en-US"/>
                        </w:rPr>
                        <w:t xml:space="preserve"> </w:t>
                      </w:r>
                      <w:r w:rsidR="00C47CE4" w:rsidRPr="00AD1492">
                        <w:rPr>
                          <w:lang w:val="en-US"/>
                        </w:rPr>
                        <w:t xml:space="preserve">increased by </w:t>
                      </w:r>
                      <w:r w:rsidR="008D5496">
                        <w:rPr>
                          <w:lang w:val="en-US"/>
                        </w:rPr>
                        <w:t>2</w:t>
                      </w:r>
                      <w:r w:rsidR="00C47CE4" w:rsidRPr="00AD1492">
                        <w:rPr>
                          <w:lang w:val="en-US"/>
                        </w:rPr>
                        <w:t>.</w:t>
                      </w:r>
                      <w:r w:rsidR="00E16266">
                        <w:rPr>
                          <w:lang w:val="en-US"/>
                        </w:rPr>
                        <w:t>9</w:t>
                      </w:r>
                      <w:r w:rsidR="00C47CE4" w:rsidRPr="00AD1492">
                        <w:rPr>
                          <w:lang w:val="en-US"/>
                        </w:rPr>
                        <w:t>% y/y in the period I-</w:t>
                      </w:r>
                      <w:r w:rsidR="00B82E2D">
                        <w:rPr>
                          <w:lang w:val="en-US"/>
                        </w:rPr>
                        <w:t>X</w:t>
                      </w:r>
                      <w:r w:rsidR="00E16266">
                        <w:rPr>
                          <w:lang w:val="en-US"/>
                        </w:rPr>
                        <w:t>I</w:t>
                      </w:r>
                      <w:r w:rsidR="00C47CE4" w:rsidRPr="00AD1492">
                        <w:rPr>
                          <w:lang w:val="en-US"/>
                        </w:rPr>
                        <w:t xml:space="preserve"> 2018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7C88">
        <w:rPr>
          <w:shd w:val="clear" w:color="auto" w:fill="FFFFFF"/>
          <w:lang w:val="en-US"/>
        </w:rPr>
        <w:t xml:space="preserve">Total useful floor area of dwellings completed in the period of </w:t>
      </w:r>
      <w:r w:rsidR="00612A93">
        <w:rPr>
          <w:shd w:val="clear" w:color="auto" w:fill="FFFFFF"/>
          <w:lang w:val="en-US"/>
        </w:rPr>
        <w:t>eleven</w:t>
      </w:r>
      <w:r w:rsidR="000A7C88">
        <w:rPr>
          <w:shd w:val="clear" w:color="auto" w:fill="FFFFFF"/>
          <w:lang w:val="en-US"/>
        </w:rPr>
        <w:t xml:space="preserve"> months </w:t>
      </w:r>
      <w:r w:rsidR="006A0E22" w:rsidRPr="006A0E22">
        <w:rPr>
          <w:shd w:val="clear" w:color="auto" w:fill="FFFFFF"/>
          <w:lang w:val="en-US"/>
        </w:rPr>
        <w:t>amounted to</w:t>
      </w:r>
      <w:r w:rsidR="000A7C88" w:rsidRPr="006A0E22">
        <w:rPr>
          <w:shd w:val="clear" w:color="auto" w:fill="FFFFFF"/>
          <w:lang w:val="en-US"/>
        </w:rPr>
        <w:t xml:space="preserve"> </w:t>
      </w:r>
      <w:r w:rsidR="00612A93">
        <w:rPr>
          <w:shd w:val="clear" w:color="auto" w:fill="FFFFFF"/>
          <w:lang w:val="en-US"/>
        </w:rPr>
        <w:t xml:space="preserve">14.9 m. </w:t>
      </w:r>
      <w:proofErr w:type="spellStart"/>
      <w:r w:rsidR="00612A93">
        <w:rPr>
          <w:shd w:val="clear" w:color="auto" w:fill="FFFFFF"/>
          <w:lang w:val="en-US"/>
        </w:rPr>
        <w:t>sq</w:t>
      </w:r>
      <w:proofErr w:type="spellEnd"/>
      <w:r w:rsidR="00612A93">
        <w:rPr>
          <w:shd w:val="clear" w:color="auto" w:fill="FFFFFF"/>
          <w:lang w:val="en-US"/>
        </w:rPr>
        <w:t xml:space="preserve"> m, i.e. by 0.6</w:t>
      </w:r>
      <w:r w:rsidR="00EF767E">
        <w:rPr>
          <w:shd w:val="clear" w:color="auto" w:fill="FFFFFF"/>
          <w:lang w:val="en-US"/>
        </w:rPr>
        <w:t>% more tha</w:t>
      </w:r>
      <w:r w:rsidR="000A7C88">
        <w:rPr>
          <w:shd w:val="clear" w:color="auto" w:fill="FFFFFF"/>
          <w:lang w:val="en-US"/>
        </w:rPr>
        <w:t>n in the corresponding period of previous year</w:t>
      </w:r>
      <w:r w:rsidR="000A7C88" w:rsidRPr="00713DD1">
        <w:rPr>
          <w:shd w:val="clear" w:color="auto" w:fill="FFFFFF"/>
          <w:lang w:val="en-US"/>
        </w:rPr>
        <w:t xml:space="preserve">. During that time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="000A7C88" w:rsidRPr="00713DD1">
        <w:rPr>
          <w:shd w:val="clear" w:color="auto" w:fill="FFFFFF"/>
          <w:lang w:val="en-US"/>
        </w:rPr>
        <w:t>floor are</w:t>
      </w:r>
      <w:r w:rsidR="00612A93" w:rsidRPr="00713DD1">
        <w:rPr>
          <w:shd w:val="clear" w:color="auto" w:fill="FFFFFF"/>
          <w:lang w:val="en-US"/>
        </w:rPr>
        <w:t>a of 1 dwelling decreased by 1.8</w:t>
      </w:r>
      <w:r w:rsidR="000A7C88" w:rsidRPr="00713DD1">
        <w:rPr>
          <w:shd w:val="clear" w:color="auto" w:fill="FFFFFF"/>
          <w:lang w:val="en-US"/>
        </w:rPr>
        <w:t xml:space="preserve"> </w:t>
      </w:r>
      <w:proofErr w:type="spellStart"/>
      <w:r w:rsidR="000A7C88" w:rsidRPr="00713DD1">
        <w:rPr>
          <w:shd w:val="clear" w:color="auto" w:fill="FFFFFF"/>
          <w:lang w:val="en-US"/>
        </w:rPr>
        <w:t>sq</w:t>
      </w:r>
      <w:proofErr w:type="spellEnd"/>
      <w:r w:rsidR="000A7C88" w:rsidRPr="00713DD1">
        <w:rPr>
          <w:shd w:val="clear" w:color="auto" w:fill="FFFFFF"/>
          <w:lang w:val="en-US"/>
        </w:rPr>
        <w:t xml:space="preserve">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68790E">
        <w:rPr>
          <w:shd w:val="clear" w:color="auto" w:fill="FFFFFF"/>
          <w:lang w:val="en-US"/>
        </w:rPr>
        <w:t>91.</w:t>
      </w:r>
      <w:r w:rsidR="00612A93">
        <w:rPr>
          <w:shd w:val="clear" w:color="auto" w:fill="FFFFFF"/>
          <w:lang w:val="en-US"/>
        </w:rPr>
        <w:t>0</w:t>
      </w:r>
      <w:r w:rsidR="000A7C88">
        <w:rPr>
          <w:shd w:val="clear" w:color="auto" w:fill="FFFFFF"/>
          <w:lang w:val="en-US"/>
        </w:rPr>
        <w:t xml:space="preserve"> </w:t>
      </w:r>
      <w:proofErr w:type="spellStart"/>
      <w:r w:rsidR="000A7C88">
        <w:rPr>
          <w:shd w:val="clear" w:color="auto" w:fill="FFFFFF"/>
          <w:lang w:val="en-US"/>
        </w:rPr>
        <w:t>sq</w:t>
      </w:r>
      <w:proofErr w:type="spellEnd"/>
      <w:r w:rsidR="00A33759">
        <w:rPr>
          <w:shd w:val="clear" w:color="auto" w:fill="FFFFFF"/>
          <w:lang w:val="en-US"/>
        </w:rPr>
        <w:t> </w:t>
      </w:r>
      <w:r w:rsidR="000A7C88">
        <w:rPr>
          <w:shd w:val="clear" w:color="auto" w:fill="FFFFFF"/>
          <w:lang w:val="en-US"/>
        </w:rPr>
        <w:t>m.</w:t>
      </w:r>
    </w:p>
    <w:p w:rsidR="00C47CE4" w:rsidRDefault="00471D34" w:rsidP="00507D43">
      <w:pPr>
        <w:jc w:val="both"/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F79F852" wp14:editId="35385208">
                <wp:simplePos x="0" y="0"/>
                <wp:positionH relativeFrom="column">
                  <wp:posOffset>5243830</wp:posOffset>
                </wp:positionH>
                <wp:positionV relativeFrom="paragraph">
                  <wp:posOffset>1469390</wp:posOffset>
                </wp:positionV>
                <wp:extent cx="1645285" cy="832485"/>
                <wp:effectExtent l="0" t="0" r="0" b="5715"/>
                <wp:wrapTight wrapText="bothSides">
                  <wp:wrapPolygon edited="0">
                    <wp:start x="750" y="0"/>
                    <wp:lineTo x="750" y="21254"/>
                    <wp:lineTo x="20758" y="21254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A18" w:rsidRPr="00612A93" w:rsidRDefault="000E1F4F" w:rsidP="00095A18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 xml:space="preserve">umber of dwellings in which construction has begun increased by </w:t>
                            </w:r>
                            <w:r w:rsidR="00E16266">
                              <w:rPr>
                                <w:lang w:val="en-US"/>
                              </w:rPr>
                              <w:t>8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>.</w:t>
                            </w:r>
                            <w:r w:rsidR="00E16266">
                              <w:rPr>
                                <w:lang w:val="en-US"/>
                              </w:rPr>
                              <w:t>8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>% y/y in the period I-</w:t>
                            </w:r>
                            <w:r w:rsidR="00B82E2D">
                              <w:rPr>
                                <w:lang w:val="en-US"/>
                              </w:rPr>
                              <w:t>X</w:t>
                            </w:r>
                            <w:r w:rsidR="00E16266">
                              <w:rPr>
                                <w:lang w:val="en-US"/>
                              </w:rPr>
                              <w:t>I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F852" id="Pole tekstowe 16" o:spid="_x0000_s1032" type="#_x0000_t202" style="position:absolute;left:0;text-align:left;margin-left:412.9pt;margin-top:115.7pt;width:129.55pt;height:65.5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" filled="f" stroked="f">
                <v:textbox>
                  <w:txbxContent>
                    <w:p w:rsidR="00095A18" w:rsidRPr="00612A93" w:rsidRDefault="000E1F4F" w:rsidP="00095A18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095A18" w:rsidRPr="00AD1492">
                        <w:rPr>
                          <w:lang w:val="en-US"/>
                        </w:rPr>
                        <w:t xml:space="preserve">umber of dwellings in which construction has begun increased by </w:t>
                      </w:r>
                      <w:r w:rsidR="00E16266">
                        <w:rPr>
                          <w:lang w:val="en-US"/>
                        </w:rPr>
                        <w:t>8</w:t>
                      </w:r>
                      <w:r w:rsidR="00095A18" w:rsidRPr="00AD1492">
                        <w:rPr>
                          <w:lang w:val="en-US"/>
                        </w:rPr>
                        <w:t>.</w:t>
                      </w:r>
                      <w:r w:rsidR="00E16266">
                        <w:rPr>
                          <w:lang w:val="en-US"/>
                        </w:rPr>
                        <w:t>8</w:t>
                      </w:r>
                      <w:r w:rsidR="00095A18" w:rsidRPr="00AD1492">
                        <w:rPr>
                          <w:lang w:val="en-US"/>
                        </w:rPr>
                        <w:t>% y/y in the period I-</w:t>
                      </w:r>
                      <w:r w:rsidR="00B82E2D">
                        <w:rPr>
                          <w:lang w:val="en-US"/>
                        </w:rPr>
                        <w:t>X</w:t>
                      </w:r>
                      <w:r w:rsidR="00E16266">
                        <w:rPr>
                          <w:lang w:val="en-US"/>
                        </w:rPr>
                        <w:t>I</w:t>
                      </w:r>
                      <w:r w:rsidR="00095A18" w:rsidRPr="00AD1492">
                        <w:rPr>
                          <w:lang w:val="en-US"/>
                        </w:rPr>
                        <w:t xml:space="preserve">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the period of </w:t>
      </w:r>
      <w:r w:rsidR="00612A93">
        <w:rPr>
          <w:szCs w:val="19"/>
          <w:shd w:val="clear" w:color="auto" w:fill="FFFFFF"/>
          <w:lang w:val="en-GB"/>
        </w:rPr>
        <w:t>eleven</w:t>
      </w:r>
      <w:r w:rsidR="00BD1D77" w:rsidRPr="00425FE5">
        <w:rPr>
          <w:szCs w:val="19"/>
          <w:shd w:val="clear" w:color="auto" w:fill="FFFFFF"/>
          <w:lang w:val="en-GB"/>
        </w:rPr>
        <w:t xml:space="preserve"> months of 2018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with a construction project have been granted for construction of </w:t>
      </w:r>
      <w:r w:rsidR="00612A93">
        <w:rPr>
          <w:shd w:val="clear" w:color="auto" w:fill="FFFFFF"/>
          <w:lang w:val="en-US"/>
        </w:rPr>
        <w:t>237.7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983BE8">
        <w:rPr>
          <w:shd w:val="clear" w:color="auto" w:fill="FFFFFF"/>
          <w:lang w:val="en-US"/>
        </w:rPr>
        <w:t>2</w:t>
      </w:r>
      <w:r w:rsidR="00E245E1">
        <w:rPr>
          <w:shd w:val="clear" w:color="auto" w:fill="FFFFFF"/>
          <w:lang w:val="en-US"/>
        </w:rPr>
        <w:t>.</w:t>
      </w:r>
      <w:r w:rsidR="00612A93">
        <w:rPr>
          <w:shd w:val="clear" w:color="auto" w:fill="FFFFFF"/>
          <w:lang w:val="en-US"/>
        </w:rPr>
        <w:t>9</w:t>
      </w:r>
      <w:r w:rsidR="00C47CE4">
        <w:rPr>
          <w:shd w:val="clear" w:color="auto" w:fill="FFFFFF"/>
          <w:lang w:val="en-US"/>
        </w:rPr>
        <w:t xml:space="preserve">% more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>ponding period of</w:t>
      </w:r>
      <w:r w:rsidR="003F19F4">
        <w:rPr>
          <w:shd w:val="clear" w:color="auto" w:fill="FFFFFF"/>
          <w:lang w:val="en-US"/>
        </w:rPr>
        <w:t xml:space="preserve">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investors </w:t>
      </w:r>
      <w:r w:rsidR="00C47CE4" w:rsidRPr="003B5AC1">
        <w:rPr>
          <w:shd w:val="clear" w:color="auto" w:fill="FFFFFF"/>
          <w:lang w:val="en-US"/>
        </w:rPr>
        <w:t xml:space="preserve">in the form </w:t>
      </w:r>
      <w:r w:rsidR="00C47CE4" w:rsidRPr="00A02ED8">
        <w:rPr>
          <w:shd w:val="clear" w:color="auto" w:fill="FFFFFF"/>
          <w:lang w:val="en-US"/>
        </w:rPr>
        <w:t xml:space="preserve">of </w:t>
      </w:r>
      <w:r w:rsidR="00C47CE4" w:rsidRPr="0062187C">
        <w:rPr>
          <w:shd w:val="clear" w:color="auto" w:fill="FFFFFF"/>
          <w:lang w:val="en-US"/>
        </w:rPr>
        <w:t>construction</w:t>
      </w:r>
      <w:r w:rsidR="00C47CE4" w:rsidRPr="003B5AC1">
        <w:rPr>
          <w:b/>
          <w:shd w:val="clear" w:color="auto" w:fill="FFFFFF"/>
          <w:lang w:val="en-US"/>
        </w:rPr>
        <w:t xml:space="preserve"> </w:t>
      </w:r>
      <w:r w:rsidR="00C47CE4" w:rsidRPr="004F2B55">
        <w:rPr>
          <w:b/>
          <w:shd w:val="clear" w:color="auto" w:fill="FFFFFF"/>
          <w:lang w:val="en-US"/>
        </w:rPr>
        <w:t>for sale or rent</w:t>
      </w:r>
      <w:r w:rsidR="00BD1D77">
        <w:rPr>
          <w:shd w:val="clear" w:color="auto" w:fill="FFFFFF"/>
          <w:lang w:val="en-US"/>
        </w:rPr>
        <w:t xml:space="preserve"> (</w:t>
      </w:r>
      <w:r w:rsidR="007573AD">
        <w:rPr>
          <w:shd w:val="clear" w:color="auto" w:fill="FFFFFF"/>
          <w:lang w:val="en-US"/>
        </w:rPr>
        <w:t>1</w:t>
      </w:r>
      <w:r w:rsidR="00612A93">
        <w:rPr>
          <w:shd w:val="clear" w:color="auto" w:fill="FFFFFF"/>
          <w:lang w:val="en-US"/>
        </w:rPr>
        <w:t>46.9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612A93">
        <w:rPr>
          <w:shd w:val="clear" w:color="auto" w:fill="FFFFFF"/>
          <w:lang w:val="en-US"/>
        </w:rPr>
        <w:t>85.8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for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612A93">
        <w:rPr>
          <w:shd w:val="clear" w:color="auto" w:fill="FFFFFF"/>
          <w:lang w:val="en-US"/>
        </w:rPr>
        <w:t>of construction amounted to 97.9</w:t>
      </w:r>
      <w:r w:rsidR="000A7C88" w:rsidRPr="000A7C88">
        <w:rPr>
          <w:shd w:val="clear" w:color="auto" w:fill="FFFFFF"/>
          <w:lang w:val="en-US"/>
        </w:rPr>
        <w:t>% of the total number of dwellings</w:t>
      </w:r>
      <w:r w:rsidR="00E245E1">
        <w:rPr>
          <w:shd w:val="clear" w:color="auto" w:fill="FFFFFF"/>
          <w:lang w:val="en-US"/>
        </w:rPr>
        <w:t xml:space="preserve"> </w:t>
      </w:r>
      <w:r w:rsidR="00612A93">
        <w:rPr>
          <w:shd w:val="clear" w:color="auto" w:fill="FFFFFF"/>
          <w:lang w:val="en-US"/>
        </w:rPr>
        <w:t>(of which developers 61.8</w:t>
      </w:r>
      <w:r w:rsidR="00507D43">
        <w:rPr>
          <w:shd w:val="clear" w:color="auto" w:fill="FFFFFF"/>
          <w:lang w:val="en-US"/>
        </w:rPr>
        <w:t xml:space="preserve">% and </w:t>
      </w:r>
      <w:r w:rsidR="00612A93">
        <w:rPr>
          <w:shd w:val="clear" w:color="auto" w:fill="FFFFFF"/>
          <w:lang w:val="en-US"/>
        </w:rPr>
        <w:t>private investors 36.1</w:t>
      </w:r>
      <w:r w:rsidR="00507D43">
        <w:rPr>
          <w:shd w:val="clear" w:color="auto" w:fill="FFFFFF"/>
          <w:lang w:val="en-US"/>
        </w:rPr>
        <w:t>%). More dwellings</w:t>
      </w:r>
      <w:r w:rsidR="00507D43" w:rsidRPr="00612A93">
        <w:rPr>
          <w:lang w:val="en-GB"/>
        </w:rPr>
        <w:t xml:space="preserve">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507D43" w:rsidRPr="006A0E22">
        <w:rPr>
          <w:shd w:val="clear" w:color="auto" w:fill="FFFFFF"/>
          <w:lang w:val="en-US"/>
        </w:rPr>
        <w:t xml:space="preserve">noticed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(1.5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507D43">
        <w:rPr>
          <w:shd w:val="clear" w:color="auto" w:fill="FFFFFF"/>
          <w:lang w:val="en-US"/>
        </w:rPr>
        <w:t xml:space="preserve"> dwellings </w:t>
      </w:r>
      <w:r w:rsidR="00C47CE4">
        <w:rPr>
          <w:shd w:val="clear" w:color="auto" w:fill="FFFFFF"/>
          <w:lang w:val="en-US"/>
        </w:rPr>
        <w:t xml:space="preserve">against </w:t>
      </w:r>
      <w:r w:rsidR="00612A93">
        <w:rPr>
          <w:shd w:val="clear" w:color="auto" w:fill="FFFFFF"/>
          <w:lang w:val="en-US"/>
        </w:rPr>
        <w:t>1.4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 w:rsidRPr="00485E73">
        <w:rPr>
          <w:shd w:val="clear" w:color="auto" w:fill="FFFFFF"/>
          <w:lang w:val="en-US"/>
        </w:rPr>
        <w:t>.</w:t>
      </w:r>
      <w:r w:rsidR="00507D43" w:rsidRPr="00485E73">
        <w:rPr>
          <w:shd w:val="clear" w:color="auto" w:fill="FFFFFF"/>
          <w:lang w:val="en-US"/>
        </w:rPr>
        <w:t>)</w:t>
      </w:r>
      <w:r w:rsidR="00C47CE4" w:rsidRPr="00485E73">
        <w:rPr>
          <w:shd w:val="clear" w:color="auto" w:fill="FFFFFF"/>
          <w:lang w:val="en-US"/>
        </w:rPr>
        <w:t xml:space="preserve"> while </w:t>
      </w:r>
      <w:r w:rsidR="00B77EC9" w:rsidRPr="00485E73">
        <w:rPr>
          <w:shd w:val="clear" w:color="auto" w:fill="FFFFFF"/>
          <w:lang w:val="en-US"/>
        </w:rPr>
        <w:t xml:space="preserve">for </w:t>
      </w:r>
      <w:r w:rsidR="00C47CE4" w:rsidRPr="00485E73">
        <w:rPr>
          <w:b/>
          <w:shd w:val="clear" w:color="auto" w:fill="FFFFFF"/>
          <w:lang w:val="en-US"/>
        </w:rPr>
        <w:t xml:space="preserve">other </w:t>
      </w:r>
      <w:r w:rsidR="00B77EC9" w:rsidRPr="00485E73">
        <w:rPr>
          <w:b/>
          <w:shd w:val="clear" w:color="auto" w:fill="FFFFFF"/>
          <w:lang w:val="en-US"/>
        </w:rPr>
        <w:t xml:space="preserve">forms </w:t>
      </w:r>
      <w:r w:rsidR="00B77EC9" w:rsidRPr="00485E73">
        <w:rPr>
          <w:shd w:val="clear" w:color="auto" w:fill="FFFFFF"/>
          <w:lang w:val="en-US"/>
        </w:rPr>
        <w:t>of</w:t>
      </w:r>
      <w:r w:rsidR="00B77EC9" w:rsidRPr="00485E73">
        <w:rPr>
          <w:b/>
          <w:shd w:val="clear" w:color="auto" w:fill="FFFFFF"/>
          <w:lang w:val="en-US"/>
        </w:rPr>
        <w:t xml:space="preserve"> </w:t>
      </w:r>
      <w:r w:rsidR="00B77EC9" w:rsidRPr="00485E73">
        <w:rPr>
          <w:shd w:val="clear" w:color="auto" w:fill="FFFFFF"/>
          <w:lang w:val="en-US"/>
        </w:rPr>
        <w:t>construction</w:t>
      </w:r>
      <w:r w:rsidR="00713DD1" w:rsidRPr="00485E73">
        <w:rPr>
          <w:shd w:val="clear" w:color="auto" w:fill="FFFFFF"/>
          <w:lang w:val="en-US"/>
        </w:rPr>
        <w:t xml:space="preserve"> </w:t>
      </w:r>
      <w:r w:rsidR="00B6523B" w:rsidRPr="00485E73">
        <w:rPr>
          <w:shd w:val="clear" w:color="auto" w:fill="FFFFFF"/>
          <w:lang w:val="en-US"/>
        </w:rPr>
        <w:t>less than the year before (</w:t>
      </w:r>
      <w:r w:rsidR="00612A93" w:rsidRPr="00485E73">
        <w:rPr>
          <w:shd w:val="clear" w:color="auto" w:fill="FFFFFF"/>
          <w:lang w:val="en-US"/>
        </w:rPr>
        <w:t>3.5</w:t>
      </w:r>
      <w:r w:rsidR="00086F9F" w:rsidRPr="00485E73">
        <w:rPr>
          <w:shd w:val="clear" w:color="auto" w:fill="FFFFFF"/>
          <w:lang w:val="en-US"/>
        </w:rPr>
        <w:t xml:space="preserve"> </w:t>
      </w:r>
      <w:proofErr w:type="spellStart"/>
      <w:r w:rsidR="00086F9F" w:rsidRPr="00485E73">
        <w:rPr>
          <w:shd w:val="clear" w:color="auto" w:fill="FFFFFF"/>
          <w:lang w:val="en-US"/>
        </w:rPr>
        <w:t>thous</w:t>
      </w:r>
      <w:proofErr w:type="spellEnd"/>
      <w:r w:rsidR="00086F9F" w:rsidRPr="00485E73">
        <w:rPr>
          <w:shd w:val="clear" w:color="auto" w:fill="FFFFFF"/>
          <w:lang w:val="en-US"/>
        </w:rPr>
        <w:t>.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B6523B" w:rsidRPr="00485E73">
        <w:rPr>
          <w:shd w:val="clear" w:color="auto" w:fill="FFFFFF"/>
          <w:lang w:val="en-US"/>
        </w:rPr>
        <w:t>d</w:t>
      </w:r>
      <w:r w:rsidR="00C47CE4" w:rsidRPr="00485E73">
        <w:rPr>
          <w:shd w:val="clear" w:color="auto" w:fill="FFFFFF"/>
          <w:lang w:val="en-US"/>
        </w:rPr>
        <w:t>wellings</w:t>
      </w:r>
      <w:r w:rsidR="00B6523B" w:rsidRPr="00485E73">
        <w:rPr>
          <w:shd w:val="clear" w:color="auto" w:fill="FFFFFF"/>
          <w:lang w:val="en-US"/>
        </w:rPr>
        <w:t xml:space="preserve"> against 4,8 </w:t>
      </w:r>
      <w:proofErr w:type="spellStart"/>
      <w:r w:rsidR="00B6523B" w:rsidRPr="00485E73">
        <w:rPr>
          <w:shd w:val="clear" w:color="auto" w:fill="FFFFFF"/>
          <w:lang w:val="en-US"/>
        </w:rPr>
        <w:t>thous</w:t>
      </w:r>
      <w:proofErr w:type="spellEnd"/>
      <w:r w:rsidR="00B6523B" w:rsidRPr="00485E73">
        <w:rPr>
          <w:shd w:val="clear" w:color="auto" w:fill="FFFFFF"/>
          <w:lang w:val="en-US"/>
        </w:rPr>
        <w:t>.)</w:t>
      </w:r>
      <w:r w:rsidR="00C47CE4" w:rsidRPr="00485E73">
        <w:rPr>
          <w:shd w:val="clear" w:color="auto" w:fill="FFFFFF"/>
          <w:lang w:val="en-US"/>
        </w:rPr>
        <w:t>.</w:t>
      </w:r>
    </w:p>
    <w:p w:rsidR="00095A18" w:rsidRPr="00612A93" w:rsidRDefault="00BD1D77" w:rsidP="00095A18">
      <w:pPr>
        <w:pStyle w:val="tytuwykresu"/>
        <w:jc w:val="both"/>
        <w:rPr>
          <w:shd w:val="clear" w:color="auto" w:fill="FFFFFF"/>
          <w:lang w:val="en-GB"/>
        </w:rPr>
      </w:pPr>
      <w:r w:rsidRPr="00BD1D77">
        <w:rPr>
          <w:b w:val="0"/>
          <w:sz w:val="19"/>
          <w:szCs w:val="19"/>
          <w:shd w:val="clear" w:color="auto" w:fill="FFFFFF"/>
          <w:lang w:val="en-GB"/>
        </w:rPr>
        <w:t>In January-</w:t>
      </w:r>
      <w:r w:rsidR="00612A93">
        <w:rPr>
          <w:b w:val="0"/>
          <w:sz w:val="19"/>
          <w:szCs w:val="19"/>
          <w:shd w:val="clear" w:color="auto" w:fill="FFFFFF"/>
          <w:lang w:val="en-GB"/>
        </w:rPr>
        <w:t>November</w:t>
      </w:r>
      <w:r w:rsidRPr="00BD1D77">
        <w:rPr>
          <w:b w:val="0"/>
          <w:sz w:val="19"/>
          <w:szCs w:val="19"/>
          <w:shd w:val="clear" w:color="auto" w:fill="FFFFFF"/>
          <w:lang w:val="en-GB"/>
        </w:rPr>
        <w:t xml:space="preserve"> of 2018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AC7ADB">
        <w:rPr>
          <w:b w:val="0"/>
          <w:sz w:val="19"/>
          <w:szCs w:val="19"/>
          <w:shd w:val="clear" w:color="auto" w:fill="FFFFFF"/>
          <w:lang w:val="en-GB"/>
        </w:rPr>
        <w:t>210.</w:t>
      </w:r>
      <w:r w:rsidR="00612A93" w:rsidRPr="00E57D4D">
        <w:rPr>
          <w:b w:val="0"/>
          <w:sz w:val="19"/>
          <w:szCs w:val="19"/>
          <w:shd w:val="clear" w:color="auto" w:fill="FFFFFF"/>
          <w:lang w:val="en-GB"/>
        </w:rPr>
        <w:t>8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612A93">
        <w:rPr>
          <w:b w:val="0"/>
          <w:sz w:val="19"/>
          <w:szCs w:val="19"/>
          <w:shd w:val="clear" w:color="auto" w:fill="FFFFFF"/>
          <w:lang w:val="en-GB"/>
        </w:rPr>
        <w:t>8.8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than in the corresponding period of 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123.7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82.4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dwellings,</w:t>
      </w:r>
      <w:r w:rsidR="000717DD">
        <w:rPr>
          <w:b w:val="0"/>
          <w:sz w:val="19"/>
          <w:szCs w:val="19"/>
          <w:shd w:val="clear" w:color="auto" w:fill="FFFFFF"/>
          <w:lang w:val="en-GB"/>
        </w:rPr>
        <w:br/>
      </w:r>
      <w:r w:rsidR="00983BE8">
        <w:rPr>
          <w:b w:val="0"/>
          <w:sz w:val="19"/>
          <w:szCs w:val="19"/>
          <w:shd w:val="clear" w:color="auto" w:fill="FFFFFF"/>
          <w:lang w:val="en-GB"/>
        </w:rPr>
        <w:t>i.e. altogether 97.</w:t>
      </w:r>
      <w:r w:rsidR="000A672D">
        <w:rPr>
          <w:b w:val="0"/>
          <w:sz w:val="19"/>
          <w:szCs w:val="19"/>
          <w:shd w:val="clear" w:color="auto" w:fill="FFFFFF"/>
          <w:lang w:val="en-GB"/>
        </w:rPr>
        <w:t>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E245E1">
        <w:rPr>
          <w:b w:val="0"/>
          <w:sz w:val="19"/>
          <w:szCs w:val="19"/>
          <w:shd w:val="clear" w:color="auto" w:fill="FFFFFF"/>
          <w:lang w:val="en-GB"/>
        </w:rPr>
        <w:t xml:space="preserve"> of total number of dwellings (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of which developers 58</w:t>
      </w:r>
      <w:r w:rsidR="00E75F97" w:rsidRPr="002C2695">
        <w:rPr>
          <w:b w:val="0"/>
          <w:sz w:val="19"/>
          <w:szCs w:val="19"/>
          <w:shd w:val="clear" w:color="auto" w:fill="FFFFFF"/>
          <w:lang w:val="en-GB"/>
        </w:rPr>
        <w:t>.7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% and private investors 39</w:t>
      </w:r>
      <w:r w:rsidR="00E75F97" w:rsidRPr="002C2695">
        <w:rPr>
          <w:b w:val="0"/>
          <w:sz w:val="19"/>
          <w:szCs w:val="19"/>
          <w:shd w:val="clear" w:color="auto" w:fill="FFFFFF"/>
          <w:lang w:val="en-GB"/>
        </w:rPr>
        <w:t>.1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%). 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(in the corresponding period of previous year) were noticed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E16266">
        <w:rPr>
          <w:b w:val="0"/>
          <w:sz w:val="19"/>
          <w:szCs w:val="19"/>
          <w:shd w:val="clear" w:color="auto" w:fill="FFFFFF"/>
          <w:lang w:val="en-GB"/>
        </w:rPr>
        <w:t>2.2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C57EC">
        <w:rPr>
          <w:b w:val="0"/>
          <w:color w:val="FF000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0717DD">
        <w:rPr>
          <w:b w:val="0"/>
          <w:sz w:val="19"/>
          <w:szCs w:val="19"/>
          <w:shd w:val="clear" w:color="auto" w:fill="FFFFFF"/>
          <w:lang w:val="en-GB"/>
        </w:rPr>
        <w:br/>
      </w:r>
      <w:r w:rsidR="00983BE8">
        <w:rPr>
          <w:b w:val="0"/>
          <w:sz w:val="19"/>
          <w:szCs w:val="19"/>
          <w:shd w:val="clear" w:color="auto" w:fill="FFFFFF"/>
          <w:lang w:val="en-GB"/>
        </w:rPr>
        <w:t>2.</w:t>
      </w:r>
      <w:r w:rsidR="00E16266">
        <w:rPr>
          <w:b w:val="0"/>
          <w:sz w:val="19"/>
          <w:szCs w:val="19"/>
          <w:shd w:val="clear" w:color="auto" w:fill="FFFFFF"/>
          <w:lang w:val="en-GB"/>
        </w:rPr>
        <w:t>5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C8236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E16266">
        <w:rPr>
          <w:b w:val="0"/>
          <w:sz w:val="19"/>
          <w:szCs w:val="19"/>
          <w:shd w:val="clear" w:color="auto" w:fill="FFFFFF"/>
          <w:lang w:val="en-GB"/>
        </w:rPr>
        <w:t>2.6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E16266">
        <w:rPr>
          <w:b w:val="0"/>
          <w:sz w:val="19"/>
          <w:szCs w:val="19"/>
          <w:shd w:val="clear" w:color="auto" w:fill="FFFFFF"/>
          <w:lang w:val="en-GB"/>
        </w:rPr>
        <w:t>3.2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7207E6" w:rsidRDefault="006D7F1E" w:rsidP="007207E6">
      <w:pPr>
        <w:pStyle w:val="tytuwykresu"/>
        <w:rPr>
          <w:lang w:val="en-US"/>
        </w:rPr>
      </w:pPr>
      <w:r w:rsidRPr="00612A93">
        <w:rPr>
          <w:lang w:val="en-GB"/>
        </w:rPr>
        <w:lastRenderedPageBreak/>
        <w:t xml:space="preserve"> </w:t>
      </w:r>
      <w:r w:rsidR="00AD1492">
        <w:rPr>
          <w:lang w:val="en-US"/>
        </w:rPr>
        <w:t>C</w:t>
      </w:r>
      <w:r w:rsidR="00AD1492" w:rsidRPr="005F5714">
        <w:rPr>
          <w:lang w:val="en-US"/>
        </w:rPr>
        <w:t>hart 1. Construction activity in the scope of construction of dwellings</w:t>
      </w:r>
    </w:p>
    <w:p w:rsidR="00632DF8" w:rsidRPr="00612A93" w:rsidRDefault="00556A1B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78350</wp:posOffset>
            </wp:positionV>
            <wp:extent cx="5079146" cy="2102485"/>
            <wp:effectExtent l="0" t="0" r="762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914" cy="210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7E6" w:rsidRPr="00612A93" w:rsidRDefault="007207E6" w:rsidP="00673BE0">
      <w:pPr>
        <w:pStyle w:val="Nagwek1"/>
        <w:rPr>
          <w:color w:val="auto"/>
          <w:sz w:val="18"/>
          <w:szCs w:val="18"/>
          <w:lang w:val="en-GB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673BE0">
      <w:pPr>
        <w:pStyle w:val="Nagwek1"/>
        <w:rPr>
          <w:color w:val="auto"/>
          <w:sz w:val="18"/>
          <w:szCs w:val="18"/>
          <w:lang w:val="en-GB"/>
        </w:rPr>
      </w:pPr>
    </w:p>
    <w:p w:rsidR="00C60835" w:rsidRPr="00612A93" w:rsidRDefault="00C60835" w:rsidP="00673BE0">
      <w:pPr>
        <w:pStyle w:val="Nagwek1"/>
        <w:rPr>
          <w:color w:val="auto"/>
          <w:sz w:val="18"/>
          <w:szCs w:val="18"/>
          <w:lang w:val="en-GB"/>
        </w:rPr>
      </w:pPr>
    </w:p>
    <w:p w:rsidR="00F802BE" w:rsidRPr="00612A93" w:rsidRDefault="0087438B" w:rsidP="00673BE0">
      <w:pPr>
        <w:pStyle w:val="Nagwek1"/>
        <w:rPr>
          <w:color w:val="auto"/>
          <w:sz w:val="18"/>
          <w:szCs w:val="18"/>
          <w:lang w:val="en-GB"/>
        </w:rPr>
      </w:pPr>
      <w:r w:rsidRPr="00AD1492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5315585</wp:posOffset>
                </wp:positionH>
                <wp:positionV relativeFrom="paragraph">
                  <wp:posOffset>304800</wp:posOffset>
                </wp:positionV>
                <wp:extent cx="1771650" cy="579755"/>
                <wp:effectExtent l="0" t="0" r="0" b="0"/>
                <wp:wrapTight wrapText="bothSides">
                  <wp:wrapPolygon edited="0">
                    <wp:start x="697" y="0"/>
                    <wp:lineTo x="697" y="20583"/>
                    <wp:lineTo x="20671" y="20583"/>
                    <wp:lineTo x="20671" y="0"/>
                    <wp:lineTo x="697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8.55pt;margin-top:24pt;width:139.5pt;height:45.6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" filled="f" stroked="f">
                <v:textbox>
                  <w:txbxContent>
                    <w:p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67D6F" w:rsidRPr="00612A93">
        <w:rPr>
          <w:color w:val="auto"/>
          <w:sz w:val="18"/>
          <w:szCs w:val="18"/>
          <w:lang w:val="en-GB"/>
        </w:rPr>
        <w:t>T</w:t>
      </w:r>
      <w:r w:rsidR="00AD1492" w:rsidRPr="00612A93">
        <w:rPr>
          <w:color w:val="auto"/>
          <w:sz w:val="18"/>
          <w:szCs w:val="18"/>
          <w:lang w:val="en-GB"/>
        </w:rPr>
        <w:t>able 1. Residential construction results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9A7910" w:rsidRPr="00FA5128" w:rsidTr="00257AA4">
        <w:trPr>
          <w:trHeight w:val="57"/>
        </w:trPr>
        <w:tc>
          <w:tcPr>
            <w:tcW w:w="2049" w:type="dxa"/>
            <w:vMerge w:val="restart"/>
            <w:vAlign w:val="center"/>
          </w:tcPr>
          <w:p w:rsidR="009A7910" w:rsidRPr="0030115B" w:rsidRDefault="00AD1492" w:rsidP="00AD1492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:rsidTr="007F1D4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9A7910" w:rsidRPr="00FA5128" w:rsidRDefault="00A31F52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211FA7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31F52">
              <w:rPr>
                <w:color w:val="000000" w:themeColor="text1"/>
                <w:sz w:val="16"/>
                <w:szCs w:val="16"/>
              </w:rPr>
              <w:t>X</w:t>
            </w:r>
            <w:r w:rsidR="00211FA7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A7910" w:rsidRPr="00FA5128" w:rsidTr="00257AA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087CEB" w:rsidP="00AD149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Num</w:t>
            </w:r>
            <w:r w:rsidR="000E1F4F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>er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Default="00A31F52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211FA7">
              <w:rPr>
                <w:color w:val="000000" w:themeColor="text1"/>
                <w:sz w:val="16"/>
                <w:szCs w:val="16"/>
              </w:rPr>
              <w:t>I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Default="00052F03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087CEB" w:rsidP="00AD149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A31F52">
              <w:rPr>
                <w:color w:val="000000" w:themeColor="text1"/>
                <w:sz w:val="16"/>
                <w:szCs w:val="16"/>
              </w:rPr>
              <w:t>X</w:t>
            </w:r>
            <w:r w:rsidR="00211FA7">
              <w:rPr>
                <w:color w:val="000000" w:themeColor="text1"/>
                <w:sz w:val="16"/>
                <w:szCs w:val="16"/>
              </w:rPr>
              <w:t>I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:rsidTr="00257AA4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:rsidR="009A7910" w:rsidRPr="00FA5128" w:rsidRDefault="00AD1492" w:rsidP="009168D8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67D7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Dwellings completed</w:t>
            </w:r>
            <w:r w:rsidR="009168D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556A1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556A1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6E80">
              <w:rPr>
                <w:rFonts w:cs="Arial"/>
                <w:b/>
                <w:color w:val="000000" w:themeColor="text1"/>
                <w:sz w:val="16"/>
                <w:szCs w:val="16"/>
              </w:rPr>
              <w:t>17 668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556A1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97.</w:t>
            </w:r>
            <w:r w:rsidRPr="00766E8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556A1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108.</w:t>
            </w:r>
            <w:r w:rsidRPr="00F834C5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556A1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C18F2">
              <w:rPr>
                <w:rFonts w:cs="Arial"/>
                <w:b/>
                <w:color w:val="000000" w:themeColor="text1"/>
                <w:sz w:val="16"/>
                <w:szCs w:val="16"/>
              </w:rPr>
              <w:t>163 845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556A1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</w:t>
            </w:r>
            <w:r w:rsidRPr="009E56B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Private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34C5">
              <w:rPr>
                <w:rFonts w:cs="Arial"/>
                <w:color w:val="000000" w:themeColor="text1"/>
                <w:sz w:val="16"/>
                <w:szCs w:val="16"/>
              </w:rPr>
              <w:t>5 716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Pr="00EB312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Pr="00D36DA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556A1B" w:rsidRPr="00907546" w:rsidRDefault="00556A1B" w:rsidP="00556A1B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6BC">
              <w:rPr>
                <w:rFonts w:ascii="Fira Sans" w:hAnsi="Fira Sans"/>
                <w:color w:val="000000" w:themeColor="text1"/>
                <w:sz w:val="16"/>
                <w:szCs w:val="16"/>
              </w:rPr>
              <w:t>59 952</w:t>
            </w:r>
          </w:p>
        </w:tc>
        <w:tc>
          <w:tcPr>
            <w:tcW w:w="1207" w:type="dxa"/>
            <w:vAlign w:val="center"/>
          </w:tcPr>
          <w:p w:rsidR="00556A1B" w:rsidRPr="00907546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Pr="009E56B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rent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241EA">
              <w:rPr>
                <w:rFonts w:cs="Arial"/>
                <w:color w:val="000000" w:themeColor="text1"/>
                <w:sz w:val="16"/>
                <w:szCs w:val="16"/>
              </w:rPr>
              <w:t>10 932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Pr="004327B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</w:t>
            </w:r>
            <w:r w:rsidRPr="004327B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556A1B" w:rsidRPr="008A1C80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53B0B">
              <w:rPr>
                <w:rFonts w:ascii="Fira Sans" w:hAnsi="Fira Sans"/>
                <w:color w:val="000000" w:themeColor="text1"/>
                <w:sz w:val="16"/>
                <w:szCs w:val="16"/>
              </w:rPr>
              <w:t>98 185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4266F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Cooperatives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375C3">
              <w:rPr>
                <w:rFonts w:cs="Arial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than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2-fold</w:t>
            </w:r>
          </w:p>
        </w:tc>
        <w:tc>
          <w:tcPr>
            <w:tcW w:w="1206" w:type="dxa"/>
            <w:vAlign w:val="center"/>
          </w:tcPr>
          <w:p w:rsidR="00556A1B" w:rsidRPr="00E102B7" w:rsidRDefault="00556A1B" w:rsidP="00556A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81.</w:t>
            </w:r>
            <w:r w:rsidRPr="00CD604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556A1B" w:rsidRPr="00C230EE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25603">
              <w:rPr>
                <w:rFonts w:ascii="Fira Sans" w:hAnsi="Fira Sans"/>
                <w:color w:val="000000" w:themeColor="text1"/>
                <w:sz w:val="16"/>
                <w:szCs w:val="16"/>
              </w:rPr>
              <w:t>2 540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128.</w:t>
            </w:r>
            <w:r w:rsidRPr="00395F5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A02ED8">
              <w:rPr>
                <w:rFonts w:ascii="Fira Sans" w:hAnsi="Fira Sans"/>
                <w:i w:val="0"/>
                <w:color w:val="auto"/>
                <w:sz w:val="16"/>
                <w:szCs w:val="16"/>
              </w:rPr>
              <w:t>Others</w:t>
            </w:r>
            <w:proofErr w:type="spellEnd"/>
            <w:r w:rsidR="00A05A3A">
              <w:rPr>
                <w:rStyle w:val="Odwoanieprzypisudolnego"/>
                <w:rFonts w:ascii="Fira Sans" w:hAnsi="Fira Sans"/>
                <w:i w:val="0"/>
                <w:color w:val="auto"/>
                <w:sz w:val="16"/>
                <w:szCs w:val="16"/>
              </w:rPr>
              <w:footnoteReference w:id="2"/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030E6">
              <w:rPr>
                <w:rFonts w:cs="Arial"/>
                <w:color w:val="000000" w:themeColor="text1"/>
                <w:sz w:val="16"/>
                <w:szCs w:val="16"/>
              </w:rPr>
              <w:t>670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155.</w:t>
            </w:r>
            <w:r w:rsidRPr="006E0C1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556A1B" w:rsidRPr="00E102B7" w:rsidRDefault="00556A1B" w:rsidP="00556A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151.</w:t>
            </w:r>
            <w:r w:rsidRPr="00296F9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556A1B" w:rsidRPr="00E87F78" w:rsidRDefault="00556A1B" w:rsidP="00556A1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87F78">
              <w:rPr>
                <w:color w:val="000000" w:themeColor="text1"/>
                <w:sz w:val="16"/>
                <w:szCs w:val="16"/>
              </w:rPr>
              <w:t>3 168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9F4F4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465A7" w:rsidRPr="0060179A" w:rsidTr="00257AA4">
        <w:trPr>
          <w:trHeight w:val="57"/>
        </w:trPr>
        <w:tc>
          <w:tcPr>
            <w:tcW w:w="8080" w:type="dxa"/>
            <w:gridSpan w:val="6"/>
            <w:vAlign w:val="center"/>
          </w:tcPr>
          <w:p w:rsidR="00EF767E" w:rsidRPr="00EF767E" w:rsidRDefault="00EF767E" w:rsidP="00EF767E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F767E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Dwellings for which permits have been granted or which have been registered</w:t>
            </w:r>
          </w:p>
          <w:p w:rsidR="00B465A7" w:rsidRPr="0030115B" w:rsidRDefault="00EF767E" w:rsidP="00EF767E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F767E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with a construction project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FA5128" w:rsidRDefault="00556A1B" w:rsidP="00556A1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90BB1">
              <w:rPr>
                <w:rFonts w:cs="Arial"/>
                <w:b/>
                <w:color w:val="000000" w:themeColor="text1"/>
                <w:sz w:val="16"/>
                <w:szCs w:val="16"/>
              </w:rPr>
              <w:t>19 748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111.1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79.</w:t>
            </w:r>
            <w:r w:rsidRPr="00886D2F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556A1B" w:rsidRPr="00ED7983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4388">
              <w:rPr>
                <w:rFonts w:cs="Arial"/>
                <w:b/>
                <w:color w:val="000000" w:themeColor="text1"/>
                <w:sz w:val="16"/>
                <w:szCs w:val="16"/>
              </w:rPr>
              <w:t>237 747</w:t>
            </w:r>
          </w:p>
        </w:tc>
        <w:tc>
          <w:tcPr>
            <w:tcW w:w="1207" w:type="dxa"/>
            <w:vAlign w:val="center"/>
          </w:tcPr>
          <w:p w:rsidR="00556A1B" w:rsidRPr="00ED7983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102.9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Private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2366B">
              <w:rPr>
                <w:rFonts w:cs="Arial"/>
                <w:color w:val="000000" w:themeColor="text1"/>
                <w:sz w:val="16"/>
                <w:szCs w:val="16"/>
              </w:rPr>
              <w:t>6 469</w:t>
            </w:r>
          </w:p>
        </w:tc>
        <w:tc>
          <w:tcPr>
            <w:tcW w:w="1206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>
              <w:rPr>
                <w:rStyle w:val="Odwoanieprzypisudolnego"/>
                <w:rFonts w:cs="Arial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79.</w:t>
            </w:r>
            <w:r w:rsidRPr="006A6DB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3259">
              <w:rPr>
                <w:rFonts w:cs="Arial"/>
                <w:color w:val="000000" w:themeColor="text1"/>
                <w:sz w:val="16"/>
                <w:szCs w:val="16"/>
              </w:rPr>
              <w:t>85 836</w:t>
            </w:r>
          </w:p>
        </w:tc>
        <w:tc>
          <w:tcPr>
            <w:tcW w:w="1207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rent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774A7">
              <w:rPr>
                <w:rFonts w:cs="Arial"/>
                <w:color w:val="000000" w:themeColor="text1"/>
                <w:sz w:val="16"/>
                <w:szCs w:val="16"/>
              </w:rPr>
              <w:t>13 101</w:t>
            </w:r>
          </w:p>
        </w:tc>
        <w:tc>
          <w:tcPr>
            <w:tcW w:w="1206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</w:t>
            </w:r>
            <w:r w:rsidRPr="00E774A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23A4">
              <w:rPr>
                <w:rFonts w:cs="Arial"/>
                <w:color w:val="000000" w:themeColor="text1"/>
                <w:sz w:val="16"/>
                <w:szCs w:val="16"/>
              </w:rPr>
              <w:t>146 870</w:t>
            </w:r>
          </w:p>
        </w:tc>
        <w:tc>
          <w:tcPr>
            <w:tcW w:w="1207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Cooperatives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7C2A">
              <w:rPr>
                <w:rFonts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06" w:type="dxa"/>
            <w:vAlign w:val="center"/>
          </w:tcPr>
          <w:p w:rsidR="00556A1B" w:rsidRPr="00292DAC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16.</w:t>
            </w:r>
            <w:r w:rsidRPr="00703FF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556A1B" w:rsidRPr="00E102B7" w:rsidRDefault="00556A1B" w:rsidP="00556A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</w:t>
            </w:r>
            <w:r w:rsidRPr="003F36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3B6">
              <w:rPr>
                <w:rFonts w:cs="Arial"/>
                <w:color w:val="000000" w:themeColor="text1"/>
                <w:sz w:val="16"/>
                <w:szCs w:val="16"/>
              </w:rPr>
              <w:t>1 496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104.9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A02ED8">
              <w:rPr>
                <w:rFonts w:ascii="Fira Sans" w:hAnsi="Fira Sans"/>
                <w:i w:val="0"/>
                <w:color w:val="auto"/>
                <w:sz w:val="16"/>
                <w:szCs w:val="16"/>
              </w:rPr>
              <w:t>Others</w:t>
            </w:r>
            <w:r w:rsidR="00A05A3A" w:rsidRPr="00A05A3A">
              <w:rPr>
                <w:rFonts w:ascii="Fira Sans" w:hAnsi="Fira Sans"/>
                <w:i w:val="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F36A3">
              <w:rPr>
                <w:rFonts w:cs="Arial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27.</w:t>
            </w:r>
            <w:r w:rsidRPr="00373C0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556A1B" w:rsidRPr="00E102B7" w:rsidRDefault="00556A1B" w:rsidP="00556A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</w:t>
            </w:r>
            <w:r w:rsidRPr="00373C0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A4459">
              <w:rPr>
                <w:rFonts w:cs="Arial"/>
                <w:color w:val="000000" w:themeColor="text1"/>
                <w:sz w:val="16"/>
                <w:szCs w:val="16"/>
              </w:rPr>
              <w:t>3 545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73.3</w:t>
            </w:r>
          </w:p>
        </w:tc>
      </w:tr>
      <w:tr w:rsidR="003931C0" w:rsidRPr="00AC7ADB" w:rsidTr="00257AA4">
        <w:trPr>
          <w:trHeight w:val="57"/>
        </w:trPr>
        <w:tc>
          <w:tcPr>
            <w:tcW w:w="8080" w:type="dxa"/>
            <w:gridSpan w:val="6"/>
            <w:vAlign w:val="center"/>
          </w:tcPr>
          <w:p w:rsidR="003931C0" w:rsidRPr="00612A93" w:rsidRDefault="00AD1492" w:rsidP="00EF767E">
            <w:pPr>
              <w:spacing w:before="0" w:after="0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Dwellings </w:t>
            </w:r>
            <w:r w:rsidR="00EF767E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in which construction has begun</w:t>
            </w:r>
            <w:r w:rsidRPr="00612A93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FA5128" w:rsidRDefault="00556A1B" w:rsidP="00556A1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37DB">
              <w:rPr>
                <w:rFonts w:cs="Arial"/>
                <w:b/>
                <w:color w:val="000000" w:themeColor="text1"/>
                <w:sz w:val="16"/>
                <w:szCs w:val="16"/>
              </w:rPr>
              <w:t>16 792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100.7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83.</w:t>
            </w:r>
            <w:r w:rsidRPr="0004500E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556A1B" w:rsidRPr="005D2FB0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F3AE7">
              <w:rPr>
                <w:rFonts w:cs="Arial"/>
                <w:b/>
                <w:color w:val="000000" w:themeColor="text1"/>
                <w:sz w:val="16"/>
                <w:szCs w:val="16"/>
              </w:rPr>
              <w:t>210 816</w:t>
            </w:r>
          </w:p>
        </w:tc>
        <w:tc>
          <w:tcPr>
            <w:tcW w:w="1207" w:type="dxa"/>
            <w:vAlign w:val="center"/>
          </w:tcPr>
          <w:p w:rsidR="00556A1B" w:rsidRPr="005D2FB0" w:rsidRDefault="00556A1B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108.8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Private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4F0D">
              <w:rPr>
                <w:rFonts w:cs="Arial"/>
                <w:color w:val="000000" w:themeColor="text1"/>
                <w:sz w:val="16"/>
                <w:szCs w:val="16"/>
              </w:rPr>
              <w:t>5 383</w:t>
            </w:r>
          </w:p>
        </w:tc>
        <w:tc>
          <w:tcPr>
            <w:tcW w:w="1206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71.</w:t>
            </w:r>
            <w:r w:rsidRPr="00964DC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8DF">
              <w:rPr>
                <w:rFonts w:cs="Arial"/>
                <w:color w:val="000000" w:themeColor="text1"/>
                <w:sz w:val="16"/>
                <w:szCs w:val="16"/>
              </w:rPr>
              <w:t>82 357</w:t>
            </w:r>
          </w:p>
        </w:tc>
        <w:tc>
          <w:tcPr>
            <w:tcW w:w="1207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rent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270BA">
              <w:rPr>
                <w:rFonts w:cs="Arial"/>
                <w:color w:val="000000" w:themeColor="text1"/>
                <w:sz w:val="16"/>
                <w:szCs w:val="16"/>
              </w:rPr>
              <w:t>11 093</w:t>
            </w:r>
          </w:p>
        </w:tc>
        <w:tc>
          <w:tcPr>
            <w:tcW w:w="1206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</w:t>
            </w:r>
            <w:r w:rsidRPr="00E270B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208CC">
              <w:rPr>
                <w:rFonts w:cs="Arial"/>
                <w:color w:val="000000" w:themeColor="text1"/>
                <w:sz w:val="16"/>
                <w:szCs w:val="16"/>
              </w:rPr>
              <w:t>123 654</w:t>
            </w:r>
          </w:p>
        </w:tc>
        <w:tc>
          <w:tcPr>
            <w:tcW w:w="1207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Cooperatives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2197">
              <w:rPr>
                <w:rFonts w:cs="Arial"/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120.4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357.</w:t>
            </w:r>
            <w:r w:rsidRPr="00484E1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27E6B">
              <w:rPr>
                <w:rFonts w:cs="Arial"/>
                <w:color w:val="000000" w:themeColor="text1"/>
                <w:sz w:val="16"/>
                <w:szCs w:val="16"/>
              </w:rPr>
              <w:t>2 242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</w:t>
            </w:r>
            <w:r w:rsidRPr="00527E6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:rsidR="00556A1B" w:rsidRPr="00C41764" w:rsidRDefault="00A05A3A" w:rsidP="00556A1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i w:val="0"/>
                <w:color w:val="auto"/>
                <w:sz w:val="16"/>
                <w:szCs w:val="16"/>
              </w:rPr>
              <w:t>Others</w:t>
            </w:r>
            <w:r w:rsidRPr="00A05A3A">
              <w:rPr>
                <w:rFonts w:ascii="Fira Sans" w:hAnsi="Fira Sans"/>
                <w:i w:val="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3BB1"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16.5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29.</w:t>
            </w:r>
            <w:r w:rsidRPr="00462A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93DA4">
              <w:rPr>
                <w:rFonts w:cs="Arial"/>
                <w:color w:val="000000" w:themeColor="text1"/>
                <w:sz w:val="16"/>
                <w:szCs w:val="16"/>
              </w:rPr>
              <w:t>2 563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556A1B" w:rsidRPr="00FA5128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81.</w:t>
            </w:r>
            <w:r w:rsidRPr="00D90EB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:rsidR="00694AF0" w:rsidRPr="00612A93" w:rsidRDefault="00694AF0" w:rsidP="0046503D">
      <w:pPr>
        <w:rPr>
          <w:sz w:val="12"/>
          <w:szCs w:val="12"/>
          <w:lang w:val="en-GB"/>
        </w:rPr>
        <w:sectPr w:rsidR="00694AF0" w:rsidRPr="00612A93" w:rsidSect="00A05A3A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Pr="00612A93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00009" w:rsidRPr="00AC7ADB" w:rsidTr="00E23337">
        <w:trPr>
          <w:trHeight w:val="1912"/>
        </w:trPr>
        <w:tc>
          <w:tcPr>
            <w:tcW w:w="4379" w:type="dxa"/>
          </w:tcPr>
          <w:p w:rsidR="000470AA" w:rsidRPr="00612A93" w:rsidRDefault="00000009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</w:t>
            </w:r>
            <w:r w:rsidR="000470AA" w:rsidRPr="00612A9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0470AA" w:rsidRPr="00612A93" w:rsidRDefault="007207E6" w:rsidP="0046503D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0470AA" w:rsidRPr="00A02ED8" w:rsidRDefault="0062187C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0470AA" w:rsidRPr="00A02ED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62187C"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81 533 2301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12A93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="0062187C" w:rsidRPr="00612A93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000009" w:rsidRPr="00612A93" w:rsidRDefault="006D5ABB" w:rsidP="006D5ABB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="00000009"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000009"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000009"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="00000009"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000009" w:rsidRDefault="00000009" w:rsidP="0000000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6D5ABB" w:rsidRPr="001C110A" w:rsidRDefault="006D5ABB" w:rsidP="0000000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Dawidziuk</w:t>
            </w:r>
            <w:proofErr w:type="spellEnd"/>
          </w:p>
          <w:p w:rsidR="00000009" w:rsidRPr="008F3638" w:rsidRDefault="00000009" w:rsidP="0000000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00009" w:rsidP="0000000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00009" w:rsidRPr="00FC6E4C" w:rsidRDefault="00000009" w:rsidP="00000009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000009" w:rsidRPr="00FC6E4C" w:rsidRDefault="00000009" w:rsidP="00000009">
            <w:pPr>
              <w:rPr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 xml:space="preserve">tel.: </w:t>
            </w:r>
            <w:r w:rsidRPr="00FC6E4C">
              <w:rPr>
                <w:sz w:val="20"/>
                <w:lang w:val="en-GB"/>
              </w:rPr>
              <w:t xml:space="preserve">+48 22 608 34 91, +48 22 608 38 04 </w:t>
            </w:r>
          </w:p>
          <w:p w:rsidR="00000009" w:rsidRPr="00F64AC1" w:rsidRDefault="00000009" w:rsidP="00000009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:rsidR="000470AA" w:rsidRPr="00F64AC1" w:rsidRDefault="00000009" w:rsidP="00000009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20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00009" w:rsidRDefault="0000000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000009" w:rsidRPr="006D7F1E" w:rsidRDefault="00FE705C" w:rsidP="00000009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D7F1E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211FA7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"http://stat.gov.pl/en/topics/other-studies/informations-on-socio-economic-situation/statistical-bulletin-no-102018,4,93.html"</w:instrText>
                            </w:r>
                            <w:r w:rsidRPr="006D7F1E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6D7F1E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Statistical Bulletin No </w:t>
                            </w:r>
                            <w:r w:rsidR="00211FA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10</w:t>
                            </w:r>
                            <w:r w:rsidR="00000009" w:rsidRPr="006D7F1E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/2018</w:t>
                            </w:r>
                          </w:p>
                          <w:p w:rsidR="006D7F1E" w:rsidRPr="00612A93" w:rsidRDefault="00FE705C" w:rsidP="006D7F1E">
                            <w:pPr>
                              <w:pStyle w:val="Nagwek2"/>
                              <w:rPr>
                                <w:rFonts w:ascii="Fira Sans" w:hAnsi="Fira Sans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6D7F1E">
                              <w:rPr>
                                <w:rFonts w:ascii="Fira Sans" w:hAnsi="Fira Sans"/>
                                <w:b/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4" w:history="1">
                              <w:r w:rsidR="006D7F1E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 xml:space="preserve">Socio-economic situation </w:t>
                              </w:r>
                              <w:r w:rsidR="00BA6BF5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of the countr</w:t>
                              </w:r>
                              <w:r w:rsidR="00211FA7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y in October</w:t>
                              </w:r>
                              <w:r w:rsidR="00D536C0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="006D7F1E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2018</w:t>
                              </w:r>
                            </w:hyperlink>
                          </w:p>
                          <w:p w:rsidR="00000009" w:rsidRPr="003A42AA" w:rsidRDefault="00000009" w:rsidP="0000000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Co</w:t>
                            </w:r>
                            <w:r w:rsidR="003A42AA"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nstruction results in</w:t>
                            </w:r>
                            <w:r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hyperlink r:id="rId25" w:history="1">
                              <w:r w:rsidRPr="003A42AA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201</w:t>
                              </w:r>
                              <w:r w:rsidR="003A42AA" w:rsidRPr="003A42AA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7</w:t>
                              </w:r>
                            </w:hyperlink>
                          </w:p>
                          <w:p w:rsidR="00000009" w:rsidRPr="007F1D43" w:rsidRDefault="006030DD" w:rsidP="00000009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000009" w:rsidRPr="006D7F1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Housing construction I</w:t>
                              </w:r>
                              <w:r w:rsidR="00BA6BF5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-II</w:t>
                              </w:r>
                              <w:r w:rsidR="00211FA7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 w:rsidR="00000009" w:rsidRPr="006D7F1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quarter 2018</w:t>
                              </w:r>
                            </w:hyperlink>
                            <w:r w:rsidR="00000009" w:rsidRPr="007F1D43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000009" w:rsidRDefault="0000000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000009" w:rsidRPr="001A33FC" w:rsidRDefault="006030DD" w:rsidP="0000000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000009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000009" w:rsidRPr="001A33FC" w:rsidRDefault="006030DD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000009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000009" w:rsidRDefault="0000000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000009" w:rsidRPr="007F1D43" w:rsidRDefault="006030DD" w:rsidP="0000000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000009" w:rsidRPr="007F1D43" w:rsidRDefault="006030DD" w:rsidP="00000009">
                            <w:pPr>
                              <w:rPr>
                                <w:lang w:val="en-US"/>
                              </w:rPr>
                            </w:pPr>
                            <w:hyperlink r:id="rId30" w:history="1">
                              <w:r w:rsidR="00000009" w:rsidRPr="007F1D43">
                                <w:rPr>
                                  <w:rStyle w:val="Hipercze"/>
                                  <w:rFonts w:cstheme="majorBidi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1" w:history="1"/>
                          </w:p>
                          <w:p w:rsidR="00000009" w:rsidRPr="007F1D43" w:rsidRDefault="006030DD" w:rsidP="00000009">
                            <w:pPr>
                              <w:rPr>
                                <w:lang w:val="en-US"/>
                              </w:rPr>
                            </w:pPr>
                            <w:hyperlink r:id="rId32" w:history="1"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Dwelling</w:t>
                              </w:r>
                              <w:r w:rsidR="000E1F4F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s</w:t>
                              </w:r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 completed</w:t>
                              </w:r>
                            </w:hyperlink>
                          </w:p>
                          <w:p w:rsidR="00000009" w:rsidRDefault="0000000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Lcq3S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:rsidR="004862B6" w:rsidRDefault="004862B6" w:rsidP="00AB6D25">
                      <w:pPr>
                        <w:rPr>
                          <w:b/>
                        </w:rPr>
                      </w:pPr>
                    </w:p>
                    <w:p w:rsidR="00000009" w:rsidRDefault="0000000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000009" w:rsidRPr="006D7F1E" w:rsidRDefault="00FE705C" w:rsidP="00000009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6D7F1E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211FA7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"http://stat.gov.pl/en/topics/other-studies/informations-on-socio-economic-situation/statistical-bulletin-no-102018,4,93.html"</w:instrText>
                      </w:r>
                      <w:r w:rsidRPr="006D7F1E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6D7F1E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 xml:space="preserve">Statistical Bulletin No </w:t>
                      </w:r>
                      <w:r w:rsidR="00211FA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10</w:t>
                      </w:r>
                      <w:r w:rsidR="00000009" w:rsidRPr="006D7F1E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/2018</w:t>
                      </w:r>
                    </w:p>
                    <w:p w:rsidR="006D7F1E" w:rsidRPr="00612A93" w:rsidRDefault="00FE705C" w:rsidP="006D7F1E">
                      <w:pPr>
                        <w:pStyle w:val="Nagwek2"/>
                        <w:rPr>
                          <w:rFonts w:ascii="Fira Sans" w:hAnsi="Fira Sans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6D7F1E">
                        <w:rPr>
                          <w:rFonts w:ascii="Fira Sans" w:hAnsi="Fira Sans"/>
                          <w:b/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3" w:history="1">
                        <w:r w:rsidR="006D7F1E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 xml:space="preserve">Socio-economic situation </w:t>
                        </w:r>
                        <w:r w:rsidR="00BA6BF5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>of the countr</w:t>
                        </w:r>
                        <w:r w:rsidR="00211FA7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>y in October</w:t>
                        </w:r>
                        <w:r w:rsidR="00D536C0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D7F1E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>2018</w:t>
                        </w:r>
                      </w:hyperlink>
                    </w:p>
                    <w:p w:rsidR="00000009" w:rsidRPr="003A42AA" w:rsidRDefault="00000009" w:rsidP="00000009">
                      <w:pPr>
                        <w:rPr>
                          <w:b/>
                          <w:lang w:val="en-US"/>
                        </w:rPr>
                      </w:pPr>
                      <w:r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Co</w:t>
                      </w:r>
                      <w:r w:rsidR="003A42AA"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nstruction results in</w:t>
                      </w:r>
                      <w:r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hyperlink r:id="rId34" w:history="1">
                        <w:r w:rsidRPr="003A42AA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GB"/>
                          </w:rPr>
                          <w:t>201</w:t>
                        </w:r>
                        <w:r w:rsidR="003A42AA" w:rsidRPr="003A42AA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GB"/>
                          </w:rPr>
                          <w:t>7</w:t>
                        </w:r>
                      </w:hyperlink>
                    </w:p>
                    <w:p w:rsidR="00000009" w:rsidRPr="007F1D43" w:rsidRDefault="005378A0" w:rsidP="00000009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000009" w:rsidRPr="006D7F1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Housing construction I</w:t>
                        </w:r>
                        <w:r w:rsidR="00BA6BF5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-II</w:t>
                        </w:r>
                        <w:r w:rsidR="00211FA7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="00000009" w:rsidRPr="006D7F1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 xml:space="preserve"> quarter 2018</w:t>
                        </w:r>
                      </w:hyperlink>
                      <w:r w:rsidR="00000009" w:rsidRPr="007F1D43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000009" w:rsidRDefault="0000000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000009" w:rsidRPr="001A33FC" w:rsidRDefault="005378A0" w:rsidP="00000009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000009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000009" w:rsidRPr="001A33FC" w:rsidRDefault="005378A0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000009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000009" w:rsidRDefault="0000000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000009" w:rsidRPr="007F1D43" w:rsidRDefault="005378A0" w:rsidP="00000009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38" w:history="1"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000009" w:rsidRPr="007F1D43" w:rsidRDefault="005378A0" w:rsidP="00000009">
                      <w:pPr>
                        <w:rPr>
                          <w:lang w:val="en-US"/>
                        </w:rPr>
                      </w:pPr>
                      <w:hyperlink r:id="rId39" w:history="1">
                        <w:r w:rsidR="00000009" w:rsidRPr="007F1D43">
                          <w:rPr>
                            <w:rStyle w:val="Hipercze"/>
                            <w:rFonts w:cstheme="majorBidi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r>
                        <w:fldChar w:fldCharType="begin"/>
                      </w:r>
                      <w:r w:rsidRPr="00A05A3A">
                        <w:rPr>
                          <w:lang w:val="en-US"/>
                        </w:rPr>
                        <w:instrText xml:space="preserve"> HYPERLINK "http://stat.gov.pl/en/metainformations/glossary/terms-used-in-official-statistics/945,term.</w:instrText>
                      </w:r>
                      <w:r w:rsidRPr="00A05A3A">
                        <w:rPr>
                          <w:lang w:val="en-US"/>
                        </w:rPr>
                        <w:instrText xml:space="preserve">html" </w:instrText>
                      </w:r>
                      <w:r>
                        <w:fldChar w:fldCharType="separate"/>
                      </w:r>
                      <w:r>
                        <w:fldChar w:fldCharType="end"/>
                      </w:r>
                    </w:p>
                    <w:p w:rsidR="00000009" w:rsidRPr="007F1D43" w:rsidRDefault="005378A0" w:rsidP="00000009">
                      <w:pPr>
                        <w:rPr>
                          <w:lang w:val="en-US"/>
                        </w:rPr>
                      </w:pPr>
                      <w:hyperlink r:id="rId40" w:history="1"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Dwelling</w:t>
                        </w:r>
                        <w:r w:rsidR="000E1F4F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s</w:t>
                        </w:r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 completed</w:t>
                        </w:r>
                      </w:hyperlink>
                    </w:p>
                    <w:p w:rsidR="00000009" w:rsidRDefault="00000009" w:rsidP="00000009">
                      <w:pPr>
                        <w:rPr>
                          <w:lang w:val="en-GB"/>
                        </w:rPr>
                      </w:pPr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DD" w:rsidRDefault="006030DD" w:rsidP="000662E2">
      <w:pPr>
        <w:spacing w:after="0" w:line="240" w:lineRule="auto"/>
      </w:pPr>
      <w:r>
        <w:separator/>
      </w:r>
    </w:p>
  </w:endnote>
  <w:endnote w:type="continuationSeparator" w:id="0">
    <w:p w:rsidR="006030DD" w:rsidRDefault="006030D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A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A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DD" w:rsidRDefault="006030DD" w:rsidP="000662E2">
      <w:pPr>
        <w:spacing w:after="0" w:line="240" w:lineRule="auto"/>
      </w:pPr>
      <w:r>
        <w:separator/>
      </w:r>
    </w:p>
  </w:footnote>
  <w:footnote w:type="continuationSeparator" w:id="0">
    <w:p w:rsidR="006030DD" w:rsidRDefault="006030DD" w:rsidP="000662E2">
      <w:pPr>
        <w:spacing w:after="0" w:line="240" w:lineRule="auto"/>
      </w:pPr>
      <w:r>
        <w:continuationSeparator/>
      </w:r>
    </w:p>
  </w:footnote>
  <w:footnote w:id="1">
    <w:p w:rsidR="00A05A3A" w:rsidRPr="00A05A3A" w:rsidRDefault="00A05A3A">
      <w:pPr>
        <w:pStyle w:val="Tekstprzypisudolnego"/>
        <w:rPr>
          <w:sz w:val="14"/>
          <w:szCs w:val="14"/>
          <w:lang w:val="en-US"/>
        </w:rPr>
      </w:pPr>
      <w:r w:rsidRPr="00A05A3A">
        <w:rPr>
          <w:rStyle w:val="Odwoanieprzypisudolnego"/>
          <w:sz w:val="16"/>
          <w:szCs w:val="16"/>
        </w:rPr>
        <w:footnoteRef/>
      </w:r>
      <w:r w:rsidRPr="00A05A3A">
        <w:rPr>
          <w:sz w:val="16"/>
          <w:szCs w:val="16"/>
          <w:lang w:val="en-US"/>
        </w:rPr>
        <w:t xml:space="preserve"> </w:t>
      </w:r>
      <w:r w:rsidRPr="00A05A3A">
        <w:rPr>
          <w:sz w:val="14"/>
          <w:szCs w:val="14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A05A3A" w:rsidRPr="00A05A3A" w:rsidRDefault="00A05A3A">
      <w:pPr>
        <w:pStyle w:val="Tekstprzypisudolnego"/>
        <w:rPr>
          <w:lang w:val="en-US"/>
        </w:rPr>
      </w:pPr>
      <w:r w:rsidRPr="00A05A3A">
        <w:rPr>
          <w:rStyle w:val="Odwoanieprzypisudolnego"/>
          <w:sz w:val="16"/>
          <w:szCs w:val="16"/>
        </w:rPr>
        <w:footnoteRef/>
      </w:r>
      <w:r w:rsidRPr="00A05A3A">
        <w:rPr>
          <w:lang w:val="en-US"/>
        </w:rPr>
        <w:t xml:space="preserve"> </w:t>
      </w:r>
      <w:r w:rsidRPr="00A05A3A">
        <w:rPr>
          <w:sz w:val="14"/>
          <w:szCs w:val="14"/>
          <w:lang w:val="en-US"/>
        </w:rPr>
        <w:t>The public building society, municipal and company construction</w:t>
      </w:r>
    </w:p>
  </w:footnote>
  <w:footnote w:id="3">
    <w:p w:rsidR="00A05A3A" w:rsidRPr="00A05A3A" w:rsidRDefault="00A05A3A">
      <w:pPr>
        <w:pStyle w:val="Tekstprzypisudolnego"/>
        <w:rPr>
          <w:lang w:val="en-US"/>
        </w:rPr>
      </w:pPr>
      <w:r w:rsidRPr="001D087B">
        <w:rPr>
          <w:rStyle w:val="Odwoanieprzypisudolnego"/>
          <w:sz w:val="16"/>
          <w:szCs w:val="16"/>
        </w:rPr>
        <w:footnoteRef/>
      </w:r>
      <w:r w:rsidRPr="001D087B">
        <w:rPr>
          <w:lang w:val="en-US"/>
        </w:rPr>
        <w:t xml:space="preserve"> </w:t>
      </w:r>
      <w:r w:rsidRPr="001D087B">
        <w:rPr>
          <w:sz w:val="14"/>
          <w:szCs w:val="14"/>
          <w:lang w:val="en-US"/>
        </w:rPr>
        <w:t>Since January 2018 data regarding the effects of „the private construction” concern only dwellings realized for the investor’s own needs; dwellings for sale or rent</w:t>
      </w:r>
      <w:r w:rsidR="001D508C" w:rsidRPr="001D087B">
        <w:rPr>
          <w:sz w:val="14"/>
          <w:szCs w:val="14"/>
          <w:lang w:val="en-US"/>
        </w:rPr>
        <w:t xml:space="preserve"> provided by individual investors (included into</w:t>
      </w:r>
      <w:r w:rsidRPr="001D087B">
        <w:rPr>
          <w:sz w:val="14"/>
          <w:szCs w:val="14"/>
          <w:lang w:val="en-US"/>
        </w:rPr>
        <w:t xml:space="preserve"> this form of construction so far) have been included into the form of construction “for sale or rent”</w:t>
      </w:r>
      <w:r w:rsidR="001D508C" w:rsidRPr="001D087B">
        <w:rPr>
          <w:sz w:val="14"/>
          <w:szCs w:val="14"/>
          <w:lang w:val="en-US"/>
        </w:rPr>
        <w:t>,</w:t>
      </w:r>
      <w:r w:rsidRPr="001D087B">
        <w:rPr>
          <w:sz w:val="14"/>
          <w:szCs w:val="14"/>
          <w:lang w:val="en-US"/>
        </w:rPr>
        <w:t xml:space="preserve"> </w:t>
      </w:r>
      <w:r w:rsidR="001D508C" w:rsidRPr="001D087B">
        <w:rPr>
          <w:sz w:val="14"/>
          <w:szCs w:val="14"/>
          <w:shd w:val="clear" w:color="auto" w:fill="FFFFFF"/>
          <w:lang w:val="en-US"/>
        </w:rPr>
        <w:t>therefore</w:t>
      </w:r>
      <w:r w:rsidRPr="001D087B">
        <w:rPr>
          <w:sz w:val="14"/>
          <w:szCs w:val="14"/>
          <w:shd w:val="clear" w:color="auto" w:fill="FFFFFF"/>
          <w:lang w:val="en-US"/>
        </w:rPr>
        <w:t xml:space="preserve">, indices in relation to the corresponding period of the previous year will be presented </w:t>
      </w:r>
      <w:r w:rsidR="001D508C" w:rsidRPr="001D087B">
        <w:rPr>
          <w:sz w:val="14"/>
          <w:szCs w:val="14"/>
          <w:shd w:val="clear" w:color="auto" w:fill="FFFFFF"/>
          <w:lang w:val="en-US"/>
        </w:rPr>
        <w:t xml:space="preserve">starting </w:t>
      </w:r>
      <w:r w:rsidRPr="001D087B">
        <w:rPr>
          <w:sz w:val="14"/>
          <w:szCs w:val="14"/>
          <w:shd w:val="clear" w:color="auto" w:fill="FFFFFF"/>
          <w:lang w:val="en-US"/>
        </w:rPr>
        <w:t>from January 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</w:t>
                          </w:r>
                          <w:r w:rsidR="001F1170">
                            <w:rPr>
                              <w:rFonts w:ascii="Fira Sans SemiBold" w:hAnsi="Fira Sans SemiBold"/>
                            </w:rPr>
                            <w:t>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</w:t>
                    </w:r>
                    <w:r w:rsidR="001F1170">
                      <w:rPr>
                        <w:rFonts w:ascii="Fira Sans SemiBold" w:hAnsi="Fira Sans SemiBold"/>
                      </w:rPr>
                      <w:t>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862B6" w:rsidRPr="00B70D87"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19" name="Obraz 19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2B6" w:rsidRPr="00C97596" w:rsidRDefault="00612A9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18.12</w:t>
                          </w:r>
                          <w:r w:rsidR="004862B6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632D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62B6" w:rsidRPr="00C97596" w:rsidRDefault="00612A9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18.12</w:t>
                    </w:r>
                    <w:r w:rsidR="004862B6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632D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45pt;height:126.45pt;visibility:visible;mso-wrap-style:square" o:bullet="t">
        <v:imagedata r:id="rId1" o:title=""/>
      </v:shape>
    </w:pict>
  </w:numPicBullet>
  <w:numPicBullet w:numPicBulletId="1">
    <w:pict>
      <v:shape id="_x0000_i1029" type="#_x0000_t75" style="width:125.85pt;height:126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3599"/>
    <w:rsid w:val="000152F5"/>
    <w:rsid w:val="000169EB"/>
    <w:rsid w:val="00024626"/>
    <w:rsid w:val="0003236F"/>
    <w:rsid w:val="000411F6"/>
    <w:rsid w:val="000441C0"/>
    <w:rsid w:val="0004582E"/>
    <w:rsid w:val="000470AA"/>
    <w:rsid w:val="0005122F"/>
    <w:rsid w:val="00052F03"/>
    <w:rsid w:val="00053190"/>
    <w:rsid w:val="0005394E"/>
    <w:rsid w:val="00057CA1"/>
    <w:rsid w:val="000657FC"/>
    <w:rsid w:val="000662E2"/>
    <w:rsid w:val="00066883"/>
    <w:rsid w:val="000717DD"/>
    <w:rsid w:val="00073311"/>
    <w:rsid w:val="00074DD8"/>
    <w:rsid w:val="000761AC"/>
    <w:rsid w:val="00076D95"/>
    <w:rsid w:val="000806F7"/>
    <w:rsid w:val="000809C8"/>
    <w:rsid w:val="00084531"/>
    <w:rsid w:val="00086B7D"/>
    <w:rsid w:val="00086F9F"/>
    <w:rsid w:val="00087CEB"/>
    <w:rsid w:val="00091E35"/>
    <w:rsid w:val="00095A18"/>
    <w:rsid w:val="000A39FD"/>
    <w:rsid w:val="000A3ACF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70E5"/>
    <w:rsid w:val="00110D87"/>
    <w:rsid w:val="001113A6"/>
    <w:rsid w:val="00112607"/>
    <w:rsid w:val="00113070"/>
    <w:rsid w:val="00114DB9"/>
    <w:rsid w:val="00116087"/>
    <w:rsid w:val="00127C74"/>
    <w:rsid w:val="00130296"/>
    <w:rsid w:val="00136D24"/>
    <w:rsid w:val="001409E1"/>
    <w:rsid w:val="001423B6"/>
    <w:rsid w:val="001448A7"/>
    <w:rsid w:val="00146621"/>
    <w:rsid w:val="00152273"/>
    <w:rsid w:val="00162325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C3269"/>
    <w:rsid w:val="001C3694"/>
    <w:rsid w:val="001D03B4"/>
    <w:rsid w:val="001D087B"/>
    <w:rsid w:val="001D1DB4"/>
    <w:rsid w:val="001D270F"/>
    <w:rsid w:val="001D2AD6"/>
    <w:rsid w:val="001D508C"/>
    <w:rsid w:val="001E307A"/>
    <w:rsid w:val="001E475A"/>
    <w:rsid w:val="001F1170"/>
    <w:rsid w:val="001F31BD"/>
    <w:rsid w:val="001F3686"/>
    <w:rsid w:val="001F649C"/>
    <w:rsid w:val="00202E71"/>
    <w:rsid w:val="00211FA7"/>
    <w:rsid w:val="00216F21"/>
    <w:rsid w:val="00217D5E"/>
    <w:rsid w:val="00224D54"/>
    <w:rsid w:val="00237220"/>
    <w:rsid w:val="002452B8"/>
    <w:rsid w:val="00246441"/>
    <w:rsid w:val="002574F9"/>
    <w:rsid w:val="00257AA4"/>
    <w:rsid w:val="002615C6"/>
    <w:rsid w:val="0026524A"/>
    <w:rsid w:val="00270874"/>
    <w:rsid w:val="0027193F"/>
    <w:rsid w:val="002722B3"/>
    <w:rsid w:val="0027483D"/>
    <w:rsid w:val="00276811"/>
    <w:rsid w:val="00282699"/>
    <w:rsid w:val="00291BB9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6B12"/>
    <w:rsid w:val="002B6B7B"/>
    <w:rsid w:val="002C2695"/>
    <w:rsid w:val="002C424B"/>
    <w:rsid w:val="002D2ECD"/>
    <w:rsid w:val="002D6990"/>
    <w:rsid w:val="002E13A8"/>
    <w:rsid w:val="002E3590"/>
    <w:rsid w:val="002E6140"/>
    <w:rsid w:val="002E6985"/>
    <w:rsid w:val="002E71B6"/>
    <w:rsid w:val="002F1F42"/>
    <w:rsid w:val="002F77C8"/>
    <w:rsid w:val="0030115B"/>
    <w:rsid w:val="00304F22"/>
    <w:rsid w:val="00306C7C"/>
    <w:rsid w:val="00313E16"/>
    <w:rsid w:val="00315805"/>
    <w:rsid w:val="00317C29"/>
    <w:rsid w:val="00320924"/>
    <w:rsid w:val="00322EDD"/>
    <w:rsid w:val="003231A1"/>
    <w:rsid w:val="00332263"/>
    <w:rsid w:val="00332320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5E"/>
    <w:rsid w:val="00373882"/>
    <w:rsid w:val="00375215"/>
    <w:rsid w:val="003843D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42AA"/>
    <w:rsid w:val="003A716C"/>
    <w:rsid w:val="003B1454"/>
    <w:rsid w:val="003B24CF"/>
    <w:rsid w:val="003B5AC1"/>
    <w:rsid w:val="003B6350"/>
    <w:rsid w:val="003B7573"/>
    <w:rsid w:val="003C1BFD"/>
    <w:rsid w:val="003C34BC"/>
    <w:rsid w:val="003C59E0"/>
    <w:rsid w:val="003C6C8D"/>
    <w:rsid w:val="003D4F9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12E7"/>
    <w:rsid w:val="004231A6"/>
    <w:rsid w:val="0042446D"/>
    <w:rsid w:val="00427281"/>
    <w:rsid w:val="00427BF8"/>
    <w:rsid w:val="00431C02"/>
    <w:rsid w:val="0043307C"/>
    <w:rsid w:val="004347B4"/>
    <w:rsid w:val="00435BD0"/>
    <w:rsid w:val="00437395"/>
    <w:rsid w:val="00440E30"/>
    <w:rsid w:val="00443D4F"/>
    <w:rsid w:val="00444B75"/>
    <w:rsid w:val="00445047"/>
    <w:rsid w:val="004466B1"/>
    <w:rsid w:val="00450A42"/>
    <w:rsid w:val="00450E62"/>
    <w:rsid w:val="00454004"/>
    <w:rsid w:val="00463E39"/>
    <w:rsid w:val="00464D4F"/>
    <w:rsid w:val="0046503D"/>
    <w:rsid w:val="004657FC"/>
    <w:rsid w:val="00467EFF"/>
    <w:rsid w:val="00471D34"/>
    <w:rsid w:val="004733F6"/>
    <w:rsid w:val="00474753"/>
    <w:rsid w:val="00474E69"/>
    <w:rsid w:val="00477DD8"/>
    <w:rsid w:val="00485619"/>
    <w:rsid w:val="00485E73"/>
    <w:rsid w:val="004862B6"/>
    <w:rsid w:val="0049056D"/>
    <w:rsid w:val="0049115E"/>
    <w:rsid w:val="004949CA"/>
    <w:rsid w:val="0049621B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F0C3C"/>
    <w:rsid w:val="004F4FCA"/>
    <w:rsid w:val="004F63FC"/>
    <w:rsid w:val="004F6903"/>
    <w:rsid w:val="00505A92"/>
    <w:rsid w:val="00507D43"/>
    <w:rsid w:val="005203F1"/>
    <w:rsid w:val="00521BC3"/>
    <w:rsid w:val="00522606"/>
    <w:rsid w:val="0052510F"/>
    <w:rsid w:val="00525CAC"/>
    <w:rsid w:val="00533632"/>
    <w:rsid w:val="005378A0"/>
    <w:rsid w:val="0054251F"/>
    <w:rsid w:val="00542771"/>
    <w:rsid w:val="00546790"/>
    <w:rsid w:val="005501C7"/>
    <w:rsid w:val="00550618"/>
    <w:rsid w:val="005520D8"/>
    <w:rsid w:val="0055460F"/>
    <w:rsid w:val="00556A1B"/>
    <w:rsid w:val="00556CF1"/>
    <w:rsid w:val="0055770D"/>
    <w:rsid w:val="00561AEB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4A86"/>
    <w:rsid w:val="005C4E91"/>
    <w:rsid w:val="005D01B4"/>
    <w:rsid w:val="005D2FB0"/>
    <w:rsid w:val="005D7D25"/>
    <w:rsid w:val="005E0799"/>
    <w:rsid w:val="005E3825"/>
    <w:rsid w:val="005E48B2"/>
    <w:rsid w:val="005E4E00"/>
    <w:rsid w:val="005F302D"/>
    <w:rsid w:val="005F5A80"/>
    <w:rsid w:val="005F6FE0"/>
    <w:rsid w:val="006030DD"/>
    <w:rsid w:val="006044FF"/>
    <w:rsid w:val="00607CC5"/>
    <w:rsid w:val="006102AA"/>
    <w:rsid w:val="00610B5E"/>
    <w:rsid w:val="00612A93"/>
    <w:rsid w:val="0061398F"/>
    <w:rsid w:val="0062187C"/>
    <w:rsid w:val="00621F5F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64589"/>
    <w:rsid w:val="00665C38"/>
    <w:rsid w:val="006673CA"/>
    <w:rsid w:val="00667D6F"/>
    <w:rsid w:val="00673BE0"/>
    <w:rsid w:val="00673C26"/>
    <w:rsid w:val="00674ABE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C645A"/>
    <w:rsid w:val="006D4054"/>
    <w:rsid w:val="006D5ABB"/>
    <w:rsid w:val="006D7F1E"/>
    <w:rsid w:val="006E02EC"/>
    <w:rsid w:val="006E4D66"/>
    <w:rsid w:val="006E5888"/>
    <w:rsid w:val="006E6053"/>
    <w:rsid w:val="006E6C7B"/>
    <w:rsid w:val="006F5EF5"/>
    <w:rsid w:val="00707935"/>
    <w:rsid w:val="00713DD1"/>
    <w:rsid w:val="0071467D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573AD"/>
    <w:rsid w:val="0076254F"/>
    <w:rsid w:val="00763711"/>
    <w:rsid w:val="007702BD"/>
    <w:rsid w:val="00770725"/>
    <w:rsid w:val="0077078E"/>
    <w:rsid w:val="00773B09"/>
    <w:rsid w:val="007801F5"/>
    <w:rsid w:val="00780316"/>
    <w:rsid w:val="00783CA4"/>
    <w:rsid w:val="007842FB"/>
    <w:rsid w:val="00786124"/>
    <w:rsid w:val="0079498A"/>
    <w:rsid w:val="0079514B"/>
    <w:rsid w:val="00797294"/>
    <w:rsid w:val="007A0D2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324B"/>
    <w:rsid w:val="007F6B07"/>
    <w:rsid w:val="007F7483"/>
    <w:rsid w:val="00802022"/>
    <w:rsid w:val="00804C08"/>
    <w:rsid w:val="0080553C"/>
    <w:rsid w:val="00805B46"/>
    <w:rsid w:val="00813014"/>
    <w:rsid w:val="00825DC2"/>
    <w:rsid w:val="00834AD3"/>
    <w:rsid w:val="008433EE"/>
    <w:rsid w:val="00843795"/>
    <w:rsid w:val="00846DBD"/>
    <w:rsid w:val="00846E9E"/>
    <w:rsid w:val="00847F0F"/>
    <w:rsid w:val="008500B1"/>
    <w:rsid w:val="00852448"/>
    <w:rsid w:val="00853635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496"/>
    <w:rsid w:val="008D561B"/>
    <w:rsid w:val="008E0933"/>
    <w:rsid w:val="008F2D53"/>
    <w:rsid w:val="008F3638"/>
    <w:rsid w:val="008F5556"/>
    <w:rsid w:val="008F6F31"/>
    <w:rsid w:val="008F74DF"/>
    <w:rsid w:val="00901350"/>
    <w:rsid w:val="00905A67"/>
    <w:rsid w:val="00906857"/>
    <w:rsid w:val="00907546"/>
    <w:rsid w:val="009127BA"/>
    <w:rsid w:val="009168D8"/>
    <w:rsid w:val="009227A6"/>
    <w:rsid w:val="00926B44"/>
    <w:rsid w:val="0092750D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740A"/>
    <w:rsid w:val="009705EE"/>
    <w:rsid w:val="00972B83"/>
    <w:rsid w:val="00975A71"/>
    <w:rsid w:val="00977927"/>
    <w:rsid w:val="0098135C"/>
    <w:rsid w:val="0098156A"/>
    <w:rsid w:val="00983BE8"/>
    <w:rsid w:val="0098487F"/>
    <w:rsid w:val="009918AB"/>
    <w:rsid w:val="00991BAC"/>
    <w:rsid w:val="00996309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63F2"/>
    <w:rsid w:val="00A566E8"/>
    <w:rsid w:val="00A63CAF"/>
    <w:rsid w:val="00A66E7E"/>
    <w:rsid w:val="00A810F9"/>
    <w:rsid w:val="00A846D6"/>
    <w:rsid w:val="00A86ECC"/>
    <w:rsid w:val="00A86FCC"/>
    <w:rsid w:val="00A87DC7"/>
    <w:rsid w:val="00A91D74"/>
    <w:rsid w:val="00AA05AC"/>
    <w:rsid w:val="00AA087A"/>
    <w:rsid w:val="00AA298E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C658C"/>
    <w:rsid w:val="00AC7ADB"/>
    <w:rsid w:val="00AD0A03"/>
    <w:rsid w:val="00AD1492"/>
    <w:rsid w:val="00AD2EA0"/>
    <w:rsid w:val="00AD4A4E"/>
    <w:rsid w:val="00AD5C65"/>
    <w:rsid w:val="00AE19DE"/>
    <w:rsid w:val="00AE2D4B"/>
    <w:rsid w:val="00AE3772"/>
    <w:rsid w:val="00AE3FB3"/>
    <w:rsid w:val="00AE4F99"/>
    <w:rsid w:val="00AF19C9"/>
    <w:rsid w:val="00B0456F"/>
    <w:rsid w:val="00B11740"/>
    <w:rsid w:val="00B14952"/>
    <w:rsid w:val="00B1769B"/>
    <w:rsid w:val="00B21BA7"/>
    <w:rsid w:val="00B21C01"/>
    <w:rsid w:val="00B2646D"/>
    <w:rsid w:val="00B30CCF"/>
    <w:rsid w:val="00B31E5A"/>
    <w:rsid w:val="00B407D3"/>
    <w:rsid w:val="00B42455"/>
    <w:rsid w:val="00B44C5A"/>
    <w:rsid w:val="00B465A7"/>
    <w:rsid w:val="00B55F47"/>
    <w:rsid w:val="00B6240E"/>
    <w:rsid w:val="00B6523B"/>
    <w:rsid w:val="00B653AB"/>
    <w:rsid w:val="00B65F9E"/>
    <w:rsid w:val="00B668FA"/>
    <w:rsid w:val="00B66B19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44CD"/>
    <w:rsid w:val="00BA6BF5"/>
    <w:rsid w:val="00BB4F09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C021FE"/>
    <w:rsid w:val="00C030DE"/>
    <w:rsid w:val="00C05C8B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47CE4"/>
    <w:rsid w:val="00C52C74"/>
    <w:rsid w:val="00C5434F"/>
    <w:rsid w:val="00C60835"/>
    <w:rsid w:val="00C64A37"/>
    <w:rsid w:val="00C7158E"/>
    <w:rsid w:val="00C7250B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3F80"/>
    <w:rsid w:val="00CB5FF0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8B7"/>
    <w:rsid w:val="00CF0172"/>
    <w:rsid w:val="00CF4099"/>
    <w:rsid w:val="00D00796"/>
    <w:rsid w:val="00D10E44"/>
    <w:rsid w:val="00D110E3"/>
    <w:rsid w:val="00D21D71"/>
    <w:rsid w:val="00D242EC"/>
    <w:rsid w:val="00D261A2"/>
    <w:rsid w:val="00D30D5C"/>
    <w:rsid w:val="00D30EF4"/>
    <w:rsid w:val="00D45A80"/>
    <w:rsid w:val="00D47F69"/>
    <w:rsid w:val="00D504E4"/>
    <w:rsid w:val="00D536C0"/>
    <w:rsid w:val="00D54994"/>
    <w:rsid w:val="00D569E3"/>
    <w:rsid w:val="00D616D2"/>
    <w:rsid w:val="00D631C8"/>
    <w:rsid w:val="00D63B5F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5A02"/>
    <w:rsid w:val="00DA7C1C"/>
    <w:rsid w:val="00DB147A"/>
    <w:rsid w:val="00DB1B7A"/>
    <w:rsid w:val="00DB562E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607F"/>
    <w:rsid w:val="00E15A67"/>
    <w:rsid w:val="00E16266"/>
    <w:rsid w:val="00E176B4"/>
    <w:rsid w:val="00E17B77"/>
    <w:rsid w:val="00E23337"/>
    <w:rsid w:val="00E245E1"/>
    <w:rsid w:val="00E24F07"/>
    <w:rsid w:val="00E259EA"/>
    <w:rsid w:val="00E31232"/>
    <w:rsid w:val="00E32061"/>
    <w:rsid w:val="00E322C8"/>
    <w:rsid w:val="00E34610"/>
    <w:rsid w:val="00E3705B"/>
    <w:rsid w:val="00E42FF9"/>
    <w:rsid w:val="00E457ED"/>
    <w:rsid w:val="00E4714C"/>
    <w:rsid w:val="00E51AEB"/>
    <w:rsid w:val="00E522A7"/>
    <w:rsid w:val="00E54452"/>
    <w:rsid w:val="00E57D4D"/>
    <w:rsid w:val="00E641D0"/>
    <w:rsid w:val="00E661E4"/>
    <w:rsid w:val="00E664C5"/>
    <w:rsid w:val="00E671A2"/>
    <w:rsid w:val="00E67A9D"/>
    <w:rsid w:val="00E7580A"/>
    <w:rsid w:val="00E75F97"/>
    <w:rsid w:val="00E76D26"/>
    <w:rsid w:val="00E82DBC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D04D0"/>
    <w:rsid w:val="00ED55C0"/>
    <w:rsid w:val="00ED682B"/>
    <w:rsid w:val="00ED7983"/>
    <w:rsid w:val="00EE373E"/>
    <w:rsid w:val="00EE41D5"/>
    <w:rsid w:val="00EF767E"/>
    <w:rsid w:val="00F037A4"/>
    <w:rsid w:val="00F11509"/>
    <w:rsid w:val="00F137F7"/>
    <w:rsid w:val="00F17D27"/>
    <w:rsid w:val="00F245D9"/>
    <w:rsid w:val="00F26991"/>
    <w:rsid w:val="00F27C8F"/>
    <w:rsid w:val="00F32749"/>
    <w:rsid w:val="00F35AD5"/>
    <w:rsid w:val="00F37172"/>
    <w:rsid w:val="00F374DC"/>
    <w:rsid w:val="00F4477E"/>
    <w:rsid w:val="00F46B76"/>
    <w:rsid w:val="00F52D79"/>
    <w:rsid w:val="00F55F41"/>
    <w:rsid w:val="00F56F73"/>
    <w:rsid w:val="00F57745"/>
    <w:rsid w:val="00F6158E"/>
    <w:rsid w:val="00F64AC1"/>
    <w:rsid w:val="00F67D8F"/>
    <w:rsid w:val="00F802BE"/>
    <w:rsid w:val="00F84FEA"/>
    <w:rsid w:val="00F86024"/>
    <w:rsid w:val="00F8611A"/>
    <w:rsid w:val="00F9379A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5EA7"/>
    <w:rsid w:val="00FE6CB4"/>
    <w:rsid w:val="00FE705C"/>
    <w:rsid w:val="00FF4E3F"/>
    <w:rsid w:val="00FF5E10"/>
    <w:rsid w:val="00FF61A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tat.gov.pl/en/topics/industry-construction-fixed-assets/construction/housing-construction-i-iii-quarter-2018,2,29.html" TargetMode="External"/><Relationship Id="rId39" Type="http://schemas.openxmlformats.org/officeDocument/2006/relationships/hyperlink" Target="http://stat.gov.pl/en/metainformations/glossary/terms-used-in-official-statistics/945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topics/industry-construction-fixed-assets/construction/construction-results-in-2017,1,11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1.emf"/><Relationship Id="rId17" Type="http://schemas.openxmlformats.org/officeDocument/2006/relationships/footer" Target="footer2.xml"/><Relationship Id="rId25" Type="http://schemas.openxmlformats.org/officeDocument/2006/relationships/hyperlink" Target="http://stat.gov.pl/en/topics/industry-construction-fixed-assets/construction/construction-results-in-2017,1,11.html" TargetMode="External"/><Relationship Id="rId33" Type="http://schemas.openxmlformats.org/officeDocument/2006/relationships/hyperlink" Target="http://stat.gov.pl/en/topics/other-studies/informations-on-socio-economic-situation/socio-economic-situation-of-the-country-in-october-2018,1,90.html" TargetMode="External"/><Relationship Id="rId38" Type="http://schemas.openxmlformats.org/officeDocument/2006/relationships/hyperlink" Target="http://stat.gov.pl/en/metainformations/glossary/terms-used-in-official-statistics/3763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3763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topics/other-studies/informations-on-socio-economic-situation/socio-economic-situation-of-the-country-in-october-2018,1,90.html" TargetMode="External"/><Relationship Id="rId32" Type="http://schemas.openxmlformats.org/officeDocument/2006/relationships/hyperlink" Target="http://stat.gov.pl/en/metainformations/glossary/terms-used-in-official-statistics/201,term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en/metainformations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waid.stat.gov.pl/EN/SitePagesDBW/Budownictwo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EN/SitePagesDBW/Budownictwo.aspx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://stat.gov.pl/en/topics/industry-construction-fixed-assets/construction/housing-construction-i-iii-quarter-2018,2,29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DF9C80FC-8D86-47EC-9680-FC267F94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2018</vt:lpstr>
    </vt:vector>
  </TitlesOfParts>
  <Company>Statistics Poland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2018</dc:title>
  <dc:subject>Residential construction in the period of January-June 2018</dc:subject>
  <dc:creator>Statistics Poland</dc:creator>
  <cp:keywords>dwellings completed; dwellings under construction; dwellings started; building permit; useful floor area</cp:keywords>
  <dc:description>Residential construction in the period of January-June 2018</dc:description>
  <cp:lastModifiedBy>Powęska Anna</cp:lastModifiedBy>
  <cp:revision>21</cp:revision>
  <cp:lastPrinted>2018-10-15T06:22:00Z</cp:lastPrinted>
  <dcterms:created xsi:type="dcterms:W3CDTF">2018-12-13T18:32:00Z</dcterms:created>
  <dcterms:modified xsi:type="dcterms:W3CDTF">2018-12-17T10:18:00Z</dcterms:modified>
  <cp:category>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