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6640AA" w:rsidRDefault="00557E41" w:rsidP="00AD4947">
      <w:pPr>
        <w:pStyle w:val="tytuinformacji"/>
        <w:rPr>
          <w:sz w:val="32"/>
          <w:szCs w:val="32"/>
          <w:lang w:val="en-GB"/>
        </w:rPr>
      </w:pPr>
      <w:r w:rsidRPr="0045523A">
        <w:rPr>
          <w:lang w:val="en-GB"/>
        </w:rPr>
        <w:t xml:space="preserve">Flash estimate </w:t>
      </w:r>
      <w:r w:rsidR="00254B49" w:rsidRPr="0045523A">
        <w:rPr>
          <w:lang w:val="en-GB"/>
        </w:rPr>
        <w:t>of the c</w:t>
      </w:r>
      <w:r w:rsidR="00D023D9" w:rsidRPr="0045523A">
        <w:rPr>
          <w:lang w:val="en-GB"/>
        </w:rPr>
        <w:t>onsumer price ind</w:t>
      </w:r>
      <w:r w:rsidR="00045373" w:rsidRPr="0045523A">
        <w:rPr>
          <w:lang w:val="en-GB"/>
        </w:rPr>
        <w:t>ex</w:t>
      </w:r>
      <w:r w:rsidR="00DC2D76" w:rsidRPr="0045523A">
        <w:rPr>
          <w:lang w:val="en-GB"/>
        </w:rPr>
        <w:br/>
      </w:r>
      <w:r w:rsidR="009C53A5" w:rsidRPr="0045523A">
        <w:rPr>
          <w:lang w:val="en-GB"/>
        </w:rPr>
        <w:t xml:space="preserve">in </w:t>
      </w:r>
      <w:r w:rsidR="00F64603">
        <w:rPr>
          <w:lang w:val="en-GB"/>
        </w:rPr>
        <w:t>July</w:t>
      </w:r>
      <w:r w:rsidR="009C53A5" w:rsidRPr="0045523A">
        <w:rPr>
          <w:lang w:val="en-GB"/>
        </w:rPr>
        <w:t xml:space="preserve"> </w:t>
      </w:r>
      <w:r w:rsidR="00EE696D" w:rsidRPr="0045523A">
        <w:rPr>
          <w:lang w:val="en-GB"/>
        </w:rPr>
        <w:t>2018</w:t>
      </w:r>
      <w:r w:rsidR="006640AA">
        <w:rPr>
          <w:lang w:val="en-GB"/>
        </w:rPr>
        <w:br/>
      </w:r>
    </w:p>
    <w:p w:rsidR="00D538E4" w:rsidRPr="006640AA" w:rsidRDefault="003E56F6" w:rsidP="00AF0861">
      <w:pPr>
        <w:pStyle w:val="LID"/>
        <w:rPr>
          <w:noProof w:val="0"/>
          <w:color w:val="000000" w:themeColor="text1"/>
          <w:lang w:val="en-GB"/>
        </w:rPr>
      </w:pPr>
      <w:r>
        <w:rPr>
          <w:noProof w:val="0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<v:textbox style="mso-next-textbox:#_x0000_s1073">
              <w:txbxContent>
                <w:p w:rsidR="00557E41" w:rsidRPr="00FA7BB3" w:rsidRDefault="00557E41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 wp14:anchorId="360BBCC2" wp14:editId="7B552EA6">
                        <wp:extent cx="334645" cy="334645"/>
                        <wp:effectExtent l="0" t="0" r="0" b="0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A7BB3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 w:rsidR="00376AC7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0,</w:t>
                  </w:r>
                  <w:r w:rsidR="0093571C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1</w:t>
                  </w:r>
                  <w:r w:rsidR="00096A1A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%</w:t>
                  </w:r>
                </w:p>
                <w:p w:rsidR="00557E41" w:rsidRPr="00FA7BB3" w:rsidRDefault="00943A2C" w:rsidP="00D538E4">
                  <w:pPr>
                    <w:pStyle w:val="tekstnaniebieskimtle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a </w:t>
                  </w:r>
                  <w:r w:rsidR="00234A70">
                    <w:rPr>
                      <w:lang w:val="en-GB"/>
                    </w:rPr>
                    <w:t>decrease</w:t>
                  </w:r>
                  <w:r w:rsidR="00096A1A">
                    <w:rPr>
                      <w:lang w:val="en-GB"/>
                    </w:rPr>
                    <w:t xml:space="preserve"> </w:t>
                  </w:r>
                  <w:r w:rsidR="00557E41" w:rsidRPr="00FA7BB3">
                    <w:rPr>
                      <w:lang w:val="en-GB"/>
                    </w:rPr>
                    <w:t>c</w:t>
                  </w:r>
                  <w:r>
                    <w:rPr>
                      <w:lang w:val="en-GB"/>
                    </w:rPr>
                    <w:t>ompared with the previous month</w:t>
                  </w:r>
                </w:p>
                <w:p w:rsidR="00557E41" w:rsidRPr="00FA7BB3" w:rsidRDefault="00557E41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</w:p>
              </w:txbxContent>
            </v:textbox>
            <w10:wrap type="square" anchorx="margin"/>
          </v:shape>
        </w:pict>
      </w:r>
      <w:r w:rsidR="008B5560" w:rsidRPr="0045523A">
        <w:rPr>
          <w:noProof w:val="0"/>
          <w:lang w:val="en-GB"/>
        </w:rPr>
        <w:t>C</w:t>
      </w:r>
      <w:r w:rsidR="003D6699" w:rsidRPr="0045523A">
        <w:rPr>
          <w:noProof w:val="0"/>
          <w:lang w:val="en-GB"/>
        </w:rPr>
        <w:t>onsumer prices</w:t>
      </w:r>
      <w:r w:rsidR="00ED2BBC" w:rsidRPr="0045523A">
        <w:rPr>
          <w:noProof w:val="0"/>
          <w:lang w:val="en-GB"/>
        </w:rPr>
        <w:t xml:space="preserve"> </w:t>
      </w:r>
      <w:r w:rsidR="00443AE1">
        <w:rPr>
          <w:noProof w:val="0"/>
          <w:lang w:val="en-GB"/>
        </w:rPr>
        <w:t>according to the</w:t>
      </w:r>
      <w:r w:rsidR="008B5560" w:rsidRPr="0045523A">
        <w:rPr>
          <w:noProof w:val="0"/>
          <w:lang w:val="en-GB"/>
        </w:rPr>
        <w:t xml:space="preserve"> flash estimate in </w:t>
      </w:r>
      <w:r w:rsidR="00867962">
        <w:rPr>
          <w:noProof w:val="0"/>
          <w:lang w:val="en-GB"/>
        </w:rPr>
        <w:t>Ju</w:t>
      </w:r>
      <w:r w:rsidR="00234A70">
        <w:rPr>
          <w:noProof w:val="0"/>
          <w:lang w:val="en-GB"/>
        </w:rPr>
        <w:t>ly</w:t>
      </w:r>
      <w:r w:rsidR="008B5560" w:rsidRPr="0045523A">
        <w:rPr>
          <w:noProof w:val="0"/>
          <w:lang w:val="en-GB"/>
        </w:rPr>
        <w:t xml:space="preserve"> 2018, compared with the previous month, </w:t>
      </w:r>
      <w:r w:rsidR="00234A70">
        <w:rPr>
          <w:noProof w:val="0"/>
          <w:lang w:val="en-GB"/>
        </w:rPr>
        <w:t>de</w:t>
      </w:r>
      <w:r w:rsidR="00436DC5" w:rsidRPr="0045523A">
        <w:rPr>
          <w:noProof w:val="0"/>
          <w:color w:val="000000" w:themeColor="text1"/>
          <w:lang w:val="en-GB"/>
        </w:rPr>
        <w:t xml:space="preserve">creased </w:t>
      </w:r>
      <w:r w:rsidR="0045523A">
        <w:rPr>
          <w:noProof w:val="0"/>
          <w:color w:val="000000" w:themeColor="text1"/>
          <w:lang w:val="en-GB"/>
        </w:rPr>
        <w:t>by </w:t>
      </w:r>
      <w:r w:rsidR="006643B5">
        <w:rPr>
          <w:noProof w:val="0"/>
          <w:color w:val="000000" w:themeColor="text1"/>
          <w:lang w:val="en-GB"/>
        </w:rPr>
        <w:t>0,</w:t>
      </w:r>
      <w:r w:rsidR="004B16F6">
        <w:rPr>
          <w:noProof w:val="0"/>
          <w:color w:val="000000" w:themeColor="text1"/>
          <w:lang w:val="en-GB"/>
        </w:rPr>
        <w:t>1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6643B5">
        <w:rPr>
          <w:noProof w:val="0"/>
          <w:color w:val="000000" w:themeColor="text1"/>
          <w:lang w:val="en-GB"/>
        </w:rPr>
        <w:t xml:space="preserve">price index </w:t>
      </w:r>
      <w:r w:rsidR="00234A70">
        <w:rPr>
          <w:noProof w:val="0"/>
          <w:color w:val="000000" w:themeColor="text1"/>
          <w:lang w:val="en-GB"/>
        </w:rPr>
        <w:t>99,9</w:t>
      </w:r>
      <w:r w:rsidR="0003406D" w:rsidRPr="0045523A">
        <w:rPr>
          <w:noProof w:val="0"/>
          <w:color w:val="000000" w:themeColor="text1"/>
          <w:lang w:val="en-GB"/>
        </w:rPr>
        <w:t>), and c</w:t>
      </w:r>
      <w:r w:rsidR="00A628EA" w:rsidRPr="0045523A">
        <w:rPr>
          <w:noProof w:val="0"/>
          <w:lang w:val="en-GB"/>
        </w:rPr>
        <w:t>ompared</w:t>
      </w:r>
      <w:r w:rsidR="00436DC5" w:rsidRPr="0045523A">
        <w:rPr>
          <w:noProof w:val="0"/>
          <w:lang w:val="en-GB"/>
        </w:rPr>
        <w:t xml:space="preserve"> with the </w:t>
      </w:r>
      <w:r w:rsidR="00410C7A" w:rsidRPr="0045523A">
        <w:rPr>
          <w:noProof w:val="0"/>
          <w:lang w:val="en-GB"/>
        </w:rPr>
        <w:t>corresponding month of the previous year</w:t>
      </w:r>
      <w:r w:rsidR="00CA17EA" w:rsidRPr="0045523A">
        <w:rPr>
          <w:noProof w:val="0"/>
          <w:color w:val="000000" w:themeColor="text1"/>
          <w:lang w:val="en-GB"/>
        </w:rPr>
        <w:t xml:space="preserve"> </w:t>
      </w:r>
      <w:r w:rsidR="00410C7A" w:rsidRPr="0045523A">
        <w:rPr>
          <w:noProof w:val="0"/>
          <w:color w:val="000000" w:themeColor="text1"/>
          <w:lang w:val="en-GB"/>
        </w:rPr>
        <w:t>increase</w:t>
      </w:r>
      <w:r w:rsidR="00CA17EA" w:rsidRPr="0045523A">
        <w:rPr>
          <w:noProof w:val="0"/>
          <w:color w:val="000000" w:themeColor="text1"/>
          <w:lang w:val="en-GB"/>
        </w:rPr>
        <w:t>d</w:t>
      </w:r>
      <w:r w:rsidR="00410C7A" w:rsidRPr="0045523A">
        <w:rPr>
          <w:noProof w:val="0"/>
          <w:color w:val="000000" w:themeColor="text1"/>
          <w:lang w:val="en-GB"/>
        </w:rPr>
        <w:t xml:space="preserve"> </w:t>
      </w:r>
      <w:r w:rsidR="0045523A">
        <w:rPr>
          <w:noProof w:val="0"/>
          <w:color w:val="000000" w:themeColor="text1"/>
          <w:lang w:val="en-GB"/>
        </w:rPr>
        <w:t>by </w:t>
      </w:r>
      <w:r w:rsidR="007115B9">
        <w:rPr>
          <w:noProof w:val="0"/>
          <w:color w:val="000000" w:themeColor="text1"/>
          <w:lang w:val="en-GB"/>
        </w:rPr>
        <w:t>2</w:t>
      </w:r>
      <w:r w:rsidR="0003406D" w:rsidRPr="0045523A">
        <w:rPr>
          <w:noProof w:val="0"/>
          <w:color w:val="000000" w:themeColor="text1"/>
          <w:lang w:val="en-GB"/>
        </w:rPr>
        <w:t>,</w:t>
      </w:r>
      <w:r w:rsidR="007115B9">
        <w:rPr>
          <w:noProof w:val="0"/>
          <w:color w:val="000000" w:themeColor="text1"/>
          <w:lang w:val="en-GB"/>
        </w:rPr>
        <w:t>0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7115B9">
        <w:rPr>
          <w:noProof w:val="0"/>
          <w:color w:val="000000" w:themeColor="text1"/>
          <w:lang w:val="en-GB"/>
        </w:rPr>
        <w:t>price index 102,0</w:t>
      </w:r>
      <w:r w:rsidR="00D538E4" w:rsidRPr="0045523A">
        <w:rPr>
          <w:noProof w:val="0"/>
          <w:color w:val="000000" w:themeColor="text1"/>
          <w:lang w:val="en-GB"/>
        </w:rPr>
        <w:t>).</w:t>
      </w:r>
    </w:p>
    <w:p w:rsidR="00D538E4" w:rsidRPr="006640AA" w:rsidRDefault="00D538E4" w:rsidP="00D538E4">
      <w:pPr>
        <w:pStyle w:val="Nagwek1"/>
        <w:spacing w:before="0"/>
        <w:rPr>
          <w:rFonts w:ascii="Fira Sans" w:hAnsi="Fira Sans"/>
          <w:b/>
          <w:color w:val="000000" w:themeColor="text1"/>
          <w:spacing w:val="-2"/>
          <w:szCs w:val="19"/>
          <w:lang w:val="en-GB"/>
        </w:rPr>
      </w:pPr>
    </w:p>
    <w:p w:rsidR="00AF0861" w:rsidRPr="0045523A" w:rsidRDefault="00AF0861" w:rsidP="00AF0861">
      <w:pPr>
        <w:rPr>
          <w:lang w:val="en-GB" w:eastAsia="pl-PL"/>
        </w:rPr>
      </w:pPr>
    </w:p>
    <w:p w:rsidR="00AD4947" w:rsidRPr="0045523A" w:rsidRDefault="00AD4947" w:rsidP="00D538E4">
      <w:pPr>
        <w:pStyle w:val="tytuwykresu"/>
        <w:rPr>
          <w:lang w:val="en-GB"/>
        </w:rPr>
      </w:pPr>
      <w:r w:rsidRPr="0045523A">
        <w:rPr>
          <w:lang w:val="en-GB"/>
        </w:rPr>
        <w:t>Tab</w:t>
      </w:r>
      <w:r w:rsidR="00DC2D76" w:rsidRPr="0045523A">
        <w:rPr>
          <w:lang w:val="en-GB"/>
        </w:rPr>
        <w:t>le</w:t>
      </w:r>
      <w:r w:rsidRPr="0045523A">
        <w:rPr>
          <w:lang w:val="en-GB"/>
        </w:rPr>
        <w:t xml:space="preserve"> 1.</w:t>
      </w:r>
      <w:r w:rsidRPr="0045523A">
        <w:rPr>
          <w:shd w:val="clear" w:color="auto" w:fill="FFFFFF"/>
          <w:lang w:val="en-GB"/>
        </w:rPr>
        <w:t xml:space="preserve"> </w:t>
      </w:r>
      <w:r w:rsidR="00D06CF0" w:rsidRPr="0045523A">
        <w:rPr>
          <w:shd w:val="clear" w:color="auto" w:fill="FFFFFF"/>
          <w:lang w:val="en-GB"/>
        </w:rPr>
        <w:t>Flash estimate of the c</w:t>
      </w:r>
      <w:r w:rsidR="00DC2D76" w:rsidRPr="0045523A">
        <w:rPr>
          <w:bCs/>
          <w:shd w:val="clear" w:color="auto" w:fill="FFFFFF"/>
          <w:lang w:val="en-GB"/>
        </w:rPr>
        <w:t>onsumer price ind</w:t>
      </w:r>
      <w:r w:rsidR="00D06CF0" w:rsidRPr="0045523A">
        <w:rPr>
          <w:bCs/>
          <w:shd w:val="clear" w:color="auto" w:fill="FFFFFF"/>
          <w:lang w:val="en-GB"/>
        </w:rPr>
        <w:t xml:space="preserve">ex in </w:t>
      </w:r>
      <w:r w:rsidR="007115B9">
        <w:rPr>
          <w:bCs/>
          <w:shd w:val="clear" w:color="auto" w:fill="FFFFFF"/>
          <w:lang w:val="en-GB"/>
        </w:rPr>
        <w:t>July</w:t>
      </w:r>
      <w:r w:rsidRPr="0045523A">
        <w:rPr>
          <w:lang w:val="en-GB"/>
        </w:rPr>
        <w:t xml:space="preserve"> 2018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7115B9" w:rsidRPr="0045523A" w:rsidTr="00AC56C4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115B9" w:rsidRPr="0045523A" w:rsidRDefault="007115B9" w:rsidP="007115B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115B9" w:rsidRPr="00A26AA7" w:rsidRDefault="007115B9" w:rsidP="007115B9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>
              <w:rPr>
                <w:rFonts w:ascii="Fira Sans" w:hAnsi="Fira Sans"/>
                <w:color w:val="000000"/>
                <w:sz w:val="16"/>
                <w:szCs w:val="16"/>
              </w:rPr>
              <w:t>II</w:t>
            </w: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7115B9" w:rsidRPr="0045523A" w:rsidTr="00AC56C4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115B9" w:rsidRPr="0045523A" w:rsidRDefault="007115B9" w:rsidP="007115B9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115B9" w:rsidRPr="00A26AA7" w:rsidRDefault="007115B9" w:rsidP="007115B9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>
              <w:rPr>
                <w:rFonts w:ascii="Fira Sans" w:hAnsi="Fira Sans"/>
                <w:color w:val="000000"/>
                <w:sz w:val="16"/>
                <w:szCs w:val="16"/>
              </w:rPr>
              <w:t>II</w:t>
            </w: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115B9" w:rsidRPr="00A26AA7" w:rsidRDefault="007115B9" w:rsidP="007115B9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B8376F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501546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5042FA" w:rsidRPr="0045523A" w:rsidTr="00BD3674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042FA" w:rsidRPr="0045523A" w:rsidRDefault="005042FA" w:rsidP="005042FA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042FA" w:rsidRPr="00A26AA7" w:rsidRDefault="005042FA" w:rsidP="005042F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2</w:t>
            </w:r>
            <w:r w:rsidRPr="00A26AA7"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042FA" w:rsidRPr="00A26AA7" w:rsidRDefault="005042FA" w:rsidP="005042F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99</w:t>
            </w:r>
            <w:r w:rsidRPr="00A26AA7"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9</w:t>
            </w:r>
          </w:p>
        </w:tc>
      </w:tr>
      <w:tr w:rsidR="005042FA" w:rsidRPr="0045523A" w:rsidTr="00BD3674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042FA" w:rsidRPr="0045523A" w:rsidRDefault="005042FA" w:rsidP="005042FA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042FA" w:rsidRPr="00A26AA7" w:rsidRDefault="005042FA" w:rsidP="005042F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</w:t>
            </w:r>
            <w:r w:rsidRPr="00A26AA7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042FA" w:rsidRPr="00A26AA7" w:rsidRDefault="005042FA" w:rsidP="005042F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99,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042FA" w:rsidRPr="0045523A" w:rsidTr="00BD3674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042FA" w:rsidRPr="0045523A" w:rsidRDefault="005042FA" w:rsidP="005042FA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042FA" w:rsidRPr="00A26AA7" w:rsidRDefault="005042FA" w:rsidP="005042F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101,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042FA" w:rsidRPr="00A26AA7" w:rsidRDefault="005042FA" w:rsidP="005042F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  <w:bookmarkStart w:id="0" w:name="_GoBack"/>
            <w:bookmarkEnd w:id="0"/>
            <w:r>
              <w:rPr>
                <w:rFonts w:cs="Arial"/>
                <w:color w:val="000000"/>
                <w:sz w:val="16"/>
                <w:szCs w:val="16"/>
              </w:rPr>
              <w:t>,1</w:t>
            </w:r>
          </w:p>
        </w:tc>
      </w:tr>
      <w:tr w:rsidR="005042FA" w:rsidRPr="0045523A" w:rsidTr="00BD3674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5042FA" w:rsidRPr="0045523A" w:rsidRDefault="005042FA" w:rsidP="005042FA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5042FA" w:rsidRPr="00A26AA7" w:rsidRDefault="005042FA" w:rsidP="005042F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color w:val="000000"/>
                <w:sz w:val="16"/>
                <w:szCs w:val="16"/>
              </w:rPr>
              <w:t>18</w:t>
            </w:r>
            <w:r w:rsidRPr="00A26AA7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5042FA" w:rsidRPr="00A26AA7" w:rsidRDefault="005042FA" w:rsidP="005042F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Pr="00A26AA7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</w:tbl>
    <w:p w:rsidR="00FC5C56" w:rsidRPr="0045523A" w:rsidRDefault="00FC5C56" w:rsidP="00D538E4">
      <w:pPr>
        <w:pStyle w:val="tytuwykresu"/>
        <w:rPr>
          <w:lang w:val="en-GB"/>
        </w:rPr>
      </w:pPr>
    </w:p>
    <w:p w:rsidR="003A440F" w:rsidRDefault="00915396" w:rsidP="00C27D75">
      <w:pPr>
        <w:pStyle w:val="tytuwykresu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78048" behindDoc="0" locked="0" layoutInCell="1" allowOverlap="1" wp14:anchorId="65BBEC82" wp14:editId="756D327B">
            <wp:simplePos x="0" y="0"/>
            <wp:positionH relativeFrom="column">
              <wp:posOffset>-133350</wp:posOffset>
            </wp:positionH>
            <wp:positionV relativeFrom="paragraph">
              <wp:posOffset>408940</wp:posOffset>
            </wp:positionV>
            <wp:extent cx="5122545" cy="2814320"/>
            <wp:effectExtent l="0" t="0" r="0" b="508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8EA" w:rsidRPr="0045523A">
        <w:rPr>
          <w:lang w:val="en-GB"/>
        </w:rPr>
        <w:t>Chart</w:t>
      </w:r>
      <w:r w:rsidR="008C11D8" w:rsidRPr="0045523A">
        <w:rPr>
          <w:lang w:val="en-GB"/>
        </w:rPr>
        <w:t xml:space="preserve"> </w:t>
      </w:r>
      <w:r w:rsidR="00EB118E" w:rsidRPr="0045523A">
        <w:rPr>
          <w:lang w:val="en-GB"/>
        </w:rPr>
        <w:t>1</w:t>
      </w:r>
      <w:r w:rsidR="003A440F" w:rsidRPr="0045523A">
        <w:rPr>
          <w:lang w:val="en-GB"/>
        </w:rPr>
        <w:t>.</w:t>
      </w:r>
      <w:r w:rsidR="003A440F" w:rsidRPr="0045523A">
        <w:rPr>
          <w:shd w:val="clear" w:color="auto" w:fill="FFFFFF"/>
          <w:lang w:val="en-GB"/>
        </w:rPr>
        <w:t xml:space="preserve"> </w:t>
      </w:r>
      <w:r w:rsidR="00D76B92">
        <w:rPr>
          <w:shd w:val="clear" w:color="auto" w:fill="FFFFFF"/>
          <w:lang w:val="en-GB"/>
        </w:rPr>
        <w:t>Consumer prices</w:t>
      </w:r>
      <w:r w:rsidR="00A249BA" w:rsidRPr="0045523A">
        <w:rPr>
          <w:shd w:val="clear" w:color="auto" w:fill="FFFFFF"/>
          <w:lang w:val="en-GB"/>
        </w:rPr>
        <w:t>*</w:t>
      </w:r>
      <w:r w:rsidR="00A249BA" w:rsidRPr="0045523A">
        <w:rPr>
          <w:shd w:val="clear" w:color="auto" w:fill="FFFFFF"/>
          <w:lang w:val="en-GB"/>
        </w:rPr>
        <w:br/>
      </w:r>
      <w:r w:rsidR="008C11D8" w:rsidRPr="0045523A">
        <w:rPr>
          <w:shd w:val="clear" w:color="auto" w:fill="FFFFFF"/>
          <w:lang w:val="en-GB"/>
        </w:rPr>
        <w:t>(</w:t>
      </w:r>
      <w:r w:rsidR="00A249BA" w:rsidRPr="0045523A">
        <w:rPr>
          <w:shd w:val="clear" w:color="auto" w:fill="FFFFFF"/>
          <w:lang w:val="en-GB"/>
        </w:rPr>
        <w:t>change in % compared with the corresponding period of the previous year</w:t>
      </w:r>
      <w:r w:rsidR="008C11D8" w:rsidRPr="0045523A">
        <w:rPr>
          <w:shd w:val="clear" w:color="auto" w:fill="FFFFFF"/>
          <w:lang w:val="en-GB"/>
        </w:rPr>
        <w:t>)</w:t>
      </w:r>
    </w:p>
    <w:p w:rsidR="00915396" w:rsidRDefault="00915396" w:rsidP="00C27D75">
      <w:pPr>
        <w:pStyle w:val="tytuwykresu"/>
        <w:rPr>
          <w:shd w:val="clear" w:color="auto" w:fill="FFFFFF"/>
          <w:lang w:val="en-GB"/>
        </w:rPr>
      </w:pPr>
    </w:p>
    <w:p w:rsidR="00A07F00" w:rsidRPr="0045523A" w:rsidRDefault="00FF1624" w:rsidP="00FF1624">
      <w:pPr>
        <w:pStyle w:val="LID"/>
        <w:rPr>
          <w:noProof w:val="0"/>
          <w:lang w:val="en-GB"/>
        </w:rPr>
      </w:pPr>
      <w:r w:rsidRPr="0045523A">
        <w:rPr>
          <w:b w:val="0"/>
          <w:noProof w:val="0"/>
          <w:lang w:val="en-GB" w:eastAsia="en-GB"/>
        </w:rPr>
        <w:t xml:space="preserve"> </w:t>
      </w:r>
    </w:p>
    <w:p w:rsidR="00EB118E" w:rsidRPr="0045523A" w:rsidRDefault="00EB118E" w:rsidP="00EB118E">
      <w:pPr>
        <w:tabs>
          <w:tab w:val="right" w:leader="dot" w:pos="4156"/>
        </w:tabs>
        <w:contextualSpacing/>
        <w:rPr>
          <w:rFonts w:cstheme="majorBidi"/>
          <w:bCs/>
          <w:color w:val="000000" w:themeColor="text1"/>
          <w:sz w:val="16"/>
          <w:szCs w:val="16"/>
          <w:lang w:val="en-GB"/>
        </w:rPr>
      </w:pPr>
      <w:r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* 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Final data with the exception of the information prepared according to the flash estimate in </w:t>
      </w:r>
      <w:r w:rsidR="00B843DE">
        <w:rPr>
          <w:rFonts w:cstheme="majorBidi"/>
          <w:bCs/>
          <w:color w:val="000000" w:themeColor="text1"/>
          <w:sz w:val="16"/>
          <w:szCs w:val="16"/>
          <w:lang w:val="en-GB"/>
        </w:rPr>
        <w:t>Ju</w:t>
      </w:r>
      <w:r w:rsidR="005042FA">
        <w:rPr>
          <w:rFonts w:cstheme="majorBidi"/>
          <w:bCs/>
          <w:color w:val="000000" w:themeColor="text1"/>
          <w:sz w:val="16"/>
          <w:szCs w:val="16"/>
          <w:lang w:val="en-GB"/>
        </w:rPr>
        <w:t>ly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 2018.</w:t>
      </w:r>
    </w:p>
    <w:p w:rsidR="00FF1624" w:rsidRPr="0045523A" w:rsidRDefault="00FF1624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45523A">
        <w:rPr>
          <w:lang w:val="en-GB"/>
        </w:rPr>
        <w:br w:type="page"/>
      </w:r>
    </w:p>
    <w:p w:rsidR="00685123" w:rsidRPr="0045523A" w:rsidRDefault="00685123" w:rsidP="00883763">
      <w:pPr>
        <w:spacing w:before="0" w:after="160" w:line="259" w:lineRule="auto"/>
        <w:rPr>
          <w:b/>
          <w:szCs w:val="19"/>
          <w:lang w:val="en-GB" w:eastAsia="pl-PL"/>
        </w:rPr>
        <w:sectPr w:rsidR="00685123" w:rsidRPr="0045523A" w:rsidSect="00EF7B36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45523A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501546" w:rsidTr="00EE696D">
        <w:trPr>
          <w:trHeight w:val="1912"/>
        </w:trPr>
        <w:tc>
          <w:tcPr>
            <w:tcW w:w="4379" w:type="dxa"/>
          </w:tcPr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18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19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45523A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01546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93E6F" w:rsidRPr="0045523A" w:rsidRDefault="00C93E6F" w:rsidP="00C93E6F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45523A" w:rsidRDefault="00C93E6F" w:rsidP="00C93E6F">
            <w:pPr>
              <w:rPr>
                <w:sz w:val="18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20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4DB522C3" wp14:editId="39037F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5638E0AE" wp14:editId="5F10564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10CA4D7E" wp14:editId="3C0B85A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20"/>
                <w:lang w:val="en-GB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D261A2" w:rsidRPr="0045523A" w:rsidRDefault="003E56F6" w:rsidP="00E76D26">
      <w:pPr>
        <w:rPr>
          <w:sz w:val="18"/>
          <w:lang w:val="en-GB"/>
        </w:rPr>
      </w:pPr>
      <w:r>
        <w:rPr>
          <w:sz w:val="18"/>
          <w:lang w:val="en-GB" w:eastAsia="pl-PL"/>
        </w:rPr>
        <w:pict>
          <v:shape id="_x0000_s1039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<v:textbox style="mso-next-textbox:#_x0000_s1039">
              <w:txbxContent>
                <w:p w:rsidR="00557E41" w:rsidRDefault="00557E41" w:rsidP="00883763">
                  <w:pPr>
                    <w:rPr>
                      <w:b/>
                    </w:rPr>
                  </w:pPr>
                </w:p>
                <w:p w:rsidR="00557E41" w:rsidRPr="00FA7BB3" w:rsidRDefault="00557E41" w:rsidP="00A757D7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557E41" w:rsidRPr="00FA7BB3" w:rsidRDefault="00B8376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4" w:history="1">
                    <w:r w:rsidR="00557E41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557E41" w:rsidRPr="00FA7BB3" w:rsidRDefault="003E56F6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r>
                    <w:fldChar w:fldCharType="begin"/>
                  </w:r>
                  <w:r w:rsidRPr="00501546">
                    <w:rPr>
                      <w:lang w:val="en-GB"/>
                    </w:rPr>
                    <w:instrText xml:space="preserve"> HYPERLINK "http://stat.gov.pl/en/latest-statistical-news/news-releases/" </w:instrText>
                  </w:r>
                  <w:r>
                    <w:fldChar w:fldCharType="separate"/>
                  </w:r>
                  <w:r w:rsidR="00557E41" w:rsidRPr="00FA7BB3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  <w:t>News releases</w:t>
                  </w:r>
                  <w: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  <w:fldChar w:fldCharType="end"/>
                  </w:r>
                </w:p>
                <w:p w:rsidR="00557E41" w:rsidRPr="00FA7BB3" w:rsidRDefault="00557E41" w:rsidP="0088376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57E41" w:rsidRPr="00FA7BB3" w:rsidRDefault="00557E41" w:rsidP="00A757D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557E41" w:rsidRPr="00C3205E" w:rsidRDefault="003E56F6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5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557E41" w:rsidRPr="00C3205E" w:rsidRDefault="003E56F6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6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557E41" w:rsidRPr="00C3205E" w:rsidRDefault="003E56F6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7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557E41" w:rsidRPr="00C3205E" w:rsidRDefault="003E56F6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8" w:history="1">
                    <w:r w:rsidR="00557E4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557E41" w:rsidRPr="00C3205E" w:rsidRDefault="003E56F6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9" w:history="1">
                    <w:r w:rsidR="00557E4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557E41" w:rsidRPr="00C3205E" w:rsidRDefault="00557E41" w:rsidP="0088376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57E41" w:rsidRPr="00BB6820" w:rsidRDefault="00557E41" w:rsidP="00A757D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557E41" w:rsidRPr="00C3205E" w:rsidRDefault="003E56F6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557E41" w:rsidRPr="00E233EA" w:rsidRDefault="003E56F6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31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45523A" w:rsidSect="00EF7B36">
      <w:headerReference w:type="default" r:id="rId32"/>
      <w:footerReference w:type="default" r:id="rId3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C4" w:rsidRDefault="00AC56C4" w:rsidP="000662E2">
      <w:pPr>
        <w:spacing w:after="0" w:line="240" w:lineRule="auto"/>
      </w:pPr>
      <w:r>
        <w:separator/>
      </w:r>
    </w:p>
  </w:endnote>
  <w:end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3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5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6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C4" w:rsidRDefault="00AC56C4" w:rsidP="000662E2">
      <w:pPr>
        <w:spacing w:after="0" w:line="240" w:lineRule="auto"/>
      </w:pPr>
      <w:r>
        <w:separator/>
      </w:r>
    </w:p>
  </w:footnote>
  <w:foot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41" w:rsidRDefault="003E56F6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</w:pict>
    </w:r>
  </w:p>
  <w:p w:rsidR="00557E41" w:rsidRDefault="00557E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DE" w:rsidRDefault="003E56F6" w:rsidP="00295D14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557E41" w:rsidRPr="003C6C8D" w:rsidRDefault="00557E41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D023D9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0.95pt;margin-top:40.3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  <w:r w:rsidR="00A53DDE">
      <w:rPr>
        <w:noProof/>
        <w:lang w:val="en-GB" w:eastAsia="en-GB"/>
      </w:rPr>
      <w:drawing>
        <wp:inline distT="0" distB="0" distL="0" distR="0" wp14:anchorId="606DA786" wp14:editId="69C0A967">
          <wp:extent cx="2904015" cy="72249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5D14">
      <w:rPr>
        <w:noProof/>
        <w:lang w:eastAsia="pl-PL"/>
      </w:rPr>
      <w:tab/>
    </w:r>
  </w:p>
  <w:p w:rsidR="00557E41" w:rsidRDefault="003E56F6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557E41" w:rsidRPr="00C97596" w:rsidRDefault="00663FCB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31</w:t>
                </w:r>
                <w:r w:rsidR="003E71CE">
                  <w:rPr>
                    <w:rFonts w:ascii="Fira Sans SemiBold" w:hAnsi="Fira Sans SemiBold"/>
                    <w:color w:val="001D77"/>
                  </w:rPr>
                  <w:t>.07</w:t>
                </w:r>
                <w:r w:rsidR="00557E41">
                  <w:rPr>
                    <w:rFonts w:ascii="Fira Sans SemiBold" w:hAnsi="Fira Sans SemiBold"/>
                    <w:color w:val="001D77"/>
                  </w:rPr>
                  <w:t>.2018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41" w:rsidRPr="004D214A" w:rsidRDefault="00557E41" w:rsidP="004D21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5.2pt;visibility:visible" o:bullet="t">
        <v:imagedata r:id="rId1" o:title=""/>
      </v:shape>
    </w:pict>
  </w:numPicBullet>
  <w:numPicBullet w:numPicBulletId="1">
    <w:pict>
      <v:shape id="_x0000_i1027" type="#_x0000_t75" style="width:123.9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108B8"/>
    <w:rsid w:val="00013EA1"/>
    <w:rsid w:val="00014433"/>
    <w:rsid w:val="000152F5"/>
    <w:rsid w:val="00023F0D"/>
    <w:rsid w:val="0003406D"/>
    <w:rsid w:val="00034160"/>
    <w:rsid w:val="000437BA"/>
    <w:rsid w:val="00045373"/>
    <w:rsid w:val="0004575D"/>
    <w:rsid w:val="0004582E"/>
    <w:rsid w:val="000470AA"/>
    <w:rsid w:val="00057CA1"/>
    <w:rsid w:val="000662E2"/>
    <w:rsid w:val="00066883"/>
    <w:rsid w:val="00074DD8"/>
    <w:rsid w:val="0007691B"/>
    <w:rsid w:val="00080425"/>
    <w:rsid w:val="000806F7"/>
    <w:rsid w:val="0008477B"/>
    <w:rsid w:val="000929AB"/>
    <w:rsid w:val="00096A1A"/>
    <w:rsid w:val="00097840"/>
    <w:rsid w:val="000A6963"/>
    <w:rsid w:val="000B0727"/>
    <w:rsid w:val="000B0BE5"/>
    <w:rsid w:val="000B2C03"/>
    <w:rsid w:val="000C135D"/>
    <w:rsid w:val="000C2A03"/>
    <w:rsid w:val="000C5CCA"/>
    <w:rsid w:val="000D08FB"/>
    <w:rsid w:val="000D1D43"/>
    <w:rsid w:val="000D225C"/>
    <w:rsid w:val="000D2A5C"/>
    <w:rsid w:val="000D3782"/>
    <w:rsid w:val="000D51FB"/>
    <w:rsid w:val="000E0918"/>
    <w:rsid w:val="000E1B29"/>
    <w:rsid w:val="000F2896"/>
    <w:rsid w:val="001011C3"/>
    <w:rsid w:val="00107A79"/>
    <w:rsid w:val="00110D87"/>
    <w:rsid w:val="001149A1"/>
    <w:rsid w:val="00114DB9"/>
    <w:rsid w:val="00115755"/>
    <w:rsid w:val="00116087"/>
    <w:rsid w:val="00130296"/>
    <w:rsid w:val="00135B65"/>
    <w:rsid w:val="001366D2"/>
    <w:rsid w:val="001423B6"/>
    <w:rsid w:val="0014356B"/>
    <w:rsid w:val="001448A7"/>
    <w:rsid w:val="00146621"/>
    <w:rsid w:val="00162325"/>
    <w:rsid w:val="00167ED2"/>
    <w:rsid w:val="001737C3"/>
    <w:rsid w:val="00186FB8"/>
    <w:rsid w:val="001951DA"/>
    <w:rsid w:val="00196AFE"/>
    <w:rsid w:val="001B2910"/>
    <w:rsid w:val="001C3269"/>
    <w:rsid w:val="001C4EEC"/>
    <w:rsid w:val="001D1DB4"/>
    <w:rsid w:val="001E1D94"/>
    <w:rsid w:val="001E7DBB"/>
    <w:rsid w:val="001F529F"/>
    <w:rsid w:val="001F545F"/>
    <w:rsid w:val="001F597A"/>
    <w:rsid w:val="00221842"/>
    <w:rsid w:val="0022376E"/>
    <w:rsid w:val="00226989"/>
    <w:rsid w:val="00234A70"/>
    <w:rsid w:val="002420F4"/>
    <w:rsid w:val="00246B07"/>
    <w:rsid w:val="002519E0"/>
    <w:rsid w:val="00254B49"/>
    <w:rsid w:val="00255303"/>
    <w:rsid w:val="002574F9"/>
    <w:rsid w:val="00262B61"/>
    <w:rsid w:val="00276811"/>
    <w:rsid w:val="00276C9A"/>
    <w:rsid w:val="00277989"/>
    <w:rsid w:val="00282699"/>
    <w:rsid w:val="00284562"/>
    <w:rsid w:val="002926DF"/>
    <w:rsid w:val="002951BB"/>
    <w:rsid w:val="00295705"/>
    <w:rsid w:val="00295D14"/>
    <w:rsid w:val="00296697"/>
    <w:rsid w:val="002A36AC"/>
    <w:rsid w:val="002A43E6"/>
    <w:rsid w:val="002A4D80"/>
    <w:rsid w:val="002A50E0"/>
    <w:rsid w:val="002A699B"/>
    <w:rsid w:val="002B0472"/>
    <w:rsid w:val="002B6B12"/>
    <w:rsid w:val="002C0298"/>
    <w:rsid w:val="002C08BF"/>
    <w:rsid w:val="002C08EC"/>
    <w:rsid w:val="002C440C"/>
    <w:rsid w:val="002D0020"/>
    <w:rsid w:val="002D32D1"/>
    <w:rsid w:val="002E6140"/>
    <w:rsid w:val="002E6985"/>
    <w:rsid w:val="002E71B6"/>
    <w:rsid w:val="002F753B"/>
    <w:rsid w:val="002F77C8"/>
    <w:rsid w:val="003016C6"/>
    <w:rsid w:val="00304F22"/>
    <w:rsid w:val="00306C7C"/>
    <w:rsid w:val="00310F4D"/>
    <w:rsid w:val="00315B54"/>
    <w:rsid w:val="00316AE5"/>
    <w:rsid w:val="003212C7"/>
    <w:rsid w:val="00322EDD"/>
    <w:rsid w:val="00326C37"/>
    <w:rsid w:val="00331D17"/>
    <w:rsid w:val="00332320"/>
    <w:rsid w:val="003337A8"/>
    <w:rsid w:val="00345AB2"/>
    <w:rsid w:val="00346A13"/>
    <w:rsid w:val="00347D72"/>
    <w:rsid w:val="0035003E"/>
    <w:rsid w:val="003560F1"/>
    <w:rsid w:val="00357611"/>
    <w:rsid w:val="00367237"/>
    <w:rsid w:val="0037077F"/>
    <w:rsid w:val="00372411"/>
    <w:rsid w:val="00373882"/>
    <w:rsid w:val="00376AC7"/>
    <w:rsid w:val="003843DB"/>
    <w:rsid w:val="003901AC"/>
    <w:rsid w:val="00393761"/>
    <w:rsid w:val="00397D18"/>
    <w:rsid w:val="003A1B36"/>
    <w:rsid w:val="003A440F"/>
    <w:rsid w:val="003B1454"/>
    <w:rsid w:val="003B18B6"/>
    <w:rsid w:val="003B761D"/>
    <w:rsid w:val="003C4E26"/>
    <w:rsid w:val="003C59E0"/>
    <w:rsid w:val="003C6C8D"/>
    <w:rsid w:val="003D4F95"/>
    <w:rsid w:val="003D5F42"/>
    <w:rsid w:val="003D60A9"/>
    <w:rsid w:val="003D6699"/>
    <w:rsid w:val="003D7448"/>
    <w:rsid w:val="003E56F6"/>
    <w:rsid w:val="003E71CE"/>
    <w:rsid w:val="003F0FDA"/>
    <w:rsid w:val="003F4C97"/>
    <w:rsid w:val="003F7FE6"/>
    <w:rsid w:val="00400193"/>
    <w:rsid w:val="00410C7A"/>
    <w:rsid w:val="00413A48"/>
    <w:rsid w:val="00420636"/>
    <w:rsid w:val="004212E7"/>
    <w:rsid w:val="0042446D"/>
    <w:rsid w:val="00427BF8"/>
    <w:rsid w:val="00431C02"/>
    <w:rsid w:val="004356C9"/>
    <w:rsid w:val="00435B2F"/>
    <w:rsid w:val="00436DC5"/>
    <w:rsid w:val="00437395"/>
    <w:rsid w:val="00441872"/>
    <w:rsid w:val="00443AE1"/>
    <w:rsid w:val="00445047"/>
    <w:rsid w:val="0045523A"/>
    <w:rsid w:val="00456082"/>
    <w:rsid w:val="004566AB"/>
    <w:rsid w:val="004601AC"/>
    <w:rsid w:val="004612FE"/>
    <w:rsid w:val="00461F19"/>
    <w:rsid w:val="00462FE8"/>
    <w:rsid w:val="00463E39"/>
    <w:rsid w:val="004657FC"/>
    <w:rsid w:val="00471D76"/>
    <w:rsid w:val="004733F6"/>
    <w:rsid w:val="00474E69"/>
    <w:rsid w:val="00483CEF"/>
    <w:rsid w:val="004941DA"/>
    <w:rsid w:val="0049621B"/>
    <w:rsid w:val="004B16F6"/>
    <w:rsid w:val="004B2189"/>
    <w:rsid w:val="004B36D6"/>
    <w:rsid w:val="004C09C9"/>
    <w:rsid w:val="004C1895"/>
    <w:rsid w:val="004C352B"/>
    <w:rsid w:val="004C6D40"/>
    <w:rsid w:val="004D214A"/>
    <w:rsid w:val="004D376B"/>
    <w:rsid w:val="004E0D2D"/>
    <w:rsid w:val="004F0C3C"/>
    <w:rsid w:val="004F63FC"/>
    <w:rsid w:val="004F70FC"/>
    <w:rsid w:val="00501546"/>
    <w:rsid w:val="005042FA"/>
    <w:rsid w:val="00505A92"/>
    <w:rsid w:val="00516A50"/>
    <w:rsid w:val="005203F1"/>
    <w:rsid w:val="0052058B"/>
    <w:rsid w:val="00521BC3"/>
    <w:rsid w:val="00526A58"/>
    <w:rsid w:val="005270D2"/>
    <w:rsid w:val="00533632"/>
    <w:rsid w:val="00536F9D"/>
    <w:rsid w:val="00541E6E"/>
    <w:rsid w:val="0054251F"/>
    <w:rsid w:val="005520D8"/>
    <w:rsid w:val="00556CF1"/>
    <w:rsid w:val="00557E41"/>
    <w:rsid w:val="00561B33"/>
    <w:rsid w:val="0056368E"/>
    <w:rsid w:val="00567E37"/>
    <w:rsid w:val="00573DC9"/>
    <w:rsid w:val="005750D4"/>
    <w:rsid w:val="005762A7"/>
    <w:rsid w:val="00577A22"/>
    <w:rsid w:val="00580203"/>
    <w:rsid w:val="005877DE"/>
    <w:rsid w:val="005916D7"/>
    <w:rsid w:val="005931FE"/>
    <w:rsid w:val="005A698C"/>
    <w:rsid w:val="005C5B1A"/>
    <w:rsid w:val="005E0466"/>
    <w:rsid w:val="005E0799"/>
    <w:rsid w:val="005E0A02"/>
    <w:rsid w:val="005F5A80"/>
    <w:rsid w:val="005F63B5"/>
    <w:rsid w:val="006044FF"/>
    <w:rsid w:val="00607CC5"/>
    <w:rsid w:val="00612122"/>
    <w:rsid w:val="00613110"/>
    <w:rsid w:val="00614669"/>
    <w:rsid w:val="00624DA8"/>
    <w:rsid w:val="00633014"/>
    <w:rsid w:val="0063437B"/>
    <w:rsid w:val="00645C95"/>
    <w:rsid w:val="0065006F"/>
    <w:rsid w:val="00663FCB"/>
    <w:rsid w:val="006640AA"/>
    <w:rsid w:val="006643B5"/>
    <w:rsid w:val="006673CA"/>
    <w:rsid w:val="00673C26"/>
    <w:rsid w:val="00674B84"/>
    <w:rsid w:val="00675033"/>
    <w:rsid w:val="00676146"/>
    <w:rsid w:val="006812AF"/>
    <w:rsid w:val="0068327D"/>
    <w:rsid w:val="00685123"/>
    <w:rsid w:val="00687150"/>
    <w:rsid w:val="006905F8"/>
    <w:rsid w:val="00694AF0"/>
    <w:rsid w:val="00696168"/>
    <w:rsid w:val="00697E70"/>
    <w:rsid w:val="006A4101"/>
    <w:rsid w:val="006A4686"/>
    <w:rsid w:val="006B0E9E"/>
    <w:rsid w:val="006B208D"/>
    <w:rsid w:val="006B5AE4"/>
    <w:rsid w:val="006C2709"/>
    <w:rsid w:val="006D0826"/>
    <w:rsid w:val="006D1507"/>
    <w:rsid w:val="006D2C21"/>
    <w:rsid w:val="006D4054"/>
    <w:rsid w:val="006D53DC"/>
    <w:rsid w:val="006D5AC1"/>
    <w:rsid w:val="006E02EC"/>
    <w:rsid w:val="006F2829"/>
    <w:rsid w:val="006F62A1"/>
    <w:rsid w:val="006F6730"/>
    <w:rsid w:val="007039DB"/>
    <w:rsid w:val="007115B9"/>
    <w:rsid w:val="00715111"/>
    <w:rsid w:val="007211B1"/>
    <w:rsid w:val="00733D55"/>
    <w:rsid w:val="00745B7B"/>
    <w:rsid w:val="00746187"/>
    <w:rsid w:val="00752003"/>
    <w:rsid w:val="00752A67"/>
    <w:rsid w:val="007530A9"/>
    <w:rsid w:val="00761070"/>
    <w:rsid w:val="00762300"/>
    <w:rsid w:val="0076254F"/>
    <w:rsid w:val="007651E7"/>
    <w:rsid w:val="007801F5"/>
    <w:rsid w:val="007819CC"/>
    <w:rsid w:val="00783CA4"/>
    <w:rsid w:val="00783F80"/>
    <w:rsid w:val="007842FB"/>
    <w:rsid w:val="00786124"/>
    <w:rsid w:val="0079514B"/>
    <w:rsid w:val="007A2DC1"/>
    <w:rsid w:val="007B74D8"/>
    <w:rsid w:val="007C220F"/>
    <w:rsid w:val="007D3319"/>
    <w:rsid w:val="007D335D"/>
    <w:rsid w:val="007E046B"/>
    <w:rsid w:val="007E3314"/>
    <w:rsid w:val="007E3A1E"/>
    <w:rsid w:val="007E4B03"/>
    <w:rsid w:val="007E5309"/>
    <w:rsid w:val="007F324B"/>
    <w:rsid w:val="007F3E45"/>
    <w:rsid w:val="00804A5F"/>
    <w:rsid w:val="0080553C"/>
    <w:rsid w:val="00805B46"/>
    <w:rsid w:val="0082498D"/>
    <w:rsid w:val="00825DC2"/>
    <w:rsid w:val="00834AD3"/>
    <w:rsid w:val="00843795"/>
    <w:rsid w:val="00843A71"/>
    <w:rsid w:val="00847F0F"/>
    <w:rsid w:val="00852448"/>
    <w:rsid w:val="00854039"/>
    <w:rsid w:val="00863AF1"/>
    <w:rsid w:val="0086424F"/>
    <w:rsid w:val="00867962"/>
    <w:rsid w:val="008708EE"/>
    <w:rsid w:val="0088258A"/>
    <w:rsid w:val="008832C4"/>
    <w:rsid w:val="00883763"/>
    <w:rsid w:val="00886332"/>
    <w:rsid w:val="0089345F"/>
    <w:rsid w:val="008A26D9"/>
    <w:rsid w:val="008A44C5"/>
    <w:rsid w:val="008A7935"/>
    <w:rsid w:val="008B5560"/>
    <w:rsid w:val="008B5EE7"/>
    <w:rsid w:val="008C0C29"/>
    <w:rsid w:val="008C11D8"/>
    <w:rsid w:val="008C3ABE"/>
    <w:rsid w:val="008C7A01"/>
    <w:rsid w:val="008D23A8"/>
    <w:rsid w:val="008D4BC6"/>
    <w:rsid w:val="008D4E1D"/>
    <w:rsid w:val="008E0110"/>
    <w:rsid w:val="008F0097"/>
    <w:rsid w:val="008F0493"/>
    <w:rsid w:val="008F3638"/>
    <w:rsid w:val="008F40BE"/>
    <w:rsid w:val="008F4441"/>
    <w:rsid w:val="008F5D80"/>
    <w:rsid w:val="008F6F31"/>
    <w:rsid w:val="008F74DF"/>
    <w:rsid w:val="00900876"/>
    <w:rsid w:val="00905425"/>
    <w:rsid w:val="00906C53"/>
    <w:rsid w:val="009127BA"/>
    <w:rsid w:val="00914821"/>
    <w:rsid w:val="009151F7"/>
    <w:rsid w:val="00915396"/>
    <w:rsid w:val="00916782"/>
    <w:rsid w:val="009227A6"/>
    <w:rsid w:val="00926247"/>
    <w:rsid w:val="009267A4"/>
    <w:rsid w:val="00930B3C"/>
    <w:rsid w:val="00933B26"/>
    <w:rsid w:val="00933EC1"/>
    <w:rsid w:val="0093571C"/>
    <w:rsid w:val="00943A2C"/>
    <w:rsid w:val="00944EB8"/>
    <w:rsid w:val="009479B1"/>
    <w:rsid w:val="009530DB"/>
    <w:rsid w:val="00953676"/>
    <w:rsid w:val="00953691"/>
    <w:rsid w:val="009561D5"/>
    <w:rsid w:val="00961AFF"/>
    <w:rsid w:val="00961C72"/>
    <w:rsid w:val="00963750"/>
    <w:rsid w:val="009705EE"/>
    <w:rsid w:val="00977927"/>
    <w:rsid w:val="0098135C"/>
    <w:rsid w:val="0098156A"/>
    <w:rsid w:val="00982759"/>
    <w:rsid w:val="00991BAC"/>
    <w:rsid w:val="0099376D"/>
    <w:rsid w:val="00993E43"/>
    <w:rsid w:val="0099683C"/>
    <w:rsid w:val="009A101C"/>
    <w:rsid w:val="009A16CF"/>
    <w:rsid w:val="009A37A3"/>
    <w:rsid w:val="009A5052"/>
    <w:rsid w:val="009A6EA0"/>
    <w:rsid w:val="009B222A"/>
    <w:rsid w:val="009C1335"/>
    <w:rsid w:val="009C1AB2"/>
    <w:rsid w:val="009C53A5"/>
    <w:rsid w:val="009C5407"/>
    <w:rsid w:val="009C7251"/>
    <w:rsid w:val="009E2E91"/>
    <w:rsid w:val="009E3BF4"/>
    <w:rsid w:val="009F2E20"/>
    <w:rsid w:val="009F4724"/>
    <w:rsid w:val="009F5815"/>
    <w:rsid w:val="009F61FE"/>
    <w:rsid w:val="00A00558"/>
    <w:rsid w:val="00A01BFE"/>
    <w:rsid w:val="00A05AD0"/>
    <w:rsid w:val="00A07F00"/>
    <w:rsid w:val="00A12435"/>
    <w:rsid w:val="00A139F5"/>
    <w:rsid w:val="00A2136A"/>
    <w:rsid w:val="00A249BA"/>
    <w:rsid w:val="00A34C24"/>
    <w:rsid w:val="00A365F4"/>
    <w:rsid w:val="00A37CE0"/>
    <w:rsid w:val="00A460E6"/>
    <w:rsid w:val="00A46BD5"/>
    <w:rsid w:val="00A47D80"/>
    <w:rsid w:val="00A53132"/>
    <w:rsid w:val="00A53DDE"/>
    <w:rsid w:val="00A563F2"/>
    <w:rsid w:val="00A566E8"/>
    <w:rsid w:val="00A628EA"/>
    <w:rsid w:val="00A63065"/>
    <w:rsid w:val="00A636D5"/>
    <w:rsid w:val="00A757D7"/>
    <w:rsid w:val="00A810F9"/>
    <w:rsid w:val="00A829CF"/>
    <w:rsid w:val="00A83001"/>
    <w:rsid w:val="00A86ECC"/>
    <w:rsid w:val="00A86FCC"/>
    <w:rsid w:val="00AA710D"/>
    <w:rsid w:val="00AB42E6"/>
    <w:rsid w:val="00AB6D25"/>
    <w:rsid w:val="00AC291E"/>
    <w:rsid w:val="00AC56C4"/>
    <w:rsid w:val="00AD18C6"/>
    <w:rsid w:val="00AD4947"/>
    <w:rsid w:val="00AE2D4B"/>
    <w:rsid w:val="00AE3075"/>
    <w:rsid w:val="00AE42B8"/>
    <w:rsid w:val="00AE4F99"/>
    <w:rsid w:val="00AF0861"/>
    <w:rsid w:val="00B11B69"/>
    <w:rsid w:val="00B14952"/>
    <w:rsid w:val="00B14B2A"/>
    <w:rsid w:val="00B2124C"/>
    <w:rsid w:val="00B31E5A"/>
    <w:rsid w:val="00B3328C"/>
    <w:rsid w:val="00B35366"/>
    <w:rsid w:val="00B378FA"/>
    <w:rsid w:val="00B60318"/>
    <w:rsid w:val="00B62370"/>
    <w:rsid w:val="00B653AB"/>
    <w:rsid w:val="00B65F9E"/>
    <w:rsid w:val="00B66B19"/>
    <w:rsid w:val="00B70E66"/>
    <w:rsid w:val="00B71933"/>
    <w:rsid w:val="00B8376F"/>
    <w:rsid w:val="00B843DE"/>
    <w:rsid w:val="00B862C1"/>
    <w:rsid w:val="00B8691F"/>
    <w:rsid w:val="00B87DBC"/>
    <w:rsid w:val="00B91087"/>
    <w:rsid w:val="00B914E9"/>
    <w:rsid w:val="00B956EE"/>
    <w:rsid w:val="00BA1E6C"/>
    <w:rsid w:val="00BA2BA1"/>
    <w:rsid w:val="00BA3562"/>
    <w:rsid w:val="00BA60C7"/>
    <w:rsid w:val="00BB4BC1"/>
    <w:rsid w:val="00BB4F09"/>
    <w:rsid w:val="00BC38B3"/>
    <w:rsid w:val="00BC70EC"/>
    <w:rsid w:val="00BD3674"/>
    <w:rsid w:val="00BD4E33"/>
    <w:rsid w:val="00BF185F"/>
    <w:rsid w:val="00BF69AA"/>
    <w:rsid w:val="00C00EDA"/>
    <w:rsid w:val="00C030DE"/>
    <w:rsid w:val="00C13BBE"/>
    <w:rsid w:val="00C22105"/>
    <w:rsid w:val="00C244B6"/>
    <w:rsid w:val="00C26AE8"/>
    <w:rsid w:val="00C27D75"/>
    <w:rsid w:val="00C3205E"/>
    <w:rsid w:val="00C3702F"/>
    <w:rsid w:val="00C4500A"/>
    <w:rsid w:val="00C55C91"/>
    <w:rsid w:val="00C61768"/>
    <w:rsid w:val="00C64A37"/>
    <w:rsid w:val="00C7158E"/>
    <w:rsid w:val="00C7250B"/>
    <w:rsid w:val="00C7346B"/>
    <w:rsid w:val="00C77C0E"/>
    <w:rsid w:val="00C8000E"/>
    <w:rsid w:val="00C864E7"/>
    <w:rsid w:val="00C91687"/>
    <w:rsid w:val="00C924A8"/>
    <w:rsid w:val="00C93E6F"/>
    <w:rsid w:val="00C945FE"/>
    <w:rsid w:val="00C950B4"/>
    <w:rsid w:val="00C96FAA"/>
    <w:rsid w:val="00C97A04"/>
    <w:rsid w:val="00CA107B"/>
    <w:rsid w:val="00CA17EA"/>
    <w:rsid w:val="00CA334F"/>
    <w:rsid w:val="00CA484D"/>
    <w:rsid w:val="00CA4FB6"/>
    <w:rsid w:val="00CB0C06"/>
    <w:rsid w:val="00CB14DB"/>
    <w:rsid w:val="00CC739E"/>
    <w:rsid w:val="00CD01EE"/>
    <w:rsid w:val="00CD0C95"/>
    <w:rsid w:val="00CD1DFB"/>
    <w:rsid w:val="00CD1E2E"/>
    <w:rsid w:val="00CD4B3F"/>
    <w:rsid w:val="00CD58B7"/>
    <w:rsid w:val="00CE0959"/>
    <w:rsid w:val="00CF2155"/>
    <w:rsid w:val="00CF4099"/>
    <w:rsid w:val="00D00796"/>
    <w:rsid w:val="00D023D9"/>
    <w:rsid w:val="00D02D2C"/>
    <w:rsid w:val="00D05D86"/>
    <w:rsid w:val="00D06CF0"/>
    <w:rsid w:val="00D12028"/>
    <w:rsid w:val="00D155A3"/>
    <w:rsid w:val="00D261A2"/>
    <w:rsid w:val="00D3473A"/>
    <w:rsid w:val="00D35298"/>
    <w:rsid w:val="00D372AC"/>
    <w:rsid w:val="00D538E4"/>
    <w:rsid w:val="00D56927"/>
    <w:rsid w:val="00D616D2"/>
    <w:rsid w:val="00D63B5F"/>
    <w:rsid w:val="00D6534A"/>
    <w:rsid w:val="00D67107"/>
    <w:rsid w:val="00D7066F"/>
    <w:rsid w:val="00D70EF7"/>
    <w:rsid w:val="00D76B92"/>
    <w:rsid w:val="00D815F5"/>
    <w:rsid w:val="00D8397C"/>
    <w:rsid w:val="00D83C17"/>
    <w:rsid w:val="00D9087D"/>
    <w:rsid w:val="00D94EED"/>
    <w:rsid w:val="00D96026"/>
    <w:rsid w:val="00DA433C"/>
    <w:rsid w:val="00DA7C1C"/>
    <w:rsid w:val="00DB147A"/>
    <w:rsid w:val="00DB1B7A"/>
    <w:rsid w:val="00DC1684"/>
    <w:rsid w:val="00DC2D76"/>
    <w:rsid w:val="00DC6708"/>
    <w:rsid w:val="00DD7BB6"/>
    <w:rsid w:val="00DE34F1"/>
    <w:rsid w:val="00DF0D8E"/>
    <w:rsid w:val="00DF0F04"/>
    <w:rsid w:val="00DF712D"/>
    <w:rsid w:val="00E01436"/>
    <w:rsid w:val="00E045BD"/>
    <w:rsid w:val="00E10887"/>
    <w:rsid w:val="00E173A2"/>
    <w:rsid w:val="00E17A9F"/>
    <w:rsid w:val="00E17B77"/>
    <w:rsid w:val="00E23337"/>
    <w:rsid w:val="00E259EA"/>
    <w:rsid w:val="00E305BF"/>
    <w:rsid w:val="00E30793"/>
    <w:rsid w:val="00E32061"/>
    <w:rsid w:val="00E32C5F"/>
    <w:rsid w:val="00E34A51"/>
    <w:rsid w:val="00E42FF9"/>
    <w:rsid w:val="00E4674C"/>
    <w:rsid w:val="00E4714C"/>
    <w:rsid w:val="00E51AEB"/>
    <w:rsid w:val="00E522A7"/>
    <w:rsid w:val="00E530B0"/>
    <w:rsid w:val="00E54452"/>
    <w:rsid w:val="00E5759A"/>
    <w:rsid w:val="00E636EC"/>
    <w:rsid w:val="00E664C5"/>
    <w:rsid w:val="00E671A2"/>
    <w:rsid w:val="00E71FB5"/>
    <w:rsid w:val="00E76D26"/>
    <w:rsid w:val="00E76FF8"/>
    <w:rsid w:val="00E90212"/>
    <w:rsid w:val="00E936BF"/>
    <w:rsid w:val="00E96938"/>
    <w:rsid w:val="00EB118E"/>
    <w:rsid w:val="00EB1390"/>
    <w:rsid w:val="00EB273D"/>
    <w:rsid w:val="00EB2C71"/>
    <w:rsid w:val="00EB4340"/>
    <w:rsid w:val="00EB51EA"/>
    <w:rsid w:val="00EB556D"/>
    <w:rsid w:val="00EB5A7D"/>
    <w:rsid w:val="00EC79B5"/>
    <w:rsid w:val="00ED2BBC"/>
    <w:rsid w:val="00ED55C0"/>
    <w:rsid w:val="00ED682B"/>
    <w:rsid w:val="00EE41D5"/>
    <w:rsid w:val="00EE696D"/>
    <w:rsid w:val="00EF32A5"/>
    <w:rsid w:val="00EF54AE"/>
    <w:rsid w:val="00EF7B36"/>
    <w:rsid w:val="00F037A4"/>
    <w:rsid w:val="00F06B4C"/>
    <w:rsid w:val="00F0746E"/>
    <w:rsid w:val="00F13987"/>
    <w:rsid w:val="00F21E67"/>
    <w:rsid w:val="00F26013"/>
    <w:rsid w:val="00F27C8F"/>
    <w:rsid w:val="00F30A0C"/>
    <w:rsid w:val="00F32749"/>
    <w:rsid w:val="00F34D18"/>
    <w:rsid w:val="00F36B97"/>
    <w:rsid w:val="00F37172"/>
    <w:rsid w:val="00F40AF1"/>
    <w:rsid w:val="00F4477E"/>
    <w:rsid w:val="00F64603"/>
    <w:rsid w:val="00F653D2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7BB3"/>
    <w:rsid w:val="00FB0D5C"/>
    <w:rsid w:val="00FB42D4"/>
    <w:rsid w:val="00FB5906"/>
    <w:rsid w:val="00FB762F"/>
    <w:rsid w:val="00FC2AED"/>
    <w:rsid w:val="00FC5C56"/>
    <w:rsid w:val="00FD5EA7"/>
    <w:rsid w:val="00FF1624"/>
    <w:rsid w:val="00FF2826"/>
    <w:rsid w:val="00FF36BB"/>
    <w:rsid w:val="00FF523B"/>
    <w:rsid w:val="00FF60FA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3205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mailto:a.bobel@stat.gov.pl" TargetMode="Externa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topics/prices-trade/pri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stat.gov.pl/en/latest-statistical-news/communications-and-announcements/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topics/prices-trade/price-indices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en/metainformations/glossary/terms-used-in-official-statistics/32,term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start?lang=en" TargetMode="External"/><Relationship Id="rId30" Type="http://schemas.openxmlformats.org/officeDocument/2006/relationships/hyperlink" Target="http://stat.gov.pl/en/metainformations/glossary/terms-used-in-official-statistics/711,term.html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8\WYKRESY\07\07_2018_E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7"/>
            <c:bubble3D val="0"/>
          </c:dPt>
          <c:dPt>
            <c:idx val="18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74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78E-2"/>
                  <c:y val="-2.5375967836694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43211096985E-2"/>
                  <c:y val="2.9007161842649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683426733189E-2"/>
                  <c:y val="2.35328697503147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17286462677E-2"/>
                  <c:y val="-2.9895604486074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173778061349E-2"/>
                  <c:y val="2.90033081876506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6029246344205E-2"/>
                  <c:y val="-3.54406518206512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231075165147E-2"/>
                  <c:y val="-3.9875332326986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8328141760589422E-2"/>
                  <c:y val="4.0516993729331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507680755175E-2"/>
                  <c:y val="3.26917074407510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9804250959E-2"/>
                  <c:y val="-3.4479979063444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74795839218E-2"/>
                  <c:y val="2.358752158484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3023311477566363E-2"/>
                  <c:y val="2.8629853985012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3584025350458326E-2"/>
                  <c:y val="2.7048454106297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61615126701E-2"/>
                  <c:y val="-3.7731136096030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759155149527599E-2"/>
                  <c:y val="-4.3090014508468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4184375149461842E-2"/>
                  <c:y val="-3.9341297364905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2.4269622547181603E-2"/>
                  <c:y val="-3.8787648831410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2.1167958381641146E-2"/>
                  <c:y val="2.2599385766820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2004E-2"/>
                  <c:y val="-2.4462201512022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75E-2"/>
                  <c:y val="2.36582422018702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5997E-2"/>
                  <c:y val="-3.32113730963663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3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765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6995E-2"/>
                  <c:y val="2.7559939224357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(+FE)'!$B$14:$B$32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'M-12 (+FE)'!$C$14:$C$32</c:f>
              <c:numCache>
                <c:formatCode>0.0</c:formatCode>
                <c:ptCount val="19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599936"/>
        <c:axId val="106601472"/>
      </c:lineChart>
      <c:dateAx>
        <c:axId val="10659993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6601472"/>
        <c:crossesAt val="0"/>
        <c:auto val="0"/>
        <c:lblOffset val="100"/>
        <c:baseTimeUnit val="days"/>
      </c:dateAx>
      <c:valAx>
        <c:axId val="106601472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659993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733025"/>
          <a:ext cx="3099177" cy="1869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0.67567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68415" y="2733025"/>
          <a:ext cx="1329640" cy="1869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0.60913</cdr:x>
      <cdr:y>0.86417</cdr:y>
    </cdr:from>
    <cdr:to>
      <cdr:x>0.60948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120458" y="2487633"/>
          <a:ext cx="1793" cy="2445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0.04429</cdr:x>
      <cdr:y>0.18309</cdr:y>
    </cdr:from>
    <cdr:to>
      <cdr:x>0.31285</cdr:x>
      <cdr:y>0.2794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7839" y="531526"/>
          <a:ext cx="1381626" cy="2796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0.17693</cdr:x>
      <cdr:y>0.26177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04875" y="763511"/>
          <a:ext cx="294231" cy="25746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0.40766</cdr:x>
      <cdr:y>0.19655</cdr:y>
    </cdr:from>
    <cdr:to>
      <cdr:x>0.58563</cdr:x>
      <cdr:y>0.30531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084886" y="573283"/>
          <a:ext cx="910197" cy="317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5363" y="458220"/>
          <a:ext cx="354218" cy="32072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0.26384</cdr:x>
      <cdr:y>0.26671</cdr:y>
    </cdr:from>
    <cdr:to>
      <cdr:x>0.41782</cdr:x>
      <cdr:y>0.55205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49375" y="777923"/>
          <a:ext cx="787495" cy="8322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openxmlformats.org/package/2006/metadata/core-properties"/>
    <ds:schemaRef ds:uri="http://purl.org/dc/elements/1.1/"/>
    <ds:schemaRef ds:uri="30d47203-49ec-4c8c-a442-62231931aabb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4DD14-FA16-467A-810A-FD114E47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Sobocińska Aleksandra</cp:lastModifiedBy>
  <cp:revision>7</cp:revision>
  <cp:lastPrinted>2018-03-07T10:12:00Z</cp:lastPrinted>
  <dcterms:created xsi:type="dcterms:W3CDTF">2018-04-04T06:41:00Z</dcterms:created>
  <dcterms:modified xsi:type="dcterms:W3CDTF">2018-07-30T08:31:00Z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