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93571C">
        <w:rPr>
          <w:lang w:val="en-GB"/>
        </w:rPr>
        <w:t>May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B71933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360BBCC2" wp14:editId="7B552EA6">
                        <wp:extent cx="334645" cy="334645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</w:t>
                  </w:r>
                  <w:r w:rsidR="0093571C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1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43A2C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</w:t>
                  </w:r>
                  <w:r w:rsidR="00376AC7">
                    <w:rPr>
                      <w:lang w:val="en-GB"/>
                    </w:rPr>
                    <w:t>n</w:t>
                  </w:r>
                  <w:r>
                    <w:rPr>
                      <w:lang w:val="en-GB"/>
                    </w:rPr>
                    <w:t xml:space="preserve"> </w:t>
                  </w:r>
                  <w:r w:rsidR="00376AC7">
                    <w:rPr>
                      <w:lang w:val="en-GB"/>
                    </w:rPr>
                    <w:t>in</w:t>
                  </w:r>
                  <w:r w:rsidR="00096A1A">
                    <w:rPr>
                      <w:lang w:val="en-GB"/>
                    </w:rPr>
                    <w:t xml:space="preserve">crease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8B5560" w:rsidRPr="0045523A">
        <w:rPr>
          <w:noProof w:val="0"/>
          <w:lang w:val="en-GB"/>
        </w:rPr>
        <w:t xml:space="preserve"> flash estimate in </w:t>
      </w:r>
      <w:r w:rsidR="004B16F6">
        <w:rPr>
          <w:noProof w:val="0"/>
          <w:lang w:val="en-GB"/>
        </w:rPr>
        <w:t>May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6643B5">
        <w:rPr>
          <w:noProof w:val="0"/>
          <w:lang w:val="en-GB"/>
        </w:rPr>
        <w:t>in</w:t>
      </w:r>
      <w:r w:rsidR="00436DC5" w:rsidRPr="0045523A">
        <w:rPr>
          <w:noProof w:val="0"/>
          <w:color w:val="000000" w:themeColor="text1"/>
          <w:lang w:val="en-GB"/>
        </w:rPr>
        <w:t xml:space="preserve">creased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</w:t>
      </w:r>
      <w:r w:rsidR="004B16F6">
        <w:rPr>
          <w:noProof w:val="0"/>
          <w:color w:val="000000" w:themeColor="text1"/>
          <w:lang w:val="en-GB"/>
        </w:rPr>
        <w:t>1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>price index 100,</w:t>
      </w:r>
      <w:r w:rsidR="004B16F6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3406D" w:rsidRPr="0045523A">
        <w:rPr>
          <w:noProof w:val="0"/>
          <w:color w:val="000000" w:themeColor="text1"/>
          <w:lang w:val="en-GB"/>
        </w:rPr>
        <w:t>1,</w:t>
      </w:r>
      <w:r w:rsidR="004B16F6">
        <w:rPr>
          <w:noProof w:val="0"/>
          <w:color w:val="000000" w:themeColor="text1"/>
          <w:lang w:val="en-GB"/>
        </w:rPr>
        <w:t>7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4B16F6">
        <w:rPr>
          <w:noProof w:val="0"/>
          <w:color w:val="000000" w:themeColor="text1"/>
          <w:lang w:val="en-GB"/>
        </w:rPr>
        <w:t>price index 101,7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C26AE8">
        <w:rPr>
          <w:bCs/>
          <w:shd w:val="clear" w:color="auto" w:fill="FFFFFF"/>
          <w:lang w:val="en-GB"/>
        </w:rPr>
        <w:t>May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FC5C56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C5C56" w:rsidRPr="0045523A" w:rsidRDefault="00FC5C56" w:rsidP="00AC56C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C5C56" w:rsidRPr="0045523A" w:rsidRDefault="00C26AE8" w:rsidP="00AC56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 2018</w:t>
            </w:r>
          </w:p>
        </w:tc>
      </w:tr>
      <w:tr w:rsidR="00376AC7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76AC7" w:rsidRPr="0045523A" w:rsidRDefault="00376AC7" w:rsidP="00376AC7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76AC7" w:rsidRPr="00DF5384" w:rsidRDefault="00C26AE8" w:rsidP="00376AC7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76AC7" w:rsidRPr="00DF5384" w:rsidRDefault="00C26AE8" w:rsidP="00376AC7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IV 2018=100</w:t>
            </w:r>
          </w:p>
        </w:tc>
      </w:tr>
      <w:tr w:rsidR="00C26AE8" w:rsidRPr="0045523A" w:rsidTr="00BD3674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6AE8" w:rsidRPr="0045523A" w:rsidRDefault="00C26AE8" w:rsidP="00C26AE8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100,1</w:t>
            </w:r>
          </w:p>
        </w:tc>
      </w:tr>
      <w:tr w:rsidR="00C26AE8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6AE8" w:rsidRPr="0045523A" w:rsidRDefault="00C26AE8" w:rsidP="00C26AE8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</w:tr>
      <w:tr w:rsidR="00C26AE8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6AE8" w:rsidRPr="0045523A" w:rsidRDefault="00C26AE8" w:rsidP="00C26AE8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C26AE8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6AE8" w:rsidRPr="0045523A" w:rsidRDefault="00C26AE8" w:rsidP="00C26AE8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C26AE8" w:rsidRPr="00A26AA7" w:rsidRDefault="00C26AE8" w:rsidP="00C26AE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905425" w:rsidP="00C27D75">
      <w:pPr>
        <w:pStyle w:val="tytuwykresu"/>
        <w:rPr>
          <w:shd w:val="clear" w:color="auto" w:fill="FFFFFF"/>
          <w:lang w:val="en-GB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774976" behindDoc="0" locked="0" layoutInCell="1" allowOverlap="1" wp14:anchorId="5E7D5AE2" wp14:editId="0A14740F">
            <wp:simplePos x="0" y="0"/>
            <wp:positionH relativeFrom="column">
              <wp:posOffset>16510</wp:posOffset>
            </wp:positionH>
            <wp:positionV relativeFrom="paragraph">
              <wp:posOffset>401320</wp:posOffset>
            </wp:positionV>
            <wp:extent cx="5122545" cy="287845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6643B5">
        <w:rPr>
          <w:shd w:val="clear" w:color="auto" w:fill="FFFFFF"/>
          <w:lang w:val="en-GB"/>
        </w:rPr>
        <w:t xml:space="preserve">Consumer prices 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7C220F" w:rsidRPr="0045523A" w:rsidRDefault="007C220F" w:rsidP="00C27D75">
      <w:pPr>
        <w:pStyle w:val="tytuwykresu"/>
        <w:rPr>
          <w:b w:val="0"/>
          <w:shd w:val="clear" w:color="auto" w:fill="FFFFFF"/>
          <w:lang w:val="en-GB" w:eastAsia="pl-PL"/>
        </w:rPr>
      </w:pPr>
    </w:p>
    <w:p w:rsidR="00A07F00" w:rsidRPr="0045523A" w:rsidRDefault="00FF1624" w:rsidP="00FF1624">
      <w:pPr>
        <w:pStyle w:val="LID"/>
        <w:rPr>
          <w:noProof w:val="0"/>
          <w:lang w:val="en-GB"/>
        </w:rPr>
      </w:pPr>
      <w:r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2A36AC">
        <w:rPr>
          <w:rFonts w:cstheme="majorBidi"/>
          <w:bCs/>
          <w:color w:val="000000" w:themeColor="text1"/>
          <w:sz w:val="16"/>
          <w:szCs w:val="16"/>
          <w:lang w:val="en-GB"/>
        </w:rPr>
        <w:t>May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B71933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r w:rsidR="00B71933">
              <w:fldChar w:fldCharType="begin"/>
            </w:r>
            <w:r w:rsidR="00B71933" w:rsidRPr="00B71933">
              <w:rPr>
                <w:lang w:val="en-GB"/>
              </w:rPr>
              <w:instrText xml:space="preserve"> HYPERLINK "mailto:a.bobel@stat.gov.pl" </w:instrText>
            </w:r>
            <w:r w:rsidR="00B71933">
              <w:fldChar w:fldCharType="separate"/>
            </w:r>
            <w:r w:rsidRPr="0045523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a.bobel@stat.gov.pl</w:t>
            </w:r>
            <w:r w:rsidR="00B71933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="00B71933">
              <w:fldChar w:fldCharType="begin"/>
            </w:r>
            <w:r w:rsidR="00B71933" w:rsidRPr="00B71933">
              <w:rPr>
                <w:lang w:val="en-GB"/>
              </w:rPr>
              <w:instrText xml:space="preserve"> HYPERLINK "mailto:rzecznik@stat.gov.pl" </w:instrText>
            </w:r>
            <w:r w:rsidR="00B71933">
              <w:fldChar w:fldCharType="separate"/>
            </w:r>
            <w:r w:rsidRPr="0045523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rzecznik@stat.gov.pl</w:t>
            </w:r>
            <w:r w:rsidR="00B71933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B7193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r w:rsidR="00B71933">
              <w:fldChar w:fldCharType="begin"/>
            </w:r>
            <w:r w:rsidR="00B71933" w:rsidRPr="00B71933">
              <w:rPr>
                <w:lang w:val="en-GB"/>
              </w:rPr>
              <w:instrText xml:space="preserve"> HYPERLINK "mailto:obslugaprasowa@stat.gov.pl" </w:instrText>
            </w:r>
            <w:r w:rsidR="00B71933">
              <w:fldChar w:fldCharType="separate"/>
            </w:r>
            <w:r w:rsidRPr="0045523A">
              <w:rPr>
                <w:rStyle w:val="Hipercze"/>
                <w:rFonts w:cstheme="minorBidi"/>
                <w:sz w:val="20"/>
                <w:lang w:val="en-GB"/>
              </w:rPr>
              <w:t>obslugaprasowa@stat.gov.pl</w:t>
            </w:r>
            <w:r w:rsidR="00B71933">
              <w:rPr>
                <w:rStyle w:val="Hipercze"/>
                <w:rFonts w:cstheme="minorBidi"/>
                <w:sz w:val="20"/>
                <w:lang w:val="en-GB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DB522C3" wp14:editId="39037F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638E0AE" wp14:editId="5F10564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10CA4D7E" wp14:editId="3C0B85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45523A" w:rsidRDefault="00B71933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r>
                    <w:fldChar w:fldCharType="begin"/>
                  </w:r>
                  <w:r w:rsidRPr="00B71933">
                    <w:rPr>
                      <w:lang w:val="en-GB"/>
                    </w:rPr>
                    <w:instrText xml:space="preserve"> HYPERLINK "http://stat.gov.pl/en/latest-statistical-news/communications-and-announcements/" </w:instrText>
                  </w:r>
                  <w:r>
                    <w:fldChar w:fldCharType="separate"/>
                  </w:r>
                  <w:r w:rsidR="00557E41" w:rsidRPr="00FA7BB3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t>Communications and Announcements</w:t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  <w:fldChar w:fldCharType="end"/>
                  </w:r>
                </w:p>
                <w:p w:rsidR="00557E41" w:rsidRPr="00FA7BB3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1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2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3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B71933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29"/>
      <w:footerReference w:type="default" r:id="rId3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9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9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B71933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B71933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val="en-GB" w:eastAsia="en-GB"/>
      </w:rPr>
      <w:drawing>
        <wp:inline distT="0" distB="0" distL="0" distR="0" wp14:anchorId="40E623E0" wp14:editId="57FB188C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B71933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93571C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30</w:t>
                </w:r>
                <w:r w:rsidR="00295D14">
                  <w:rPr>
                    <w:rFonts w:ascii="Fira Sans SemiBold" w:hAnsi="Fira Sans SemiBold"/>
                    <w:color w:val="001D77"/>
                  </w:rPr>
                  <w:t>.05</w:t>
                </w:r>
                <w:r w:rsidR="00557E41">
                  <w:rPr>
                    <w:rFonts w:ascii="Fira Sans SemiBold" w:hAnsi="Fira Sans SemiBold"/>
                    <w:color w:val="001D77"/>
                  </w:rPr>
                  <w:t>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95pt;height:125pt;visibility:visible" o:bullet="t">
        <v:imagedata r:id="rId1" o:title=""/>
      </v:shape>
    </w:pict>
  </w:numPicBullet>
  <w:numPicBullet w:numPicBulletId="1">
    <w:pict>
      <v:shape id="_x0000_i1027" type="#_x0000_t75" style="width:123.6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21842"/>
    <w:rsid w:val="0022376E"/>
    <w:rsid w:val="00226989"/>
    <w:rsid w:val="002420F4"/>
    <w:rsid w:val="00246B07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621B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6782"/>
    <w:rsid w:val="009227A6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1933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636EC"/>
    <w:rsid w:val="00E664C5"/>
    <w:rsid w:val="00E671A2"/>
    <w:rsid w:val="00E71FB5"/>
    <w:rsid w:val="00E76D26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topics/prices-trade/pr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en/latest-statistical-news/news-releases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topics/prices-trade/price-indices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bdl.stat.gov.pl/BDL/start?lang=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32,term.html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Ceny.aspx" TargetMode="External"/><Relationship Id="rId27" Type="http://schemas.openxmlformats.org/officeDocument/2006/relationships/hyperlink" Target="http://stat.gov.pl/en/metainformations/glossary/terms-used-in-official-statistics/711,term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71E-2"/>
                  <c:y val="-3.531524474387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44E-2"/>
                  <c:y val="-2.537596783669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54E-2"/>
                  <c:y val="2.3532869750314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42E-2"/>
                  <c:y val="-2.9895604486074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94E-2"/>
                  <c:y val="2.900330818765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56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804E-2"/>
                  <c:y val="-2.1217085547608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76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9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7E-2"/>
                  <c:y val="2.3658242201870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9E-2"/>
                  <c:y val="-3.3211373096366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6E-2"/>
                  <c:y val="2.7559939224357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(FE)'!$B$14:$B$30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(FE)'!$C$14:$C$30</c:f>
              <c:numCache>
                <c:formatCode>0.0</c:formatCode>
                <c:ptCount val="1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37888"/>
        <c:axId val="97639424"/>
      </c:lineChart>
      <c:dateAx>
        <c:axId val="9763788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639424"/>
        <c:crossesAt val="0"/>
        <c:auto val="0"/>
        <c:lblOffset val="100"/>
        <c:baseTimeUnit val="days"/>
      </c:dateAx>
      <c:valAx>
        <c:axId val="9763942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63788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733025"/>
          <a:ext cx="3099177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0.67567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8415" y="2733025"/>
          <a:ext cx="1329640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0.67421</cdr:x>
      <cdr:y>0.86417</cdr:y>
    </cdr:from>
    <cdr:to>
      <cdr:x>0.67456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460928" y="2523396"/>
          <a:ext cx="1797" cy="2480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0.03846</cdr:x>
      <cdr:y>0.18515</cdr:y>
    </cdr:from>
    <cdr:to>
      <cdr:x>0.30702</cdr:x>
      <cdr:y>0.28146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7026" y="532984"/>
          <a:ext cx="1375779" cy="277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0.18221</cdr:x>
      <cdr:y>0.26376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33451" y="759279"/>
          <a:ext cx="267642" cy="24836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0.41862</cdr:x>
      <cdr:y>0.19591</cdr:y>
    </cdr:from>
    <cdr:to>
      <cdr:x>0.67166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44490" y="563954"/>
          <a:ext cx="1296273" cy="418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12D077-77C7-4FE6-AAB8-71A4C25B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203</Words>
  <Characters>1162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2018-03-07T10:12:00Z</cp:lastPrinted>
  <dcterms:created xsi:type="dcterms:W3CDTF">2018-04-04T06:41:00Z</dcterms:created>
  <dcterms:modified xsi:type="dcterms:W3CDTF">2018-05-29T11:50:00Z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