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bookmarkStart w:id="0" w:name="_GoBack"/>
      <w:bookmarkEnd w:id="0"/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Pr="0045523A">
        <w:rPr>
          <w:lang w:val="en-GB"/>
        </w:rPr>
        <w:t>March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0B0BE5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42CEDDCB" wp14:editId="151F8E10">
                        <wp:extent cx="334645" cy="334645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0,1%</w:t>
                  </w:r>
                </w:p>
                <w:p w:rsidR="00557E41" w:rsidRPr="00FA7BB3" w:rsidRDefault="00943A2C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 </w:t>
                  </w:r>
                  <w:r w:rsidR="00096A1A">
                    <w:rPr>
                      <w:lang w:val="en-GB"/>
                    </w:rPr>
                    <w:t xml:space="preserve">decrease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8B5560" w:rsidRPr="0045523A">
        <w:rPr>
          <w:noProof w:val="0"/>
          <w:lang w:val="en-GB"/>
        </w:rPr>
        <w:t xml:space="preserve">according to a flash estimate in March 2018, compared with the previous month, </w:t>
      </w:r>
      <w:r w:rsidR="00AC291E" w:rsidRPr="0045523A">
        <w:rPr>
          <w:noProof w:val="0"/>
          <w:color w:val="000000" w:themeColor="text1"/>
          <w:lang w:val="en-GB"/>
        </w:rPr>
        <w:t>de</w:t>
      </w:r>
      <w:r w:rsidR="00436DC5" w:rsidRPr="0045523A">
        <w:rPr>
          <w:noProof w:val="0"/>
          <w:color w:val="000000" w:themeColor="text1"/>
          <w:lang w:val="en-GB"/>
        </w:rPr>
        <w:t xml:space="preserve">creased </w:t>
      </w:r>
      <w:r w:rsidR="0045523A">
        <w:rPr>
          <w:noProof w:val="0"/>
          <w:color w:val="000000" w:themeColor="text1"/>
          <w:lang w:val="en-GB"/>
        </w:rPr>
        <w:t>by </w:t>
      </w:r>
      <w:r w:rsidR="0003406D" w:rsidRPr="0045523A">
        <w:rPr>
          <w:noProof w:val="0"/>
          <w:color w:val="000000" w:themeColor="text1"/>
          <w:lang w:val="en-GB"/>
        </w:rPr>
        <w:t>0,1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03406D" w:rsidRPr="0045523A">
        <w:rPr>
          <w:noProof w:val="0"/>
          <w:color w:val="000000" w:themeColor="text1"/>
          <w:lang w:val="en-GB"/>
        </w:rPr>
        <w:t>price index 99,9), and 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3406D" w:rsidRPr="0045523A">
        <w:rPr>
          <w:noProof w:val="0"/>
          <w:color w:val="000000" w:themeColor="text1"/>
          <w:lang w:val="en-GB"/>
        </w:rPr>
        <w:t>1,3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03406D" w:rsidRPr="0045523A">
        <w:rPr>
          <w:noProof w:val="0"/>
          <w:color w:val="000000" w:themeColor="text1"/>
          <w:lang w:val="en-GB"/>
        </w:rPr>
        <w:t>price index 101,3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>ex in March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FC5C56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III 2018</w:t>
            </w:r>
          </w:p>
        </w:tc>
      </w:tr>
      <w:tr w:rsidR="00FC5C56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III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II 2018=100</w:t>
            </w:r>
          </w:p>
        </w:tc>
      </w:tr>
      <w:tr w:rsidR="00FC5C56" w:rsidRPr="0045523A" w:rsidTr="00AC56C4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C5C56" w:rsidRPr="0045523A" w:rsidRDefault="00FC5C56" w:rsidP="00AC56C4">
            <w:pPr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C5C56" w:rsidRPr="0045523A" w:rsidRDefault="00FC5C56" w:rsidP="00AC56C4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</w:r>
            <w:r w:rsidRPr="0045523A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99,9</w:t>
            </w:r>
          </w:p>
        </w:tc>
      </w:tr>
      <w:tr w:rsidR="00FC5C56" w:rsidRPr="0045523A" w:rsidTr="00AC56C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5C56" w:rsidRPr="0045523A" w:rsidRDefault="00FC5C56" w:rsidP="000C2A03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99,9</w:t>
            </w:r>
          </w:p>
        </w:tc>
      </w:tr>
      <w:tr w:rsidR="00FC5C56" w:rsidRPr="0045523A" w:rsidTr="00AC56C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C5C56" w:rsidRPr="0045523A" w:rsidRDefault="00D35298" w:rsidP="00AC56C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99,8</w:t>
            </w:r>
          </w:p>
        </w:tc>
      </w:tr>
      <w:tr w:rsidR="00FC5C56" w:rsidRPr="0045523A" w:rsidTr="00AC56C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C5C56" w:rsidRPr="0045523A" w:rsidRDefault="00930B3C" w:rsidP="000C2A03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C5C56" w:rsidRPr="0045523A" w:rsidRDefault="00FC5C56" w:rsidP="00AC56C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cs="Arial"/>
                <w:color w:val="000000"/>
                <w:sz w:val="16"/>
                <w:szCs w:val="16"/>
                <w:lang w:val="en-GB"/>
              </w:rPr>
              <w:t>99,1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Pr="0045523A" w:rsidRDefault="00A628EA" w:rsidP="00C27D75">
      <w:pPr>
        <w:pStyle w:val="tytuwykresu"/>
        <w:rPr>
          <w:b w:val="0"/>
          <w:shd w:val="clear" w:color="auto" w:fill="FFFFFF"/>
          <w:lang w:val="en-GB" w:eastAsia="pl-PL"/>
        </w:rPr>
      </w:pPr>
      <w:r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A249BA" w:rsidRPr="0045523A">
        <w:rPr>
          <w:shd w:val="clear" w:color="auto" w:fill="FFFFFF"/>
          <w:lang w:val="en-GB"/>
        </w:rPr>
        <w:t>Consumer prices 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07F00" w:rsidRPr="0045523A" w:rsidRDefault="00A249BA" w:rsidP="00FF1624">
      <w:pPr>
        <w:pStyle w:val="LID"/>
        <w:rPr>
          <w:noProof w:val="0"/>
          <w:lang w:val="en-GB"/>
        </w:rPr>
      </w:pPr>
      <w:r w:rsidRPr="0045523A">
        <w:drawing>
          <wp:anchor distT="0" distB="0" distL="114300" distR="114300" simplePos="0" relativeHeight="251773952" behindDoc="0" locked="0" layoutInCell="1" allowOverlap="1" wp14:anchorId="1CF6AEBF" wp14:editId="3E9A9A8C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5122545" cy="287972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24"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>Final data with the exception of the information prepared according to the flash estimate in March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61F19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61F1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19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C27B970" wp14:editId="2B01C9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E9F7FC4" wp14:editId="47F5813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306AA399" wp14:editId="0612FA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45523A" w:rsidRDefault="000B0BE5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3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4D214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0B0BE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Default="000B0BE5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DE" w:rsidRDefault="000B0BE5" w:rsidP="00A53DDE">
    <w:pPr>
      <w:pStyle w:val="Nagwek"/>
      <w:tabs>
        <w:tab w:val="clear" w:pos="4536"/>
        <w:tab w:val="clear" w:pos="9072"/>
        <w:tab w:val="left" w:pos="6896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eastAsia="pl-PL"/>
      </w:rPr>
      <w:drawing>
        <wp:inline distT="0" distB="0" distL="0" distR="0" wp14:anchorId="738CBA4F" wp14:editId="78D45917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7E41" w:rsidRDefault="000B0BE5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557E41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04.04.2018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1842"/>
    <w:rsid w:val="0022376E"/>
    <w:rsid w:val="00226989"/>
    <w:rsid w:val="002420F4"/>
    <w:rsid w:val="00246B07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6697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621B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368E"/>
    <w:rsid w:val="00567E37"/>
    <w:rsid w:val="00573DC9"/>
    <w:rsid w:val="005750D4"/>
    <w:rsid w:val="005762A7"/>
    <w:rsid w:val="00580203"/>
    <w:rsid w:val="005877DE"/>
    <w:rsid w:val="005916D7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40AA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E02EC"/>
    <w:rsid w:val="006F2829"/>
    <w:rsid w:val="006F62A1"/>
    <w:rsid w:val="006F6730"/>
    <w:rsid w:val="007039DB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6C53"/>
    <w:rsid w:val="009127BA"/>
    <w:rsid w:val="00914821"/>
    <w:rsid w:val="009151F7"/>
    <w:rsid w:val="00916782"/>
    <w:rsid w:val="009227A6"/>
    <w:rsid w:val="00926247"/>
    <w:rsid w:val="009267A4"/>
    <w:rsid w:val="00930B3C"/>
    <w:rsid w:val="00933B26"/>
    <w:rsid w:val="00933EC1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4E33"/>
    <w:rsid w:val="00BF185F"/>
    <w:rsid w:val="00BF69AA"/>
    <w:rsid w:val="00C00EDA"/>
    <w:rsid w:val="00C030DE"/>
    <w:rsid w:val="00C22105"/>
    <w:rsid w:val="00C244B6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E34F1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636EC"/>
    <w:rsid w:val="00E664C5"/>
    <w:rsid w:val="00E671A2"/>
    <w:rsid w:val="00E71FB5"/>
    <w:rsid w:val="00E76D26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3CDD6C9-EEEC-4BA5-8B9F-7DBB6BC3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319924523547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09569490657006E-2"/>
                  <c:y val="-2.9825030346536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493824644245064E-2"/>
                  <c:y val="-3.3281986489074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52367716381719E-2"/>
                  <c:y val="2.353286037286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464750065316923E-2"/>
                  <c:y val="-2.9895643739244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151502425959339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19110314169E-2"/>
                  <c:y val="2.704458495170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068899043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804936220005758E-2"/>
                  <c:y val="1.9283656409698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39174949099701E-2"/>
                  <c:y val="-2.5521057947072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9752579309983649E-2"/>
                  <c:y val="2.358762880916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5380150339325647E-2"/>
                  <c:y val="-6.96385834333402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5023619895369719E-2"/>
                  <c:y val="-2.012920681846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6055330906168949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8003541672E-2"/>
                  <c:y val="-3.3281986489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1.9078403167885297E-2"/>
                  <c:y val="2.7559890490683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'[03_2018_EN.xlsx]M-12 (FE)'!$B$2:$B$28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'[03_2018_EN.xlsx]M-12 (FE)'!$C$2:$C$28</c:f>
              <c:numCache>
                <c:formatCode>0.0</c:formatCode>
                <c:ptCount val="27"/>
                <c:pt idx="0">
                  <c:v>-0.90000000000000568</c:v>
                </c:pt>
                <c:pt idx="1">
                  <c:v>-0.79999999999999716</c:v>
                </c:pt>
                <c:pt idx="2">
                  <c:v>-0.90000000000000568</c:v>
                </c:pt>
                <c:pt idx="3">
                  <c:v>-1.0999999999999943</c:v>
                </c:pt>
                <c:pt idx="4">
                  <c:v>-0.90000000000000568</c:v>
                </c:pt>
                <c:pt idx="5">
                  <c:v>-0.79999999999999716</c:v>
                </c:pt>
                <c:pt idx="6">
                  <c:v>-0.90000000000000568</c:v>
                </c:pt>
                <c:pt idx="7">
                  <c:v>-0.79999999999999716</c:v>
                </c:pt>
                <c:pt idx="8">
                  <c:v>-0.5</c:v>
                </c:pt>
                <c:pt idx="9">
                  <c:v>-0.20000000000000284</c:v>
                </c:pt>
                <c:pt idx="10">
                  <c:v>0</c:v>
                </c:pt>
                <c:pt idx="11">
                  <c:v>0.79999999999999716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1.9000000000000057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2.0999999999999943</c:v>
                </c:pt>
                <c:pt idx="22">
                  <c:v>2.5</c:v>
                </c:pt>
                <c:pt idx="23">
                  <c:v>2.0999999999999943</c:v>
                </c:pt>
                <c:pt idx="24">
                  <c:v>1.9000000000000057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589776"/>
        <c:axId val="887595760"/>
      </c:lineChart>
      <c:dateAx>
        <c:axId val="8875897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87595760"/>
        <c:crossesAt val="0"/>
        <c:auto val="0"/>
        <c:lblOffset val="100"/>
        <c:baseTimeUnit val="days"/>
      </c:dateAx>
      <c:valAx>
        <c:axId val="887595760"/>
        <c:scaling>
          <c:orientation val="minMax"/>
          <c:max val="4"/>
          <c:min val="-1.5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875897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0.45189</cdr:x>
      <cdr:y>0.86738</cdr:y>
    </cdr:from>
    <cdr:to>
      <cdr:x>0.45221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4922" y="2498054"/>
          <a:ext cx="1639" cy="22947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0.06647</cdr:x>
      <cdr:y>0.93374</cdr:y>
    </cdr:from>
    <cdr:to>
      <cdr:x>0.45182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40513" y="2689164"/>
          <a:ext cx="1974063" cy="190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0.45554</cdr:x>
      <cdr:y>0.93266</cdr:y>
    </cdr:from>
    <cdr:to>
      <cdr:x>0.83856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33627" y="2686050"/>
          <a:ext cx="1962149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0.83856</cdr:x>
      <cdr:y>0.93266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95776" y="2686050"/>
          <a:ext cx="492454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0.83718</cdr:x>
      <cdr:y>0.86417</cdr:y>
    </cdr:from>
    <cdr:to>
      <cdr:x>0.83753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88706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0.26701</cdr:y>
    </cdr:from>
    <cdr:to>
      <cdr:x>0.93008</cdr:x>
      <cdr:y>0.26958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896" y="769904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0.41683</cdr:y>
    </cdr:from>
    <cdr:to>
      <cdr:x>0.93005</cdr:x>
      <cdr:y>0.4194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0736" y="1201906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0.12023</cdr:y>
    </cdr:from>
    <cdr:to>
      <cdr:x>0.93005</cdr:x>
      <cdr:y>0.1228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736" y="346683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0.0385</cdr:x>
      <cdr:y>0.12023</cdr:y>
    </cdr:from>
    <cdr:to>
      <cdr:x>0.30706</cdr:x>
      <cdr:y>0.21654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6715" y="346683"/>
          <a:ext cx="1372320" cy="2776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0.19477</cdr:x>
      <cdr:y>0.20094</cdr:y>
    </cdr:from>
    <cdr:to>
      <cdr:x>0.23264</cdr:x>
      <cdr:y>0.25203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5262" y="579403"/>
          <a:ext cx="193506" cy="1473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0.41866</cdr:x>
      <cdr:y>0.13618</cdr:y>
    </cdr:from>
    <cdr:to>
      <cdr:x>0.6717</cdr:x>
      <cdr:y>0.28139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44691" y="392193"/>
          <a:ext cx="1296273" cy="418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0.36573</cdr:x>
      <cdr:y>0.13472</cdr:y>
    </cdr:from>
    <cdr:to>
      <cdr:x>0.41595</cdr:x>
      <cdr:y>0.19752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70851" y="389596"/>
          <a:ext cx="256864" cy="1815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0.32032</cdr:x>
      <cdr:y>0.19765</cdr:y>
    </cdr:from>
    <cdr:to>
      <cdr:x>0.41711</cdr:x>
      <cdr:y>0.40786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38533" y="571577"/>
          <a:ext cx="495143" cy="6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0d47203-49ec-4c8c-a442-62231931aab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E5B90B-54B1-4979-92C8-19577A4B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Kunowski Bartosz</cp:lastModifiedBy>
  <cp:revision>2</cp:revision>
  <cp:lastPrinted>2018-03-07T10:12:00Z</cp:lastPrinted>
  <dcterms:created xsi:type="dcterms:W3CDTF">2018-04-04T06:41:00Z</dcterms:created>
  <dcterms:modified xsi:type="dcterms:W3CDTF">2018-04-04T06:41:00Z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