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7490B" w:rsidRDefault="00F7490B" w:rsidP="00685123">
      <w:pPr>
        <w:pStyle w:val="tytuinformacji"/>
        <w:rPr>
          <w:lang w:val="en-GB"/>
        </w:rPr>
      </w:pPr>
      <w:bookmarkStart w:id="0" w:name="_GoBack"/>
      <w:r w:rsidRPr="00F7490B">
        <w:rPr>
          <w:lang w:val="en-GB"/>
        </w:rPr>
        <w:t>Consumer price indices</w:t>
      </w:r>
      <w:r w:rsidR="00A22C6E">
        <w:rPr>
          <w:lang w:val="en-GB"/>
        </w:rPr>
        <w:t xml:space="preserve"> </w:t>
      </w:r>
      <w:r w:rsidRPr="00F7490B">
        <w:rPr>
          <w:lang w:val="en-GB"/>
        </w:rPr>
        <w:t xml:space="preserve">in </w:t>
      </w:r>
      <w:r w:rsidR="00A22C6E">
        <w:rPr>
          <w:lang w:val="en-GB"/>
        </w:rPr>
        <w:t>November</w:t>
      </w:r>
      <w:r w:rsidRPr="00F7490B">
        <w:rPr>
          <w:lang w:val="en-GB"/>
        </w:rPr>
        <w:t xml:space="preserve"> 2018</w:t>
      </w:r>
    </w:p>
    <w:bookmarkEnd w:id="0"/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775022" w:rsidRDefault="00C04C29" w:rsidP="00CF08EF">
      <w:pPr>
        <w:pStyle w:val="LID"/>
        <w:rPr>
          <w:color w:val="000000" w:themeColor="text1"/>
          <w:lang w:val="en-GB"/>
        </w:rPr>
      </w:pPr>
      <w:r w:rsidRPr="0058659E">
        <w:rPr>
          <w:noProof w:val="0"/>
          <w:color w:val="000000" w:themeColor="text1"/>
          <w:lang w:val="en-GB"/>
        </w:rPr>
        <w:t>Consumer prices</w:t>
      </w:r>
      <w:r w:rsidRPr="0058659E">
        <w:rPr>
          <w:color w:val="000000" w:themeColor="text1"/>
          <w:lang w:val="en-GB" w:eastAsia="en-GB"/>
        </w:rPr>
        <w:t xml:space="preserve"> </w:t>
      </w:r>
      <w:r w:rsidR="00106423">
        <w:rPr>
          <w:color w:val="000000" w:themeColor="text1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E806A1" w:rsidRPr="009E4E6E" w:rsidRDefault="00E806A1" w:rsidP="005B688D">
                  <w:pPr>
                    <w:spacing w:after="0" w:line="240" w:lineRule="auto"/>
                    <w:ind w:left="567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9E4E6E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0,0</w:t>
                  </w:r>
                  <w:r w:rsidRPr="009E4E6E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E806A1" w:rsidRPr="009E4E6E" w:rsidRDefault="00E806A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881F08">
                    <w:rPr>
                      <w:lang w:val="en-GB"/>
                    </w:rPr>
                    <w:t>unchanged compared with the previous month</w:t>
                  </w:r>
                </w:p>
              </w:txbxContent>
            </v:textbox>
            <w10:wrap type="square" anchorx="margin"/>
          </v:shape>
        </w:pict>
      </w:r>
      <w:r w:rsidRPr="0058659E">
        <w:rPr>
          <w:noProof w:val="0"/>
          <w:color w:val="000000" w:themeColor="text1"/>
          <w:lang w:val="en-GB"/>
        </w:rPr>
        <w:t>i</w:t>
      </w:r>
      <w:r w:rsidR="00DE5DA8" w:rsidRPr="0058659E">
        <w:rPr>
          <w:noProof w:val="0"/>
          <w:color w:val="000000" w:themeColor="text1"/>
          <w:lang w:val="en-GB"/>
        </w:rPr>
        <w:t xml:space="preserve">n </w:t>
      </w:r>
      <w:r w:rsidR="00A81A67">
        <w:rPr>
          <w:noProof w:val="0"/>
          <w:color w:val="000000" w:themeColor="text1"/>
          <w:lang w:val="en-GB"/>
        </w:rPr>
        <w:t>November</w:t>
      </w:r>
      <w:r w:rsidR="004206B2">
        <w:rPr>
          <w:noProof w:val="0"/>
          <w:color w:val="000000" w:themeColor="text1"/>
          <w:lang w:val="en-GB"/>
        </w:rPr>
        <w:t xml:space="preserve"> </w:t>
      </w:r>
      <w:r w:rsidR="00DE5DA8" w:rsidRPr="0058659E">
        <w:rPr>
          <w:noProof w:val="0"/>
          <w:color w:val="000000" w:themeColor="text1"/>
          <w:lang w:val="en-GB"/>
        </w:rPr>
        <w:t xml:space="preserve">2018, </w:t>
      </w:r>
      <w:r w:rsidR="0011212A">
        <w:rPr>
          <w:noProof w:val="0"/>
          <w:color w:val="000000" w:themeColor="text1"/>
          <w:lang w:val="en-GB"/>
        </w:rPr>
        <w:t xml:space="preserve">remained </w:t>
      </w:r>
      <w:r w:rsidR="00474A5B">
        <w:rPr>
          <w:noProof w:val="0"/>
          <w:color w:val="000000" w:themeColor="text1"/>
          <w:lang w:val="en-GB"/>
        </w:rPr>
        <w:t xml:space="preserve">on average </w:t>
      </w:r>
      <w:r w:rsidR="0011212A">
        <w:rPr>
          <w:noProof w:val="0"/>
          <w:color w:val="000000" w:themeColor="text1"/>
          <w:lang w:val="en-GB"/>
        </w:rPr>
        <w:t>at </w:t>
      </w:r>
      <w:r w:rsidR="005A3F5C">
        <w:rPr>
          <w:noProof w:val="0"/>
          <w:color w:val="000000" w:themeColor="text1"/>
          <w:lang w:val="en-GB"/>
        </w:rPr>
        <w:t xml:space="preserve">a </w:t>
      </w:r>
      <w:r w:rsidR="004C6B40" w:rsidRPr="004C6B40">
        <w:rPr>
          <w:noProof w:val="0"/>
          <w:color w:val="000000" w:themeColor="text1"/>
          <w:lang w:val="en-GB"/>
        </w:rPr>
        <w:t>level</w:t>
      </w:r>
      <w:r w:rsidR="005A3F5C">
        <w:rPr>
          <w:noProof w:val="0"/>
          <w:color w:val="000000" w:themeColor="text1"/>
          <w:lang w:val="en-GB"/>
        </w:rPr>
        <w:t xml:space="preserve"> similar to the one recorded in the </w:t>
      </w:r>
      <w:r w:rsidR="004C6B40">
        <w:rPr>
          <w:noProof w:val="0"/>
          <w:color w:val="000000" w:themeColor="text1"/>
          <w:lang w:val="en-GB"/>
        </w:rPr>
        <w:t xml:space="preserve">previous month </w:t>
      </w:r>
      <w:r w:rsidR="00DE5DA8" w:rsidRPr="0058659E">
        <w:rPr>
          <w:noProof w:val="0"/>
          <w:color w:val="000000" w:themeColor="text1"/>
          <w:lang w:val="en-GB"/>
        </w:rPr>
        <w:t>(</w:t>
      </w:r>
      <w:r w:rsidR="00C21A3C">
        <w:rPr>
          <w:noProof w:val="0"/>
          <w:color w:val="000000" w:themeColor="text1"/>
          <w:lang w:val="en-GB"/>
        </w:rPr>
        <w:t xml:space="preserve">with an increase of prices of </w:t>
      </w:r>
      <w:r w:rsidR="00A81A67">
        <w:rPr>
          <w:noProof w:val="0"/>
          <w:color w:val="000000" w:themeColor="text1"/>
          <w:lang w:val="en-GB"/>
        </w:rPr>
        <w:t>goods</w:t>
      </w:r>
      <w:r w:rsidR="00C21A3C">
        <w:rPr>
          <w:noProof w:val="0"/>
          <w:color w:val="000000" w:themeColor="text1"/>
          <w:lang w:val="en-GB"/>
        </w:rPr>
        <w:t xml:space="preserve"> </w:t>
      </w:r>
      <w:r w:rsidR="0058659E">
        <w:rPr>
          <w:noProof w:val="0"/>
          <w:color w:val="000000" w:themeColor="text1"/>
          <w:lang w:val="en-GB"/>
        </w:rPr>
        <w:t>– by </w:t>
      </w:r>
      <w:r w:rsidR="00A81A67">
        <w:rPr>
          <w:noProof w:val="0"/>
          <w:color w:val="000000" w:themeColor="text1"/>
          <w:lang w:val="en-GB"/>
        </w:rPr>
        <w:t>0,2</w:t>
      </w:r>
      <w:r w:rsidR="0011212A">
        <w:rPr>
          <w:noProof w:val="0"/>
          <w:color w:val="000000" w:themeColor="text1"/>
          <w:lang w:val="en-GB"/>
        </w:rPr>
        <w:t>%</w:t>
      </w:r>
      <w:r w:rsidR="000B7E61">
        <w:rPr>
          <w:noProof w:val="0"/>
          <w:color w:val="000000" w:themeColor="text1"/>
          <w:lang w:val="en-GB"/>
        </w:rPr>
        <w:t xml:space="preserve"> </w:t>
      </w:r>
      <w:r w:rsidR="0069044E">
        <w:rPr>
          <w:noProof w:val="0"/>
          <w:color w:val="000000" w:themeColor="text1"/>
          <w:lang w:val="en-GB"/>
        </w:rPr>
        <w:t>and </w:t>
      </w:r>
      <w:r w:rsidR="00625A53">
        <w:rPr>
          <w:noProof w:val="0"/>
          <w:color w:val="000000" w:themeColor="text1"/>
          <w:lang w:val="en-GB"/>
        </w:rPr>
        <w:t>a decrease</w:t>
      </w:r>
      <w:r w:rsidR="008953CF">
        <w:rPr>
          <w:noProof w:val="0"/>
          <w:color w:val="000000" w:themeColor="text1"/>
          <w:lang w:val="en-GB"/>
        </w:rPr>
        <w:t xml:space="preserve"> </w:t>
      </w:r>
      <w:r w:rsidR="00543EB1">
        <w:rPr>
          <w:noProof w:val="0"/>
          <w:color w:val="000000" w:themeColor="text1"/>
          <w:lang w:val="en-GB"/>
        </w:rPr>
        <w:t xml:space="preserve">of prices of </w:t>
      </w:r>
      <w:r w:rsidR="00A81A67">
        <w:rPr>
          <w:noProof w:val="0"/>
          <w:color w:val="000000" w:themeColor="text1"/>
          <w:lang w:val="en-GB"/>
        </w:rPr>
        <w:t>services</w:t>
      </w:r>
      <w:r w:rsidR="00625A53">
        <w:rPr>
          <w:noProof w:val="0"/>
          <w:color w:val="000000" w:themeColor="text1"/>
          <w:lang w:val="en-GB"/>
        </w:rPr>
        <w:t xml:space="preserve"> </w:t>
      </w:r>
      <w:r w:rsidR="000B7E61">
        <w:rPr>
          <w:noProof w:val="0"/>
          <w:color w:val="000000" w:themeColor="text1"/>
          <w:lang w:val="en-GB"/>
        </w:rPr>
        <w:t xml:space="preserve">– </w:t>
      </w:r>
      <w:r w:rsidR="00DE5DA8" w:rsidRPr="0058659E">
        <w:rPr>
          <w:noProof w:val="0"/>
          <w:color w:val="000000" w:themeColor="text1"/>
          <w:lang w:val="en-GB"/>
        </w:rPr>
        <w:t>by </w:t>
      </w:r>
      <w:r w:rsidR="00A81A67">
        <w:rPr>
          <w:noProof w:val="0"/>
          <w:color w:val="000000" w:themeColor="text1"/>
          <w:lang w:val="en-GB"/>
        </w:rPr>
        <w:t>0,4</w:t>
      </w:r>
      <w:r w:rsidR="00DE5DA8" w:rsidRPr="0058659E">
        <w:rPr>
          <w:noProof w:val="0"/>
          <w:color w:val="000000" w:themeColor="text1"/>
          <w:lang w:val="en-GB"/>
        </w:rPr>
        <w:t xml:space="preserve">%). </w:t>
      </w:r>
      <w:r w:rsidR="000B7E61">
        <w:rPr>
          <w:noProof w:val="0"/>
          <w:color w:val="000000" w:themeColor="text1"/>
          <w:lang w:val="en-GB"/>
        </w:rPr>
        <w:br/>
      </w:r>
      <w:r w:rsidR="00DE5DA8" w:rsidRPr="0058659E">
        <w:rPr>
          <w:noProof w:val="0"/>
          <w:color w:val="000000" w:themeColor="text1"/>
          <w:lang w:val="en-GB"/>
        </w:rPr>
        <w:t xml:space="preserve">Compared with the corresponding month of the previous year, consumer prices increased </w:t>
      </w:r>
      <w:r w:rsidR="00D4306E">
        <w:rPr>
          <w:noProof w:val="0"/>
          <w:color w:val="000000" w:themeColor="text1"/>
          <w:lang w:val="en-GB"/>
        </w:rPr>
        <w:t>by 1,3</w:t>
      </w:r>
      <w:r w:rsidR="00DE5DA8" w:rsidRPr="0058659E">
        <w:rPr>
          <w:noProof w:val="0"/>
          <w:color w:val="000000" w:themeColor="text1"/>
          <w:lang w:val="en-GB"/>
        </w:rPr>
        <w:t xml:space="preserve">% (of which </w:t>
      </w:r>
      <w:r w:rsidR="00D922C5">
        <w:rPr>
          <w:noProof w:val="0"/>
          <w:color w:val="000000" w:themeColor="text1"/>
          <w:lang w:val="en-GB"/>
        </w:rPr>
        <w:t xml:space="preserve">goods </w:t>
      </w:r>
      <w:r w:rsidR="00DE5DA8" w:rsidRPr="0058659E">
        <w:rPr>
          <w:noProof w:val="0"/>
          <w:color w:val="000000" w:themeColor="text1"/>
          <w:lang w:val="en-GB"/>
        </w:rPr>
        <w:t xml:space="preserve">– by </w:t>
      </w:r>
      <w:r w:rsidR="00D4306E">
        <w:rPr>
          <w:noProof w:val="0"/>
          <w:color w:val="000000" w:themeColor="text1"/>
          <w:lang w:val="en-GB"/>
        </w:rPr>
        <w:t>1,4</w:t>
      </w:r>
      <w:r w:rsidR="00D97C8B">
        <w:rPr>
          <w:noProof w:val="0"/>
          <w:color w:val="000000" w:themeColor="text1"/>
          <w:lang w:val="en-GB"/>
        </w:rPr>
        <w:t>% and </w:t>
      </w:r>
      <w:r w:rsidR="00D922C5">
        <w:rPr>
          <w:noProof w:val="0"/>
          <w:color w:val="000000" w:themeColor="text1"/>
          <w:lang w:val="en-GB"/>
        </w:rPr>
        <w:t>services</w:t>
      </w:r>
      <w:r w:rsidR="00DE5DA8" w:rsidRPr="0058659E">
        <w:rPr>
          <w:noProof w:val="0"/>
          <w:color w:val="000000" w:themeColor="text1"/>
          <w:lang w:val="en-GB"/>
        </w:rPr>
        <w:t xml:space="preserve"> – by</w:t>
      </w:r>
      <w:r w:rsidR="00D4306E">
        <w:rPr>
          <w:noProof w:val="0"/>
          <w:color w:val="000000" w:themeColor="text1"/>
          <w:lang w:val="en-GB"/>
        </w:rPr>
        <w:t> 0,9</w:t>
      </w:r>
      <w:r w:rsidR="00DE5DA8" w:rsidRPr="0058659E">
        <w:rPr>
          <w:noProof w:val="0"/>
          <w:color w:val="000000" w:themeColor="text1"/>
          <w:lang w:val="en-GB"/>
        </w:rPr>
        <w:t>%).</w:t>
      </w:r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p w:rsidR="00F55FD4" w:rsidRDefault="00AD4947" w:rsidP="00B4377A">
      <w:pPr>
        <w:pStyle w:val="tytuwykresu"/>
        <w:rPr>
          <w:lang w:val="en-GB"/>
        </w:rPr>
      </w:pPr>
      <w:r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Pr="009954C9">
        <w:rPr>
          <w:lang w:val="en-GB"/>
        </w:rPr>
        <w:t xml:space="preserve"> 1.</w:t>
      </w:r>
      <w:r w:rsidRPr="009954C9">
        <w:rPr>
          <w:shd w:val="clear" w:color="auto" w:fill="FFFFFF"/>
          <w:lang w:val="en-GB"/>
        </w:rPr>
        <w:t xml:space="preserve"> </w:t>
      </w:r>
      <w:r w:rsidR="001E162E">
        <w:rPr>
          <w:bCs/>
          <w:shd w:val="clear" w:color="auto" w:fill="FFFFFF"/>
          <w:lang w:val="en-GB"/>
        </w:rPr>
        <w:t xml:space="preserve">Consumer price indices in </w:t>
      </w:r>
      <w:r w:rsidR="00E75DF0">
        <w:rPr>
          <w:bCs/>
          <w:shd w:val="clear" w:color="auto" w:fill="FFFFFF"/>
          <w:lang w:val="en-GB"/>
        </w:rPr>
        <w:t xml:space="preserve">November </w:t>
      </w:r>
      <w:r w:rsidR="009954C9" w:rsidRPr="009954C9">
        <w:rPr>
          <w:bCs/>
          <w:shd w:val="clear" w:color="auto" w:fill="FFFFFF"/>
          <w:lang w:val="en-GB"/>
        </w:rPr>
        <w:t>2</w:t>
      </w:r>
      <w:r w:rsidRPr="009954C9">
        <w:rPr>
          <w:lang w:val="en-GB"/>
        </w:rPr>
        <w:t>018</w:t>
      </w:r>
    </w:p>
    <w:tbl>
      <w:tblPr>
        <w:tblStyle w:val="Siatkatabelijasna11"/>
        <w:tblpPr w:leftFromText="141" w:rightFromText="141" w:vertAnchor="text" w:horzAnchor="margin" w:tblpY="107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984"/>
        <w:gridCol w:w="859"/>
        <w:gridCol w:w="992"/>
        <w:gridCol w:w="1104"/>
        <w:gridCol w:w="1306"/>
      </w:tblGrid>
      <w:tr w:rsidR="00575E5B" w:rsidRPr="00FA5128" w:rsidTr="00C01B27">
        <w:trPr>
          <w:cantSplit/>
          <w:trHeight w:val="367"/>
        </w:trPr>
        <w:tc>
          <w:tcPr>
            <w:tcW w:w="3085" w:type="dxa"/>
            <w:vMerge w:val="restart"/>
            <w:vAlign w:val="center"/>
          </w:tcPr>
          <w:p w:rsidR="00575E5B" w:rsidRPr="009C7251" w:rsidRDefault="00575E5B" w:rsidP="00575E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835" w:type="dxa"/>
            <w:gridSpan w:val="3"/>
            <w:vAlign w:val="center"/>
          </w:tcPr>
          <w:p w:rsidR="00575E5B" w:rsidRPr="00FA5128" w:rsidRDefault="00E75DF0" w:rsidP="00575E5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XI 2018</w:t>
            </w:r>
          </w:p>
        </w:tc>
        <w:tc>
          <w:tcPr>
            <w:tcW w:w="1104" w:type="dxa"/>
          </w:tcPr>
          <w:p w:rsidR="00575E5B" w:rsidRPr="00493217" w:rsidRDefault="00E75DF0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I-XI 2018</w:t>
            </w:r>
          </w:p>
        </w:tc>
        <w:tc>
          <w:tcPr>
            <w:tcW w:w="1306" w:type="dxa"/>
            <w:vMerge w:val="restart"/>
            <w:vAlign w:val="center"/>
          </w:tcPr>
          <w:p w:rsidR="00575E5B" w:rsidRDefault="00575E5B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575E5B" w:rsidRPr="000800B4" w:rsidRDefault="00E75DF0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X 2018=</w:t>
            </w:r>
            <w:r w:rsidRPr="00C0442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E75DF0" w:rsidRPr="00FA5128" w:rsidTr="00C01B27">
        <w:trPr>
          <w:cantSplit/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E75DF0" w:rsidRPr="00FA5128" w:rsidRDefault="00E75DF0" w:rsidP="00E75DF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E75DF0" w:rsidRPr="00C0442C" w:rsidRDefault="00E75DF0" w:rsidP="00E75DF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XI 2017=</w:t>
            </w: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9" w:type="dxa"/>
            <w:tcBorders>
              <w:bottom w:val="single" w:sz="12" w:space="0" w:color="212492"/>
            </w:tcBorders>
            <w:vAlign w:val="center"/>
          </w:tcPr>
          <w:p w:rsidR="00E75DF0" w:rsidRPr="00C0442C" w:rsidRDefault="00E75DF0" w:rsidP="00E75DF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E75DF0" w:rsidRPr="00C0442C" w:rsidRDefault="00E75DF0" w:rsidP="00E75DF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X 2018=</w:t>
            </w: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04" w:type="dxa"/>
            <w:tcBorders>
              <w:bottom w:val="single" w:sz="12" w:space="0" w:color="212492"/>
            </w:tcBorders>
          </w:tcPr>
          <w:p w:rsidR="00E75DF0" w:rsidRPr="00493217" w:rsidRDefault="00E75DF0" w:rsidP="00E75DF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t>I-XI 2017=</w:t>
            </w:r>
            <w:r w:rsidRPr="00C0442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E75DF0" w:rsidRPr="00A37CE0" w:rsidRDefault="00E75DF0" w:rsidP="00E75DF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75DF0" w:rsidRPr="00E96938" w:rsidRDefault="00E75DF0" w:rsidP="00E75DF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75DF0" w:rsidRPr="00C0442C" w:rsidRDefault="00E75DF0" w:rsidP="00E75DF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75DF0" w:rsidRPr="00C0442C" w:rsidRDefault="00E75DF0" w:rsidP="00E75DF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75DF0" w:rsidRPr="00C0442C" w:rsidRDefault="00E75DF0" w:rsidP="00E75DF0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0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75DF0" w:rsidRPr="00C0442C" w:rsidRDefault="00E75DF0" w:rsidP="00E75DF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75DF0" w:rsidRPr="00C0442C" w:rsidRDefault="00E75DF0" w:rsidP="00E75DF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0442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E75DF0" w:rsidRPr="0029606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E75DF0" w:rsidRPr="0029606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-0,12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-0,05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E75DF0" w:rsidRPr="00FA5128" w:rsidTr="009D7000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nil"/>
            </w:tcBorders>
            <w:vAlign w:val="center"/>
          </w:tcPr>
          <w:p w:rsidR="00E75DF0" w:rsidRPr="00E96938" w:rsidRDefault="00E75DF0" w:rsidP="00E75DF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9" w:type="dxa"/>
            <w:tcBorders>
              <w:top w:val="single" w:sz="4" w:space="0" w:color="212492"/>
              <w:bottom w:val="nil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212492"/>
              <w:bottom w:val="nil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vAlign w:val="bottom"/>
          </w:tcPr>
          <w:p w:rsidR="00E75DF0" w:rsidRPr="005166DE" w:rsidRDefault="00E75DF0" w:rsidP="00E75D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166DE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</w:tbl>
    <w:p w:rsidR="00F55FD4" w:rsidRPr="00B4377A" w:rsidRDefault="00F55FD4" w:rsidP="00B4377A">
      <w:pPr>
        <w:pStyle w:val="tytuwykresu"/>
        <w:rPr>
          <w:lang w:val="en-GB"/>
        </w:rPr>
        <w:sectPr w:rsidR="00F55FD4" w:rsidRPr="00B4377A" w:rsidSect="000A1DC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</w:p>
    <w:p w:rsidR="00A07F00" w:rsidRPr="00654DB3" w:rsidRDefault="00817141" w:rsidP="00C27D75">
      <w:pPr>
        <w:pStyle w:val="Nagwek1"/>
        <w:spacing w:before="120" w:line="240" w:lineRule="exact"/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821056" behindDoc="0" locked="0" layoutInCell="1" allowOverlap="1" wp14:anchorId="0D10C864" wp14:editId="57E466A3">
            <wp:simplePos x="0" y="0"/>
            <wp:positionH relativeFrom="column">
              <wp:posOffset>-60325</wp:posOffset>
            </wp:positionH>
            <wp:positionV relativeFrom="paragraph">
              <wp:posOffset>2293620</wp:posOffset>
            </wp:positionV>
            <wp:extent cx="5093970" cy="295529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4DE" w:rsidRPr="00654DB3">
        <w:rPr>
          <w:shd w:val="clear" w:color="auto" w:fill="FFFFFF"/>
          <w:lang w:val="en-GB"/>
        </w:rPr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C65A73" w:rsidRDefault="00D12F43" w:rsidP="00C65A73">
      <w:pPr>
        <w:spacing w:after="0"/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 w:rsidR="00A03A4C">
        <w:rPr>
          <w:color w:val="000000" w:themeColor="text1"/>
          <w:lang w:val="en-GB"/>
        </w:rPr>
        <w:t>November</w:t>
      </w:r>
      <w:r w:rsidRPr="0032161A">
        <w:rPr>
          <w:color w:val="000000" w:themeColor="text1"/>
          <w:lang w:val="en-GB"/>
        </w:rPr>
        <w:t xml:space="preserve"> of the current year, compared with the previous month, the </w:t>
      </w:r>
      <w:r w:rsidR="00D5535B">
        <w:rPr>
          <w:color w:val="000000" w:themeColor="text1"/>
          <w:lang w:val="en-GB"/>
        </w:rPr>
        <w:t xml:space="preserve">highest </w:t>
      </w:r>
      <w:r w:rsidR="006C5A26" w:rsidRPr="0032161A">
        <w:rPr>
          <w:color w:val="000000" w:themeColor="text1"/>
          <w:lang w:val="en-GB"/>
        </w:rPr>
        <w:t>contribution to</w:t>
      </w:r>
      <w:r w:rsidRPr="0032161A">
        <w:rPr>
          <w:color w:val="000000" w:themeColor="text1"/>
          <w:lang w:val="en-GB"/>
        </w:rPr>
        <w:t xml:space="preserve"> the total consumer price index </w:t>
      </w:r>
      <w:r w:rsidR="00C22E93" w:rsidRPr="0032161A">
        <w:rPr>
          <w:color w:val="000000" w:themeColor="text1"/>
          <w:lang w:val="en-GB"/>
        </w:rPr>
        <w:t>came from</w:t>
      </w:r>
      <w:r w:rsidR="000A7804" w:rsidRPr="0032161A">
        <w:rPr>
          <w:color w:val="000000" w:themeColor="text1"/>
          <w:lang w:val="en-GB"/>
        </w:rPr>
        <w:t xml:space="preserve"> </w:t>
      </w:r>
      <w:r w:rsidR="00BB6DD9">
        <w:rPr>
          <w:color w:val="000000" w:themeColor="text1"/>
          <w:lang w:val="en-GB"/>
        </w:rPr>
        <w:t>higher</w:t>
      </w:r>
      <w:r w:rsidR="00346BC6" w:rsidRPr="001445C9">
        <w:rPr>
          <w:color w:val="000000" w:themeColor="text1"/>
          <w:lang w:val="en-GB"/>
        </w:rPr>
        <w:t xml:space="preserve"> prices </w:t>
      </w:r>
      <w:r w:rsidR="00BB6DD9">
        <w:rPr>
          <w:color w:val="000000" w:themeColor="text1"/>
          <w:lang w:val="en-GB"/>
        </w:rPr>
        <w:t xml:space="preserve">related to </w:t>
      </w:r>
      <w:r w:rsidR="00BB6DD9" w:rsidRPr="00BB6DD9">
        <w:rPr>
          <w:color w:val="000000" w:themeColor="text1"/>
          <w:lang w:val="en-GB"/>
        </w:rPr>
        <w:t>Dwelling</w:t>
      </w:r>
      <w:r w:rsidR="00BF0610">
        <w:rPr>
          <w:color w:val="000000" w:themeColor="text1"/>
          <w:lang w:val="en-GB"/>
        </w:rPr>
        <w:t xml:space="preserve"> (by </w:t>
      </w:r>
      <w:r w:rsidR="00A03A4C">
        <w:rPr>
          <w:color w:val="000000" w:themeColor="text1"/>
          <w:lang w:val="en-GB"/>
        </w:rPr>
        <w:t>0,2</w:t>
      </w:r>
      <w:r w:rsidR="008B2210">
        <w:rPr>
          <w:color w:val="000000" w:themeColor="text1"/>
          <w:lang w:val="en-GB"/>
        </w:rPr>
        <w:t>%) and </w:t>
      </w:r>
      <w:r w:rsidR="00A03A4C">
        <w:rPr>
          <w:color w:val="000000" w:themeColor="text1"/>
          <w:lang w:val="en-GB"/>
        </w:rPr>
        <w:t>Health</w:t>
      </w:r>
      <w:r w:rsidR="003D598C">
        <w:rPr>
          <w:color w:val="000000" w:themeColor="text1"/>
          <w:lang w:val="en-GB"/>
        </w:rPr>
        <w:t xml:space="preserve"> (by 0,8</w:t>
      </w:r>
      <w:r w:rsidR="00BF0610" w:rsidRPr="00BF0610">
        <w:rPr>
          <w:color w:val="000000" w:themeColor="text1"/>
          <w:lang w:val="en-GB"/>
        </w:rPr>
        <w:t xml:space="preserve">%), which </w:t>
      </w:r>
      <w:r w:rsidR="00472FF5">
        <w:rPr>
          <w:color w:val="000000" w:themeColor="text1"/>
          <w:lang w:val="en-GB"/>
        </w:rPr>
        <w:t>increased the index by 0,05</w:t>
      </w:r>
      <w:r w:rsidR="000848B3">
        <w:rPr>
          <w:color w:val="000000" w:themeColor="text1"/>
          <w:lang w:val="en-GB"/>
        </w:rPr>
        <w:t xml:space="preserve"> pp </w:t>
      </w:r>
      <w:r w:rsidR="00472FF5">
        <w:rPr>
          <w:color w:val="000000" w:themeColor="text1"/>
          <w:lang w:val="en-GB"/>
        </w:rPr>
        <w:t>each</w:t>
      </w:r>
      <w:r w:rsidR="00BF0610" w:rsidRPr="00BF0610">
        <w:rPr>
          <w:color w:val="000000" w:themeColor="text1"/>
          <w:lang w:val="en-GB"/>
        </w:rPr>
        <w:t xml:space="preserve">. </w:t>
      </w:r>
      <w:r w:rsidR="000848B3">
        <w:rPr>
          <w:color w:val="000000" w:themeColor="text1"/>
          <w:lang w:val="en-GB"/>
        </w:rPr>
        <w:t xml:space="preserve">Lower </w:t>
      </w:r>
      <w:r w:rsidR="00BF0610" w:rsidRPr="00BF0610">
        <w:rPr>
          <w:color w:val="000000" w:themeColor="text1"/>
          <w:lang w:val="en-GB"/>
        </w:rPr>
        <w:t xml:space="preserve">prices </w:t>
      </w:r>
      <w:r w:rsidR="005D2F23">
        <w:rPr>
          <w:color w:val="000000" w:themeColor="text1"/>
          <w:lang w:val="en-GB"/>
        </w:rPr>
        <w:t xml:space="preserve">related to </w:t>
      </w:r>
      <w:r w:rsidR="005D2F23" w:rsidRPr="005D2F23">
        <w:rPr>
          <w:color w:val="000000" w:themeColor="text1"/>
          <w:lang w:val="en-GB"/>
        </w:rPr>
        <w:t xml:space="preserve">Communication </w:t>
      </w:r>
      <w:r w:rsidR="00BF0610" w:rsidRPr="00BF0610">
        <w:rPr>
          <w:color w:val="000000" w:themeColor="text1"/>
          <w:lang w:val="en-GB"/>
        </w:rPr>
        <w:t xml:space="preserve">(by </w:t>
      </w:r>
      <w:r w:rsidR="005D2F23">
        <w:rPr>
          <w:color w:val="000000" w:themeColor="text1"/>
          <w:lang w:val="en-GB"/>
        </w:rPr>
        <w:t>2</w:t>
      </w:r>
      <w:r w:rsidR="00BF0610" w:rsidRPr="00BF0610">
        <w:rPr>
          <w:color w:val="000000" w:themeColor="text1"/>
          <w:lang w:val="en-GB"/>
        </w:rPr>
        <w:t>,</w:t>
      </w:r>
      <w:r w:rsidR="005D2F23">
        <w:rPr>
          <w:color w:val="000000" w:themeColor="text1"/>
          <w:lang w:val="en-GB"/>
        </w:rPr>
        <w:t>6</w:t>
      </w:r>
      <w:r w:rsidR="00BF0610" w:rsidRPr="00BF0610">
        <w:rPr>
          <w:color w:val="000000" w:themeColor="text1"/>
          <w:lang w:val="en-GB"/>
        </w:rPr>
        <w:t>%)</w:t>
      </w:r>
      <w:r w:rsidR="008053D1">
        <w:rPr>
          <w:color w:val="000000" w:themeColor="text1"/>
          <w:lang w:val="en-GB"/>
        </w:rPr>
        <w:t xml:space="preserve"> and </w:t>
      </w:r>
      <w:r w:rsidR="005145FC">
        <w:rPr>
          <w:color w:val="000000" w:themeColor="text1"/>
          <w:lang w:val="en-GB"/>
        </w:rPr>
        <w:t xml:space="preserve">Recreation and culture (by 0,7%) </w:t>
      </w:r>
      <w:r w:rsidR="00D5535B">
        <w:rPr>
          <w:color w:val="000000" w:themeColor="text1"/>
          <w:lang w:val="en-GB"/>
        </w:rPr>
        <w:t>decreased the index by </w:t>
      </w:r>
      <w:r w:rsidR="00566A4E">
        <w:rPr>
          <w:color w:val="000000" w:themeColor="text1"/>
          <w:lang w:val="en-GB"/>
        </w:rPr>
        <w:t>0,12</w:t>
      </w:r>
      <w:r w:rsidR="00BF0610" w:rsidRPr="00BF0610">
        <w:rPr>
          <w:color w:val="000000" w:themeColor="text1"/>
          <w:lang w:val="en-GB"/>
        </w:rPr>
        <w:t xml:space="preserve"> pp and</w:t>
      </w:r>
      <w:r w:rsidR="00566A4E">
        <w:rPr>
          <w:color w:val="000000" w:themeColor="text1"/>
          <w:lang w:val="en-GB"/>
        </w:rPr>
        <w:t xml:space="preserve"> 0,05</w:t>
      </w:r>
      <w:r w:rsidR="00BF0610" w:rsidRPr="00BF0610">
        <w:rPr>
          <w:color w:val="000000" w:themeColor="text1"/>
          <w:lang w:val="en-GB"/>
        </w:rPr>
        <w:t xml:space="preserve"> pp</w:t>
      </w:r>
      <w:r w:rsidR="00474A5B">
        <w:rPr>
          <w:color w:val="000000" w:themeColor="text1"/>
          <w:lang w:val="en-GB"/>
        </w:rPr>
        <w:t>,</w:t>
      </w:r>
      <w:r w:rsidR="00BF0610" w:rsidRPr="00BF0610">
        <w:rPr>
          <w:color w:val="000000" w:themeColor="text1"/>
          <w:lang w:val="en-GB"/>
        </w:rPr>
        <w:t xml:space="preserve"> respectively.</w:t>
      </w:r>
    </w:p>
    <w:p w:rsidR="00BF0610" w:rsidRDefault="00BF0610" w:rsidP="00C65A73">
      <w:pPr>
        <w:spacing w:before="0"/>
        <w:rPr>
          <w:color w:val="000000" w:themeColor="text1"/>
          <w:lang w:val="en-GB"/>
        </w:rPr>
      </w:pPr>
      <w:r w:rsidRPr="00BF0610">
        <w:rPr>
          <w:color w:val="000000" w:themeColor="text1"/>
          <w:lang w:val="en-GB"/>
        </w:rPr>
        <w:t xml:space="preserve">Compared with </w:t>
      </w:r>
      <w:r w:rsidR="00484ACA">
        <w:rPr>
          <w:color w:val="000000" w:themeColor="text1"/>
          <w:lang w:val="en-GB"/>
        </w:rPr>
        <w:t>the corresponding month</w:t>
      </w:r>
      <w:r w:rsidR="005A11ED">
        <w:rPr>
          <w:color w:val="000000" w:themeColor="text1"/>
          <w:lang w:val="en-GB"/>
        </w:rPr>
        <w:t xml:space="preserve"> </w:t>
      </w:r>
      <w:r w:rsidRPr="00BF0610">
        <w:rPr>
          <w:color w:val="000000" w:themeColor="text1"/>
          <w:lang w:val="en-GB"/>
        </w:rPr>
        <w:t>of the previous year, higher pr</w:t>
      </w:r>
      <w:r w:rsidR="00484ACA">
        <w:rPr>
          <w:color w:val="000000" w:themeColor="text1"/>
          <w:lang w:val="en-GB"/>
        </w:rPr>
        <w:t xml:space="preserve">ices related to Transport (by 6,1%) and </w:t>
      </w:r>
      <w:r w:rsidR="005A11ED" w:rsidRPr="00BF0610">
        <w:rPr>
          <w:color w:val="000000" w:themeColor="text1"/>
          <w:lang w:val="en-GB"/>
        </w:rPr>
        <w:t>Dwelling</w:t>
      </w:r>
      <w:r w:rsidR="00484ACA">
        <w:rPr>
          <w:color w:val="000000" w:themeColor="text1"/>
          <w:lang w:val="en-GB"/>
        </w:rPr>
        <w:t xml:space="preserve"> (by 1,8</w:t>
      </w:r>
      <w:r w:rsidR="004B19E6">
        <w:rPr>
          <w:color w:val="000000" w:themeColor="text1"/>
          <w:lang w:val="en-GB"/>
        </w:rPr>
        <w:t>%</w:t>
      </w:r>
      <w:r w:rsidR="00484ACA">
        <w:rPr>
          <w:color w:val="000000" w:themeColor="text1"/>
          <w:lang w:val="en-GB"/>
        </w:rPr>
        <w:t>)</w:t>
      </w:r>
      <w:r w:rsidRPr="00BF0610">
        <w:rPr>
          <w:color w:val="000000" w:themeColor="text1"/>
          <w:lang w:val="en-GB"/>
        </w:rPr>
        <w:t xml:space="preserve"> increased </w:t>
      </w:r>
      <w:r w:rsidR="00B62406">
        <w:rPr>
          <w:color w:val="000000" w:themeColor="text1"/>
          <w:lang w:val="en-GB"/>
        </w:rPr>
        <w:t>the consumer price index by 0,53 pp and 0,46</w:t>
      </w:r>
      <w:r w:rsidRPr="00BF0610">
        <w:rPr>
          <w:color w:val="000000" w:themeColor="text1"/>
          <w:lang w:val="en-GB"/>
        </w:rPr>
        <w:t xml:space="preserve"> pp</w:t>
      </w:r>
      <w:r w:rsidR="00474A5B">
        <w:rPr>
          <w:color w:val="000000" w:themeColor="text1"/>
          <w:lang w:val="en-GB"/>
        </w:rPr>
        <w:t>,</w:t>
      </w:r>
      <w:r w:rsidRPr="00BF0610">
        <w:rPr>
          <w:color w:val="000000" w:themeColor="text1"/>
          <w:lang w:val="en-GB"/>
        </w:rPr>
        <w:t xml:space="preserve"> respectively. Lower price</w:t>
      </w:r>
      <w:r w:rsidR="001B7A01">
        <w:rPr>
          <w:color w:val="000000" w:themeColor="text1"/>
          <w:lang w:val="en-GB"/>
        </w:rPr>
        <w:t xml:space="preserve">s </w:t>
      </w:r>
      <w:r w:rsidR="00B62406">
        <w:rPr>
          <w:color w:val="000000" w:themeColor="text1"/>
          <w:lang w:val="en-GB"/>
        </w:rPr>
        <w:t>related to Communication (by 5,9</w:t>
      </w:r>
      <w:r w:rsidR="001B7A01">
        <w:rPr>
          <w:color w:val="000000" w:themeColor="text1"/>
          <w:lang w:val="en-GB"/>
        </w:rPr>
        <w:t>%)</w:t>
      </w:r>
      <w:r w:rsidR="00D5535B">
        <w:rPr>
          <w:color w:val="000000" w:themeColor="text1"/>
          <w:lang w:val="en-GB"/>
        </w:rPr>
        <w:t xml:space="preserve"> and Clothing and </w:t>
      </w:r>
      <w:r w:rsidR="00B62406">
        <w:rPr>
          <w:color w:val="000000" w:themeColor="text1"/>
          <w:lang w:val="en-GB"/>
        </w:rPr>
        <w:t>footwear (by 2,7%) decreased the index by 0,29</w:t>
      </w:r>
      <w:r w:rsidRPr="00BF0610">
        <w:rPr>
          <w:color w:val="000000" w:themeColor="text1"/>
          <w:lang w:val="en-GB"/>
        </w:rPr>
        <w:t xml:space="preserve"> pp</w:t>
      </w:r>
      <w:r w:rsidR="00B62406">
        <w:rPr>
          <w:color w:val="000000" w:themeColor="text1"/>
          <w:lang w:val="en-GB"/>
        </w:rPr>
        <w:t xml:space="preserve"> and 0,14 pp, respectively</w:t>
      </w:r>
      <w:r w:rsidRPr="00BF0610">
        <w:rPr>
          <w:color w:val="000000" w:themeColor="text1"/>
          <w:lang w:val="en-GB"/>
        </w:rPr>
        <w:t>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106423" w:rsidP="00C27D75">
      <w:pPr>
        <w:pStyle w:val="tytuwykresu"/>
        <w:rPr>
          <w:spacing w:val="-4"/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9" o:spid="_x0000_s1027" type="#_x0000_t202" style="position:absolute;margin-left:414.75pt;margin-top:217.5pt;width:135.85pt;height:129pt;z-index:-25156096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i+uwIAAMM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" filled="f" stroked="f">
            <v:textbox style="mso-next-textbox:#Text Box 29">
              <w:txbxContent>
                <w:p w:rsidR="00E806A1" w:rsidRPr="001F50F4" w:rsidRDefault="00E806A1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November 2018, the highest contribution to 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the total consumer price index came from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lower prices of </w:t>
                  </w:r>
                  <w:r w:rsidRPr="006F730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Telephone and telefax services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, </w:t>
                  </w:r>
                  <w:r w:rsidRPr="0032211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which decreased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the index by 0,12 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pp</w:t>
                  </w:r>
                </w:p>
              </w:txbxContent>
            </v:textbox>
            <w10:wrap type="square" anchory="page"/>
          </v:shape>
        </w:pic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 w:rsidRPr="00030F44">
        <w:rPr>
          <w:spacing w:val="-4"/>
          <w:shd w:val="clear" w:color="auto" w:fill="FFFFFF"/>
          <w:lang w:val="en-GB"/>
        </w:rPr>
        <w:t xml:space="preserve">Contribution </w:t>
      </w:r>
      <w:r w:rsidR="00743715" w:rsidRPr="00030F44">
        <w:rPr>
          <w:spacing w:val="-4"/>
          <w:shd w:val="clear" w:color="auto" w:fill="FFFFFF"/>
          <w:lang w:val="en-GB"/>
        </w:rPr>
        <w:t>of price changes of selected groups of consumer goods and services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474A5B">
        <w:rPr>
          <w:spacing w:val="-4"/>
          <w:shd w:val="clear" w:color="auto" w:fill="FFFFFF"/>
          <w:lang w:val="en-GB"/>
        </w:rPr>
        <w:br/>
      </w:r>
      <w:r w:rsidR="00F10992" w:rsidRPr="00030F44">
        <w:rPr>
          <w:spacing w:val="-4"/>
          <w:shd w:val="clear" w:color="auto" w:fill="FFFFFF"/>
          <w:lang w:val="en-GB"/>
        </w:rPr>
        <w:t>in </w:t>
      </w:r>
      <w:r w:rsidR="002E278F">
        <w:rPr>
          <w:spacing w:val="-4"/>
          <w:shd w:val="clear" w:color="auto" w:fill="FFFFFF"/>
          <w:lang w:val="en-GB"/>
        </w:rPr>
        <w:t>November</w:t>
      </w:r>
      <w:r w:rsidR="00030F44" w:rsidRPr="00030F44">
        <w:rPr>
          <w:spacing w:val="-4"/>
          <w:shd w:val="clear" w:color="auto" w:fill="FFFFFF"/>
          <w:lang w:val="en-GB"/>
        </w:rPr>
        <w:t xml:space="preserve"> </w:t>
      </w:r>
      <w:r w:rsidR="00A07F00" w:rsidRPr="00030F44">
        <w:rPr>
          <w:spacing w:val="-4"/>
          <w:shd w:val="clear" w:color="auto" w:fill="FFFFFF"/>
          <w:lang w:val="en-GB"/>
        </w:rPr>
        <w:t>201</w:t>
      </w:r>
      <w:r w:rsidR="00C27D75" w:rsidRPr="00030F44">
        <w:rPr>
          <w:spacing w:val="-4"/>
          <w:shd w:val="clear" w:color="auto" w:fill="FFFFFF"/>
          <w:lang w:val="en-GB"/>
        </w:rPr>
        <w:t>8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51646A" w:rsidRPr="00030F44">
        <w:rPr>
          <w:noProof/>
          <w:spacing w:val="-4"/>
          <w:shd w:val="clear" w:color="auto" w:fill="FFFFFF"/>
          <w:lang w:val="en-GB" w:eastAsia="pl-PL"/>
        </w:rPr>
        <w:t>(</w:t>
      </w:r>
      <w:r w:rsidR="00743715" w:rsidRPr="00030F44">
        <w:rPr>
          <w:noProof/>
          <w:spacing w:val="-4"/>
          <w:shd w:val="clear" w:color="auto" w:fill="FFFFFF"/>
          <w:lang w:val="en-GB" w:eastAsia="pl-PL"/>
        </w:rPr>
        <w:t>change in pp compared with the previous period</w:t>
      </w:r>
      <w:r w:rsidR="0051646A" w:rsidRPr="00030F44">
        <w:rPr>
          <w:spacing w:val="-4"/>
          <w:shd w:val="clear" w:color="auto" w:fill="FFFFFF"/>
          <w:lang w:val="en-GB"/>
        </w:rPr>
        <w:t>)</w:t>
      </w:r>
    </w:p>
    <w:p w:rsidR="002B3AE4" w:rsidRDefault="002B3AE4" w:rsidP="00C27D75">
      <w:pPr>
        <w:pStyle w:val="tytuwykresu"/>
        <w:rPr>
          <w:shd w:val="clear" w:color="auto" w:fill="FFFFFF"/>
          <w:lang w:val="en-GB"/>
        </w:rPr>
      </w:pPr>
    </w:p>
    <w:p w:rsidR="00A07F00" w:rsidRPr="00743715" w:rsidRDefault="00CE39EF" w:rsidP="00C27D75">
      <w:pPr>
        <w:pStyle w:val="tytuwykresu"/>
        <w:rPr>
          <w:b w:val="0"/>
          <w:shd w:val="clear" w:color="auto" w:fill="FFFFFF"/>
          <w:lang w:val="en-GB"/>
        </w:rPr>
      </w:pPr>
      <w:r>
        <w:rPr>
          <w:noProof/>
          <w:lang w:val="en-GB" w:eastAsia="en-GB"/>
        </w:rPr>
        <w:t xml:space="preserve"> </w:t>
      </w:r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Default="00106423" w:rsidP="00CE39EF">
      <w:pPr>
        <w:spacing w:before="0" w:after="0" w:line="240" w:lineRule="auto"/>
        <w:rPr>
          <w:b/>
          <w:spacing w:val="-2"/>
          <w:sz w:val="18"/>
          <w:lang w:val="en-GB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24.25pt;width:135.85pt;height:143.25pt;z-index:-251657728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" filled="f" stroked="f">
            <v:textbox style="mso-next-textbox:#_x0000_s1028">
              <w:txbxContent>
                <w:p w:rsidR="00E806A1" w:rsidRPr="00151D0F" w:rsidRDefault="00E806A1" w:rsidP="00C04FBC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2018,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similarly to previous years, the largest share of 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expendit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ures in the compilations of the 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consumer price ind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have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Food and non-alcoholic beverages (24,36%) and goods and services related to </w:t>
                  </w:r>
                  <w:r w:rsidRPr="00C04FBC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Housing, water, electricity, gas and other fuels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(20,35%)</w:t>
                  </w:r>
                </w:p>
              </w:txbxContent>
            </v:textbox>
            <w10:wrap type="tight" anchory="page"/>
          </v:shape>
        </w:pict>
      </w:r>
      <w:r w:rsidR="00B91280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704271E6" wp14:editId="401879F8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421378">
        <w:rPr>
          <w:lang w:val="en-GB"/>
        </w:rPr>
        <w:br w:type="page"/>
      </w:r>
      <w:r w:rsidR="00896760" w:rsidRPr="00ED5044"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815936" behindDoc="0" locked="0" layoutInCell="1" allowOverlap="1" wp14:anchorId="060BEADA" wp14:editId="123D52D0">
            <wp:simplePos x="0" y="0"/>
            <wp:positionH relativeFrom="column">
              <wp:posOffset>-3810</wp:posOffset>
            </wp:positionH>
            <wp:positionV relativeFrom="line">
              <wp:posOffset>255270</wp:posOffset>
            </wp:positionV>
            <wp:extent cx="5124450" cy="2562225"/>
            <wp:effectExtent l="0" t="0" r="0" b="0"/>
            <wp:wrapSquare wrapText="bothSides"/>
            <wp:docPr id="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</w:p>
    <w:p w:rsidR="00896760" w:rsidRPr="00743715" w:rsidRDefault="00896760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Default="00106423" w:rsidP="00034160">
      <w:pPr>
        <w:pStyle w:val="tytuwykresu"/>
        <w:rPr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22.5pt;width:135.85pt;height:102.75pt;z-index:-251566080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8B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" filled="f" stroked="f">
            <v:textbox>
              <w:txbxContent>
                <w:p w:rsidR="00E806A1" w:rsidRPr="00CE39EF" w:rsidRDefault="00E806A1" w:rsidP="00B649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November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2018, consumer price index was below the lower limit for 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deviations from inflation ta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rget determined by the Monetary 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Policy Council (2,5% +/- 1 pp)</w:t>
                  </w:r>
                </w:p>
              </w:txbxContent>
            </v:textbox>
            <w10:wrap type="tight" anchory="page"/>
          </v:shape>
        </w:pic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2D587C" w:rsidRPr="00921BC7"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 wp14:anchorId="559EB015" wp14:editId="43D5EA26">
            <wp:simplePos x="0" y="0"/>
            <wp:positionH relativeFrom="column">
              <wp:posOffset>0</wp:posOffset>
            </wp:positionH>
            <wp:positionV relativeFrom="line">
              <wp:posOffset>241935</wp:posOffset>
            </wp:positionV>
            <wp:extent cx="5124450" cy="2590800"/>
            <wp:effectExtent l="0" t="0" r="0" b="0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743715" w:rsidRPr="00743715">
        <w:rPr>
          <w:lang w:val="en-GB"/>
        </w:rPr>
        <w:t>(change in % compared with the corresponding period of the previous year)</w:t>
      </w:r>
    </w:p>
    <w:p w:rsidR="009C6A6A" w:rsidRPr="00743715" w:rsidRDefault="009C6A6A" w:rsidP="00034160">
      <w:pPr>
        <w:spacing w:before="0" w:after="160" w:line="259" w:lineRule="auto"/>
        <w:rPr>
          <w:sz w:val="18"/>
          <w:lang w:val="en-GB"/>
        </w:rPr>
      </w:pPr>
    </w:p>
    <w:p w:rsidR="00820461" w:rsidRDefault="00426D50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Pr="00426D50">
        <w:rPr>
          <w:bCs/>
          <w:shd w:val="clear" w:color="auto" w:fill="FFFFFF"/>
          <w:lang w:val="en-GB"/>
        </w:rPr>
        <w:t>Consumer price index (CPI) and harmonised i</w:t>
      </w:r>
      <w:r>
        <w:rPr>
          <w:bCs/>
          <w:shd w:val="clear" w:color="auto" w:fill="FFFFFF"/>
          <w:lang w:val="en-GB"/>
        </w:rPr>
        <w:t xml:space="preserve">ndex of consumer prices (HICP) </w:t>
      </w:r>
      <w:r>
        <w:rPr>
          <w:bCs/>
          <w:shd w:val="clear" w:color="auto" w:fill="FFFFFF"/>
          <w:lang w:val="en-GB"/>
        </w:rPr>
        <w:br/>
      </w:r>
      <w:r w:rsidR="00FF05C8" w:rsidRPr="00E16D62"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 wp14:anchorId="00848974" wp14:editId="7799CBDA">
            <wp:simplePos x="0" y="0"/>
            <wp:positionH relativeFrom="column">
              <wp:posOffset>5715</wp:posOffset>
            </wp:positionH>
            <wp:positionV relativeFrom="line">
              <wp:posOffset>256540</wp:posOffset>
            </wp:positionV>
            <wp:extent cx="5118100" cy="2469515"/>
            <wp:effectExtent l="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A03DB" w:rsidRDefault="008A03DB" w:rsidP="00734095">
      <w:pPr>
        <w:pStyle w:val="tytuwykresu"/>
        <w:rPr>
          <w:bCs/>
          <w:shd w:val="clear" w:color="auto" w:fill="FFFFFF"/>
          <w:lang w:val="en-GB"/>
        </w:rPr>
      </w:pPr>
    </w:p>
    <w:p w:rsidR="00844B42" w:rsidRDefault="00844B42" w:rsidP="0047674F">
      <w:pPr>
        <w:pStyle w:val="LID"/>
        <w:rPr>
          <w:sz w:val="18"/>
          <w:lang w:val="en-GB"/>
        </w:rPr>
      </w:pPr>
    </w:p>
    <w:p w:rsidR="00516A50" w:rsidRDefault="00426D50" w:rsidP="004B3466">
      <w:pPr>
        <w:pStyle w:val="LID"/>
        <w:spacing w:after="0"/>
        <w:rPr>
          <w:sz w:val="18"/>
          <w:lang w:val="en-GB"/>
        </w:rPr>
      </w:pPr>
      <w:r w:rsidRPr="00426D50">
        <w:rPr>
          <w:sz w:val="18"/>
          <w:lang w:val="en-GB"/>
        </w:rPr>
        <w:lastRenderedPageBreak/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FF05C8">
        <w:rPr>
          <w:bCs/>
          <w:sz w:val="18"/>
          <w:shd w:val="clear" w:color="auto" w:fill="FFFFFF"/>
          <w:lang w:val="en-GB"/>
        </w:rPr>
        <w:t>November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p w:rsidR="004B3466" w:rsidRPr="00426D50" w:rsidRDefault="004B3466" w:rsidP="004B3466">
      <w:pPr>
        <w:pStyle w:val="LID"/>
        <w:spacing w:before="0" w:after="0"/>
        <w:rPr>
          <w:bCs/>
          <w:sz w:val="18"/>
          <w:shd w:val="clear" w:color="auto" w:fill="FFFFFF"/>
          <w:lang w:val="en-GB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BC2A8C" w:rsidRPr="0042238C" w:rsidTr="00AF73D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212492"/>
            </w:tcBorders>
            <w:vAlign w:val="center"/>
          </w:tcPr>
          <w:p w:rsidR="00BC2A8C" w:rsidRPr="00BC2A8C" w:rsidRDefault="00BC2A8C" w:rsidP="00BC2A8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C2A8C" w:rsidRPr="0042238C" w:rsidRDefault="00AF73D9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XI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C2A8C" w:rsidRPr="0042238C" w:rsidRDefault="00AF73D9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I-XI 2018</w:t>
            </w:r>
          </w:p>
        </w:tc>
      </w:tr>
      <w:tr w:rsidR="00AF73D9" w:rsidRPr="0042238C" w:rsidTr="00AF73D9">
        <w:trPr>
          <w:trHeight w:val="465"/>
          <w:tblHeader/>
        </w:trPr>
        <w:tc>
          <w:tcPr>
            <w:tcW w:w="3639" w:type="dxa"/>
            <w:vMerge/>
            <w:tcBorders>
              <w:left w:val="nil"/>
              <w:bottom w:val="single" w:sz="12" w:space="0" w:color="212492"/>
              <w:right w:val="single" w:sz="8" w:space="0" w:color="212492"/>
            </w:tcBorders>
            <w:vAlign w:val="center"/>
          </w:tcPr>
          <w:p w:rsidR="00AF73D9" w:rsidRPr="00BC2A8C" w:rsidRDefault="00AF73D9" w:rsidP="00BC2A8C">
            <w:pPr>
              <w:spacing w:before="0"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AF73D9" w:rsidRPr="005C6457" w:rsidRDefault="00AF73D9" w:rsidP="0081714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XI 2017=</w:t>
            </w: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AF73D9" w:rsidRPr="005C6457" w:rsidRDefault="00AF73D9" w:rsidP="0081714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AF73D9" w:rsidRPr="005C6457" w:rsidRDefault="00AF73D9" w:rsidP="0081714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>X 2018=</w:t>
            </w: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AF73D9" w:rsidRPr="005C6457" w:rsidRDefault="00AF73D9" w:rsidP="0081714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t xml:space="preserve">I-XI 2017= </w:t>
            </w:r>
            <w:r w:rsidRPr="005C645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082EA2" w:rsidRPr="0042238C" w:rsidTr="00817141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5875EB" w:rsidRDefault="00082EA2" w:rsidP="0014144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654DB3" w:rsidRDefault="00082EA2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654DB3" w:rsidRDefault="00082EA2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082EA2" w:rsidRPr="00AF73D9" w:rsidTr="0081714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B3466" w:rsidRDefault="00082EA2" w:rsidP="0014144B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082EA2" w:rsidRPr="00654DB3" w:rsidRDefault="00082EA2" w:rsidP="0014144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082EA2" w:rsidRPr="00AF73D9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654DB3" w:rsidRDefault="00082EA2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654DB3" w:rsidRDefault="00082EA2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E96938" w:rsidRDefault="00AF73D9" w:rsidP="00E806A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E96938" w:rsidRDefault="00082EA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E96938" w:rsidRDefault="00082EA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E96938" w:rsidRDefault="00082EA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E96938" w:rsidRDefault="00082EA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082EA2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82EA2" w:rsidRPr="00E96938" w:rsidRDefault="00082EA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082EA2" w:rsidRPr="005C6457" w:rsidRDefault="00082EA2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E96938" w:rsidRDefault="00AF73D9" w:rsidP="00E806A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61387D" w:rsidRPr="00AF73D9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E96938" w:rsidRDefault="00AF73D9" w:rsidP="00E806A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387D" w:rsidRPr="0042238C" w:rsidTr="00817141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1387D" w:rsidRPr="00AF73D9" w:rsidTr="00AF73D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123,6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70,1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E96938" w:rsidRDefault="00AF73D9" w:rsidP="00E806A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E806A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1387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1387D" w:rsidRPr="00E96938" w:rsidRDefault="0061387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1387D" w:rsidRPr="005C6457" w:rsidRDefault="0061387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E96938" w:rsidRDefault="00193DF7" w:rsidP="00193D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A4754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193DF7" w:rsidRPr="00AF73D9" w:rsidTr="0081714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A4754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93DF7" w:rsidRPr="00AF73D9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193DF7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193DF7" w:rsidRPr="00AF73D9" w:rsidTr="0081714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193DF7" w:rsidRPr="00654DB3" w:rsidRDefault="00193DF7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DF7" w:rsidRPr="005C6457" w:rsidRDefault="00193DF7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A4754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A47541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756D" w:rsidRPr="0042238C" w:rsidTr="00D30868">
        <w:trPr>
          <w:trHeight w:val="30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754C0D">
            <w:pPr>
              <w:spacing w:before="60" w:after="6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F1756D" w:rsidRPr="00AF73D9" w:rsidTr="0013384B">
        <w:trPr>
          <w:trHeight w:val="30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754C0D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A47541" w:rsidRDefault="00F1756D" w:rsidP="00754C0D">
            <w:pPr>
              <w:spacing w:before="60" w:after="6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47541">
              <w:rPr>
                <w:rFonts w:cs="Arial"/>
                <w:color w:val="000000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A47541" w:rsidRDefault="00F1756D" w:rsidP="00754C0D">
            <w:pPr>
              <w:spacing w:before="60" w:after="6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47541">
              <w:rPr>
                <w:rFonts w:cs="Arial"/>
                <w:color w:val="000000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A47541" w:rsidRDefault="00F1756D" w:rsidP="00754C0D">
            <w:pPr>
              <w:spacing w:before="60" w:after="6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47541">
              <w:rPr>
                <w:rFonts w:cs="Arial"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A47541" w:rsidRDefault="00F1756D" w:rsidP="00754C0D">
            <w:pPr>
              <w:spacing w:before="60" w:after="6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47541">
              <w:rPr>
                <w:rFonts w:cs="Arial"/>
                <w:color w:val="000000"/>
                <w:sz w:val="16"/>
                <w:szCs w:val="16"/>
                <w:lang w:val="en-GB"/>
              </w:rPr>
              <w:t>104,1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1338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1338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13384B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32DC3" w:rsidP="00F32DC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of which m</w:t>
            </w:r>
            <w:r w:rsidR="00F1756D"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</w:tr>
      <w:tr w:rsidR="00F1756D" w:rsidRPr="00AF73D9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F1756D" w:rsidRPr="00AF73D9" w:rsidTr="0081714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754C0D">
            <w:pPr>
              <w:spacing w:before="0" w:after="6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87,8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F1756D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756D" w:rsidRPr="00654DB3" w:rsidRDefault="00F1756D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756D" w:rsidRPr="005C6457" w:rsidRDefault="00F1756D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D6E6C" w:rsidRPr="00AF73D9" w:rsidTr="0081714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AD6E6C" w:rsidRPr="0042238C" w:rsidTr="00817141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D6E6C" w:rsidRPr="0042238C" w:rsidTr="0081714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AD6E6C" w:rsidRPr="00AF73D9" w:rsidTr="0081714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5E2845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AF73D9" w:rsidRPr="0042238C" w:rsidTr="00AF73D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F73D9" w:rsidRPr="00654DB3" w:rsidRDefault="00AF73D9" w:rsidP="005E2845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</w:tcPr>
          <w:p w:rsidR="00AF73D9" w:rsidRPr="0042238C" w:rsidRDefault="00AF73D9" w:rsidP="005E2845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D6E6C" w:rsidRPr="00AF73D9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AD6E6C" w:rsidRPr="00AF73D9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AD6E6C" w:rsidRPr="0042238C" w:rsidTr="0081714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AD6E6C" w:rsidRPr="00AF73D9" w:rsidTr="00CD1E3A">
        <w:trPr>
          <w:trHeight w:val="304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AD6E6C" w:rsidRPr="00654DB3" w:rsidRDefault="00AD6E6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E6C" w:rsidRPr="005C6457" w:rsidRDefault="00AD6E6C" w:rsidP="0081714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C645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87,0</w:t>
            </w:r>
          </w:p>
        </w:tc>
      </w:tr>
    </w:tbl>
    <w:p w:rsidR="002B31B7" w:rsidRPr="00752E87" w:rsidRDefault="002B31B7">
      <w:pPr>
        <w:rPr>
          <w:lang w:val="en-GB"/>
        </w:rPr>
      </w:pPr>
    </w:p>
    <w:p w:rsidR="002B31B7" w:rsidRPr="00752E87" w:rsidRDefault="002B31B7">
      <w:pPr>
        <w:rPr>
          <w:lang w:val="en-GB"/>
        </w:rPr>
        <w:sectPr w:rsidR="002B31B7" w:rsidRPr="00752E87" w:rsidSect="00BD6108">
          <w:headerReference w:type="default" r:id="rId20"/>
          <w:headerReference w:type="first" r:id="rId21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Pr="00752E87" w:rsidRDefault="00D96E78">
      <w:pPr>
        <w:rPr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75467A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9F4806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="00CB5FC3"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="00CB5FC3"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75467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4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22E6A8C" wp14:editId="29BA67E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F3204F4" wp14:editId="6CF4E94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AA5D3D0" wp14:editId="16BB7A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001C5B" w:rsidRDefault="00106423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E806A1" w:rsidRDefault="00E806A1" w:rsidP="00883763">
                  <w:pPr>
                    <w:rPr>
                      <w:b/>
                    </w:rPr>
                  </w:pPr>
                </w:p>
                <w:p w:rsidR="00E806A1" w:rsidRPr="00FA7BB3" w:rsidRDefault="00E806A1" w:rsidP="00CB5FC3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E806A1" w:rsidRPr="00FA7BB3" w:rsidRDefault="00D72104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E806A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E806A1" w:rsidRPr="00FA7BB3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E806A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E806A1" w:rsidRPr="00FA7BB3" w:rsidRDefault="00E806A1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806A1" w:rsidRPr="00FA7BB3" w:rsidRDefault="00E806A1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E806A1" w:rsidRPr="00C3205E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E806A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E806A1" w:rsidRPr="00C3205E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E806A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E806A1" w:rsidRPr="00C3205E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E806A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E806A1" w:rsidRPr="00C3205E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E806A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E806A1" w:rsidRPr="00C3205E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E806A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E806A1" w:rsidRPr="00C3205E" w:rsidRDefault="00E806A1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806A1" w:rsidRPr="00BB6820" w:rsidRDefault="00E806A1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E806A1" w:rsidRPr="00C3205E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E806A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E806A1" w:rsidRPr="00E233EA" w:rsidRDefault="00106423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6" w:history="1">
                    <w:r w:rsidR="00E806A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5F0B86">
      <w:headerReference w:type="first" r:id="rId37"/>
      <w:footerReference w:type="first" r:id="rId3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23" w:rsidRDefault="00106423" w:rsidP="000662E2">
      <w:pPr>
        <w:spacing w:after="0" w:line="240" w:lineRule="auto"/>
      </w:pPr>
      <w:r>
        <w:separator/>
      </w:r>
    </w:p>
  </w:endnote>
  <w:endnote w:type="continuationSeparator" w:id="0">
    <w:p w:rsidR="00106423" w:rsidRDefault="001064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7516"/>
      <w:docPartObj>
        <w:docPartGallery w:val="Page Numbers (Bottom of Page)"/>
        <w:docPartUnique/>
      </w:docPartObj>
    </w:sdtPr>
    <w:sdtEndPr/>
    <w:sdtContent>
      <w:p w:rsidR="00E806A1" w:rsidRDefault="00E806A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6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A1" w:rsidRDefault="00E806A1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A1" w:rsidRDefault="00E806A1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23" w:rsidRDefault="00106423" w:rsidP="000662E2">
      <w:pPr>
        <w:spacing w:after="0" w:line="240" w:lineRule="auto"/>
      </w:pPr>
      <w:r>
        <w:separator/>
      </w:r>
    </w:p>
  </w:footnote>
  <w:footnote w:type="continuationSeparator" w:id="0">
    <w:p w:rsidR="00106423" w:rsidRDefault="0010642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A1" w:rsidRDefault="00106423" w:rsidP="00F804F1">
    <w:pPr>
      <w:pStyle w:val="Nagwek"/>
      <w:tabs>
        <w:tab w:val="clear" w:pos="9072"/>
        <w:tab w:val="right" w:pos="8067"/>
      </w:tabs>
    </w:pPr>
    <w:r>
      <w:rPr>
        <w:noProof/>
        <w:lang w:val="en-GB" w:eastAsia="en-GB"/>
      </w:rPr>
      <w:pict>
        <v:shape id="Dowolny kształt 9" o:spid="_x0000_s2054" style="position:absolute;margin-left:396.75pt;margin-top:20.8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Dowolny kształt 9">
            <w:txbxContent>
              <w:p w:rsidR="00E806A1" w:rsidRPr="003C6C8D" w:rsidRDefault="00E806A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3" style="position:absolute;margin-left:446.95pt;margin-top:0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<v:path arrowok="t"/>
          <v:textbox style="mso-next-textbox:#Prostokąt 10">
            <w:txbxContent>
              <w:p w:rsidR="00E806A1" w:rsidRDefault="00E806A1" w:rsidP="002A432B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47973A35" wp14:editId="0FA0CC16">
                      <wp:extent cx="1676400" cy="301288"/>
                      <wp:effectExtent l="0" t="0" r="0" b="381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6400" cy="301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/>
        </v:rect>
      </w:pict>
    </w:r>
    <w:r w:rsidR="00E806A1">
      <w:rPr>
        <w:noProof/>
        <w:lang w:eastAsia="pl-PL"/>
      </w:rPr>
      <w:drawing>
        <wp:inline distT="0" distB="0" distL="0" distR="0" wp14:anchorId="3A192A22" wp14:editId="7272268D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06A1">
      <w:tab/>
    </w:r>
  </w:p>
  <w:p w:rsidR="00E806A1" w:rsidRDefault="00106423">
    <w:pPr>
      <w:pStyle w:val="Nagwek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4" o:spid="_x0000_s2052" type="#_x0000_t202" style="position:absolute;margin-left:411.75pt;margin-top:18.65pt;width:112.8pt;height:26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<v:textbox style="mso-next-textbox:#Pole tekstowe 24">
            <w:txbxContent>
              <w:p w:rsidR="00E806A1" w:rsidRPr="00C97596" w:rsidRDefault="00E806A1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14.12.2018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A1" w:rsidRDefault="00106423" w:rsidP="009816FB">
    <w:pPr>
      <w:pStyle w:val="Nagwek"/>
      <w:jc w:val="right"/>
    </w:pPr>
    <w:r>
      <w:rPr>
        <w:noProof/>
        <w:lang w:val="en-GB" w:eastAsia="en-GB"/>
      </w:rPr>
      <w:pict>
        <v:rect id="Prostokąt 7" o:spid="_x0000_s2051" style="position:absolute;left:0;text-align:left;margin-left:423.9pt;margin-top:3.5pt;width:147.4pt;height:1803.5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<v:path arrowok="t"/>
          <v:textbox style="mso-next-textbox:#Prostokąt 7">
            <w:txbxContent>
              <w:p w:rsidR="00E806A1" w:rsidRDefault="00E806A1" w:rsidP="002B31B7">
                <w:pPr>
                  <w:jc w:val="center"/>
                </w:pPr>
              </w:p>
            </w:txbxContent>
          </v:textbox>
          <w10:wrap type="tigh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A1" w:rsidRDefault="00106423">
    <w:pPr>
      <w:pStyle w:val="Nagwek"/>
    </w:pPr>
    <w:r>
      <w:rPr>
        <w:noProof/>
        <w:lang w:val="en-GB" w:eastAsia="en-GB"/>
      </w:rPr>
      <w:pict>
        <v:rect id="Prostokąt 194" o:spid="_x0000_s2050" style="position:absolute;margin-left:446.95pt;margin-top:0;width:147.4pt;height:1803.55pt;z-index:-251654144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<v:path arrowok="t"/>
          <v:textbox>
            <w:txbxContent>
              <w:p w:rsidR="00E806A1" w:rsidRDefault="00E806A1" w:rsidP="002A432B">
                <w:pPr>
                  <w:jc w:val="center"/>
                </w:pPr>
              </w:p>
            </w:txbxContent>
          </v:textbox>
          <w10:wrap type="tight"/>
        </v:rect>
      </w:pict>
    </w:r>
  </w:p>
  <w:p w:rsidR="00E806A1" w:rsidRDefault="00E806A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A1" w:rsidRDefault="00106423" w:rsidP="009816FB">
    <w:pPr>
      <w:pStyle w:val="Nagwek"/>
      <w:jc w:val="right"/>
    </w:pPr>
    <w:r>
      <w:rPr>
        <w:noProof/>
        <w:lang w:val="en-GB" w:eastAsia="en-GB"/>
      </w:rPr>
      <w:pict>
        <v:rect id="Prostokąt 17" o:spid="_x0000_s2049" style="position:absolute;left:0;text-align:left;margin-left:423.9pt;margin-top:3.5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QrwIAALU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" fillcolor="#f2f2f2" stroked="f" strokeweight="1pt">
          <v:path arrowok="t"/>
          <v:textbox>
            <w:txbxContent>
              <w:p w:rsidR="00E806A1" w:rsidRDefault="00E806A1" w:rsidP="002B31B7">
                <w:pPr>
                  <w:jc w:val="center"/>
                </w:pPr>
              </w:p>
            </w:txbxContent>
          </v:textbox>
          <w10:wrap type="tight"/>
        </v:rect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A1" w:rsidRDefault="00E806A1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5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344"/>
    <w:rsid w:val="00003437"/>
    <w:rsid w:val="0000709F"/>
    <w:rsid w:val="000108B8"/>
    <w:rsid w:val="000152F5"/>
    <w:rsid w:val="000207B9"/>
    <w:rsid w:val="0002483B"/>
    <w:rsid w:val="00030E9C"/>
    <w:rsid w:val="00030F44"/>
    <w:rsid w:val="00034160"/>
    <w:rsid w:val="0004015D"/>
    <w:rsid w:val="0004582E"/>
    <w:rsid w:val="0004646A"/>
    <w:rsid w:val="000470AA"/>
    <w:rsid w:val="00057CA1"/>
    <w:rsid w:val="0006535B"/>
    <w:rsid w:val="000662E2"/>
    <w:rsid w:val="00066883"/>
    <w:rsid w:val="00074DD8"/>
    <w:rsid w:val="000800B4"/>
    <w:rsid w:val="000806F7"/>
    <w:rsid w:val="00082EA2"/>
    <w:rsid w:val="000839B7"/>
    <w:rsid w:val="000848B3"/>
    <w:rsid w:val="0009377C"/>
    <w:rsid w:val="00093C84"/>
    <w:rsid w:val="00094419"/>
    <w:rsid w:val="00097840"/>
    <w:rsid w:val="000A1782"/>
    <w:rsid w:val="000A1DC1"/>
    <w:rsid w:val="000A65AF"/>
    <w:rsid w:val="000A6963"/>
    <w:rsid w:val="000A7804"/>
    <w:rsid w:val="000A7F1A"/>
    <w:rsid w:val="000B0727"/>
    <w:rsid w:val="000B7E61"/>
    <w:rsid w:val="000C0439"/>
    <w:rsid w:val="000C135D"/>
    <w:rsid w:val="000C3B4D"/>
    <w:rsid w:val="000C3CDF"/>
    <w:rsid w:val="000D0C10"/>
    <w:rsid w:val="000D1D43"/>
    <w:rsid w:val="000D1F42"/>
    <w:rsid w:val="000D223F"/>
    <w:rsid w:val="000D225C"/>
    <w:rsid w:val="000D2A5C"/>
    <w:rsid w:val="000E0918"/>
    <w:rsid w:val="000E5670"/>
    <w:rsid w:val="000F35C5"/>
    <w:rsid w:val="000F52C7"/>
    <w:rsid w:val="001011C3"/>
    <w:rsid w:val="00102C59"/>
    <w:rsid w:val="00105022"/>
    <w:rsid w:val="00106423"/>
    <w:rsid w:val="00110D87"/>
    <w:rsid w:val="00111103"/>
    <w:rsid w:val="0011212A"/>
    <w:rsid w:val="00113F41"/>
    <w:rsid w:val="001149A1"/>
    <w:rsid w:val="00114DB9"/>
    <w:rsid w:val="00116087"/>
    <w:rsid w:val="00126A6A"/>
    <w:rsid w:val="00130296"/>
    <w:rsid w:val="00132297"/>
    <w:rsid w:val="0013384B"/>
    <w:rsid w:val="00135B65"/>
    <w:rsid w:val="0014144B"/>
    <w:rsid w:val="00142037"/>
    <w:rsid w:val="001423B6"/>
    <w:rsid w:val="001445C9"/>
    <w:rsid w:val="001448A7"/>
    <w:rsid w:val="00144AAD"/>
    <w:rsid w:val="00146621"/>
    <w:rsid w:val="00147BDB"/>
    <w:rsid w:val="00151D0F"/>
    <w:rsid w:val="001553EF"/>
    <w:rsid w:val="001567D8"/>
    <w:rsid w:val="0016008F"/>
    <w:rsid w:val="00161419"/>
    <w:rsid w:val="00162325"/>
    <w:rsid w:val="00191388"/>
    <w:rsid w:val="00193DF7"/>
    <w:rsid w:val="001951DA"/>
    <w:rsid w:val="001A0DC1"/>
    <w:rsid w:val="001A182E"/>
    <w:rsid w:val="001A2EAD"/>
    <w:rsid w:val="001A5FB7"/>
    <w:rsid w:val="001A78D0"/>
    <w:rsid w:val="001B0B46"/>
    <w:rsid w:val="001B7A01"/>
    <w:rsid w:val="001C3269"/>
    <w:rsid w:val="001C4AB4"/>
    <w:rsid w:val="001D1DB4"/>
    <w:rsid w:val="001D5586"/>
    <w:rsid w:val="001D55AD"/>
    <w:rsid w:val="001D62D3"/>
    <w:rsid w:val="001D7526"/>
    <w:rsid w:val="001E162E"/>
    <w:rsid w:val="001E1D94"/>
    <w:rsid w:val="001E2DBB"/>
    <w:rsid w:val="001E7DBB"/>
    <w:rsid w:val="001F50F4"/>
    <w:rsid w:val="001F60D1"/>
    <w:rsid w:val="002032F1"/>
    <w:rsid w:val="00214152"/>
    <w:rsid w:val="00226069"/>
    <w:rsid w:val="0023271C"/>
    <w:rsid w:val="002401BC"/>
    <w:rsid w:val="00256539"/>
    <w:rsid w:val="002574F9"/>
    <w:rsid w:val="00262B61"/>
    <w:rsid w:val="0026302B"/>
    <w:rsid w:val="002724FF"/>
    <w:rsid w:val="00275FA6"/>
    <w:rsid w:val="00276811"/>
    <w:rsid w:val="00276C9A"/>
    <w:rsid w:val="0028195C"/>
    <w:rsid w:val="00282699"/>
    <w:rsid w:val="00284FD0"/>
    <w:rsid w:val="00290CB6"/>
    <w:rsid w:val="002926DF"/>
    <w:rsid w:val="00294A3C"/>
    <w:rsid w:val="00296697"/>
    <w:rsid w:val="002969E1"/>
    <w:rsid w:val="002A432B"/>
    <w:rsid w:val="002A47B1"/>
    <w:rsid w:val="002A4D80"/>
    <w:rsid w:val="002B0472"/>
    <w:rsid w:val="002B31B7"/>
    <w:rsid w:val="002B332A"/>
    <w:rsid w:val="002B3AE4"/>
    <w:rsid w:val="002B6B12"/>
    <w:rsid w:val="002C4504"/>
    <w:rsid w:val="002D0020"/>
    <w:rsid w:val="002D3214"/>
    <w:rsid w:val="002D4259"/>
    <w:rsid w:val="002D587C"/>
    <w:rsid w:val="002D6627"/>
    <w:rsid w:val="002E278F"/>
    <w:rsid w:val="002E4A17"/>
    <w:rsid w:val="002E6140"/>
    <w:rsid w:val="002E6985"/>
    <w:rsid w:val="002E71B6"/>
    <w:rsid w:val="002F1083"/>
    <w:rsid w:val="002F77C8"/>
    <w:rsid w:val="00300F75"/>
    <w:rsid w:val="00304F22"/>
    <w:rsid w:val="00305162"/>
    <w:rsid w:val="00306C7C"/>
    <w:rsid w:val="0032161A"/>
    <w:rsid w:val="0032211A"/>
    <w:rsid w:val="00322EDD"/>
    <w:rsid w:val="00326D2E"/>
    <w:rsid w:val="00327FD2"/>
    <w:rsid w:val="00331DEF"/>
    <w:rsid w:val="00332320"/>
    <w:rsid w:val="00341B03"/>
    <w:rsid w:val="00343E20"/>
    <w:rsid w:val="00346BC6"/>
    <w:rsid w:val="00347D72"/>
    <w:rsid w:val="00352179"/>
    <w:rsid w:val="00357611"/>
    <w:rsid w:val="00367237"/>
    <w:rsid w:val="003703FD"/>
    <w:rsid w:val="0037077F"/>
    <w:rsid w:val="00372411"/>
    <w:rsid w:val="00373882"/>
    <w:rsid w:val="003818E5"/>
    <w:rsid w:val="003843DB"/>
    <w:rsid w:val="003862DF"/>
    <w:rsid w:val="003901AC"/>
    <w:rsid w:val="00393761"/>
    <w:rsid w:val="00397D18"/>
    <w:rsid w:val="003A1B36"/>
    <w:rsid w:val="003A3A9E"/>
    <w:rsid w:val="003A440F"/>
    <w:rsid w:val="003B1454"/>
    <w:rsid w:val="003B18B6"/>
    <w:rsid w:val="003B7A38"/>
    <w:rsid w:val="003C59E0"/>
    <w:rsid w:val="003C6A4B"/>
    <w:rsid w:val="003C6C8D"/>
    <w:rsid w:val="003D3B24"/>
    <w:rsid w:val="003D4F95"/>
    <w:rsid w:val="003D598C"/>
    <w:rsid w:val="003D5F42"/>
    <w:rsid w:val="003D60A9"/>
    <w:rsid w:val="003E3C8E"/>
    <w:rsid w:val="003F4C97"/>
    <w:rsid w:val="003F4F8C"/>
    <w:rsid w:val="003F7FE6"/>
    <w:rsid w:val="00400193"/>
    <w:rsid w:val="004206B2"/>
    <w:rsid w:val="004212E7"/>
    <w:rsid w:val="00421378"/>
    <w:rsid w:val="0042446D"/>
    <w:rsid w:val="004259D8"/>
    <w:rsid w:val="00426D50"/>
    <w:rsid w:val="00427B62"/>
    <w:rsid w:val="00427BF8"/>
    <w:rsid w:val="00431C02"/>
    <w:rsid w:val="00434DCB"/>
    <w:rsid w:val="00435C01"/>
    <w:rsid w:val="00437395"/>
    <w:rsid w:val="00443627"/>
    <w:rsid w:val="004447E7"/>
    <w:rsid w:val="00445047"/>
    <w:rsid w:val="004457C2"/>
    <w:rsid w:val="00454E14"/>
    <w:rsid w:val="0045573E"/>
    <w:rsid w:val="004566AB"/>
    <w:rsid w:val="0045762F"/>
    <w:rsid w:val="004601AC"/>
    <w:rsid w:val="00461641"/>
    <w:rsid w:val="004638B4"/>
    <w:rsid w:val="00463E39"/>
    <w:rsid w:val="004657FC"/>
    <w:rsid w:val="00472FF5"/>
    <w:rsid w:val="004733F6"/>
    <w:rsid w:val="00474A5B"/>
    <w:rsid w:val="00474E69"/>
    <w:rsid w:val="0047674F"/>
    <w:rsid w:val="00480650"/>
    <w:rsid w:val="0048137F"/>
    <w:rsid w:val="00482C81"/>
    <w:rsid w:val="00484ACA"/>
    <w:rsid w:val="00485B00"/>
    <w:rsid w:val="0049621B"/>
    <w:rsid w:val="004B19E6"/>
    <w:rsid w:val="004B3466"/>
    <w:rsid w:val="004B43C7"/>
    <w:rsid w:val="004B77C7"/>
    <w:rsid w:val="004C1895"/>
    <w:rsid w:val="004C6B40"/>
    <w:rsid w:val="004C6D40"/>
    <w:rsid w:val="004E14F7"/>
    <w:rsid w:val="004E2F74"/>
    <w:rsid w:val="004F0C3C"/>
    <w:rsid w:val="004F312B"/>
    <w:rsid w:val="004F63FC"/>
    <w:rsid w:val="004F721C"/>
    <w:rsid w:val="00501F76"/>
    <w:rsid w:val="00502E6F"/>
    <w:rsid w:val="00502F16"/>
    <w:rsid w:val="00505A92"/>
    <w:rsid w:val="005070C5"/>
    <w:rsid w:val="00511F19"/>
    <w:rsid w:val="005145FC"/>
    <w:rsid w:val="0051646A"/>
    <w:rsid w:val="00516A50"/>
    <w:rsid w:val="005203F1"/>
    <w:rsid w:val="0052058B"/>
    <w:rsid w:val="00520645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3EB1"/>
    <w:rsid w:val="00545199"/>
    <w:rsid w:val="005520D8"/>
    <w:rsid w:val="0055296C"/>
    <w:rsid w:val="00556CF1"/>
    <w:rsid w:val="0056203D"/>
    <w:rsid w:val="00564851"/>
    <w:rsid w:val="00566A4E"/>
    <w:rsid w:val="0057202D"/>
    <w:rsid w:val="00575B45"/>
    <w:rsid w:val="00575E5B"/>
    <w:rsid w:val="005762A7"/>
    <w:rsid w:val="0058659E"/>
    <w:rsid w:val="005877DE"/>
    <w:rsid w:val="00587DB3"/>
    <w:rsid w:val="005916D7"/>
    <w:rsid w:val="005929DA"/>
    <w:rsid w:val="00592BF5"/>
    <w:rsid w:val="00595343"/>
    <w:rsid w:val="005A11ED"/>
    <w:rsid w:val="005A2784"/>
    <w:rsid w:val="005A3F5C"/>
    <w:rsid w:val="005A55D5"/>
    <w:rsid w:val="005A698C"/>
    <w:rsid w:val="005B107B"/>
    <w:rsid w:val="005B321F"/>
    <w:rsid w:val="005B688D"/>
    <w:rsid w:val="005C1AF8"/>
    <w:rsid w:val="005C7A1E"/>
    <w:rsid w:val="005D1C04"/>
    <w:rsid w:val="005D25F8"/>
    <w:rsid w:val="005D2F23"/>
    <w:rsid w:val="005D470D"/>
    <w:rsid w:val="005E0799"/>
    <w:rsid w:val="005E2845"/>
    <w:rsid w:val="005F0A20"/>
    <w:rsid w:val="005F0B86"/>
    <w:rsid w:val="005F4399"/>
    <w:rsid w:val="005F5A80"/>
    <w:rsid w:val="006044FF"/>
    <w:rsid w:val="00607CC5"/>
    <w:rsid w:val="0061387D"/>
    <w:rsid w:val="00613E79"/>
    <w:rsid w:val="006149F0"/>
    <w:rsid w:val="00625A53"/>
    <w:rsid w:val="00633014"/>
    <w:rsid w:val="0063437B"/>
    <w:rsid w:val="006375BD"/>
    <w:rsid w:val="006500AF"/>
    <w:rsid w:val="00654DB3"/>
    <w:rsid w:val="006673CA"/>
    <w:rsid w:val="00667EA4"/>
    <w:rsid w:val="006737D7"/>
    <w:rsid w:val="00673C26"/>
    <w:rsid w:val="006744AE"/>
    <w:rsid w:val="00674A8B"/>
    <w:rsid w:val="00677D49"/>
    <w:rsid w:val="006812AF"/>
    <w:rsid w:val="0068327D"/>
    <w:rsid w:val="00683EDE"/>
    <w:rsid w:val="00685123"/>
    <w:rsid w:val="0069044E"/>
    <w:rsid w:val="00691225"/>
    <w:rsid w:val="00694AF0"/>
    <w:rsid w:val="006975E4"/>
    <w:rsid w:val="006A4686"/>
    <w:rsid w:val="006B0188"/>
    <w:rsid w:val="006B0E9E"/>
    <w:rsid w:val="006B208D"/>
    <w:rsid w:val="006B20B4"/>
    <w:rsid w:val="006B5AE4"/>
    <w:rsid w:val="006C5A26"/>
    <w:rsid w:val="006D0783"/>
    <w:rsid w:val="006D1507"/>
    <w:rsid w:val="006D4054"/>
    <w:rsid w:val="006D6B72"/>
    <w:rsid w:val="006D7CF9"/>
    <w:rsid w:val="006E02EC"/>
    <w:rsid w:val="006E135A"/>
    <w:rsid w:val="006E1A0D"/>
    <w:rsid w:val="006F7308"/>
    <w:rsid w:val="00701980"/>
    <w:rsid w:val="007059D5"/>
    <w:rsid w:val="007162EB"/>
    <w:rsid w:val="00716E70"/>
    <w:rsid w:val="007176A3"/>
    <w:rsid w:val="007211B1"/>
    <w:rsid w:val="0072400B"/>
    <w:rsid w:val="00733D55"/>
    <w:rsid w:val="00734095"/>
    <w:rsid w:val="00743715"/>
    <w:rsid w:val="00746187"/>
    <w:rsid w:val="00752A67"/>
    <w:rsid w:val="00752E87"/>
    <w:rsid w:val="0075467A"/>
    <w:rsid w:val="00754C0D"/>
    <w:rsid w:val="00761070"/>
    <w:rsid w:val="0076254F"/>
    <w:rsid w:val="007625D8"/>
    <w:rsid w:val="00774E11"/>
    <w:rsid w:val="00775022"/>
    <w:rsid w:val="007771A4"/>
    <w:rsid w:val="007801F5"/>
    <w:rsid w:val="00781D69"/>
    <w:rsid w:val="00783CA4"/>
    <w:rsid w:val="007842FB"/>
    <w:rsid w:val="00786124"/>
    <w:rsid w:val="0078666A"/>
    <w:rsid w:val="0078756B"/>
    <w:rsid w:val="00792E24"/>
    <w:rsid w:val="0079514B"/>
    <w:rsid w:val="007A2DC1"/>
    <w:rsid w:val="007A2E75"/>
    <w:rsid w:val="007A4F15"/>
    <w:rsid w:val="007B74D8"/>
    <w:rsid w:val="007D3319"/>
    <w:rsid w:val="007D335D"/>
    <w:rsid w:val="007D4B75"/>
    <w:rsid w:val="007E3314"/>
    <w:rsid w:val="007E3C1D"/>
    <w:rsid w:val="007E4B03"/>
    <w:rsid w:val="007F324B"/>
    <w:rsid w:val="007F5D91"/>
    <w:rsid w:val="00802A9A"/>
    <w:rsid w:val="008033BF"/>
    <w:rsid w:val="008053D1"/>
    <w:rsid w:val="0080553C"/>
    <w:rsid w:val="00805B46"/>
    <w:rsid w:val="008144D3"/>
    <w:rsid w:val="00817141"/>
    <w:rsid w:val="00817702"/>
    <w:rsid w:val="00820461"/>
    <w:rsid w:val="00820B10"/>
    <w:rsid w:val="008215AF"/>
    <w:rsid w:val="0082498D"/>
    <w:rsid w:val="00825DC2"/>
    <w:rsid w:val="00826EF3"/>
    <w:rsid w:val="00831172"/>
    <w:rsid w:val="00834AD3"/>
    <w:rsid w:val="0084358D"/>
    <w:rsid w:val="00843795"/>
    <w:rsid w:val="00844B42"/>
    <w:rsid w:val="00847F0F"/>
    <w:rsid w:val="00852448"/>
    <w:rsid w:val="00856F88"/>
    <w:rsid w:val="00864F07"/>
    <w:rsid w:val="00865A1F"/>
    <w:rsid w:val="00872BF7"/>
    <w:rsid w:val="00875E32"/>
    <w:rsid w:val="00880E0E"/>
    <w:rsid w:val="00881F08"/>
    <w:rsid w:val="0088258A"/>
    <w:rsid w:val="008832C4"/>
    <w:rsid w:val="00883763"/>
    <w:rsid w:val="00885ECA"/>
    <w:rsid w:val="00886332"/>
    <w:rsid w:val="00893327"/>
    <w:rsid w:val="008953CF"/>
    <w:rsid w:val="00896760"/>
    <w:rsid w:val="00897F0C"/>
    <w:rsid w:val="008A03DB"/>
    <w:rsid w:val="008A1889"/>
    <w:rsid w:val="008A1E68"/>
    <w:rsid w:val="008A26D9"/>
    <w:rsid w:val="008A3B00"/>
    <w:rsid w:val="008B124A"/>
    <w:rsid w:val="008B2143"/>
    <w:rsid w:val="008B2210"/>
    <w:rsid w:val="008B4AE0"/>
    <w:rsid w:val="008B6A9C"/>
    <w:rsid w:val="008C0C29"/>
    <w:rsid w:val="008C4C0F"/>
    <w:rsid w:val="008C7A01"/>
    <w:rsid w:val="008D3849"/>
    <w:rsid w:val="008F1DB7"/>
    <w:rsid w:val="008F3638"/>
    <w:rsid w:val="008F4441"/>
    <w:rsid w:val="008F6F31"/>
    <w:rsid w:val="008F74DF"/>
    <w:rsid w:val="00911B22"/>
    <w:rsid w:val="009127BA"/>
    <w:rsid w:val="009143B7"/>
    <w:rsid w:val="00916782"/>
    <w:rsid w:val="00917CCF"/>
    <w:rsid w:val="009227A6"/>
    <w:rsid w:val="00932079"/>
    <w:rsid w:val="00933B26"/>
    <w:rsid w:val="00933EC1"/>
    <w:rsid w:val="00942DCA"/>
    <w:rsid w:val="00951CDF"/>
    <w:rsid w:val="00952FCE"/>
    <w:rsid w:val="009530DB"/>
    <w:rsid w:val="00953676"/>
    <w:rsid w:val="009705EE"/>
    <w:rsid w:val="00971217"/>
    <w:rsid w:val="00977927"/>
    <w:rsid w:val="0098135C"/>
    <w:rsid w:val="0098156A"/>
    <w:rsid w:val="009816FB"/>
    <w:rsid w:val="00990133"/>
    <w:rsid w:val="00991BAC"/>
    <w:rsid w:val="009941D1"/>
    <w:rsid w:val="009954C9"/>
    <w:rsid w:val="00996BD5"/>
    <w:rsid w:val="009A32C0"/>
    <w:rsid w:val="009A3DA7"/>
    <w:rsid w:val="009A6EA0"/>
    <w:rsid w:val="009B1399"/>
    <w:rsid w:val="009C1335"/>
    <w:rsid w:val="009C1AB2"/>
    <w:rsid w:val="009C5407"/>
    <w:rsid w:val="009C6406"/>
    <w:rsid w:val="009C6A6A"/>
    <w:rsid w:val="009C7251"/>
    <w:rsid w:val="009D7000"/>
    <w:rsid w:val="009E2E91"/>
    <w:rsid w:val="009E3BF4"/>
    <w:rsid w:val="009E3FA7"/>
    <w:rsid w:val="009E410D"/>
    <w:rsid w:val="009E4E6E"/>
    <w:rsid w:val="009F4806"/>
    <w:rsid w:val="009F5815"/>
    <w:rsid w:val="00A03A4C"/>
    <w:rsid w:val="00A0476F"/>
    <w:rsid w:val="00A065BE"/>
    <w:rsid w:val="00A07F00"/>
    <w:rsid w:val="00A12435"/>
    <w:rsid w:val="00A139F5"/>
    <w:rsid w:val="00A2136A"/>
    <w:rsid w:val="00A22C6E"/>
    <w:rsid w:val="00A34C24"/>
    <w:rsid w:val="00A3543D"/>
    <w:rsid w:val="00A365F4"/>
    <w:rsid w:val="00A37CE0"/>
    <w:rsid w:val="00A460E6"/>
    <w:rsid w:val="00A46BD5"/>
    <w:rsid w:val="00A47541"/>
    <w:rsid w:val="00A47937"/>
    <w:rsid w:val="00A47D80"/>
    <w:rsid w:val="00A525C6"/>
    <w:rsid w:val="00A53132"/>
    <w:rsid w:val="00A563F2"/>
    <w:rsid w:val="00A566E8"/>
    <w:rsid w:val="00A57512"/>
    <w:rsid w:val="00A60130"/>
    <w:rsid w:val="00A76B1F"/>
    <w:rsid w:val="00A7731C"/>
    <w:rsid w:val="00A810F9"/>
    <w:rsid w:val="00A81A67"/>
    <w:rsid w:val="00A86ECC"/>
    <w:rsid w:val="00A86FCC"/>
    <w:rsid w:val="00A93892"/>
    <w:rsid w:val="00A95531"/>
    <w:rsid w:val="00AA710D"/>
    <w:rsid w:val="00AB1F98"/>
    <w:rsid w:val="00AB32D6"/>
    <w:rsid w:val="00AB6D25"/>
    <w:rsid w:val="00AC6CBE"/>
    <w:rsid w:val="00AD4947"/>
    <w:rsid w:val="00AD6B89"/>
    <w:rsid w:val="00AD6E6C"/>
    <w:rsid w:val="00AE20FD"/>
    <w:rsid w:val="00AE2D4B"/>
    <w:rsid w:val="00AE3075"/>
    <w:rsid w:val="00AE4F99"/>
    <w:rsid w:val="00AF50DA"/>
    <w:rsid w:val="00AF73D9"/>
    <w:rsid w:val="00B02B38"/>
    <w:rsid w:val="00B06265"/>
    <w:rsid w:val="00B11B69"/>
    <w:rsid w:val="00B13D96"/>
    <w:rsid w:val="00B14952"/>
    <w:rsid w:val="00B22E54"/>
    <w:rsid w:val="00B24FE7"/>
    <w:rsid w:val="00B31E5A"/>
    <w:rsid w:val="00B322EC"/>
    <w:rsid w:val="00B35FDE"/>
    <w:rsid w:val="00B4321B"/>
    <w:rsid w:val="00B4377A"/>
    <w:rsid w:val="00B447A4"/>
    <w:rsid w:val="00B45A5F"/>
    <w:rsid w:val="00B46A9C"/>
    <w:rsid w:val="00B56573"/>
    <w:rsid w:val="00B5725F"/>
    <w:rsid w:val="00B609CE"/>
    <w:rsid w:val="00B62406"/>
    <w:rsid w:val="00B64918"/>
    <w:rsid w:val="00B653AB"/>
    <w:rsid w:val="00B65F9E"/>
    <w:rsid w:val="00B66B19"/>
    <w:rsid w:val="00B744DE"/>
    <w:rsid w:val="00B80728"/>
    <w:rsid w:val="00B853FE"/>
    <w:rsid w:val="00B870AE"/>
    <w:rsid w:val="00B91280"/>
    <w:rsid w:val="00B914E9"/>
    <w:rsid w:val="00B94737"/>
    <w:rsid w:val="00B956EE"/>
    <w:rsid w:val="00B97152"/>
    <w:rsid w:val="00BA187F"/>
    <w:rsid w:val="00BA2BA1"/>
    <w:rsid w:val="00BA3562"/>
    <w:rsid w:val="00BA5A42"/>
    <w:rsid w:val="00BB4F09"/>
    <w:rsid w:val="00BB6DD9"/>
    <w:rsid w:val="00BC02CA"/>
    <w:rsid w:val="00BC2A8C"/>
    <w:rsid w:val="00BC467A"/>
    <w:rsid w:val="00BD2AE3"/>
    <w:rsid w:val="00BD47EC"/>
    <w:rsid w:val="00BD4E33"/>
    <w:rsid w:val="00BD6108"/>
    <w:rsid w:val="00BF0610"/>
    <w:rsid w:val="00BF54BF"/>
    <w:rsid w:val="00C00EDA"/>
    <w:rsid w:val="00C01B27"/>
    <w:rsid w:val="00C030DE"/>
    <w:rsid w:val="00C04C29"/>
    <w:rsid w:val="00C04FBC"/>
    <w:rsid w:val="00C05841"/>
    <w:rsid w:val="00C0758C"/>
    <w:rsid w:val="00C11941"/>
    <w:rsid w:val="00C21A3C"/>
    <w:rsid w:val="00C22105"/>
    <w:rsid w:val="00C22E93"/>
    <w:rsid w:val="00C244B6"/>
    <w:rsid w:val="00C27D75"/>
    <w:rsid w:val="00C34033"/>
    <w:rsid w:val="00C34B96"/>
    <w:rsid w:val="00C3702F"/>
    <w:rsid w:val="00C41EA1"/>
    <w:rsid w:val="00C4500A"/>
    <w:rsid w:val="00C50CA3"/>
    <w:rsid w:val="00C521A1"/>
    <w:rsid w:val="00C55C91"/>
    <w:rsid w:val="00C64A37"/>
    <w:rsid w:val="00C6502A"/>
    <w:rsid w:val="00C65A73"/>
    <w:rsid w:val="00C664B5"/>
    <w:rsid w:val="00C7158E"/>
    <w:rsid w:val="00C7250B"/>
    <w:rsid w:val="00C7346B"/>
    <w:rsid w:val="00C73B5E"/>
    <w:rsid w:val="00C75ADB"/>
    <w:rsid w:val="00C77C0E"/>
    <w:rsid w:val="00C8000E"/>
    <w:rsid w:val="00C848A2"/>
    <w:rsid w:val="00C91687"/>
    <w:rsid w:val="00C9212D"/>
    <w:rsid w:val="00C924A8"/>
    <w:rsid w:val="00C93D8F"/>
    <w:rsid w:val="00C945FE"/>
    <w:rsid w:val="00C950B4"/>
    <w:rsid w:val="00C96FAA"/>
    <w:rsid w:val="00C97725"/>
    <w:rsid w:val="00C97A04"/>
    <w:rsid w:val="00CA0691"/>
    <w:rsid w:val="00CA107B"/>
    <w:rsid w:val="00CA484D"/>
    <w:rsid w:val="00CA4FB6"/>
    <w:rsid w:val="00CB5FC3"/>
    <w:rsid w:val="00CC739E"/>
    <w:rsid w:val="00CD1E2E"/>
    <w:rsid w:val="00CD1E3A"/>
    <w:rsid w:val="00CD2AEC"/>
    <w:rsid w:val="00CD58B7"/>
    <w:rsid w:val="00CE1FA7"/>
    <w:rsid w:val="00CE39EF"/>
    <w:rsid w:val="00CE48BF"/>
    <w:rsid w:val="00CF08EF"/>
    <w:rsid w:val="00CF4099"/>
    <w:rsid w:val="00D00796"/>
    <w:rsid w:val="00D02D2C"/>
    <w:rsid w:val="00D12F43"/>
    <w:rsid w:val="00D1641A"/>
    <w:rsid w:val="00D228FB"/>
    <w:rsid w:val="00D23301"/>
    <w:rsid w:val="00D24390"/>
    <w:rsid w:val="00D261A2"/>
    <w:rsid w:val="00D30868"/>
    <w:rsid w:val="00D355E0"/>
    <w:rsid w:val="00D4306E"/>
    <w:rsid w:val="00D538E4"/>
    <w:rsid w:val="00D5535B"/>
    <w:rsid w:val="00D616D2"/>
    <w:rsid w:val="00D63B5F"/>
    <w:rsid w:val="00D7066F"/>
    <w:rsid w:val="00D70EF7"/>
    <w:rsid w:val="00D72104"/>
    <w:rsid w:val="00D815F5"/>
    <w:rsid w:val="00D8397C"/>
    <w:rsid w:val="00D86F19"/>
    <w:rsid w:val="00D922C5"/>
    <w:rsid w:val="00D94EED"/>
    <w:rsid w:val="00D96026"/>
    <w:rsid w:val="00D96E78"/>
    <w:rsid w:val="00D97C8B"/>
    <w:rsid w:val="00DA0243"/>
    <w:rsid w:val="00DA433C"/>
    <w:rsid w:val="00DA71C4"/>
    <w:rsid w:val="00DA7C1C"/>
    <w:rsid w:val="00DB11FB"/>
    <w:rsid w:val="00DB147A"/>
    <w:rsid w:val="00DB1B7A"/>
    <w:rsid w:val="00DB66A5"/>
    <w:rsid w:val="00DB67CB"/>
    <w:rsid w:val="00DC6708"/>
    <w:rsid w:val="00DC6DEB"/>
    <w:rsid w:val="00DD2644"/>
    <w:rsid w:val="00DE0555"/>
    <w:rsid w:val="00DE5DA8"/>
    <w:rsid w:val="00DF712D"/>
    <w:rsid w:val="00DF78F1"/>
    <w:rsid w:val="00E01436"/>
    <w:rsid w:val="00E045BD"/>
    <w:rsid w:val="00E07F9C"/>
    <w:rsid w:val="00E149AD"/>
    <w:rsid w:val="00E17A9F"/>
    <w:rsid w:val="00E17B77"/>
    <w:rsid w:val="00E22FD2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4452"/>
    <w:rsid w:val="00E54C8E"/>
    <w:rsid w:val="00E56A7B"/>
    <w:rsid w:val="00E664C5"/>
    <w:rsid w:val="00E667F2"/>
    <w:rsid w:val="00E67089"/>
    <w:rsid w:val="00E671A2"/>
    <w:rsid w:val="00E75DF0"/>
    <w:rsid w:val="00E76D26"/>
    <w:rsid w:val="00E806A1"/>
    <w:rsid w:val="00E83167"/>
    <w:rsid w:val="00E97BF9"/>
    <w:rsid w:val="00EB02C9"/>
    <w:rsid w:val="00EB1390"/>
    <w:rsid w:val="00EB2C71"/>
    <w:rsid w:val="00EB4340"/>
    <w:rsid w:val="00EB556D"/>
    <w:rsid w:val="00EB5A7D"/>
    <w:rsid w:val="00EB62EC"/>
    <w:rsid w:val="00EC1F6A"/>
    <w:rsid w:val="00EC5536"/>
    <w:rsid w:val="00ED193A"/>
    <w:rsid w:val="00ED55C0"/>
    <w:rsid w:val="00ED682B"/>
    <w:rsid w:val="00ED71DF"/>
    <w:rsid w:val="00EE41D5"/>
    <w:rsid w:val="00EE696D"/>
    <w:rsid w:val="00EF4B9A"/>
    <w:rsid w:val="00EF7B36"/>
    <w:rsid w:val="00F008F3"/>
    <w:rsid w:val="00F037A4"/>
    <w:rsid w:val="00F047FA"/>
    <w:rsid w:val="00F04C11"/>
    <w:rsid w:val="00F0562A"/>
    <w:rsid w:val="00F0573E"/>
    <w:rsid w:val="00F10992"/>
    <w:rsid w:val="00F12FEC"/>
    <w:rsid w:val="00F13C3F"/>
    <w:rsid w:val="00F1756D"/>
    <w:rsid w:val="00F21400"/>
    <w:rsid w:val="00F22FF9"/>
    <w:rsid w:val="00F26013"/>
    <w:rsid w:val="00F27C8F"/>
    <w:rsid w:val="00F30924"/>
    <w:rsid w:val="00F30A0C"/>
    <w:rsid w:val="00F32749"/>
    <w:rsid w:val="00F32DC3"/>
    <w:rsid w:val="00F37172"/>
    <w:rsid w:val="00F437E5"/>
    <w:rsid w:val="00F4477E"/>
    <w:rsid w:val="00F45717"/>
    <w:rsid w:val="00F55FD4"/>
    <w:rsid w:val="00F61291"/>
    <w:rsid w:val="00F635C6"/>
    <w:rsid w:val="00F64E51"/>
    <w:rsid w:val="00F65EEC"/>
    <w:rsid w:val="00F6637E"/>
    <w:rsid w:val="00F67042"/>
    <w:rsid w:val="00F67D8F"/>
    <w:rsid w:val="00F739B3"/>
    <w:rsid w:val="00F73F24"/>
    <w:rsid w:val="00F74680"/>
    <w:rsid w:val="00F7490B"/>
    <w:rsid w:val="00F74B10"/>
    <w:rsid w:val="00F80247"/>
    <w:rsid w:val="00F802BE"/>
    <w:rsid w:val="00F804F1"/>
    <w:rsid w:val="00F80E93"/>
    <w:rsid w:val="00F86024"/>
    <w:rsid w:val="00F8611A"/>
    <w:rsid w:val="00F86C02"/>
    <w:rsid w:val="00F90BB1"/>
    <w:rsid w:val="00F910A6"/>
    <w:rsid w:val="00F93CA3"/>
    <w:rsid w:val="00FA0A9F"/>
    <w:rsid w:val="00FA453F"/>
    <w:rsid w:val="00FA5128"/>
    <w:rsid w:val="00FB0860"/>
    <w:rsid w:val="00FB087C"/>
    <w:rsid w:val="00FB2068"/>
    <w:rsid w:val="00FB42D4"/>
    <w:rsid w:val="00FB5906"/>
    <w:rsid w:val="00FB63DE"/>
    <w:rsid w:val="00FB762F"/>
    <w:rsid w:val="00FC2AED"/>
    <w:rsid w:val="00FC4711"/>
    <w:rsid w:val="00FC5506"/>
    <w:rsid w:val="00FC6FEF"/>
    <w:rsid w:val="00FD054B"/>
    <w:rsid w:val="00FD5141"/>
    <w:rsid w:val="00FD5EA7"/>
    <w:rsid w:val="00FF05C8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B556749-6104-411D-A218-E1CBED13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chart" Target="charts/chart4.xm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hyperlink" Target="http://stat.gov.pl/en/topics/prices-trade/prices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5" Type="http://schemas.openxmlformats.org/officeDocument/2006/relationships/image" Target="media/image5.png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eader" Target="header3.xm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bdl.stat.gov.pl/BDL/start?lang=en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en/latest-statistical-news/communications-and-announcements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4.913221669918267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187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187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187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0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0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843E-3"/>
                  <c:y val="-3.993507008366231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16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Telephone and telefax services</c:v>
                </c:pt>
                <c:pt idx="1">
                  <c:v>Fruit</c:v>
                </c:pt>
                <c:pt idx="2">
                  <c:v>Meat</c:v>
                </c:pt>
                <c:pt idx="3">
                  <c:v>Package holidays</c:v>
                </c:pt>
                <c:pt idx="4">
                  <c:v>Cultural services</c:v>
                </c:pt>
                <c:pt idx="5">
                  <c:v>Bread and cereals</c:v>
                </c:pt>
                <c:pt idx="6">
                  <c:v>Alcoholic beverages</c:v>
                </c:pt>
                <c:pt idx="7">
                  <c:v>Pharmaceutical products</c:v>
                </c:pt>
                <c:pt idx="8">
                  <c:v>Fuels for personal transport equipment</c:v>
                </c:pt>
                <c:pt idx="9">
                  <c:v>Vegetables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-0.12</c:v>
                </c:pt>
                <c:pt idx="1">
                  <c:v>-0.05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0.03</c:v>
                </c:pt>
                <c:pt idx="6">
                  <c:v>0.03</c:v>
                </c:pt>
                <c:pt idx="7">
                  <c:v>0.04</c:v>
                </c:pt>
                <c:pt idx="8">
                  <c:v>0.05</c:v>
                </c:pt>
                <c:pt idx="9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3807296"/>
        <c:axId val="1127538992"/>
      </c:barChart>
      <c:catAx>
        <c:axId val="109380729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27538992"/>
        <c:crossesAt val="0"/>
        <c:auto val="1"/>
        <c:lblAlgn val="ctr"/>
        <c:lblOffset val="300"/>
        <c:tickMarkSkip val="1"/>
        <c:noMultiLvlLbl val="0"/>
      </c:catAx>
      <c:valAx>
        <c:axId val="1127538992"/>
        <c:scaling>
          <c:orientation val="minMax"/>
          <c:max val="9.0000000000000024E-2"/>
          <c:min val="-0.15000000000000005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93807296"/>
        <c:crosses val="autoZero"/>
        <c:crossBetween val="between"/>
        <c:majorUnit val="3.0000000000000016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26"/>
          <c:y val="4.5267504380125223E-2"/>
          <c:w val="0.51977086663049876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27542800"/>
        <c:axId val="1127539536"/>
      </c:barChart>
      <c:catAx>
        <c:axId val="1127542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1127539536"/>
        <c:crosses val="autoZero"/>
        <c:auto val="0"/>
        <c:lblAlgn val="ctr"/>
        <c:lblOffset val="100"/>
        <c:noMultiLvlLbl val="0"/>
      </c:catAx>
      <c:valAx>
        <c:axId val="1127539536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65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275428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72931729259E-2"/>
                  <c:y val="3.6027671262281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552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269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788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833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915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589477408574E-2"/>
                  <c:y val="4.5103457912366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504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'M-1'!$B$14:$B$36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'M-1'!$C$14:$C$36</c:f>
              <c:numCache>
                <c:formatCode>0.0</c:formatCode>
                <c:ptCount val="23"/>
                <c:pt idx="0">
                  <c:v>0.40000000000000568</c:v>
                </c:pt>
                <c:pt idx="1">
                  <c:v>0.29999999999999727</c:v>
                </c:pt>
                <c:pt idx="2">
                  <c:v>-9.9999999999994343E-2</c:v>
                </c:pt>
                <c:pt idx="3">
                  <c:v>0.29999999999999727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-9.9999999999994343E-2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0.29999999999999727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2292080"/>
        <c:axId val="1122301328"/>
      </c:lineChart>
      <c:dateAx>
        <c:axId val="11222920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22301328"/>
        <c:crossesAt val="0"/>
        <c:auto val="0"/>
        <c:lblOffset val="100"/>
        <c:baseTimeUnit val="days"/>
      </c:dateAx>
      <c:valAx>
        <c:axId val="1122301328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2229208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344E-2"/>
                  <c:y val="-3.53151187120245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054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762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08265991588E-2"/>
                  <c:y val="3.6495356524476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95318521999E-2"/>
                  <c:y val="4.185000771962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9123989412400785E-2"/>
                  <c:y val="-3.7162905476263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3083549227215202E-2"/>
                  <c:y val="-4.445274905765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497752722551E-2"/>
                  <c:y val="-4.4701118508368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730253978476E-2"/>
                  <c:y val="4.09931295352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(+FE)'!$B$14:$B$36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(+FE)'!$C$14:$C$36</c:f>
              <c:numCache>
                <c:formatCode>0.0</c:formatCode>
                <c:ptCount val="23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3372592"/>
        <c:axId val="1215860096"/>
      </c:lineChart>
      <c:dateAx>
        <c:axId val="10333725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15860096"/>
        <c:crossesAt val="0"/>
        <c:auto val="0"/>
        <c:lblOffset val="100"/>
        <c:baseTimeUnit val="days"/>
      </c:dateAx>
      <c:valAx>
        <c:axId val="121586009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03337259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387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m-12'!$B$15:$B$37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m-12'!$C$15:$C$37</c:f>
              <c:numCache>
                <c:formatCode>0.0</c:formatCode>
                <c:ptCount val="23"/>
                <c:pt idx="0">
                  <c:v>1.7000000000000028</c:v>
                </c:pt>
                <c:pt idx="1">
                  <c:v>2.2000000000000033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1.7999999999999969</c:v>
                </c:pt>
                <c:pt idx="8">
                  <c:v>2.2000000000000033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m-12'!$B$15:$B$36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m-12'!$E$15:$E$36</c:f>
              <c:numCache>
                <c:formatCode>0.0</c:formatCode>
                <c:ptCount val="22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0.70000000000000007</c:v>
                </c:pt>
                <c:pt idx="14">
                  <c:v>0.70000000000000007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  <c:pt idx="21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23302544"/>
        <c:axId val="1223309616"/>
      </c:lineChart>
      <c:catAx>
        <c:axId val="122330254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233096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223309616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2330254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837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0.51952</cdr:x>
      <cdr:y>0.86938</cdr:y>
    </cdr:from>
    <cdr:to>
      <cdr:x>0.51984</cdr:x>
      <cdr:y>0.94906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672390" y="2239879"/>
          <a:ext cx="1646" cy="20528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0.51668</cdr:x>
      <cdr:y>0.86893</cdr:y>
    </cdr:from>
    <cdr:to>
      <cdr:x>0.51703</cdr:x>
      <cdr:y>0.95388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647726" y="2251224"/>
          <a:ext cx="1793" cy="2200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0.06505</cdr:x>
      <cdr:y>0.1833</cdr:y>
    </cdr:from>
    <cdr:to>
      <cdr:x>0.26236</cdr:x>
      <cdr:y>0.25335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366" y="474881"/>
          <a:ext cx="1011073" cy="1814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0.18904</cdr:x>
      <cdr:y>0.24461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68722" y="633743"/>
          <a:ext cx="232758" cy="2731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0.38405</cdr:x>
      <cdr:y>0.17647</cdr:y>
    </cdr:from>
    <cdr:to>
      <cdr:x>0.70641</cdr:x>
      <cdr:y>0.24465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68027" y="457200"/>
          <a:ext cx="1651918" cy="1766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0.35776</cdr:x>
      <cdr:y>0.15376</cdr:y>
    </cdr:from>
    <cdr:to>
      <cdr:x>0.39223</cdr:x>
      <cdr:y>0.22309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833327" y="398353"/>
          <a:ext cx="176627" cy="17961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0.23413</cdr:x>
      <cdr:y>0.22365</cdr:y>
    </cdr:from>
    <cdr:to>
      <cdr:x>0.39309</cdr:x>
      <cdr:y>0.5575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99784" y="579422"/>
          <a:ext cx="814611" cy="8649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0.51562</cdr:x>
      <cdr:y>0.85572</cdr:y>
    </cdr:from>
    <cdr:to>
      <cdr:x>0.51588</cdr:x>
      <cdr:y>0.93257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653276" y="2177371"/>
          <a:ext cx="1338" cy="1955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AA64B9AE-A1E3-47EB-A8B1-8830CFFA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November 2018</dc:title>
  <dc:creator>Zawistowska Beata</dc:creator>
  <cp:lastModifiedBy>Koszela Alicja</cp:lastModifiedBy>
  <cp:revision>12</cp:revision>
  <cp:lastPrinted>2018-12-14T07:50:00Z</cp:lastPrinted>
  <dcterms:created xsi:type="dcterms:W3CDTF">2018-04-04T11:35:00Z</dcterms:created>
  <dcterms:modified xsi:type="dcterms:W3CDTF">2018-12-14T08:19:00Z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