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bookmarkStart w:id="0" w:name="_GoBack"/>
      <w:r w:rsidRPr="00F7490B">
        <w:rPr>
          <w:lang w:val="en-GB"/>
        </w:rPr>
        <w:t>Consumer price indices</w:t>
      </w:r>
      <w:r w:rsidR="003301E6">
        <w:rPr>
          <w:lang w:val="en-GB"/>
        </w:rPr>
        <w:t xml:space="preserve"> </w:t>
      </w:r>
      <w:r w:rsidRPr="00F7490B">
        <w:rPr>
          <w:lang w:val="en-GB"/>
        </w:rPr>
        <w:t xml:space="preserve">in </w:t>
      </w:r>
      <w:r w:rsidR="005B688D">
        <w:rPr>
          <w:lang w:val="en-GB"/>
        </w:rPr>
        <w:t>August</w:t>
      </w:r>
      <w:r w:rsidRPr="00F7490B">
        <w:rPr>
          <w:lang w:val="en-GB"/>
        </w:rPr>
        <w:t xml:space="preserve"> 2018</w:t>
      </w:r>
    </w:p>
    <w:bookmarkEnd w:id="0"/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E53636">
        <w:rPr>
          <w:color w:val="000000" w:themeColor="text1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474A5B" w:rsidRPr="009E4E6E" w:rsidRDefault="00474A5B" w:rsidP="005B688D">
                  <w:pPr>
                    <w:spacing w:after="0" w:line="240" w:lineRule="auto"/>
                    <w:ind w:left="567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9E4E6E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0,0</w:t>
                  </w:r>
                  <w:r w:rsidRPr="009E4E6E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474A5B" w:rsidRPr="009E4E6E" w:rsidRDefault="00474A5B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881F08">
                    <w:rPr>
                      <w:lang w:val="en-GB"/>
                    </w:rPr>
                    <w:t>unchanged compared with the previous month</w:t>
                  </w:r>
                </w:p>
              </w:txbxContent>
            </v:textbox>
            <w10:wrap type="square" anchorx="margin"/>
          </v:shape>
        </w:pic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880E0E">
        <w:rPr>
          <w:noProof w:val="0"/>
          <w:color w:val="000000" w:themeColor="text1"/>
          <w:lang w:val="en-GB"/>
        </w:rPr>
        <w:t>August</w:t>
      </w:r>
      <w:r w:rsidR="004206B2">
        <w:rPr>
          <w:noProof w:val="0"/>
          <w:color w:val="000000" w:themeColor="text1"/>
          <w:lang w:val="en-GB"/>
        </w:rPr>
        <w:t xml:space="preserve"> </w:t>
      </w:r>
      <w:r w:rsidR="00DE5DA8" w:rsidRPr="0058659E">
        <w:rPr>
          <w:noProof w:val="0"/>
          <w:color w:val="000000" w:themeColor="text1"/>
          <w:lang w:val="en-GB"/>
        </w:rPr>
        <w:t xml:space="preserve">2018, </w:t>
      </w:r>
      <w:r w:rsidR="0011212A">
        <w:rPr>
          <w:noProof w:val="0"/>
          <w:color w:val="000000" w:themeColor="text1"/>
          <w:lang w:val="en-GB"/>
        </w:rPr>
        <w:t xml:space="preserve">remained </w:t>
      </w:r>
      <w:r w:rsidR="00474A5B">
        <w:rPr>
          <w:noProof w:val="0"/>
          <w:color w:val="000000" w:themeColor="text1"/>
          <w:lang w:val="en-GB"/>
        </w:rPr>
        <w:t xml:space="preserve">on average </w:t>
      </w:r>
      <w:r w:rsidR="0011212A">
        <w:rPr>
          <w:noProof w:val="0"/>
          <w:color w:val="000000" w:themeColor="text1"/>
          <w:lang w:val="en-GB"/>
        </w:rPr>
        <w:t>at </w:t>
      </w:r>
      <w:r w:rsidR="005A3F5C">
        <w:rPr>
          <w:noProof w:val="0"/>
          <w:color w:val="000000" w:themeColor="text1"/>
          <w:lang w:val="en-GB"/>
        </w:rPr>
        <w:t xml:space="preserve">a </w:t>
      </w:r>
      <w:r w:rsidR="004C6B40" w:rsidRPr="004C6B40">
        <w:rPr>
          <w:noProof w:val="0"/>
          <w:color w:val="000000" w:themeColor="text1"/>
          <w:lang w:val="en-GB"/>
        </w:rPr>
        <w:t>level</w:t>
      </w:r>
      <w:r w:rsidR="005A3F5C">
        <w:rPr>
          <w:noProof w:val="0"/>
          <w:color w:val="000000" w:themeColor="text1"/>
          <w:lang w:val="en-GB"/>
        </w:rPr>
        <w:t xml:space="preserve"> similar to the one recorded in the </w:t>
      </w:r>
      <w:r w:rsidR="004C6B40">
        <w:rPr>
          <w:noProof w:val="0"/>
          <w:color w:val="000000" w:themeColor="text1"/>
          <w:lang w:val="en-GB"/>
        </w:rPr>
        <w:t xml:space="preserve">previous month </w:t>
      </w:r>
      <w:r w:rsidR="00DE5DA8" w:rsidRPr="0058659E">
        <w:rPr>
          <w:noProof w:val="0"/>
          <w:color w:val="000000" w:themeColor="text1"/>
          <w:lang w:val="en-GB"/>
        </w:rPr>
        <w:t>(</w:t>
      </w:r>
      <w:r w:rsidR="00C21A3C">
        <w:rPr>
          <w:noProof w:val="0"/>
          <w:color w:val="000000" w:themeColor="text1"/>
          <w:lang w:val="en-GB"/>
        </w:rPr>
        <w:t xml:space="preserve">with an increase of prices of services </w:t>
      </w:r>
      <w:r w:rsidR="0058659E">
        <w:rPr>
          <w:noProof w:val="0"/>
          <w:color w:val="000000" w:themeColor="text1"/>
          <w:lang w:val="en-GB"/>
        </w:rPr>
        <w:t>– by </w:t>
      </w:r>
      <w:r w:rsidR="00625A53">
        <w:rPr>
          <w:noProof w:val="0"/>
          <w:color w:val="000000" w:themeColor="text1"/>
          <w:lang w:val="en-GB"/>
        </w:rPr>
        <w:t>0,5</w:t>
      </w:r>
      <w:r w:rsidR="0011212A">
        <w:rPr>
          <w:noProof w:val="0"/>
          <w:color w:val="000000" w:themeColor="text1"/>
          <w:lang w:val="en-GB"/>
        </w:rPr>
        <w:t>%</w:t>
      </w:r>
      <w:r w:rsidR="000B7E61">
        <w:rPr>
          <w:noProof w:val="0"/>
          <w:color w:val="000000" w:themeColor="text1"/>
          <w:lang w:val="en-GB"/>
        </w:rPr>
        <w:t xml:space="preserve"> </w:t>
      </w:r>
      <w:r w:rsidR="00625A53">
        <w:rPr>
          <w:noProof w:val="0"/>
          <w:color w:val="000000" w:themeColor="text1"/>
          <w:lang w:val="en-GB"/>
        </w:rPr>
        <w:t>and a decrease</w:t>
      </w:r>
      <w:r w:rsidR="008953CF">
        <w:rPr>
          <w:noProof w:val="0"/>
          <w:color w:val="000000" w:themeColor="text1"/>
          <w:lang w:val="en-GB"/>
        </w:rPr>
        <w:t xml:space="preserve"> </w:t>
      </w:r>
      <w:r w:rsidR="00543EB1">
        <w:rPr>
          <w:noProof w:val="0"/>
          <w:color w:val="000000" w:themeColor="text1"/>
          <w:lang w:val="en-GB"/>
        </w:rPr>
        <w:t xml:space="preserve">of prices of </w:t>
      </w:r>
      <w:r w:rsidR="00625A53">
        <w:rPr>
          <w:noProof w:val="0"/>
          <w:color w:val="000000" w:themeColor="text1"/>
          <w:lang w:val="en-GB"/>
        </w:rPr>
        <w:t xml:space="preserve">goods </w:t>
      </w:r>
      <w:r w:rsidR="000B7E61">
        <w:rPr>
          <w:noProof w:val="0"/>
          <w:color w:val="000000" w:themeColor="text1"/>
          <w:lang w:val="en-GB"/>
        </w:rPr>
        <w:t xml:space="preserve">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625A53">
        <w:rPr>
          <w:noProof w:val="0"/>
          <w:color w:val="000000" w:themeColor="text1"/>
          <w:lang w:val="en-GB"/>
        </w:rPr>
        <w:t>0,3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543EB1">
        <w:rPr>
          <w:noProof w:val="0"/>
          <w:color w:val="000000" w:themeColor="text1"/>
          <w:lang w:val="en-GB"/>
        </w:rPr>
        <w:t>by 2</w:t>
      </w:r>
      <w:r w:rsidR="001D62D3">
        <w:rPr>
          <w:noProof w:val="0"/>
          <w:color w:val="000000" w:themeColor="text1"/>
          <w:lang w:val="en-GB"/>
        </w:rPr>
        <w:t>,0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1E162E">
        <w:rPr>
          <w:noProof w:val="0"/>
          <w:color w:val="000000" w:themeColor="text1"/>
          <w:lang w:val="en-GB"/>
        </w:rPr>
        <w:t>2,1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11212A">
        <w:rPr>
          <w:noProof w:val="0"/>
          <w:color w:val="000000" w:themeColor="text1"/>
          <w:lang w:val="en-GB"/>
        </w:rPr>
        <w:t> 1,8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F55FD4" w:rsidRDefault="00AD4947" w:rsidP="00B4377A">
      <w:pPr>
        <w:pStyle w:val="tytuwykresu"/>
        <w:rPr>
          <w:lang w:val="en-GB"/>
        </w:r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1E162E">
        <w:rPr>
          <w:bCs/>
          <w:shd w:val="clear" w:color="auto" w:fill="FFFFFF"/>
          <w:lang w:val="en-GB"/>
        </w:rPr>
        <w:t xml:space="preserve">Consumer price indices in </w:t>
      </w:r>
      <w:r w:rsidR="00880E0E">
        <w:rPr>
          <w:bCs/>
          <w:shd w:val="clear" w:color="auto" w:fill="FFFFFF"/>
          <w:lang w:val="en-GB"/>
        </w:rPr>
        <w:t>August</w:t>
      </w:r>
      <w:r w:rsidR="009954C9" w:rsidRPr="009954C9">
        <w:rPr>
          <w:bCs/>
          <w:shd w:val="clear" w:color="auto" w:fill="FFFFFF"/>
          <w:lang w:val="en-GB"/>
        </w:rPr>
        <w:t xml:space="preserve"> 2</w:t>
      </w:r>
      <w:r w:rsidRPr="009954C9">
        <w:rPr>
          <w:lang w:val="en-GB"/>
        </w:rPr>
        <w:t>018</w:t>
      </w:r>
    </w:p>
    <w:tbl>
      <w:tblPr>
        <w:tblStyle w:val="Siatkatabelijasna11"/>
        <w:tblpPr w:leftFromText="141" w:rightFromText="141" w:vertAnchor="text" w:horzAnchor="margin" w:tblpY="107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984"/>
        <w:gridCol w:w="859"/>
        <w:gridCol w:w="992"/>
        <w:gridCol w:w="1104"/>
        <w:gridCol w:w="1306"/>
      </w:tblGrid>
      <w:tr w:rsidR="00575E5B" w:rsidRPr="00FA5128" w:rsidTr="00C01B27">
        <w:trPr>
          <w:cantSplit/>
          <w:trHeight w:val="367"/>
        </w:trPr>
        <w:tc>
          <w:tcPr>
            <w:tcW w:w="3085" w:type="dxa"/>
            <w:vMerge w:val="restart"/>
            <w:vAlign w:val="center"/>
          </w:tcPr>
          <w:p w:rsidR="00575E5B" w:rsidRPr="009C7251" w:rsidRDefault="00575E5B" w:rsidP="00575E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835" w:type="dxa"/>
            <w:gridSpan w:val="3"/>
            <w:vAlign w:val="center"/>
          </w:tcPr>
          <w:p w:rsidR="00575E5B" w:rsidRPr="00FA5128" w:rsidRDefault="0011212A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 2018</w:t>
            </w:r>
          </w:p>
        </w:tc>
        <w:tc>
          <w:tcPr>
            <w:tcW w:w="1104" w:type="dxa"/>
          </w:tcPr>
          <w:p w:rsidR="00575E5B" w:rsidRPr="00493217" w:rsidRDefault="0011212A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I-VI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 2018</w:t>
            </w:r>
          </w:p>
        </w:tc>
        <w:tc>
          <w:tcPr>
            <w:tcW w:w="1306" w:type="dxa"/>
            <w:vMerge w:val="restart"/>
            <w:vAlign w:val="center"/>
          </w:tcPr>
          <w:p w:rsidR="00575E5B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575E5B" w:rsidRPr="000800B4" w:rsidRDefault="00C01B27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 2018=</w:t>
            </w:r>
            <w:r w:rsidRPr="0042238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11212A" w:rsidRPr="00FA5128" w:rsidTr="00C01B27">
        <w:trPr>
          <w:cantSplit/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11212A" w:rsidRPr="00FA5128" w:rsidRDefault="0011212A" w:rsidP="0011212A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11212A" w:rsidRPr="0042238C" w:rsidRDefault="0011212A" w:rsidP="0011212A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VII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9" w:type="dxa"/>
            <w:tcBorders>
              <w:bottom w:val="single" w:sz="12" w:space="0" w:color="212492"/>
            </w:tcBorders>
            <w:vAlign w:val="center"/>
          </w:tcPr>
          <w:p w:rsidR="0011212A" w:rsidRPr="0042238C" w:rsidRDefault="0011212A" w:rsidP="0011212A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11212A" w:rsidRPr="0042238C" w:rsidRDefault="0011212A" w:rsidP="0011212A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 2018=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04" w:type="dxa"/>
            <w:tcBorders>
              <w:bottom w:val="single" w:sz="12" w:space="0" w:color="212492"/>
            </w:tcBorders>
          </w:tcPr>
          <w:p w:rsidR="0011212A" w:rsidRPr="00493217" w:rsidRDefault="0011212A" w:rsidP="0011212A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I-VI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t>I 2017=</w:t>
            </w:r>
            <w:r w:rsidRPr="0042238C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11212A" w:rsidRPr="00A37CE0" w:rsidRDefault="0011212A" w:rsidP="0011212A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01B27" w:rsidRPr="00E96938" w:rsidRDefault="00C01B27" w:rsidP="00C01B2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</w:tcPr>
          <w:p w:rsidR="00C01B27" w:rsidRPr="0002787F" w:rsidRDefault="00C01B27" w:rsidP="00C01B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0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C01B27" w:rsidRPr="0042238C" w:rsidRDefault="00C01B27" w:rsidP="00C01B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-0,17</w:t>
            </w:r>
          </w:p>
        </w:tc>
      </w:tr>
      <w:tr w:rsidR="00C01B27" w:rsidRPr="0029606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C01B27" w:rsidRPr="0029606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-0,08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C01B27" w:rsidRPr="00FA5128" w:rsidTr="009C6406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nil"/>
            </w:tcBorders>
            <w:vAlign w:val="center"/>
          </w:tcPr>
          <w:p w:rsidR="00C01B27" w:rsidRPr="00E96938" w:rsidRDefault="00C01B27" w:rsidP="00C01B2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59" w:type="dxa"/>
            <w:tcBorders>
              <w:top w:val="single" w:sz="4" w:space="0" w:color="212492"/>
              <w:bottom w:val="nil"/>
            </w:tcBorders>
            <w:vAlign w:val="bottom"/>
          </w:tcPr>
          <w:p w:rsidR="00C01B27" w:rsidRPr="00274AC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74ACF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04" w:type="dxa"/>
            <w:tcBorders>
              <w:top w:val="single" w:sz="4" w:space="0" w:color="212492"/>
              <w:bottom w:val="nil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C01B27" w:rsidRPr="0002787F" w:rsidRDefault="00C01B27" w:rsidP="00C01B2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2787F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</w:tbl>
    <w:p w:rsidR="00F55FD4" w:rsidRPr="00B4377A" w:rsidRDefault="00F55FD4" w:rsidP="00B4377A">
      <w:pPr>
        <w:pStyle w:val="tytuwykresu"/>
        <w:rPr>
          <w:lang w:val="en-GB"/>
        </w:rPr>
        <w:sectPr w:rsidR="00F55FD4" w:rsidRPr="00B4377A" w:rsidSect="000A1DC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C65A73" w:rsidRDefault="00D12F43" w:rsidP="00C65A73">
      <w:pPr>
        <w:spacing w:after="0"/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45573E">
        <w:rPr>
          <w:color w:val="000000" w:themeColor="text1"/>
          <w:lang w:val="en-GB"/>
        </w:rPr>
        <w:t>August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32161A">
        <w:rPr>
          <w:color w:val="000000" w:themeColor="text1"/>
          <w:lang w:val="en-GB"/>
        </w:rPr>
        <w:t>highest 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</w:t>
      </w:r>
      <w:r w:rsidR="00BB6DD9">
        <w:rPr>
          <w:color w:val="000000" w:themeColor="text1"/>
          <w:lang w:val="en-GB"/>
        </w:rPr>
        <w:t>higher</w:t>
      </w:r>
      <w:r w:rsidR="00346BC6" w:rsidRPr="001445C9">
        <w:rPr>
          <w:color w:val="000000" w:themeColor="text1"/>
          <w:lang w:val="en-GB"/>
        </w:rPr>
        <w:t xml:space="preserve"> prices </w:t>
      </w:r>
      <w:r w:rsidR="00BB6DD9">
        <w:rPr>
          <w:color w:val="000000" w:themeColor="text1"/>
          <w:lang w:val="en-GB"/>
        </w:rPr>
        <w:t xml:space="preserve">related to </w:t>
      </w:r>
      <w:r w:rsidR="00BB6DD9" w:rsidRPr="00BB6DD9">
        <w:rPr>
          <w:color w:val="000000" w:themeColor="text1"/>
          <w:lang w:val="en-GB"/>
        </w:rPr>
        <w:t>Dwelling</w:t>
      </w:r>
      <w:r w:rsidR="00BF0610">
        <w:rPr>
          <w:color w:val="000000" w:themeColor="text1"/>
          <w:lang w:val="en-GB"/>
        </w:rPr>
        <w:t xml:space="preserve"> (by 0,3</w:t>
      </w:r>
      <w:r w:rsidR="008B2210">
        <w:rPr>
          <w:color w:val="000000" w:themeColor="text1"/>
          <w:lang w:val="en-GB"/>
        </w:rPr>
        <w:t>%) and </w:t>
      </w:r>
      <w:r w:rsidR="00BF0610" w:rsidRPr="00BF0610">
        <w:rPr>
          <w:color w:val="000000" w:themeColor="text1"/>
          <w:lang w:val="en-GB"/>
        </w:rPr>
        <w:t>Transport</w:t>
      </w:r>
      <w:r w:rsidR="000848B3">
        <w:rPr>
          <w:color w:val="000000" w:themeColor="text1"/>
          <w:lang w:val="en-GB"/>
        </w:rPr>
        <w:t xml:space="preserve"> (by 0,4</w:t>
      </w:r>
      <w:r w:rsidR="00BF0610" w:rsidRPr="00BF0610">
        <w:rPr>
          <w:color w:val="000000" w:themeColor="text1"/>
          <w:lang w:val="en-GB"/>
        </w:rPr>
        <w:t xml:space="preserve">%), which </w:t>
      </w:r>
      <w:r w:rsidR="000848B3">
        <w:rPr>
          <w:color w:val="000000" w:themeColor="text1"/>
          <w:lang w:val="en-GB"/>
        </w:rPr>
        <w:t>increased the index by 0,08 pp and 0,04</w:t>
      </w:r>
      <w:r w:rsidR="00BF0610"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="00BF0610" w:rsidRPr="00BF0610">
        <w:rPr>
          <w:color w:val="000000" w:themeColor="text1"/>
          <w:lang w:val="en-GB"/>
        </w:rPr>
        <w:t xml:space="preserve"> respectively. </w:t>
      </w:r>
      <w:r w:rsidR="000848B3">
        <w:rPr>
          <w:color w:val="000000" w:themeColor="text1"/>
          <w:lang w:val="en-GB"/>
        </w:rPr>
        <w:t xml:space="preserve">Lower </w:t>
      </w:r>
      <w:r w:rsidR="00BF0610" w:rsidRPr="00BF0610">
        <w:rPr>
          <w:color w:val="000000" w:themeColor="text1"/>
          <w:lang w:val="en-GB"/>
        </w:rPr>
        <w:t>prices of</w:t>
      </w:r>
      <w:r w:rsidR="00587DB3">
        <w:rPr>
          <w:color w:val="000000" w:themeColor="text1"/>
          <w:lang w:val="en-GB"/>
        </w:rPr>
        <w:t xml:space="preserve"> Food and non-alcoholic beverages</w:t>
      </w:r>
      <w:r w:rsidR="00BF0610" w:rsidRPr="00BF0610">
        <w:rPr>
          <w:color w:val="000000" w:themeColor="text1"/>
          <w:lang w:val="en-GB"/>
        </w:rPr>
        <w:t xml:space="preserve"> (by </w:t>
      </w:r>
      <w:r w:rsidR="00587DB3">
        <w:rPr>
          <w:color w:val="000000" w:themeColor="text1"/>
          <w:lang w:val="en-GB"/>
        </w:rPr>
        <w:t>0</w:t>
      </w:r>
      <w:r w:rsidR="00BF0610" w:rsidRPr="00BF0610">
        <w:rPr>
          <w:color w:val="000000" w:themeColor="text1"/>
          <w:lang w:val="en-GB"/>
        </w:rPr>
        <w:t>,</w:t>
      </w:r>
      <w:r w:rsidR="00587DB3">
        <w:rPr>
          <w:color w:val="000000" w:themeColor="text1"/>
          <w:lang w:val="en-GB"/>
        </w:rPr>
        <w:t>7</w:t>
      </w:r>
      <w:r w:rsidR="00BF0610" w:rsidRPr="00BF0610">
        <w:rPr>
          <w:color w:val="000000" w:themeColor="text1"/>
          <w:lang w:val="en-GB"/>
        </w:rPr>
        <w:t>%)</w:t>
      </w:r>
      <w:r w:rsidR="008B2210">
        <w:rPr>
          <w:color w:val="000000" w:themeColor="text1"/>
          <w:lang w:val="en-GB"/>
        </w:rPr>
        <w:t xml:space="preserve"> and Clothing and footwear (by </w:t>
      </w:r>
      <w:r w:rsidR="00587DB3">
        <w:rPr>
          <w:color w:val="000000" w:themeColor="text1"/>
          <w:lang w:val="en-GB"/>
        </w:rPr>
        <w:t>1,7</w:t>
      </w:r>
      <w:r w:rsidR="00C65A73">
        <w:rPr>
          <w:color w:val="000000" w:themeColor="text1"/>
          <w:lang w:val="en-GB"/>
        </w:rPr>
        <w:t>%) decreased the index by 0,17</w:t>
      </w:r>
      <w:r w:rsidR="00BF0610" w:rsidRPr="00BF0610">
        <w:rPr>
          <w:color w:val="000000" w:themeColor="text1"/>
          <w:lang w:val="en-GB"/>
        </w:rPr>
        <w:t xml:space="preserve"> pp and</w:t>
      </w:r>
      <w:r w:rsidR="00C65A73">
        <w:rPr>
          <w:color w:val="000000" w:themeColor="text1"/>
          <w:lang w:val="en-GB"/>
        </w:rPr>
        <w:t xml:space="preserve"> 0,08</w:t>
      </w:r>
      <w:r w:rsidR="00BF0610"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="00BF0610" w:rsidRPr="00BF0610">
        <w:rPr>
          <w:color w:val="000000" w:themeColor="text1"/>
          <w:lang w:val="en-GB"/>
        </w:rPr>
        <w:t xml:space="preserve"> respectively.</w:t>
      </w:r>
    </w:p>
    <w:p w:rsidR="00BF0610" w:rsidRDefault="00BF0610" w:rsidP="00C65A73">
      <w:pPr>
        <w:spacing w:before="0"/>
        <w:rPr>
          <w:color w:val="000000" w:themeColor="text1"/>
          <w:lang w:val="en-GB"/>
        </w:rPr>
      </w:pPr>
      <w:r w:rsidRPr="00BF0610">
        <w:rPr>
          <w:color w:val="000000" w:themeColor="text1"/>
          <w:lang w:val="en-GB"/>
        </w:rPr>
        <w:t xml:space="preserve">Compared with </w:t>
      </w:r>
      <w:r w:rsidR="005A11ED">
        <w:rPr>
          <w:color w:val="000000" w:themeColor="text1"/>
          <w:lang w:val="en-GB"/>
        </w:rPr>
        <w:t xml:space="preserve">August </w:t>
      </w:r>
      <w:r w:rsidRPr="00BF0610">
        <w:rPr>
          <w:color w:val="000000" w:themeColor="text1"/>
          <w:lang w:val="en-GB"/>
        </w:rPr>
        <w:t>of the previous year, higher pr</w:t>
      </w:r>
      <w:r w:rsidR="005A11ED">
        <w:rPr>
          <w:color w:val="000000" w:themeColor="text1"/>
          <w:lang w:val="en-GB"/>
        </w:rPr>
        <w:t>ices related to Transport (by 8,5</w:t>
      </w:r>
      <w:r w:rsidRPr="00BF0610">
        <w:rPr>
          <w:color w:val="000000" w:themeColor="text1"/>
          <w:lang w:val="en-GB"/>
        </w:rPr>
        <w:t xml:space="preserve">%), </w:t>
      </w:r>
      <w:r w:rsidR="008B2210">
        <w:rPr>
          <w:color w:val="000000" w:themeColor="text1"/>
          <w:lang w:val="en-GB"/>
        </w:rPr>
        <w:t>as </w:t>
      </w:r>
      <w:r w:rsidR="005A11ED">
        <w:rPr>
          <w:color w:val="000000" w:themeColor="text1"/>
          <w:lang w:val="en-GB"/>
        </w:rPr>
        <w:t xml:space="preserve">well as </w:t>
      </w:r>
      <w:r w:rsidR="005A11ED" w:rsidRPr="00BF0610">
        <w:rPr>
          <w:color w:val="000000" w:themeColor="text1"/>
          <w:lang w:val="en-GB"/>
        </w:rPr>
        <w:t>Dwelling</w:t>
      </w:r>
      <w:r w:rsidR="004B19E6">
        <w:rPr>
          <w:color w:val="000000" w:themeColor="text1"/>
          <w:lang w:val="en-GB"/>
        </w:rPr>
        <w:t xml:space="preserve"> </w:t>
      </w:r>
      <w:r w:rsidRPr="00BF0610">
        <w:rPr>
          <w:color w:val="000000" w:themeColor="text1"/>
          <w:lang w:val="en-GB"/>
        </w:rPr>
        <w:t xml:space="preserve">and </w:t>
      </w:r>
      <w:r w:rsidR="005A11ED" w:rsidRPr="00BF0610">
        <w:rPr>
          <w:color w:val="000000" w:themeColor="text1"/>
          <w:lang w:val="en-GB"/>
        </w:rPr>
        <w:t xml:space="preserve">Food </w:t>
      </w:r>
      <w:r w:rsidR="004B19E6">
        <w:rPr>
          <w:color w:val="000000" w:themeColor="text1"/>
          <w:lang w:val="en-GB"/>
        </w:rPr>
        <w:t>and non-alcoholic beverages (by 2,1% each</w:t>
      </w:r>
      <w:r w:rsidRPr="00BF0610">
        <w:rPr>
          <w:color w:val="000000" w:themeColor="text1"/>
          <w:lang w:val="en-GB"/>
        </w:rPr>
        <w:t xml:space="preserve">) increased </w:t>
      </w:r>
      <w:r w:rsidR="004B19E6">
        <w:rPr>
          <w:color w:val="000000" w:themeColor="text1"/>
          <w:lang w:val="en-GB"/>
        </w:rPr>
        <w:t>the consumer price index by 0,73 pp, 0,54 pp and 0,51</w:t>
      </w:r>
      <w:r w:rsidRPr="00BF0610">
        <w:rPr>
          <w:color w:val="000000" w:themeColor="text1"/>
          <w:lang w:val="en-GB"/>
        </w:rPr>
        <w:t xml:space="preserve"> pp</w:t>
      </w:r>
      <w:r w:rsidR="00474A5B">
        <w:rPr>
          <w:color w:val="000000" w:themeColor="text1"/>
          <w:lang w:val="en-GB"/>
        </w:rPr>
        <w:t>,</w:t>
      </w:r>
      <w:r w:rsidRPr="00BF0610">
        <w:rPr>
          <w:color w:val="000000" w:themeColor="text1"/>
          <w:lang w:val="en-GB"/>
        </w:rPr>
        <w:t xml:space="preserve"> respectively. Lower price</w:t>
      </w:r>
      <w:r w:rsidR="001B7A01">
        <w:rPr>
          <w:color w:val="000000" w:themeColor="text1"/>
          <w:lang w:val="en-GB"/>
        </w:rPr>
        <w:t>s of Clothing and footwear (by 3,4%) decreased the index by 0,18</w:t>
      </w:r>
      <w:r w:rsidRPr="00BF0610">
        <w:rPr>
          <w:color w:val="000000" w:themeColor="text1"/>
          <w:lang w:val="en-GB"/>
        </w:rPr>
        <w:t xml:space="preserve"> pp.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A60130" w:rsidP="00C27D75">
      <w:pPr>
        <w:pStyle w:val="tytuwykresu"/>
        <w:rPr>
          <w:spacing w:val="-4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40BD4141" wp14:editId="377D3ABF">
            <wp:simplePos x="0" y="0"/>
            <wp:positionH relativeFrom="column">
              <wp:posOffset>-66675</wp:posOffset>
            </wp:positionH>
            <wp:positionV relativeFrom="paragraph">
              <wp:posOffset>447675</wp:posOffset>
            </wp:positionV>
            <wp:extent cx="5121910" cy="312420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636">
        <w:rPr>
          <w:noProof/>
          <w:lang w:val="en-GB" w:eastAsia="en-GB"/>
        </w:rPr>
        <w:pict>
          <v:shape id="Text Box 29" o:spid="_x0000_s1027" type="#_x0000_t202" style="position:absolute;margin-left:414.75pt;margin-top:217.5pt;width:135.85pt;height:129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i+uw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MkaA91OiR7Q26k3sUpTY/46AzMHsYwNDs4RxsXax6uJfVN42EXLZUbNitUnJsGa2BX2hf+hdP&#10;JxxtQdbjR1mDH7o10gHtG9Xb5EE6EKBDnZ5OtbFcKutyHsVRChwruAtn18l14K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" filled="f" stroked="f">
            <v:textbox style="mso-next-textbox:#Text Box 29">
              <w:txbxContent>
                <w:p w:rsidR="00474A5B" w:rsidRPr="001F50F4" w:rsidRDefault="00474A5B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August 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2018, the highest contribution to the total consumer price index came from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lower prices of Vegetables and Fruit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 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hich decreased the index by 0,11 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pp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and 0,09 pp, respectively</w:t>
                  </w:r>
                </w:p>
              </w:txbxContent>
            </v:textbox>
            <w10:wrap type="square" anchory="page"/>
          </v:shape>
        </w:pic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474A5B">
        <w:rPr>
          <w:spacing w:val="-4"/>
          <w:shd w:val="clear" w:color="auto" w:fill="FFFFFF"/>
          <w:lang w:val="en-GB"/>
        </w:rPr>
        <w:br/>
      </w:r>
      <w:r w:rsidR="00F10992" w:rsidRPr="00030F44">
        <w:rPr>
          <w:spacing w:val="-4"/>
          <w:shd w:val="clear" w:color="auto" w:fill="FFFFFF"/>
          <w:lang w:val="en-GB"/>
        </w:rPr>
        <w:t>in </w:t>
      </w:r>
      <w:r w:rsidR="001B7A01">
        <w:rPr>
          <w:spacing w:val="-4"/>
          <w:shd w:val="clear" w:color="auto" w:fill="FFFFFF"/>
          <w:lang w:val="en-GB"/>
        </w:rPr>
        <w:t>August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2B3AE4" w:rsidRDefault="002B3AE4" w:rsidP="00C27D75">
      <w:pPr>
        <w:pStyle w:val="tytuwykresu"/>
        <w:rPr>
          <w:shd w:val="clear" w:color="auto" w:fill="FFFFFF"/>
          <w:lang w:val="en-GB"/>
        </w:rPr>
      </w:pPr>
    </w:p>
    <w:p w:rsidR="00A07F00" w:rsidRPr="00743715" w:rsidRDefault="00CE39EF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E53636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4.25pt;width:135.85pt;height:143.25pt;z-index:-251657728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CK&#10;7q+QEgIAAAAEAAAOAAAAAAAAAAAAAAAAAC4CAABkcnMvZTJvRG9jLnhtbFBLAQItABQABgAIAAAA&#10;IQBGD/Z03wAAAA0BAAAPAAAAAAAAAAAAAAAAAGwEAABkcnMvZG93bnJldi54bWxQSwUGAAAAAAQA&#10;BADzAAAAeAUAAAAA&#10;" filled="f" stroked="f">
            <v:textbox style="mso-next-textbox:#_x0000_s1028">
              <w:txbxContent>
                <w:p w:rsidR="00474A5B" w:rsidRPr="00151D0F" w:rsidRDefault="00474A5B" w:rsidP="00C04FBC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2018,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similarly to previous years, 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the largest share of expendit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ures in the compilations of the 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have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Food and non-alcoholic beverages (24,36%) and goods and services related to </w:t>
                  </w:r>
                  <w:r w:rsidRPr="00C04FBC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Housing, water, electricity, gas and other fuels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(20,35%)</w:t>
                  </w:r>
                </w:p>
              </w:txbxContent>
            </v:textbox>
            <w10:wrap type="tight" anchory="page"/>
          </v:shape>
        </w:pic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3804261B" wp14:editId="12369CF3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21378">
        <w:rPr>
          <w:lang w:val="en-GB"/>
        </w:rPr>
        <w:br w:type="page"/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DA0243" w:rsidRPr="00743715" w:rsidRDefault="00952FCE" w:rsidP="0026302B">
      <w:pPr>
        <w:pStyle w:val="LID"/>
        <w:rPr>
          <w:b w:val="0"/>
          <w:spacing w:val="-2"/>
          <w:sz w:val="18"/>
          <w:lang w:val="en-GB"/>
        </w:rPr>
      </w:pPr>
      <w: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113030</wp:posOffset>
            </wp:positionV>
            <wp:extent cx="5110480" cy="2544445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Default="003703FD" w:rsidP="00034160">
      <w:pPr>
        <w:pStyle w:val="tytuwykresu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4F622637" wp14:editId="0360F5B5">
            <wp:simplePos x="0" y="0"/>
            <wp:positionH relativeFrom="column">
              <wp:posOffset>-66675</wp:posOffset>
            </wp:positionH>
            <wp:positionV relativeFrom="paragraph">
              <wp:posOffset>446405</wp:posOffset>
            </wp:positionV>
            <wp:extent cx="5103495" cy="25723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636">
        <w:rPr>
          <w:noProof/>
          <w:lang w:val="en-GB" w:eastAsia="en-GB"/>
        </w:rPr>
        <w:pict>
          <v:shape id="Text Box 25" o:spid="_x0000_s1029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<v:textbox>
              <w:txbxContent>
                <w:p w:rsidR="00474A5B" w:rsidRPr="00CE39EF" w:rsidRDefault="00474A5B" w:rsidP="00B649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August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2018, consumer price 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index was 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ithin the 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034160" w:rsidP="00034160">
      <w:pPr>
        <w:spacing w:before="0" w:after="160" w:line="259" w:lineRule="auto"/>
        <w:rPr>
          <w:sz w:val="18"/>
          <w:lang w:val="en-GB"/>
        </w:rPr>
      </w:pPr>
    </w:p>
    <w:p w:rsidR="00820461" w:rsidRDefault="00F437E5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3AC3D4D5" wp14:editId="05C8C207">
            <wp:simplePos x="0" y="0"/>
            <wp:positionH relativeFrom="column">
              <wp:posOffset>0</wp:posOffset>
            </wp:positionH>
            <wp:positionV relativeFrom="paragraph">
              <wp:posOffset>426085</wp:posOffset>
            </wp:positionV>
            <wp:extent cx="5122545" cy="252857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D50"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="00426D50" w:rsidRPr="00426D50">
        <w:rPr>
          <w:bCs/>
          <w:shd w:val="clear" w:color="auto" w:fill="FFFFFF"/>
          <w:lang w:val="en-GB"/>
        </w:rPr>
        <w:t>Consumer price index (CPI) and harmonised i</w:t>
      </w:r>
      <w:r w:rsidR="00426D50">
        <w:rPr>
          <w:bCs/>
          <w:shd w:val="clear" w:color="auto" w:fill="FFFFFF"/>
          <w:lang w:val="en-GB"/>
        </w:rPr>
        <w:t xml:space="preserve">ndex of consumer prices (HICP) </w:t>
      </w:r>
      <w:r w:rsidR="00426D50">
        <w:rPr>
          <w:bCs/>
          <w:shd w:val="clear" w:color="auto" w:fill="FFFFFF"/>
          <w:lang w:val="en-GB"/>
        </w:rPr>
        <w:br/>
      </w:r>
      <w:r w:rsidR="00426D50"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</w:p>
    <w:p w:rsidR="00844B42" w:rsidRDefault="00844B42" w:rsidP="0047674F">
      <w:pPr>
        <w:pStyle w:val="LID"/>
        <w:rPr>
          <w:sz w:val="18"/>
          <w:lang w:val="en-GB"/>
        </w:rPr>
      </w:pP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844B42">
        <w:rPr>
          <w:bCs/>
          <w:sz w:val="18"/>
          <w:shd w:val="clear" w:color="auto" w:fill="FFFFFF"/>
          <w:lang w:val="en-GB"/>
        </w:rPr>
        <w:t>August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C2A8C" w:rsidRPr="0042238C" w:rsidTr="00BC2A8C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212492"/>
            </w:tcBorders>
            <w:vAlign w:val="center"/>
          </w:tcPr>
          <w:p w:rsidR="00BC2A8C" w:rsidRPr="00BC2A8C" w:rsidRDefault="00BC2A8C" w:rsidP="00BC2A8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A8C" w:rsidRPr="0042238C" w:rsidRDefault="00844B42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844B42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II 2018</w:t>
            </w:r>
          </w:p>
        </w:tc>
      </w:tr>
      <w:tr w:rsidR="00844B42" w:rsidRPr="0042238C" w:rsidTr="00BC2A8C">
        <w:trPr>
          <w:trHeight w:val="465"/>
          <w:tblHeader/>
        </w:trPr>
        <w:tc>
          <w:tcPr>
            <w:tcW w:w="3639" w:type="dxa"/>
            <w:vMerge/>
            <w:tcBorders>
              <w:left w:val="nil"/>
              <w:bottom w:val="single" w:sz="12" w:space="0" w:color="212492"/>
              <w:right w:val="single" w:sz="8" w:space="0" w:color="212492"/>
            </w:tcBorders>
            <w:vAlign w:val="center"/>
          </w:tcPr>
          <w:p w:rsidR="00844B42" w:rsidRPr="00BC2A8C" w:rsidRDefault="00844B42" w:rsidP="00BC2A8C">
            <w:pPr>
              <w:spacing w:before="0"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44B42" w:rsidRPr="0042238C" w:rsidRDefault="00844B42" w:rsidP="009C640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44B42" w:rsidRPr="0042238C" w:rsidRDefault="00844B42" w:rsidP="009C640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44B42" w:rsidRPr="0042238C" w:rsidRDefault="00844B42" w:rsidP="009C640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 2018=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44B42" w:rsidRPr="0042238C" w:rsidRDefault="00844B42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I 2017= 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844B42" w:rsidRPr="0042238C" w:rsidTr="00BC2A8C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5875EB" w:rsidRDefault="00844B42" w:rsidP="0014144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654DB3" w:rsidRDefault="00844B4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654DB3" w:rsidRDefault="00844B4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44B42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654DB3" w:rsidRDefault="00844B42" w:rsidP="0014144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654DB3" w:rsidRDefault="00844B42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654DB3" w:rsidRDefault="00844B4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44B42" w:rsidRPr="0042238C" w:rsidTr="00BC2A8C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44B42" w:rsidRPr="0042238C" w:rsidTr="00844B42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44B42" w:rsidRPr="00681F5E" w:rsidRDefault="00844B42" w:rsidP="00844B42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44B42" w:rsidRPr="00681F5E" w:rsidRDefault="00844B42" w:rsidP="00844B42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44B42" w:rsidRPr="00681F5E" w:rsidRDefault="00844B42" w:rsidP="00844B42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44B42" w:rsidRPr="00681F5E" w:rsidRDefault="00844B42" w:rsidP="00844B42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130,7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119,6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120,9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69,2</w:t>
            </w:r>
          </w:p>
        </w:tc>
      </w:tr>
      <w:tr w:rsidR="00844B42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44B42" w:rsidRPr="00E96938" w:rsidRDefault="00844B42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844B42" w:rsidRPr="00681F5E" w:rsidRDefault="00844B42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E96938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C6406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C6406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C6406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9C6406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C6406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6406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9C6406" w:rsidRPr="0042238C" w:rsidTr="00BC2A8C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C6406" w:rsidRPr="00654DB3" w:rsidRDefault="009C6406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9C6406" w:rsidRPr="00681F5E" w:rsidRDefault="009C6406" w:rsidP="009C6406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83B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02483B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02483B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  <w:tr w:rsidR="0002483B" w:rsidRPr="0042238C" w:rsidTr="00BC2A8C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02483B" w:rsidRPr="00654DB3" w:rsidRDefault="0002483B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83B" w:rsidRPr="00681F5E" w:rsidRDefault="0002483B" w:rsidP="00474A5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81F5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87,4</w:t>
            </w:r>
          </w:p>
        </w:tc>
      </w:tr>
    </w:tbl>
    <w:p w:rsidR="002B31B7" w:rsidRPr="00752E87" w:rsidRDefault="002B31B7">
      <w:pPr>
        <w:rPr>
          <w:lang w:val="en-GB"/>
        </w:rPr>
      </w:pPr>
    </w:p>
    <w:p w:rsidR="002B31B7" w:rsidRPr="00752E87" w:rsidRDefault="002B31B7">
      <w:pPr>
        <w:rPr>
          <w:lang w:val="en-GB"/>
        </w:rPr>
        <w:sectPr w:rsidR="002B31B7" w:rsidRPr="00752E87" w:rsidSect="00BD6108">
          <w:headerReference w:type="default" r:id="rId20"/>
          <w:headerReference w:type="first" r:id="rId21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Pr="00752E87" w:rsidRDefault="00D96E78">
      <w:pPr>
        <w:rPr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74A5B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74A5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4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E53636" w:rsidP="00E76D26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474A5B" w:rsidRDefault="00474A5B" w:rsidP="00883763">
                  <w:pPr>
                    <w:rPr>
                      <w:b/>
                    </w:rPr>
                  </w:pPr>
                </w:p>
                <w:p w:rsidR="00474A5B" w:rsidRPr="00FA7BB3" w:rsidRDefault="00474A5B" w:rsidP="00CB5FC3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474A5B" w:rsidRPr="00FA7BB3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474A5B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474A5B" w:rsidRPr="00FA7BB3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474A5B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474A5B" w:rsidRPr="00FA7BB3" w:rsidRDefault="00474A5B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474A5B" w:rsidRPr="00FA7BB3" w:rsidRDefault="00474A5B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474A5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474A5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474A5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474A5B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474A5B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474A5B" w:rsidRPr="00C3205E" w:rsidRDefault="00474A5B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474A5B" w:rsidRPr="00BB6820" w:rsidRDefault="00474A5B" w:rsidP="00CB5FC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474A5B" w:rsidRPr="00C3205E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474A5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474A5B" w:rsidRPr="00E233EA" w:rsidRDefault="00E53636" w:rsidP="00CB5FC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6" w:history="1">
                    <w:r w:rsidR="00474A5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5F0B86">
      <w:headerReference w:type="first" r:id="rId37"/>
      <w:footerReference w:type="first" r:id="rId3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36" w:rsidRDefault="00E53636" w:rsidP="000662E2">
      <w:pPr>
        <w:spacing w:after="0" w:line="240" w:lineRule="auto"/>
      </w:pPr>
      <w:r>
        <w:separator/>
      </w:r>
    </w:p>
  </w:endnote>
  <w:endnote w:type="continuationSeparator" w:id="0">
    <w:p w:rsidR="00E53636" w:rsidRDefault="00E536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7516"/>
      <w:docPartObj>
        <w:docPartGallery w:val="Page Numbers (Bottom of Page)"/>
        <w:docPartUnique/>
      </w:docPartObj>
    </w:sdtPr>
    <w:sdtEndPr/>
    <w:sdtContent>
      <w:p w:rsidR="00474A5B" w:rsidRDefault="00474A5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474A5B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474A5B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36" w:rsidRDefault="00E53636" w:rsidP="000662E2">
      <w:pPr>
        <w:spacing w:after="0" w:line="240" w:lineRule="auto"/>
      </w:pPr>
      <w:r>
        <w:separator/>
      </w:r>
    </w:p>
  </w:footnote>
  <w:footnote w:type="continuationSeparator" w:id="0">
    <w:p w:rsidR="00E53636" w:rsidRDefault="00E5363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E53636" w:rsidP="00F804F1">
    <w:pPr>
      <w:pStyle w:val="Nagwek"/>
      <w:tabs>
        <w:tab w:val="clear" w:pos="9072"/>
        <w:tab w:val="right" w:pos="8067"/>
      </w:tabs>
    </w:pPr>
    <w:r>
      <w:rPr>
        <w:noProof/>
        <w:lang w:val="en-GB" w:eastAsia="en-GB"/>
      </w:rPr>
      <w:pict>
        <v:shape id="Dowolny kształt 9" o:spid="_x0000_s2054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Dowolny kształt 9">
            <w:txbxContent>
              <w:p w:rsidR="00474A5B" w:rsidRPr="003C6C8D" w:rsidRDefault="00474A5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3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<v:path arrowok="t"/>
          <v:textbox style="mso-next-textbox:#Prostokąt 10">
            <w:txbxContent>
              <w:p w:rsidR="00474A5B" w:rsidRDefault="00474A5B" w:rsidP="002A432B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4417F9A" wp14:editId="2FC8F1D7">
                      <wp:extent cx="1676400" cy="301288"/>
                      <wp:effectExtent l="0" t="0" r="0" b="381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0" cy="301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rect>
      </w:pict>
    </w:r>
    <w:r w:rsidR="00474A5B">
      <w:rPr>
        <w:noProof/>
        <w:lang w:eastAsia="pl-PL"/>
      </w:rPr>
      <w:drawing>
        <wp:inline distT="0" distB="0" distL="0" distR="0" wp14:anchorId="67782AB9" wp14:editId="080BFC16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A5B">
      <w:tab/>
    </w:r>
  </w:p>
  <w:p w:rsidR="00474A5B" w:rsidRDefault="00E53636">
    <w:pPr>
      <w:pStyle w:val="Nagwek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4" o:spid="_x0000_s2052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<v:textbox style="mso-next-textbox:#Pole tekstowe 24">
            <w:txbxContent>
              <w:p w:rsidR="00474A5B" w:rsidRPr="00C97596" w:rsidRDefault="00474A5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13.09.2018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E53636" w:rsidP="009816FB">
    <w:pPr>
      <w:pStyle w:val="Nagwek"/>
      <w:jc w:val="right"/>
    </w:pPr>
    <w:r>
      <w:rPr>
        <w:noProof/>
        <w:lang w:val="en-GB" w:eastAsia="en-GB"/>
      </w:rPr>
      <w:pict>
        <v:rect id="Prostokąt 7" o:spid="_x0000_s2051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<v:path arrowok="t"/>
          <v:textbox style="mso-next-textbox:#Prostokąt 7">
            <w:txbxContent>
              <w:p w:rsidR="00474A5B" w:rsidRDefault="00474A5B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E53636">
    <w:pPr>
      <w:pStyle w:val="Nagwek"/>
    </w:pPr>
    <w:r>
      <w:rPr>
        <w:noProof/>
        <w:lang w:val="en-GB" w:eastAsia="en-GB"/>
      </w:rPr>
      <w:pict>
        <v:rect id="Prostokąt 194" o:spid="_x0000_s2050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<v:path arrowok="t"/>
          <v:textbox>
            <w:txbxContent>
              <w:p w:rsidR="00474A5B" w:rsidRDefault="00474A5B" w:rsidP="002A432B">
                <w:pPr>
                  <w:jc w:val="center"/>
                </w:pPr>
              </w:p>
            </w:txbxContent>
          </v:textbox>
          <w10:wrap type="tight"/>
        </v:rect>
      </w:pict>
    </w:r>
  </w:p>
  <w:p w:rsidR="00474A5B" w:rsidRDefault="00474A5B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E53636" w:rsidP="009816FB">
    <w:pPr>
      <w:pStyle w:val="Nagwek"/>
      <w:jc w:val="right"/>
    </w:pPr>
    <w:r>
      <w:rPr>
        <w:noProof/>
        <w:lang w:val="en-GB" w:eastAsia="en-GB"/>
      </w:rPr>
      <w:pict>
        <v:rect id="Prostokąt 17" o:spid="_x0000_s2049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<v:path arrowok="t"/>
          <v:textbox>
            <w:txbxContent>
              <w:p w:rsidR="00474A5B" w:rsidRDefault="00474A5B" w:rsidP="002B31B7">
                <w:pPr>
                  <w:jc w:val="center"/>
                </w:pPr>
              </w:p>
            </w:txbxContent>
          </v:textbox>
          <w10:wrap type="tigh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A5B" w:rsidRDefault="00474A5B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.3pt;visibility:visible" o:bullet="t">
        <v:imagedata r:id="rId1" o:title=""/>
      </v:shape>
    </w:pict>
  </w:numPicBullet>
  <w:numPicBullet w:numPicBulletId="1">
    <w:pict>
      <v:shape id="_x0000_i1029" type="#_x0000_t75" style="width:123.9pt;height:125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57"/>
  <w:drawingGridVerticalSpacing w:val="57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344"/>
    <w:rsid w:val="00003437"/>
    <w:rsid w:val="0000709F"/>
    <w:rsid w:val="000108B8"/>
    <w:rsid w:val="000152F5"/>
    <w:rsid w:val="000207B9"/>
    <w:rsid w:val="0002483B"/>
    <w:rsid w:val="00030E9C"/>
    <w:rsid w:val="00030F44"/>
    <w:rsid w:val="00034160"/>
    <w:rsid w:val="0004015D"/>
    <w:rsid w:val="0004582E"/>
    <w:rsid w:val="0004646A"/>
    <w:rsid w:val="000470AA"/>
    <w:rsid w:val="00057CA1"/>
    <w:rsid w:val="0006535B"/>
    <w:rsid w:val="000662E2"/>
    <w:rsid w:val="00066883"/>
    <w:rsid w:val="00074DD8"/>
    <w:rsid w:val="000800B4"/>
    <w:rsid w:val="000806F7"/>
    <w:rsid w:val="000839B7"/>
    <w:rsid w:val="000848B3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0C10"/>
    <w:rsid w:val="000D1D43"/>
    <w:rsid w:val="000D1F42"/>
    <w:rsid w:val="000D223F"/>
    <w:rsid w:val="000D225C"/>
    <w:rsid w:val="000D2A5C"/>
    <w:rsid w:val="000E0918"/>
    <w:rsid w:val="000E5670"/>
    <w:rsid w:val="000F35C5"/>
    <w:rsid w:val="000F52C7"/>
    <w:rsid w:val="001011C3"/>
    <w:rsid w:val="00102C59"/>
    <w:rsid w:val="00105022"/>
    <w:rsid w:val="00110D87"/>
    <w:rsid w:val="00111103"/>
    <w:rsid w:val="0011212A"/>
    <w:rsid w:val="00113F41"/>
    <w:rsid w:val="001149A1"/>
    <w:rsid w:val="00114DB9"/>
    <w:rsid w:val="00116087"/>
    <w:rsid w:val="00126A6A"/>
    <w:rsid w:val="00130296"/>
    <w:rsid w:val="00132297"/>
    <w:rsid w:val="00135B65"/>
    <w:rsid w:val="0014144B"/>
    <w:rsid w:val="00142037"/>
    <w:rsid w:val="001423B6"/>
    <w:rsid w:val="001445C9"/>
    <w:rsid w:val="001448A7"/>
    <w:rsid w:val="00144AAD"/>
    <w:rsid w:val="00146621"/>
    <w:rsid w:val="00147BDB"/>
    <w:rsid w:val="00151D0F"/>
    <w:rsid w:val="001553EF"/>
    <w:rsid w:val="001567D8"/>
    <w:rsid w:val="0016008F"/>
    <w:rsid w:val="00161419"/>
    <w:rsid w:val="00162325"/>
    <w:rsid w:val="00191388"/>
    <w:rsid w:val="001951DA"/>
    <w:rsid w:val="001A0DC1"/>
    <w:rsid w:val="001A182E"/>
    <w:rsid w:val="001A2EAD"/>
    <w:rsid w:val="001A5FB7"/>
    <w:rsid w:val="001A78D0"/>
    <w:rsid w:val="001B0B46"/>
    <w:rsid w:val="001B7A01"/>
    <w:rsid w:val="001C3269"/>
    <w:rsid w:val="001C4AB4"/>
    <w:rsid w:val="001D1DB4"/>
    <w:rsid w:val="001D5586"/>
    <w:rsid w:val="001D55AD"/>
    <w:rsid w:val="001D62D3"/>
    <w:rsid w:val="001D7526"/>
    <w:rsid w:val="001E162E"/>
    <w:rsid w:val="001E1D94"/>
    <w:rsid w:val="001E2DBB"/>
    <w:rsid w:val="001E7DBB"/>
    <w:rsid w:val="001F50F4"/>
    <w:rsid w:val="001F60D1"/>
    <w:rsid w:val="002032F1"/>
    <w:rsid w:val="00214152"/>
    <w:rsid w:val="00226069"/>
    <w:rsid w:val="0023271C"/>
    <w:rsid w:val="002401BC"/>
    <w:rsid w:val="00256539"/>
    <w:rsid w:val="002574F9"/>
    <w:rsid w:val="00262B61"/>
    <w:rsid w:val="0026302B"/>
    <w:rsid w:val="002724FF"/>
    <w:rsid w:val="00275FA6"/>
    <w:rsid w:val="00276811"/>
    <w:rsid w:val="00276C9A"/>
    <w:rsid w:val="0028195C"/>
    <w:rsid w:val="00282699"/>
    <w:rsid w:val="00284FD0"/>
    <w:rsid w:val="00290CB6"/>
    <w:rsid w:val="002926DF"/>
    <w:rsid w:val="00294A3C"/>
    <w:rsid w:val="00296697"/>
    <w:rsid w:val="002969E1"/>
    <w:rsid w:val="002A432B"/>
    <w:rsid w:val="002A47B1"/>
    <w:rsid w:val="002A4D80"/>
    <w:rsid w:val="002B0472"/>
    <w:rsid w:val="002B31B7"/>
    <w:rsid w:val="002B332A"/>
    <w:rsid w:val="002B3AE4"/>
    <w:rsid w:val="002B6B12"/>
    <w:rsid w:val="002D0020"/>
    <w:rsid w:val="002D3214"/>
    <w:rsid w:val="002D6627"/>
    <w:rsid w:val="002E4A17"/>
    <w:rsid w:val="002E6140"/>
    <w:rsid w:val="002E6985"/>
    <w:rsid w:val="002E71B6"/>
    <w:rsid w:val="002F1083"/>
    <w:rsid w:val="002F77C8"/>
    <w:rsid w:val="00300F75"/>
    <w:rsid w:val="00304F22"/>
    <w:rsid w:val="00305162"/>
    <w:rsid w:val="00306C7C"/>
    <w:rsid w:val="0032161A"/>
    <w:rsid w:val="00322EDD"/>
    <w:rsid w:val="00326D2E"/>
    <w:rsid w:val="00327FD2"/>
    <w:rsid w:val="003301E6"/>
    <w:rsid w:val="00331DEF"/>
    <w:rsid w:val="00332320"/>
    <w:rsid w:val="00341B03"/>
    <w:rsid w:val="00346BC6"/>
    <w:rsid w:val="00347D72"/>
    <w:rsid w:val="00352179"/>
    <w:rsid w:val="00357611"/>
    <w:rsid w:val="00367237"/>
    <w:rsid w:val="003703FD"/>
    <w:rsid w:val="0037077F"/>
    <w:rsid w:val="00372411"/>
    <w:rsid w:val="00373882"/>
    <w:rsid w:val="003818E5"/>
    <w:rsid w:val="003843DB"/>
    <w:rsid w:val="003862DF"/>
    <w:rsid w:val="003901AC"/>
    <w:rsid w:val="00393761"/>
    <w:rsid w:val="00397D18"/>
    <w:rsid w:val="003A1B36"/>
    <w:rsid w:val="003A3A9E"/>
    <w:rsid w:val="003A440F"/>
    <w:rsid w:val="003B1454"/>
    <w:rsid w:val="003B18B6"/>
    <w:rsid w:val="003B7A38"/>
    <w:rsid w:val="003C59E0"/>
    <w:rsid w:val="003C6A4B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06B2"/>
    <w:rsid w:val="004212E7"/>
    <w:rsid w:val="00421378"/>
    <w:rsid w:val="0042446D"/>
    <w:rsid w:val="00426D50"/>
    <w:rsid w:val="00427B62"/>
    <w:rsid w:val="00427BF8"/>
    <w:rsid w:val="00431C02"/>
    <w:rsid w:val="00434DCB"/>
    <w:rsid w:val="00435C01"/>
    <w:rsid w:val="00437395"/>
    <w:rsid w:val="00443627"/>
    <w:rsid w:val="004447E7"/>
    <w:rsid w:val="00445047"/>
    <w:rsid w:val="004457C2"/>
    <w:rsid w:val="00454E14"/>
    <w:rsid w:val="0045573E"/>
    <w:rsid w:val="004566AB"/>
    <w:rsid w:val="0045762F"/>
    <w:rsid w:val="004601AC"/>
    <w:rsid w:val="00461641"/>
    <w:rsid w:val="004638B4"/>
    <w:rsid w:val="00463E39"/>
    <w:rsid w:val="004657FC"/>
    <w:rsid w:val="004733F6"/>
    <w:rsid w:val="00474A5B"/>
    <w:rsid w:val="00474E69"/>
    <w:rsid w:val="0047674F"/>
    <w:rsid w:val="00480650"/>
    <w:rsid w:val="0048137F"/>
    <w:rsid w:val="00482C81"/>
    <w:rsid w:val="00485B00"/>
    <w:rsid w:val="0049621B"/>
    <w:rsid w:val="004B19E6"/>
    <w:rsid w:val="004B43C7"/>
    <w:rsid w:val="004B77C7"/>
    <w:rsid w:val="004C1895"/>
    <w:rsid w:val="004C6B40"/>
    <w:rsid w:val="004C6D40"/>
    <w:rsid w:val="004E14F7"/>
    <w:rsid w:val="004E2F74"/>
    <w:rsid w:val="004F0C3C"/>
    <w:rsid w:val="004F312B"/>
    <w:rsid w:val="004F63FC"/>
    <w:rsid w:val="004F721C"/>
    <w:rsid w:val="00501F76"/>
    <w:rsid w:val="00502E6F"/>
    <w:rsid w:val="00502F16"/>
    <w:rsid w:val="00505A92"/>
    <w:rsid w:val="005070C5"/>
    <w:rsid w:val="00511F19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3EB1"/>
    <w:rsid w:val="00545199"/>
    <w:rsid w:val="005520D8"/>
    <w:rsid w:val="0055296C"/>
    <w:rsid w:val="00556CF1"/>
    <w:rsid w:val="0056203D"/>
    <w:rsid w:val="00564851"/>
    <w:rsid w:val="0057202D"/>
    <w:rsid w:val="00575B45"/>
    <w:rsid w:val="00575E5B"/>
    <w:rsid w:val="005762A7"/>
    <w:rsid w:val="0058659E"/>
    <w:rsid w:val="005877DE"/>
    <w:rsid w:val="00587DB3"/>
    <w:rsid w:val="005916D7"/>
    <w:rsid w:val="005929DA"/>
    <w:rsid w:val="00592BF5"/>
    <w:rsid w:val="00595343"/>
    <w:rsid w:val="005A11ED"/>
    <w:rsid w:val="005A2784"/>
    <w:rsid w:val="005A3F5C"/>
    <w:rsid w:val="005A55D5"/>
    <w:rsid w:val="005A698C"/>
    <w:rsid w:val="005B321F"/>
    <w:rsid w:val="005B688D"/>
    <w:rsid w:val="005C1AF8"/>
    <w:rsid w:val="005D1C04"/>
    <w:rsid w:val="005D25F8"/>
    <w:rsid w:val="005D470D"/>
    <w:rsid w:val="005E0799"/>
    <w:rsid w:val="005F0A20"/>
    <w:rsid w:val="005F0B86"/>
    <w:rsid w:val="005F4399"/>
    <w:rsid w:val="005F5A80"/>
    <w:rsid w:val="006044FF"/>
    <w:rsid w:val="00607CC5"/>
    <w:rsid w:val="00613E79"/>
    <w:rsid w:val="006149F0"/>
    <w:rsid w:val="00625A53"/>
    <w:rsid w:val="00633014"/>
    <w:rsid w:val="0063437B"/>
    <w:rsid w:val="006375BD"/>
    <w:rsid w:val="006500AF"/>
    <w:rsid w:val="00654DB3"/>
    <w:rsid w:val="006673CA"/>
    <w:rsid w:val="00667EA4"/>
    <w:rsid w:val="006737D7"/>
    <w:rsid w:val="00673C26"/>
    <w:rsid w:val="006744AE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188"/>
    <w:rsid w:val="006B0E9E"/>
    <w:rsid w:val="006B208D"/>
    <w:rsid w:val="006B20B4"/>
    <w:rsid w:val="006B5AE4"/>
    <w:rsid w:val="006C5A26"/>
    <w:rsid w:val="006D1507"/>
    <w:rsid w:val="006D4054"/>
    <w:rsid w:val="006D6B72"/>
    <w:rsid w:val="006D7CF9"/>
    <w:rsid w:val="006E02EC"/>
    <w:rsid w:val="006E135A"/>
    <w:rsid w:val="006E1A0D"/>
    <w:rsid w:val="00701980"/>
    <w:rsid w:val="007059D5"/>
    <w:rsid w:val="007162EB"/>
    <w:rsid w:val="00716E70"/>
    <w:rsid w:val="007176A3"/>
    <w:rsid w:val="007211B1"/>
    <w:rsid w:val="0072400B"/>
    <w:rsid w:val="00733D55"/>
    <w:rsid w:val="00734095"/>
    <w:rsid w:val="00743715"/>
    <w:rsid w:val="00746187"/>
    <w:rsid w:val="00752A67"/>
    <w:rsid w:val="00752E87"/>
    <w:rsid w:val="00761070"/>
    <w:rsid w:val="0076254F"/>
    <w:rsid w:val="007625D8"/>
    <w:rsid w:val="00774E11"/>
    <w:rsid w:val="00775022"/>
    <w:rsid w:val="007771A4"/>
    <w:rsid w:val="007801F5"/>
    <w:rsid w:val="00781D69"/>
    <w:rsid w:val="00783CA4"/>
    <w:rsid w:val="007842FB"/>
    <w:rsid w:val="00786124"/>
    <w:rsid w:val="0078666A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3C1D"/>
    <w:rsid w:val="007E4B03"/>
    <w:rsid w:val="007F324B"/>
    <w:rsid w:val="007F5D91"/>
    <w:rsid w:val="00802A9A"/>
    <w:rsid w:val="008033BF"/>
    <w:rsid w:val="0080553C"/>
    <w:rsid w:val="00805B46"/>
    <w:rsid w:val="008144D3"/>
    <w:rsid w:val="00817702"/>
    <w:rsid w:val="00820461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4B42"/>
    <w:rsid w:val="00847F0F"/>
    <w:rsid w:val="00852448"/>
    <w:rsid w:val="00856F88"/>
    <w:rsid w:val="00864F07"/>
    <w:rsid w:val="00865A1F"/>
    <w:rsid w:val="00872BF7"/>
    <w:rsid w:val="00880E0E"/>
    <w:rsid w:val="00881F08"/>
    <w:rsid w:val="0088258A"/>
    <w:rsid w:val="008832C4"/>
    <w:rsid w:val="00883763"/>
    <w:rsid w:val="00885ECA"/>
    <w:rsid w:val="00886332"/>
    <w:rsid w:val="00893327"/>
    <w:rsid w:val="008953CF"/>
    <w:rsid w:val="00897F0C"/>
    <w:rsid w:val="008A03DB"/>
    <w:rsid w:val="008A1889"/>
    <w:rsid w:val="008A1E68"/>
    <w:rsid w:val="008A26D9"/>
    <w:rsid w:val="008A3B00"/>
    <w:rsid w:val="008B2143"/>
    <w:rsid w:val="008B2210"/>
    <w:rsid w:val="008B4AE0"/>
    <w:rsid w:val="008B6A9C"/>
    <w:rsid w:val="008C0C29"/>
    <w:rsid w:val="008C4C0F"/>
    <w:rsid w:val="008C7A01"/>
    <w:rsid w:val="008D3849"/>
    <w:rsid w:val="008F1DB7"/>
    <w:rsid w:val="008F3638"/>
    <w:rsid w:val="008F4441"/>
    <w:rsid w:val="008F6F31"/>
    <w:rsid w:val="008F74DF"/>
    <w:rsid w:val="00911B22"/>
    <w:rsid w:val="009127BA"/>
    <w:rsid w:val="009143B7"/>
    <w:rsid w:val="00916782"/>
    <w:rsid w:val="00917CCF"/>
    <w:rsid w:val="009227A6"/>
    <w:rsid w:val="00932079"/>
    <w:rsid w:val="00933B26"/>
    <w:rsid w:val="00933EC1"/>
    <w:rsid w:val="00942DCA"/>
    <w:rsid w:val="00951CDF"/>
    <w:rsid w:val="00952FCE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41D1"/>
    <w:rsid w:val="009954C9"/>
    <w:rsid w:val="00996BD5"/>
    <w:rsid w:val="009A32C0"/>
    <w:rsid w:val="009A3DA7"/>
    <w:rsid w:val="009A6EA0"/>
    <w:rsid w:val="009B1399"/>
    <w:rsid w:val="009C1335"/>
    <w:rsid w:val="009C1AB2"/>
    <w:rsid w:val="009C5407"/>
    <w:rsid w:val="009C6406"/>
    <w:rsid w:val="009C7251"/>
    <w:rsid w:val="009E2E91"/>
    <w:rsid w:val="009E3BF4"/>
    <w:rsid w:val="009E3FA7"/>
    <w:rsid w:val="009E410D"/>
    <w:rsid w:val="009E4E6E"/>
    <w:rsid w:val="009F4806"/>
    <w:rsid w:val="009F5815"/>
    <w:rsid w:val="00A0476F"/>
    <w:rsid w:val="00A065BE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25C6"/>
    <w:rsid w:val="00A53132"/>
    <w:rsid w:val="00A563F2"/>
    <w:rsid w:val="00A566E8"/>
    <w:rsid w:val="00A57512"/>
    <w:rsid w:val="00A60130"/>
    <w:rsid w:val="00A76B1F"/>
    <w:rsid w:val="00A7731C"/>
    <w:rsid w:val="00A810F9"/>
    <w:rsid w:val="00A86ECC"/>
    <w:rsid w:val="00A86FCC"/>
    <w:rsid w:val="00A93892"/>
    <w:rsid w:val="00A95531"/>
    <w:rsid w:val="00AA710D"/>
    <w:rsid w:val="00AB1F98"/>
    <w:rsid w:val="00AB32D6"/>
    <w:rsid w:val="00AB6D25"/>
    <w:rsid w:val="00AC6CBE"/>
    <w:rsid w:val="00AD4947"/>
    <w:rsid w:val="00AD6B89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321B"/>
    <w:rsid w:val="00B4377A"/>
    <w:rsid w:val="00B447A4"/>
    <w:rsid w:val="00B45A5F"/>
    <w:rsid w:val="00B46A9C"/>
    <w:rsid w:val="00B5725F"/>
    <w:rsid w:val="00B609CE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B6DD9"/>
    <w:rsid w:val="00BC02CA"/>
    <w:rsid w:val="00BC2A8C"/>
    <w:rsid w:val="00BC467A"/>
    <w:rsid w:val="00BD2AE3"/>
    <w:rsid w:val="00BD47EC"/>
    <w:rsid w:val="00BD4E33"/>
    <w:rsid w:val="00BD6108"/>
    <w:rsid w:val="00BF0610"/>
    <w:rsid w:val="00BF54BF"/>
    <w:rsid w:val="00C00EDA"/>
    <w:rsid w:val="00C01B27"/>
    <w:rsid w:val="00C030DE"/>
    <w:rsid w:val="00C04C29"/>
    <w:rsid w:val="00C04FBC"/>
    <w:rsid w:val="00C05841"/>
    <w:rsid w:val="00C0758C"/>
    <w:rsid w:val="00C11941"/>
    <w:rsid w:val="00C21A3C"/>
    <w:rsid w:val="00C22105"/>
    <w:rsid w:val="00C22E93"/>
    <w:rsid w:val="00C244B6"/>
    <w:rsid w:val="00C27D75"/>
    <w:rsid w:val="00C34033"/>
    <w:rsid w:val="00C34B96"/>
    <w:rsid w:val="00C3702F"/>
    <w:rsid w:val="00C41EA1"/>
    <w:rsid w:val="00C4500A"/>
    <w:rsid w:val="00C50CA3"/>
    <w:rsid w:val="00C521A1"/>
    <w:rsid w:val="00C55C91"/>
    <w:rsid w:val="00C64A37"/>
    <w:rsid w:val="00C6502A"/>
    <w:rsid w:val="00C65A73"/>
    <w:rsid w:val="00C664B5"/>
    <w:rsid w:val="00C7158E"/>
    <w:rsid w:val="00C7250B"/>
    <w:rsid w:val="00C7346B"/>
    <w:rsid w:val="00C73B5E"/>
    <w:rsid w:val="00C75ADB"/>
    <w:rsid w:val="00C77C0E"/>
    <w:rsid w:val="00C8000E"/>
    <w:rsid w:val="00C848A2"/>
    <w:rsid w:val="00C91687"/>
    <w:rsid w:val="00C9212D"/>
    <w:rsid w:val="00C924A8"/>
    <w:rsid w:val="00C93D8F"/>
    <w:rsid w:val="00C945FE"/>
    <w:rsid w:val="00C950B4"/>
    <w:rsid w:val="00C96FAA"/>
    <w:rsid w:val="00C97725"/>
    <w:rsid w:val="00C97A04"/>
    <w:rsid w:val="00CA0691"/>
    <w:rsid w:val="00CA107B"/>
    <w:rsid w:val="00CA484D"/>
    <w:rsid w:val="00CA4FB6"/>
    <w:rsid w:val="00CB5FC3"/>
    <w:rsid w:val="00CC739E"/>
    <w:rsid w:val="00CD1E2E"/>
    <w:rsid w:val="00CD2AEC"/>
    <w:rsid w:val="00CD58B7"/>
    <w:rsid w:val="00CE1FA7"/>
    <w:rsid w:val="00CE39EF"/>
    <w:rsid w:val="00CE48BF"/>
    <w:rsid w:val="00CF08EF"/>
    <w:rsid w:val="00CF4099"/>
    <w:rsid w:val="00D00796"/>
    <w:rsid w:val="00D02D2C"/>
    <w:rsid w:val="00D12F43"/>
    <w:rsid w:val="00D1641A"/>
    <w:rsid w:val="00D228FB"/>
    <w:rsid w:val="00D23301"/>
    <w:rsid w:val="00D24390"/>
    <w:rsid w:val="00D261A2"/>
    <w:rsid w:val="00D355E0"/>
    <w:rsid w:val="00D538E4"/>
    <w:rsid w:val="00D616D2"/>
    <w:rsid w:val="00D63B5F"/>
    <w:rsid w:val="00D7066F"/>
    <w:rsid w:val="00D70EF7"/>
    <w:rsid w:val="00D815F5"/>
    <w:rsid w:val="00D8397C"/>
    <w:rsid w:val="00D86F19"/>
    <w:rsid w:val="00D922C5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6A5"/>
    <w:rsid w:val="00DB67CB"/>
    <w:rsid w:val="00DC6708"/>
    <w:rsid w:val="00DC6DEB"/>
    <w:rsid w:val="00DD2644"/>
    <w:rsid w:val="00DE0555"/>
    <w:rsid w:val="00DE5DA8"/>
    <w:rsid w:val="00DF712D"/>
    <w:rsid w:val="00DF78F1"/>
    <w:rsid w:val="00E01436"/>
    <w:rsid w:val="00E045BD"/>
    <w:rsid w:val="00E07F9C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3636"/>
    <w:rsid w:val="00E54452"/>
    <w:rsid w:val="00E54C8E"/>
    <w:rsid w:val="00E56A7B"/>
    <w:rsid w:val="00E664C5"/>
    <w:rsid w:val="00E667F2"/>
    <w:rsid w:val="00E67089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B62EC"/>
    <w:rsid w:val="00EC1F6A"/>
    <w:rsid w:val="00EC5536"/>
    <w:rsid w:val="00ED193A"/>
    <w:rsid w:val="00ED55C0"/>
    <w:rsid w:val="00ED682B"/>
    <w:rsid w:val="00ED71DF"/>
    <w:rsid w:val="00EE41D5"/>
    <w:rsid w:val="00EE696D"/>
    <w:rsid w:val="00EF4B9A"/>
    <w:rsid w:val="00EF7B36"/>
    <w:rsid w:val="00F008F3"/>
    <w:rsid w:val="00F037A4"/>
    <w:rsid w:val="00F047FA"/>
    <w:rsid w:val="00F04C11"/>
    <w:rsid w:val="00F0562A"/>
    <w:rsid w:val="00F0573E"/>
    <w:rsid w:val="00F10992"/>
    <w:rsid w:val="00F12FEC"/>
    <w:rsid w:val="00F13C3F"/>
    <w:rsid w:val="00F21400"/>
    <w:rsid w:val="00F22FF9"/>
    <w:rsid w:val="00F26013"/>
    <w:rsid w:val="00F27C8F"/>
    <w:rsid w:val="00F30924"/>
    <w:rsid w:val="00F30A0C"/>
    <w:rsid w:val="00F32749"/>
    <w:rsid w:val="00F37172"/>
    <w:rsid w:val="00F437E5"/>
    <w:rsid w:val="00F4477E"/>
    <w:rsid w:val="00F45717"/>
    <w:rsid w:val="00F55FD4"/>
    <w:rsid w:val="00F61291"/>
    <w:rsid w:val="00F635C6"/>
    <w:rsid w:val="00F64E51"/>
    <w:rsid w:val="00F65EEC"/>
    <w:rsid w:val="00F6637E"/>
    <w:rsid w:val="00F67042"/>
    <w:rsid w:val="00F67D8F"/>
    <w:rsid w:val="00F739B3"/>
    <w:rsid w:val="00F73F24"/>
    <w:rsid w:val="00F74680"/>
    <w:rsid w:val="00F7490B"/>
    <w:rsid w:val="00F74B10"/>
    <w:rsid w:val="00F80247"/>
    <w:rsid w:val="00F802BE"/>
    <w:rsid w:val="00F804F1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860"/>
    <w:rsid w:val="00FB087C"/>
    <w:rsid w:val="00FB2068"/>
    <w:rsid w:val="00FB42D4"/>
    <w:rsid w:val="00FB5906"/>
    <w:rsid w:val="00FB63DE"/>
    <w:rsid w:val="00FB762F"/>
    <w:rsid w:val="00FC2AED"/>
    <w:rsid w:val="00FC4711"/>
    <w:rsid w:val="00FC5506"/>
    <w:rsid w:val="00FC6FEF"/>
    <w:rsid w:val="00FD054B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E3CEEE3-AB58-421B-816E-64106645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chart" Target="charts/chart4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21" Type="http://schemas.openxmlformats.org/officeDocument/2006/relationships/header" Target="header4.xml"/><Relationship Id="rId34" Type="http://schemas.openxmlformats.org/officeDocument/2006/relationships/hyperlink" Target="http://stat.gov.pl/en/topics/prices-trade/prices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image" Target="media/image5.png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3.xm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08\08_2018_EN_os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8\08_2018_EN_ost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8\08_2018_EN_ost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8\08_2018_EN_o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80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Vegetables</c:v>
                </c:pt>
                <c:pt idx="1">
                  <c:v>Fruit</c:v>
                </c:pt>
                <c:pt idx="2">
                  <c:v>Footwear</c:v>
                </c:pt>
                <c:pt idx="3">
                  <c:v>Garments</c:v>
                </c:pt>
                <c:pt idx="4">
                  <c:v>Alcoholic beverages</c:v>
                </c:pt>
                <c:pt idx="5">
                  <c:v>Fuels for personal transport equipment</c:v>
                </c:pt>
                <c:pt idx="6">
                  <c:v>Bread and cereals</c:v>
                </c:pt>
                <c:pt idx="7">
                  <c:v>Telephone and telefax services</c:v>
                </c:pt>
                <c:pt idx="8">
                  <c:v>Transport services</c:v>
                </c:pt>
                <c:pt idx="9">
                  <c:v>Gas</c:v>
                </c:pt>
                <c:pt idx="10">
                  <c:v>Insurance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-0.11</c:v>
                </c:pt>
                <c:pt idx="1">
                  <c:v>-0.09</c:v>
                </c:pt>
                <c:pt idx="2">
                  <c:v>-0.04</c:v>
                </c:pt>
                <c:pt idx="3">
                  <c:v>-0.04</c:v>
                </c:pt>
                <c:pt idx="4">
                  <c:v>-0.01</c:v>
                </c:pt>
                <c:pt idx="5">
                  <c:v>-0.01</c:v>
                </c:pt>
                <c:pt idx="6">
                  <c:v>0.01</c:v>
                </c:pt>
                <c:pt idx="7">
                  <c:v>0.02</c:v>
                </c:pt>
                <c:pt idx="8">
                  <c:v>0.04</c:v>
                </c:pt>
                <c:pt idx="9">
                  <c:v>0.05</c:v>
                </c:pt>
                <c:pt idx="10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8059168"/>
        <c:axId val="1518065152"/>
      </c:barChart>
      <c:catAx>
        <c:axId val="151805916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65152"/>
        <c:crossesAt val="0"/>
        <c:auto val="1"/>
        <c:lblAlgn val="ctr"/>
        <c:lblOffset val="300"/>
        <c:tickMarkSkip val="1"/>
        <c:noMultiLvlLbl val="0"/>
      </c:catAx>
      <c:valAx>
        <c:axId val="1518065152"/>
        <c:scaling>
          <c:orientation val="minMax"/>
          <c:max val="8.0000000000000016E-2"/>
          <c:min val="-0.1200000000000000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59168"/>
        <c:crosses val="autoZero"/>
        <c:crossBetween val="between"/>
        <c:majorUnit val="3.000000000000000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26"/>
          <c:y val="4.5267504380125223E-2"/>
          <c:w val="0.51977086663049876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18054272"/>
        <c:axId val="1518056448"/>
      </c:barChart>
      <c:catAx>
        <c:axId val="151805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1518056448"/>
        <c:crosses val="autoZero"/>
        <c:auto val="0"/>
        <c:lblAlgn val="ctr"/>
        <c:lblOffset val="100"/>
        <c:noMultiLvlLbl val="0"/>
      </c:catAx>
      <c:valAx>
        <c:axId val="151805644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5180542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15E-2"/>
                  <c:y val="3.16378659549911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201E-2"/>
                  <c:y val="3.1071111775551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441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151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2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965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091563502962521E-2"/>
                  <c:y val="-3.9129512261248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527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37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'M-1'!$C$14:$C$33</c:f>
              <c:numCache>
                <c:formatCode>0.0</c:formatCode>
                <c:ptCount val="20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8056992"/>
        <c:axId val="1518059712"/>
      </c:lineChart>
      <c:dateAx>
        <c:axId val="15180569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59712"/>
        <c:crossesAt val="0"/>
        <c:auto val="0"/>
        <c:lblOffset val="100"/>
        <c:baseTimeUnit val="days"/>
      </c:dateAx>
      <c:valAx>
        <c:axId val="1518059712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5699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52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3923E-2"/>
                  <c:y val="-3.9890996379663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616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769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08265991594E-2"/>
                  <c:y val="3.6495356524476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14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(+FE)'!$B$14:$B$33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(+FE)'!$C$14:$C$33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8067328"/>
        <c:axId val="1518060256"/>
      </c:lineChart>
      <c:dateAx>
        <c:axId val="15180673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60256"/>
        <c:crossesAt val="0"/>
        <c:auto val="0"/>
        <c:lblOffset val="100"/>
        <c:baseTimeUnit val="days"/>
      </c:dateAx>
      <c:valAx>
        <c:axId val="151806025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180673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151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m-12'!$C$15:$C$34</c:f>
              <c:numCache>
                <c:formatCode>0.0</c:formatCode>
                <c:ptCount val="20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m-12'!$E$15:$E$33</c:f>
              <c:numCache>
                <c:formatCode>0.0</c:formatCode>
                <c:ptCount val="19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8068416"/>
        <c:axId val="1518061344"/>
      </c:lineChart>
      <c:catAx>
        <c:axId val="151806841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5180613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518061344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51806841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59"/>
          <c:y val="0.11355818322048254"/>
          <c:w val="0.11602738896666101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0.58512</cdr:x>
      <cdr:y>0.8665</cdr:y>
    </cdr:from>
    <cdr:to>
      <cdr:x>0.58544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990259" y="2205251"/>
          <a:ext cx="1636" cy="20278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0.58319</cdr:x>
      <cdr:y>0.86417</cdr:y>
    </cdr:from>
    <cdr:to>
      <cdr:x>0.58354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003001" y="2291463"/>
          <a:ext cx="1802" cy="2252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244" y="391393"/>
          <a:ext cx="4418604" cy="322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0.04796</cdr:x>
      <cdr:y>0.17931</cdr:y>
    </cdr:from>
    <cdr:to>
      <cdr:x>0.31652</cdr:x>
      <cdr:y>0.27562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789" y="461344"/>
          <a:ext cx="1370664" cy="247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0.19544</cdr:x>
      <cdr:y>0.26527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2927" y="689962"/>
          <a:ext cx="200267" cy="22047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0.37612</cdr:x>
      <cdr:y>0.18616</cdr:y>
    </cdr:from>
    <cdr:to>
      <cdr:x>0.68317</cdr:x>
      <cdr:y>0.25929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19612" y="478981"/>
          <a:ext cx="1567096" cy="1881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0.38646</cdr:x>
      <cdr:y>0.22785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91984" y="404721"/>
          <a:ext cx="191844" cy="1822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0.25439</cdr:x>
      <cdr:y>0.22785</cdr:y>
    </cdr:from>
    <cdr:to>
      <cdr:x>0.38518</cdr:x>
      <cdr:y>0.55393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05875" y="586986"/>
          <a:ext cx="671383" cy="8400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0.58293</cdr:x>
      <cdr:y>0.85526</cdr:y>
    </cdr:from>
    <cdr:to>
      <cdr:x>0.58319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994382" y="2169018"/>
          <a:ext cx="1336" cy="19489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A789F-6C3E-404E-9B27-608711DF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35</cp:revision>
  <cp:lastPrinted>2018-08-14T06:51:00Z</cp:lastPrinted>
  <dcterms:created xsi:type="dcterms:W3CDTF">2018-04-04T11:35:00Z</dcterms:created>
  <dcterms:modified xsi:type="dcterms:W3CDTF">2018-09-13T07:29:00Z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