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bookmarkStart w:id="0" w:name="_GoBack"/>
      <w:r w:rsidRPr="00F7490B">
        <w:rPr>
          <w:lang w:val="en-GB"/>
        </w:rPr>
        <w:t>Consumer price indices</w:t>
      </w:r>
      <w:r w:rsidRPr="00F7490B">
        <w:rPr>
          <w:lang w:val="en-GB"/>
        </w:rPr>
        <w:br/>
        <w:t xml:space="preserve">in </w:t>
      </w:r>
      <w:r w:rsidR="00F804F1">
        <w:rPr>
          <w:lang w:val="en-GB"/>
        </w:rPr>
        <w:t>June</w:t>
      </w:r>
      <w:r w:rsidRPr="00F7490B">
        <w:rPr>
          <w:lang w:val="en-GB"/>
        </w:rPr>
        <w:t xml:space="preserve"> 2018</w:t>
      </w:r>
    </w:p>
    <w:bookmarkEnd w:id="0"/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5D1C04" w:rsidRPr="0058659E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F1F7EF1" wp14:editId="6655A01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A9E" w:rsidRPr="009E4E6E" w:rsidRDefault="003A3A9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D9EE38E" wp14:editId="638C8B3C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4E6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0,1</w:t>
                            </w:r>
                            <w:r w:rsidRPr="009E4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3A3A9E" w:rsidRPr="00FA7BB3" w:rsidRDefault="003A3A9E" w:rsidP="009E4E6E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 increase </w:t>
                            </w:r>
                            <w:r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3A3A9E" w:rsidRPr="009E4E6E" w:rsidRDefault="003A3A9E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F7E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3A3A9E" w:rsidRPr="009E4E6E" w:rsidRDefault="003A3A9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D9EE38E" wp14:editId="638C8B3C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4E6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0,1</w:t>
                      </w:r>
                      <w:r w:rsidRPr="009E4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3A3A9E" w:rsidRPr="00FA7BB3" w:rsidRDefault="003A3A9E" w:rsidP="009E4E6E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 increase </w:t>
                      </w:r>
                      <w:r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3A3A9E" w:rsidRPr="009E4E6E" w:rsidRDefault="003A3A9E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4206B2">
        <w:rPr>
          <w:noProof w:val="0"/>
          <w:color w:val="000000" w:themeColor="text1"/>
          <w:lang w:val="en-GB"/>
        </w:rPr>
        <w:t xml:space="preserve">June </w:t>
      </w:r>
      <w:r w:rsidR="00DE5DA8" w:rsidRPr="0058659E">
        <w:rPr>
          <w:noProof w:val="0"/>
          <w:color w:val="000000" w:themeColor="text1"/>
          <w:lang w:val="en-GB"/>
        </w:rPr>
        <w:t xml:space="preserve">2018, compared with the previous month, </w:t>
      </w:r>
      <w:r w:rsidR="009A3DA7" w:rsidRPr="0058659E">
        <w:rPr>
          <w:noProof w:val="0"/>
          <w:color w:val="000000" w:themeColor="text1"/>
          <w:lang w:val="en-GB"/>
        </w:rPr>
        <w:t>inc</w:t>
      </w:r>
      <w:r w:rsidR="00DE5DA8" w:rsidRPr="0058659E">
        <w:rPr>
          <w:noProof w:val="0"/>
          <w:color w:val="000000" w:themeColor="text1"/>
          <w:lang w:val="en-GB"/>
        </w:rPr>
        <w:t>reased by 0,</w:t>
      </w:r>
      <w:r w:rsidR="004206B2">
        <w:rPr>
          <w:noProof w:val="0"/>
          <w:color w:val="000000" w:themeColor="text1"/>
          <w:lang w:val="en-GB"/>
        </w:rPr>
        <w:t>1</w:t>
      </w:r>
      <w:r w:rsidR="00DE5DA8" w:rsidRPr="0058659E">
        <w:rPr>
          <w:noProof w:val="0"/>
          <w:color w:val="000000" w:themeColor="text1"/>
          <w:lang w:val="en-GB"/>
        </w:rPr>
        <w:t xml:space="preserve">% (of which </w:t>
      </w:r>
      <w:r w:rsidR="004206B2">
        <w:rPr>
          <w:noProof w:val="0"/>
          <w:color w:val="000000" w:themeColor="text1"/>
          <w:lang w:val="en-GB"/>
        </w:rPr>
        <w:t>services</w:t>
      </w:r>
      <w:r w:rsidR="0058659E">
        <w:rPr>
          <w:noProof w:val="0"/>
          <w:color w:val="000000" w:themeColor="text1"/>
          <w:lang w:val="en-GB"/>
        </w:rPr>
        <w:t xml:space="preserve"> </w:t>
      </w:r>
      <w:r w:rsidR="003818E5">
        <w:rPr>
          <w:noProof w:val="0"/>
          <w:color w:val="000000" w:themeColor="text1"/>
          <w:lang w:val="en-GB"/>
        </w:rPr>
        <w:br/>
      </w:r>
      <w:r w:rsidR="0058659E">
        <w:rPr>
          <w:noProof w:val="0"/>
          <w:color w:val="000000" w:themeColor="text1"/>
          <w:lang w:val="en-GB"/>
        </w:rPr>
        <w:t>– by </w:t>
      </w:r>
      <w:r w:rsidR="00543EB1">
        <w:rPr>
          <w:noProof w:val="0"/>
          <w:color w:val="000000" w:themeColor="text1"/>
          <w:lang w:val="en-GB"/>
        </w:rPr>
        <w:t>0,5</w:t>
      </w:r>
      <w:r w:rsidR="000B7E61">
        <w:rPr>
          <w:noProof w:val="0"/>
          <w:color w:val="000000" w:themeColor="text1"/>
          <w:lang w:val="en-GB"/>
        </w:rPr>
        <w:t xml:space="preserve">%, with </w:t>
      </w:r>
      <w:r w:rsidR="00543EB1">
        <w:rPr>
          <w:noProof w:val="0"/>
          <w:color w:val="000000" w:themeColor="text1"/>
          <w:lang w:val="en-GB"/>
        </w:rPr>
        <w:t>a decrease of prices of goods</w:t>
      </w:r>
      <w:r w:rsidR="000B7E61">
        <w:rPr>
          <w:noProof w:val="0"/>
          <w:color w:val="000000" w:themeColor="text1"/>
          <w:lang w:val="en-GB"/>
        </w:rPr>
        <w:t xml:space="preserve"> 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543EB1">
        <w:rPr>
          <w:noProof w:val="0"/>
          <w:color w:val="000000" w:themeColor="text1"/>
          <w:lang w:val="en-GB"/>
        </w:rPr>
        <w:t>0,1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543EB1">
        <w:rPr>
          <w:noProof w:val="0"/>
          <w:color w:val="000000" w:themeColor="text1"/>
          <w:lang w:val="en-GB"/>
        </w:rPr>
        <w:t>by 2</w:t>
      </w:r>
      <w:r w:rsidR="001D62D3">
        <w:rPr>
          <w:noProof w:val="0"/>
          <w:color w:val="000000" w:themeColor="text1"/>
          <w:lang w:val="en-GB"/>
        </w:rPr>
        <w:t>,0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1D62D3">
        <w:rPr>
          <w:noProof w:val="0"/>
          <w:color w:val="000000" w:themeColor="text1"/>
          <w:lang w:val="en-GB"/>
        </w:rPr>
        <w:t>2,2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1D62D3">
        <w:rPr>
          <w:noProof w:val="0"/>
          <w:color w:val="000000" w:themeColor="text1"/>
          <w:lang w:val="en-GB"/>
        </w:rPr>
        <w:t> 1,4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tbl>
      <w:tblPr>
        <w:tblStyle w:val="Siatkatabelijasna11"/>
        <w:tblpPr w:leftFromText="141" w:rightFromText="141" w:vertAnchor="text" w:horzAnchor="margin" w:tblpY="618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91"/>
        <w:gridCol w:w="787"/>
        <w:gridCol w:w="843"/>
        <w:gridCol w:w="787"/>
        <w:gridCol w:w="899"/>
        <w:gridCol w:w="871"/>
        <w:gridCol w:w="871"/>
        <w:gridCol w:w="1281"/>
      </w:tblGrid>
      <w:tr w:rsidR="0048137F" w:rsidRPr="00774934" w:rsidTr="0048137F">
        <w:trPr>
          <w:cantSplit/>
          <w:trHeight w:val="367"/>
        </w:trPr>
        <w:tc>
          <w:tcPr>
            <w:tcW w:w="1991" w:type="dxa"/>
            <w:vMerge w:val="restart"/>
            <w:vAlign w:val="center"/>
          </w:tcPr>
          <w:p w:rsidR="004F721C" w:rsidRPr="00C56FB5" w:rsidRDefault="004F721C" w:rsidP="004F721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417" w:type="dxa"/>
            <w:gridSpan w:val="3"/>
            <w:vAlign w:val="center"/>
          </w:tcPr>
          <w:p w:rsidR="004F721C" w:rsidRPr="00C56FB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VI 2018</w:t>
            </w:r>
          </w:p>
        </w:tc>
        <w:tc>
          <w:tcPr>
            <w:tcW w:w="1770" w:type="dxa"/>
            <w:gridSpan w:val="2"/>
          </w:tcPr>
          <w:p w:rsidR="004F721C" w:rsidRPr="00C56FB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IV-VI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71" w:type="dxa"/>
          </w:tcPr>
          <w:p w:rsidR="004F721C" w:rsidRPr="00C56FB5" w:rsidRDefault="004F721C" w:rsidP="004F721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I-VI 2018</w:t>
            </w:r>
          </w:p>
        </w:tc>
        <w:tc>
          <w:tcPr>
            <w:tcW w:w="1281" w:type="dxa"/>
            <w:vMerge w:val="restart"/>
            <w:vAlign w:val="center"/>
          </w:tcPr>
          <w:p w:rsidR="004F721C" w:rsidRPr="001E2DBB" w:rsidRDefault="004F721C" w:rsidP="004F721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5"/>
                <w:szCs w:val="15"/>
              </w:rPr>
            </w:pPr>
            <w:r w:rsidRPr="001E2DB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t>CONTRIBUTION</w:t>
            </w:r>
            <w:r w:rsidRPr="001E2DB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br/>
              <w:t xml:space="preserve">OF CHANGES </w:t>
            </w:r>
          </w:p>
          <w:p w:rsidR="004F721C" w:rsidRPr="00DE64C5" w:rsidRDefault="004F721C" w:rsidP="004F721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highlight w:val="yellow"/>
              </w:rPr>
            </w:pPr>
            <w:r w:rsidRPr="00DE64C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 2018=</w:t>
            </w:r>
            <w:r w:rsidRPr="00DE64C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0F52C7" w:rsidRPr="00774934" w:rsidTr="0048137F">
        <w:trPr>
          <w:cantSplit/>
          <w:trHeight w:val="914"/>
        </w:trPr>
        <w:tc>
          <w:tcPr>
            <w:tcW w:w="1991" w:type="dxa"/>
            <w:vMerge/>
            <w:tcBorders>
              <w:bottom w:val="single" w:sz="12" w:space="0" w:color="212492"/>
            </w:tcBorders>
            <w:vAlign w:val="center"/>
          </w:tcPr>
          <w:p w:rsidR="004F721C" w:rsidRPr="00C56FB5" w:rsidRDefault="004F721C" w:rsidP="004F721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12" w:space="0" w:color="212492"/>
            </w:tcBorders>
            <w:vAlign w:val="center"/>
          </w:tcPr>
          <w:p w:rsidR="004F721C" w:rsidRPr="00C56FB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VI 2017=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43" w:type="dxa"/>
            <w:tcBorders>
              <w:bottom w:val="single" w:sz="12" w:space="0" w:color="212492"/>
            </w:tcBorders>
            <w:vAlign w:val="center"/>
          </w:tcPr>
          <w:p w:rsidR="004F721C" w:rsidRPr="00C56FB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787" w:type="dxa"/>
            <w:tcBorders>
              <w:bottom w:val="single" w:sz="12" w:space="0" w:color="212492"/>
            </w:tcBorders>
            <w:vAlign w:val="center"/>
          </w:tcPr>
          <w:p w:rsidR="004F721C" w:rsidRPr="00C56FB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V 2018=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99" w:type="dxa"/>
            <w:tcBorders>
              <w:bottom w:val="single" w:sz="12" w:space="0" w:color="212492"/>
            </w:tcBorders>
            <w:vAlign w:val="center"/>
          </w:tcPr>
          <w:p w:rsidR="004F721C" w:rsidRPr="00A37CE0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IV-VI 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bottom w:val="single" w:sz="12" w:space="0" w:color="212492"/>
            </w:tcBorders>
            <w:vAlign w:val="center"/>
          </w:tcPr>
          <w:p w:rsidR="004F721C" w:rsidRPr="00A37CE0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bottom w:val="single" w:sz="12" w:space="0" w:color="212492"/>
            </w:tcBorders>
          </w:tcPr>
          <w:p w:rsidR="004F721C" w:rsidRPr="008033BF" w:rsidRDefault="004F721C" w:rsidP="00E54C8E">
            <w:pPr>
              <w:pStyle w:val="Nagwek1"/>
              <w:tabs>
                <w:tab w:val="right" w:leader="dot" w:pos="4139"/>
              </w:tabs>
              <w:spacing w:before="220" w:line="240" w:lineRule="exact"/>
              <w:jc w:val="center"/>
              <w:outlineLvl w:val="0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 2017=</w:t>
            </w:r>
            <w:r w:rsidRPr="00C56FB5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81" w:type="dxa"/>
            <w:vMerge/>
            <w:tcBorders>
              <w:bottom w:val="single" w:sz="12" w:space="0" w:color="212492"/>
            </w:tcBorders>
            <w:vAlign w:val="center"/>
          </w:tcPr>
          <w:p w:rsidR="004F721C" w:rsidRPr="00DE64C5" w:rsidRDefault="004F721C" w:rsidP="004F721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721C" w:rsidRPr="00E96938" w:rsidRDefault="004F721C" w:rsidP="004F721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8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4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Default="004F721C" w:rsidP="004F721C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257A17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78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C56FB5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28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64C5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78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9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F52C7" w:rsidRPr="00774934" w:rsidTr="0048137F">
        <w:trPr>
          <w:cantSplit/>
          <w:trHeight w:val="57"/>
        </w:trPr>
        <w:tc>
          <w:tcPr>
            <w:tcW w:w="1991" w:type="dxa"/>
            <w:tcBorders>
              <w:top w:val="single" w:sz="4" w:space="0" w:color="212492"/>
              <w:bottom w:val="nil"/>
            </w:tcBorders>
            <w:vAlign w:val="center"/>
          </w:tcPr>
          <w:p w:rsidR="004F721C" w:rsidRPr="00E96938" w:rsidRDefault="004F721C" w:rsidP="004F721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787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843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257A17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57A17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787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C56FB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FB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99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871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71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0A350D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A350D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281" w:type="dxa"/>
            <w:tcBorders>
              <w:top w:val="single" w:sz="4" w:space="0" w:color="212492"/>
              <w:bottom w:val="nil"/>
            </w:tcBorders>
            <w:vAlign w:val="bottom"/>
          </w:tcPr>
          <w:p w:rsidR="004F721C" w:rsidRPr="00DE64C5" w:rsidRDefault="004F721C" w:rsidP="004F72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64C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</w:tbl>
    <w:p w:rsidR="0084358D" w:rsidRPr="00B4377A" w:rsidRDefault="00AD4947" w:rsidP="00B4377A">
      <w:pPr>
        <w:pStyle w:val="tytuwykresu"/>
        <w:rPr>
          <w:lang w:val="en-GB"/>
        </w:rPr>
        <w:sectPr w:rsidR="0084358D" w:rsidRPr="00B4377A" w:rsidSect="000A1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9941D1">
        <w:rPr>
          <w:bCs/>
          <w:shd w:val="clear" w:color="auto" w:fill="FFFFFF"/>
          <w:lang w:val="en-GB"/>
        </w:rPr>
        <w:t>Consumer price indices in June</w:t>
      </w:r>
      <w:r w:rsidR="009954C9" w:rsidRPr="009954C9">
        <w:rPr>
          <w:bCs/>
          <w:shd w:val="clear" w:color="auto" w:fill="FFFFFF"/>
          <w:lang w:val="en-GB"/>
        </w:rPr>
        <w:t xml:space="preserve"> 2</w:t>
      </w:r>
      <w:r w:rsidRPr="009954C9">
        <w:rPr>
          <w:lang w:val="en-GB"/>
        </w:rPr>
        <w:t>018</w:t>
      </w: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D12F43" w:rsidRPr="0032161A" w:rsidRDefault="00D12F43" w:rsidP="006375BD">
      <w:pPr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ED71DF">
        <w:rPr>
          <w:color w:val="000000" w:themeColor="text1"/>
          <w:lang w:val="en-GB"/>
        </w:rPr>
        <w:t>June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32161A">
        <w:rPr>
          <w:color w:val="000000" w:themeColor="text1"/>
          <w:lang w:val="en-GB"/>
        </w:rPr>
        <w:t>highest 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higher</w:t>
      </w:r>
      <w:r w:rsidRPr="0032161A">
        <w:rPr>
          <w:color w:val="000000" w:themeColor="text1"/>
          <w:lang w:val="en-GB"/>
        </w:rPr>
        <w:t xml:space="preserve"> prices </w:t>
      </w:r>
      <w:r w:rsidR="00ED71DF">
        <w:rPr>
          <w:color w:val="000000" w:themeColor="text1"/>
          <w:lang w:val="en-GB"/>
        </w:rPr>
        <w:t>related to Transport and Recreation and culture</w:t>
      </w:r>
      <w:r w:rsidR="006E135A">
        <w:rPr>
          <w:color w:val="000000" w:themeColor="text1"/>
          <w:lang w:val="en-GB"/>
        </w:rPr>
        <w:t xml:space="preserve"> (</w:t>
      </w:r>
      <w:r w:rsidR="00427B62">
        <w:rPr>
          <w:color w:val="000000" w:themeColor="text1"/>
          <w:lang w:val="en-GB"/>
        </w:rPr>
        <w:t>by 0,9</w:t>
      </w:r>
      <w:r w:rsidR="00932079">
        <w:rPr>
          <w:color w:val="000000" w:themeColor="text1"/>
          <w:lang w:val="en-GB"/>
        </w:rPr>
        <w:t>% each</w:t>
      </w:r>
      <w:r w:rsidR="00427B62">
        <w:rPr>
          <w:color w:val="000000" w:themeColor="text1"/>
          <w:lang w:val="en-GB"/>
        </w:rPr>
        <w:t>)</w:t>
      </w:r>
      <w:r w:rsidR="00256539">
        <w:rPr>
          <w:color w:val="000000" w:themeColor="text1"/>
          <w:lang w:val="en-GB"/>
        </w:rPr>
        <w:t xml:space="preserve">, </w:t>
      </w:r>
      <w:r w:rsidRPr="0032161A">
        <w:rPr>
          <w:color w:val="000000" w:themeColor="text1"/>
          <w:lang w:val="en-GB"/>
        </w:rPr>
        <w:t xml:space="preserve">which </w:t>
      </w:r>
      <w:r w:rsidR="005070C5" w:rsidRPr="0032161A">
        <w:rPr>
          <w:color w:val="000000" w:themeColor="text1"/>
          <w:lang w:val="en-GB"/>
        </w:rPr>
        <w:t>increased</w:t>
      </w:r>
      <w:r w:rsidRPr="0032161A">
        <w:rPr>
          <w:color w:val="000000" w:themeColor="text1"/>
          <w:lang w:val="en-GB"/>
        </w:rPr>
        <w:t xml:space="preserve"> the index by </w:t>
      </w:r>
      <w:r w:rsidR="00932079">
        <w:rPr>
          <w:color w:val="000000" w:themeColor="text1"/>
          <w:lang w:val="en-GB"/>
        </w:rPr>
        <w:t>0,08</w:t>
      </w:r>
      <w:r w:rsidR="002F1083" w:rsidRPr="0032161A">
        <w:rPr>
          <w:color w:val="000000" w:themeColor="text1"/>
          <w:lang w:val="en-GB"/>
        </w:rPr>
        <w:t xml:space="preserve"> pp</w:t>
      </w:r>
      <w:r w:rsidR="00932079">
        <w:rPr>
          <w:color w:val="000000" w:themeColor="text1"/>
          <w:lang w:val="en-GB"/>
        </w:rPr>
        <w:t xml:space="preserve"> and 0,06 pp </w:t>
      </w:r>
      <w:r w:rsidR="00932079" w:rsidRPr="0032161A">
        <w:rPr>
          <w:color w:val="000000" w:themeColor="text1"/>
          <w:lang w:val="en-GB"/>
        </w:rPr>
        <w:t>respectively</w:t>
      </w:r>
      <w:r w:rsidR="00214152" w:rsidRPr="001445C9">
        <w:rPr>
          <w:color w:val="000000" w:themeColor="text1"/>
          <w:lang w:val="en-GB"/>
        </w:rPr>
        <w:t>.</w:t>
      </w:r>
      <w:r w:rsidR="001445C9" w:rsidRPr="001445C9">
        <w:rPr>
          <w:color w:val="000000" w:themeColor="text1"/>
          <w:lang w:val="en-GB"/>
        </w:rPr>
        <w:t xml:space="preserve"> </w:t>
      </w:r>
      <w:r w:rsidR="005070C5" w:rsidRPr="001445C9">
        <w:rPr>
          <w:color w:val="000000" w:themeColor="text1"/>
          <w:lang w:val="en-GB"/>
        </w:rPr>
        <w:t>Lower</w:t>
      </w:r>
      <w:r w:rsidRPr="001445C9">
        <w:rPr>
          <w:color w:val="000000" w:themeColor="text1"/>
          <w:lang w:val="en-GB"/>
        </w:rPr>
        <w:t xml:space="preserve"> prices </w:t>
      </w:r>
      <w:r w:rsidR="00256539">
        <w:rPr>
          <w:color w:val="000000" w:themeColor="text1"/>
          <w:lang w:val="en-GB"/>
        </w:rPr>
        <w:t xml:space="preserve">of </w:t>
      </w:r>
      <w:r w:rsidR="00595343" w:rsidRPr="0032161A">
        <w:rPr>
          <w:color w:val="000000" w:themeColor="text1"/>
          <w:lang w:val="en-GB"/>
        </w:rPr>
        <w:t xml:space="preserve">Clothing and footwear </w:t>
      </w:r>
      <w:r w:rsidR="0055296C">
        <w:rPr>
          <w:color w:val="000000" w:themeColor="text1"/>
          <w:lang w:val="en-GB"/>
        </w:rPr>
        <w:t xml:space="preserve">(by 1,4%) </w:t>
      </w:r>
      <w:r w:rsidR="00595343">
        <w:rPr>
          <w:color w:val="000000" w:themeColor="text1"/>
          <w:lang w:val="en-GB"/>
        </w:rPr>
        <w:t xml:space="preserve">and </w:t>
      </w:r>
      <w:r w:rsidR="00256539">
        <w:rPr>
          <w:color w:val="000000" w:themeColor="text1"/>
          <w:lang w:val="en-GB"/>
        </w:rPr>
        <w:t>Food (by 0,3</w:t>
      </w:r>
      <w:r w:rsidR="004457C2">
        <w:rPr>
          <w:color w:val="000000" w:themeColor="text1"/>
          <w:lang w:val="en-GB"/>
        </w:rPr>
        <w:t xml:space="preserve">%) </w:t>
      </w:r>
      <w:r w:rsidR="00E22FD2" w:rsidRPr="001445C9">
        <w:rPr>
          <w:color w:val="000000" w:themeColor="text1"/>
          <w:lang w:val="en-GB"/>
        </w:rPr>
        <w:t xml:space="preserve">decreased </w:t>
      </w:r>
      <w:r w:rsidRPr="001445C9">
        <w:rPr>
          <w:color w:val="000000" w:themeColor="text1"/>
          <w:lang w:val="en-GB"/>
        </w:rPr>
        <w:t xml:space="preserve">the index by </w:t>
      </w:r>
      <w:r w:rsidR="00E22FD2" w:rsidRPr="001445C9">
        <w:rPr>
          <w:color w:val="000000" w:themeColor="text1"/>
          <w:lang w:val="en-GB"/>
        </w:rPr>
        <w:t>0,0</w:t>
      </w:r>
      <w:r w:rsidR="004457C2">
        <w:rPr>
          <w:color w:val="000000" w:themeColor="text1"/>
          <w:lang w:val="en-GB"/>
        </w:rPr>
        <w:t xml:space="preserve">7 pp and 0,06 pp </w:t>
      </w:r>
      <w:r w:rsidR="004457C2" w:rsidRPr="0032161A">
        <w:rPr>
          <w:color w:val="000000" w:themeColor="text1"/>
          <w:lang w:val="en-GB"/>
        </w:rPr>
        <w:t>respectively</w:t>
      </w:r>
      <w:r w:rsidR="003B7A38">
        <w:rPr>
          <w:color w:val="000000" w:themeColor="text1"/>
          <w:lang w:val="en-GB"/>
        </w:rPr>
        <w:t>.</w:t>
      </w:r>
      <w:r w:rsidR="00E56A7B" w:rsidRPr="0032161A">
        <w:rPr>
          <w:color w:val="000000" w:themeColor="text1"/>
          <w:lang w:val="en-GB"/>
        </w:rPr>
        <w:t xml:space="preserve"> </w:t>
      </w:r>
      <w:r w:rsidR="00E22FD2" w:rsidRPr="0032161A">
        <w:rPr>
          <w:color w:val="000000" w:themeColor="text1"/>
          <w:lang w:val="en-GB"/>
        </w:rPr>
        <w:br/>
      </w:r>
      <w:r w:rsidRPr="0032161A">
        <w:rPr>
          <w:color w:val="000000" w:themeColor="text1"/>
          <w:lang w:val="en-GB"/>
        </w:rPr>
        <w:t xml:space="preserve">Compared with the corresponding month of the previous year, higher prices </w:t>
      </w:r>
      <w:r w:rsidR="00C9212D">
        <w:rPr>
          <w:color w:val="000000" w:themeColor="text1"/>
          <w:lang w:val="en-GB"/>
        </w:rPr>
        <w:t xml:space="preserve">related to </w:t>
      </w:r>
      <w:r w:rsidR="00D86F19">
        <w:rPr>
          <w:color w:val="000000" w:themeColor="text1"/>
          <w:lang w:val="en-GB"/>
        </w:rPr>
        <w:t>Transport (by </w:t>
      </w:r>
      <w:r w:rsidR="00C9212D">
        <w:rPr>
          <w:color w:val="000000" w:themeColor="text1"/>
          <w:lang w:val="en-GB"/>
        </w:rPr>
        <w:t>8,6</w:t>
      </w:r>
      <w:r w:rsidR="001A5FB7">
        <w:rPr>
          <w:color w:val="000000" w:themeColor="text1"/>
          <w:lang w:val="en-GB"/>
        </w:rPr>
        <w:t>%)</w:t>
      </w:r>
      <w:r w:rsidR="00667EA4">
        <w:rPr>
          <w:color w:val="000000" w:themeColor="text1"/>
          <w:lang w:val="en-GB"/>
        </w:rPr>
        <w:t xml:space="preserve"> as well as </w:t>
      </w:r>
      <w:r w:rsidRPr="0032161A">
        <w:rPr>
          <w:color w:val="000000" w:themeColor="text1"/>
          <w:lang w:val="en-GB"/>
        </w:rPr>
        <w:t>Food (by </w:t>
      </w:r>
      <w:r w:rsidR="001A5FB7">
        <w:rPr>
          <w:color w:val="000000" w:themeColor="text1"/>
          <w:lang w:val="en-GB"/>
        </w:rPr>
        <w:t>2</w:t>
      </w:r>
      <w:r w:rsidR="00F13C3F">
        <w:rPr>
          <w:color w:val="000000" w:themeColor="text1"/>
          <w:lang w:val="en-GB"/>
        </w:rPr>
        <w:t>,</w:t>
      </w:r>
      <w:r w:rsidR="001A5FB7">
        <w:rPr>
          <w:color w:val="000000" w:themeColor="text1"/>
          <w:lang w:val="en-GB"/>
        </w:rPr>
        <w:t>8</w:t>
      </w:r>
      <w:r w:rsidRPr="0032161A">
        <w:rPr>
          <w:color w:val="000000" w:themeColor="text1"/>
          <w:lang w:val="en-GB"/>
        </w:rPr>
        <w:t>%) and Dwelling (by </w:t>
      </w:r>
      <w:r w:rsidR="00E56A7B" w:rsidRPr="0032161A">
        <w:rPr>
          <w:color w:val="000000" w:themeColor="text1"/>
          <w:lang w:val="en-GB"/>
        </w:rPr>
        <w:t>1,</w:t>
      </w:r>
      <w:r w:rsidR="007625D8">
        <w:rPr>
          <w:color w:val="000000" w:themeColor="text1"/>
          <w:lang w:val="en-GB"/>
        </w:rPr>
        <w:t>8</w:t>
      </w:r>
      <w:r w:rsidRPr="0032161A">
        <w:rPr>
          <w:color w:val="000000" w:themeColor="text1"/>
          <w:lang w:val="en-GB"/>
        </w:rPr>
        <w:t xml:space="preserve">%) increased the </w:t>
      </w:r>
      <w:r w:rsidR="00214152">
        <w:rPr>
          <w:color w:val="000000" w:themeColor="text1"/>
          <w:lang w:val="en-GB"/>
        </w:rPr>
        <w:t xml:space="preserve">consumer price index </w:t>
      </w:r>
      <w:r w:rsidR="0032161A" w:rsidRPr="0032161A">
        <w:rPr>
          <w:color w:val="000000" w:themeColor="text1"/>
          <w:lang w:val="en-GB"/>
        </w:rPr>
        <w:t>by 0,</w:t>
      </w:r>
      <w:r w:rsidR="007625D8">
        <w:rPr>
          <w:color w:val="000000" w:themeColor="text1"/>
          <w:lang w:val="en-GB"/>
        </w:rPr>
        <w:t>73</w:t>
      </w:r>
      <w:r w:rsidR="00E56A7B" w:rsidRPr="0032161A">
        <w:rPr>
          <w:color w:val="000000" w:themeColor="text1"/>
          <w:lang w:val="en-GB"/>
        </w:rPr>
        <w:t xml:space="preserve"> pp</w:t>
      </w:r>
      <w:r w:rsidR="007625D8">
        <w:rPr>
          <w:color w:val="000000" w:themeColor="text1"/>
          <w:lang w:val="en-GB"/>
        </w:rPr>
        <w:t>, 0,62</w:t>
      </w:r>
      <w:r w:rsidR="00C9212D">
        <w:rPr>
          <w:color w:val="000000" w:themeColor="text1"/>
          <w:lang w:val="en-GB"/>
        </w:rPr>
        <w:t xml:space="preserve"> pp</w:t>
      </w:r>
      <w:r w:rsidR="007625D8">
        <w:rPr>
          <w:color w:val="000000" w:themeColor="text1"/>
          <w:lang w:val="en-GB"/>
        </w:rPr>
        <w:t xml:space="preserve"> and 0,46</w:t>
      </w:r>
      <w:r w:rsidR="00030E9C">
        <w:rPr>
          <w:color w:val="000000" w:themeColor="text1"/>
          <w:lang w:val="en-GB"/>
        </w:rPr>
        <w:t xml:space="preserve"> pp</w:t>
      </w:r>
      <w:r w:rsidRPr="0032161A">
        <w:rPr>
          <w:color w:val="000000" w:themeColor="text1"/>
          <w:lang w:val="en-GB"/>
        </w:rPr>
        <w:t xml:space="preserve"> respectively. Lower prices o</w:t>
      </w:r>
      <w:r w:rsidR="004E2F74" w:rsidRPr="0032161A">
        <w:rPr>
          <w:color w:val="000000" w:themeColor="text1"/>
          <w:lang w:val="en-GB"/>
        </w:rPr>
        <w:t>f </w:t>
      </w:r>
      <w:r w:rsidR="0055296C">
        <w:rPr>
          <w:color w:val="000000" w:themeColor="text1"/>
          <w:lang w:val="en-GB"/>
        </w:rPr>
        <w:t>Clothing and footwear (by </w:t>
      </w:r>
      <w:r w:rsidR="007625D8">
        <w:rPr>
          <w:color w:val="000000" w:themeColor="text1"/>
          <w:lang w:val="en-GB"/>
        </w:rPr>
        <w:t>4,2</w:t>
      </w:r>
      <w:r w:rsidRPr="0032161A">
        <w:rPr>
          <w:color w:val="000000" w:themeColor="text1"/>
          <w:lang w:val="en-GB"/>
        </w:rPr>
        <w:t xml:space="preserve">%) </w:t>
      </w:r>
      <w:r w:rsidR="009F4806">
        <w:rPr>
          <w:color w:val="000000" w:themeColor="text1"/>
          <w:lang w:val="en-GB"/>
        </w:rPr>
        <w:t>decreased</w:t>
      </w:r>
      <w:r w:rsidR="004E2F74" w:rsidRPr="0032161A">
        <w:rPr>
          <w:color w:val="000000" w:themeColor="text1"/>
          <w:lang w:val="en-GB"/>
        </w:rPr>
        <w:t xml:space="preserve"> the index by </w:t>
      </w:r>
      <w:r w:rsidR="00D86F19">
        <w:rPr>
          <w:color w:val="000000" w:themeColor="text1"/>
          <w:lang w:val="en-GB"/>
        </w:rPr>
        <w:t>0,23</w:t>
      </w:r>
      <w:r w:rsidR="0032161A" w:rsidRPr="0032161A">
        <w:rPr>
          <w:color w:val="000000" w:themeColor="text1"/>
          <w:lang w:val="en-GB"/>
        </w:rPr>
        <w:t xml:space="preserve"> pp</w:t>
      </w:r>
      <w:r w:rsidRPr="0032161A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5D1C04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DEB8990" wp14:editId="50095924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638300"/>
                <wp:effectExtent l="0" t="0" r="0" b="0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A9E" w:rsidRPr="001F50F4" w:rsidRDefault="003A3A9E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June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2018, the highest contribution to the total consumer price index came from higher prices of Fuels for personal transport equipment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and related to Package holidays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,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hich increased the index by 0,06 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pp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8990" id="Text Box 29" o:spid="_x0000_s1027" type="#_x0000_t202" style="position:absolute;margin-left:414.75pt;margin-top:217.5pt;width:135.85pt;height:129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i+uw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MkaA91OiR7Q26k3sUpTY/46AzMHsYwNDs4RxsXax6uJfVN42EXLZUbNitUnJsGa2BX2hf+hdP&#10;JxxtQdbjR1mDH7o10gHtG9Xb5EE6EKBDnZ5OtbFcKutyHsVRChwruAtn18l14K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" filled="f" stroked="f">
                <v:textbox>
                  <w:txbxContent>
                    <w:p w:rsidR="003A3A9E" w:rsidRPr="001F50F4" w:rsidRDefault="003A3A9E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June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2018, the highest contribution to the total consumer price index came from higher prices of Fuels for personal transport equipment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and related to Package holidays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,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hich increased the index by 0,06 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pp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each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in </w:t>
      </w:r>
      <w:r w:rsidR="00D86F19">
        <w:rPr>
          <w:spacing w:val="-4"/>
          <w:shd w:val="clear" w:color="auto" w:fill="FFFFFF"/>
          <w:lang w:val="en-GB"/>
        </w:rPr>
        <w:t>June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A07F00" w:rsidRPr="00743715" w:rsidRDefault="0028195C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5121910" cy="3067050"/>
            <wp:effectExtent l="0" t="0" r="2540" b="0"/>
            <wp:wrapSquare wrapText="bothSides"/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9EF"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5929DA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B998A2B" wp14:editId="6C564A9E">
                <wp:simplePos x="0" y="0"/>
                <wp:positionH relativeFrom="column">
                  <wp:posOffset>5267325</wp:posOffset>
                </wp:positionH>
                <wp:positionV relativeFrom="page">
                  <wp:posOffset>6086475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A9E" w:rsidRPr="00151D0F" w:rsidRDefault="003A3A9E" w:rsidP="00C04FB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2018,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similarly to previous years,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largest share of expendit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ures in the compilations of the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ex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have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Food and non-alcoholic beverages (24,36%) and goods and services related to </w:t>
                            </w: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Housing, water, electricity, gas and other fuels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(20,35%)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8A2B" id="_x0000_s1028" type="#_x0000_t202" style="position:absolute;margin-left:414.75pt;margin-top:479.25pt;width:135.85pt;height:14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CK&#10;7q+QEgIAAAAEAAAOAAAAAAAAAAAAAAAAAC4CAABkcnMvZTJvRG9jLnhtbFBLAQItABQABgAIAAAA&#10;IQBGD/Z03wAAAA0BAAAPAAAAAAAAAAAAAAAAAGwEAABkcnMvZG93bnJldi54bWxQSwUGAAAAAAQA&#10;BADzAAAAeAUAAAAA&#10;" filled="f" stroked="f">
                <v:textbox>
                  <w:txbxContent>
                    <w:p w:rsidR="003A3A9E" w:rsidRPr="00151D0F" w:rsidRDefault="003A3A9E" w:rsidP="00C04FB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2018,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similarly to previous years,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largest share of expendit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ures in the compilations of the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ex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have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Food and non-alcoholic beverages (24,36%) and goods and services related to </w:t>
                      </w: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Housing, water, electricity, gas and other fuels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(20,35%)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457975AD" wp14:editId="5FA44570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378">
        <w:rPr>
          <w:lang w:val="en-GB"/>
        </w:rPr>
        <w:br w:type="page"/>
      </w:r>
      <w:r w:rsidR="0028195C">
        <w:rPr>
          <w:noProof/>
          <w:lang w:eastAsia="pl-PL"/>
        </w:rPr>
        <w:lastRenderedPageBreak/>
        <w:drawing>
          <wp:anchor distT="0" distB="0" distL="114300" distR="114300" simplePos="0" relativeHeight="251804672" behindDoc="0" locked="0" layoutInCell="1" allowOverlap="1" wp14:anchorId="19DEEAC4" wp14:editId="17E11668">
            <wp:simplePos x="0" y="0"/>
            <wp:positionH relativeFrom="column">
              <wp:posOffset>9525</wp:posOffset>
            </wp:positionH>
            <wp:positionV relativeFrom="paragraph">
              <wp:posOffset>278765</wp:posOffset>
            </wp:positionV>
            <wp:extent cx="5121910" cy="2555875"/>
            <wp:effectExtent l="0" t="0" r="254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DA0243" w:rsidRPr="00743715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Default="0028195C" w:rsidP="00034160">
      <w:pPr>
        <w:pStyle w:val="tytuwykresu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043E96D1" wp14:editId="702C92C2">
            <wp:simplePos x="0" y="0"/>
            <wp:positionH relativeFrom="column">
              <wp:posOffset>9525</wp:posOffset>
            </wp:positionH>
            <wp:positionV relativeFrom="paragraph">
              <wp:posOffset>406400</wp:posOffset>
            </wp:positionV>
            <wp:extent cx="5094605" cy="2633345"/>
            <wp:effectExtent l="0" t="0" r="0" b="1460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C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79071D93" wp14:editId="21068F68">
                <wp:simplePos x="0" y="0"/>
                <wp:positionH relativeFrom="column">
                  <wp:posOffset>5267325</wp:posOffset>
                </wp:positionH>
                <wp:positionV relativeFrom="page">
                  <wp:posOffset>4095750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477" y="0"/>
                    <wp:lineTo x="477" y="21207"/>
                    <wp:lineTo x="20749" y="21207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A9E" w:rsidRPr="00CE39EF" w:rsidRDefault="003A3A9E" w:rsidP="00B64918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June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2018, consumer price 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index was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ithin the 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1D93" id="Text Box 25" o:spid="_x0000_s1029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    <v:textbox>
                  <w:txbxContent>
                    <w:p w:rsidR="003A3A9E" w:rsidRPr="00CE39EF" w:rsidRDefault="003A3A9E" w:rsidP="00B64918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June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2018, consumer price 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index was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ithin the 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872BF7" w:rsidP="00034160">
      <w:pPr>
        <w:spacing w:before="0" w:after="160" w:line="259" w:lineRule="auto"/>
        <w:rPr>
          <w:sz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65DDAA33" wp14:editId="03D76084">
            <wp:simplePos x="0" y="0"/>
            <wp:positionH relativeFrom="column">
              <wp:posOffset>9525</wp:posOffset>
            </wp:positionH>
            <wp:positionV relativeFrom="paragraph">
              <wp:posOffset>3340100</wp:posOffset>
            </wp:positionV>
            <wp:extent cx="5122545" cy="252857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Default="00426D50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lastRenderedPageBreak/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F047FA">
        <w:rPr>
          <w:bCs/>
          <w:sz w:val="18"/>
          <w:shd w:val="clear" w:color="auto" w:fill="FFFFFF"/>
          <w:lang w:val="en-GB"/>
        </w:rPr>
        <w:t>June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865"/>
        <w:gridCol w:w="865"/>
        <w:gridCol w:w="870"/>
        <w:gridCol w:w="867"/>
        <w:gridCol w:w="867"/>
        <w:gridCol w:w="867"/>
        <w:gridCol w:w="58"/>
      </w:tblGrid>
      <w:tr w:rsidR="00752E87" w:rsidRPr="005875EB" w:rsidTr="0028195C">
        <w:trPr>
          <w:gridAfter w:val="1"/>
          <w:wAfter w:w="58" w:type="dxa"/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IV-VI 2018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752E87" w:rsidRPr="005875EB" w:rsidTr="0028195C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V 2018=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752E87" w:rsidRPr="005875EB" w:rsidRDefault="0055296C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IV-VI </w:t>
            </w:r>
            <w:r w:rsidR="00752E87" w:rsidRPr="005875EB">
              <w:rPr>
                <w:rFonts w:eastAsia="Times New Roman" w:cs="Calibri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I-III 2018=100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Pr="005875EB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752E87" w:rsidRPr="005875EB" w:rsidTr="0028195C">
        <w:trPr>
          <w:trHeight w:val="330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75EB">
              <w:rPr>
                <w:rFonts w:cs="Calibri"/>
                <w:b/>
                <w:bCs/>
                <w:color w:val="000000"/>
                <w:sz w:val="16"/>
                <w:szCs w:val="16"/>
              </w:rPr>
              <w:t>101,6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752E87" w:rsidRPr="005875EB" w:rsidTr="0028195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Fruit and vegetable juices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E96938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25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Diesel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752E87" w:rsidRPr="005875EB" w:rsidTr="0028195C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752E87" w:rsidRPr="005875EB" w:rsidTr="0028195C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752E87" w:rsidRPr="005875EB" w:rsidTr="0028195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752E87" w:rsidRPr="005875EB" w:rsidTr="0028195C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752E87" w:rsidRPr="005875EB" w:rsidTr="0028195C">
        <w:trPr>
          <w:trHeight w:val="45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654DB3" w:rsidRDefault="00752E87" w:rsidP="0028195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925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87" w:rsidRPr="005875EB" w:rsidRDefault="00752E87" w:rsidP="0028195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75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</w:tr>
    </w:tbl>
    <w:p w:rsidR="002B31B7" w:rsidRPr="00752E87" w:rsidRDefault="002B31B7">
      <w:pPr>
        <w:rPr>
          <w:lang w:val="en-GB"/>
        </w:rPr>
      </w:pPr>
    </w:p>
    <w:p w:rsidR="002B31B7" w:rsidRPr="00752E87" w:rsidRDefault="002B31B7">
      <w:pPr>
        <w:rPr>
          <w:lang w:val="en-GB"/>
        </w:rPr>
        <w:sectPr w:rsidR="002B31B7" w:rsidRPr="00752E87" w:rsidSect="00BD6108">
          <w:headerReference w:type="default" r:id="rId21"/>
          <w:headerReference w:type="first" r:id="rId22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Pr="00752E87" w:rsidRDefault="00D96E78">
      <w:pPr>
        <w:rPr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3A3A9E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3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3A3A9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754B6B8" wp14:editId="17F296C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08DF86D" wp14:editId="71803BA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7E19A9" wp14:editId="03AB63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103D0D3" wp14:editId="6A6F0617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A9E" w:rsidRDefault="003A3A9E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3A3A9E" w:rsidRPr="00FA7BB3" w:rsidRDefault="003A3A9E" w:rsidP="00CB5FC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3A3A9E" w:rsidRPr="00FA7BB3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3A3A9E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3A3A9E" w:rsidRPr="00FA7BB3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3A3A9E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3A3A9E" w:rsidRPr="00FA7BB3" w:rsidRDefault="003A3A9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A3A9E" w:rsidRPr="00FA7BB3" w:rsidRDefault="003A3A9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3A3A9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3A3A9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3A3A9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3A3A9E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3A3A9E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3A3A9E" w:rsidRPr="00C3205E" w:rsidRDefault="003A3A9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A3A9E" w:rsidRPr="00BB6820" w:rsidRDefault="003A3A9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3A3A9E" w:rsidRPr="00C3205E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3A3A9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3A3A9E" w:rsidRPr="00E233EA" w:rsidRDefault="00B617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3A3A9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D0D3"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3A3A9E" w:rsidRDefault="003A3A9E" w:rsidP="00883763">
                      <w:pPr>
                        <w:rPr>
                          <w:b/>
                        </w:rPr>
                      </w:pPr>
                    </w:p>
                    <w:p w:rsidR="003A3A9E" w:rsidRPr="00FA7BB3" w:rsidRDefault="003A3A9E" w:rsidP="00CB5FC3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3A3A9E" w:rsidRPr="00FA7BB3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3A3A9E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3A3A9E" w:rsidRPr="00FA7BB3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3A3A9E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3A3A9E" w:rsidRPr="00FA7BB3" w:rsidRDefault="003A3A9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A3A9E" w:rsidRPr="00FA7BB3" w:rsidRDefault="003A3A9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3A3A9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3A3A9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3A3A9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3A3A9E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3A3A9E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3A3A9E" w:rsidRPr="00C3205E" w:rsidRDefault="003A3A9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A3A9E" w:rsidRPr="00BB6820" w:rsidRDefault="003A3A9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3A3A9E" w:rsidRPr="00C3205E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3A3A9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3A3A9E" w:rsidRPr="00E233EA" w:rsidRDefault="00B617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3A3A9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F0B86">
      <w:headerReference w:type="first" r:id="rId47"/>
      <w:footerReference w:type="firs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FB" w:rsidRDefault="00B617FB" w:rsidP="000662E2">
      <w:pPr>
        <w:spacing w:after="0" w:line="240" w:lineRule="auto"/>
      </w:pPr>
      <w:r>
        <w:separator/>
      </w:r>
    </w:p>
  </w:endnote>
  <w:endnote w:type="continuationSeparator" w:id="0">
    <w:p w:rsidR="00B617FB" w:rsidRDefault="00B617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934768"/>
      <w:docPartObj>
        <w:docPartGallery w:val="Page Numbers (Bottom of Page)"/>
        <w:docPartUnique/>
      </w:docPartObj>
    </w:sdtPr>
    <w:sdtEndPr/>
    <w:sdtContent>
      <w:p w:rsidR="003A3A9E" w:rsidRDefault="003A3A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FB" w:rsidRDefault="00B617FB" w:rsidP="000662E2">
      <w:pPr>
        <w:spacing w:after="0" w:line="240" w:lineRule="auto"/>
      </w:pPr>
      <w:r>
        <w:separator/>
      </w:r>
    </w:p>
  </w:footnote>
  <w:footnote w:type="continuationSeparator" w:id="0">
    <w:p w:rsidR="00B617FB" w:rsidRDefault="00B617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F804F1">
    <w:pPr>
      <w:pStyle w:val="Nagwek"/>
      <w:tabs>
        <w:tab w:val="clear" w:pos="9072"/>
        <w:tab w:val="right" w:pos="8067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C06C5" wp14:editId="4A2C8C0E">
              <wp:simplePos x="0" y="0"/>
              <wp:positionH relativeFrom="column">
                <wp:posOffset>5038725</wp:posOffset>
              </wp:positionH>
              <wp:positionV relativeFrom="paragraph">
                <wp:posOffset>264795</wp:posOffset>
              </wp:positionV>
              <wp:extent cx="2060575" cy="357505"/>
              <wp:effectExtent l="0" t="0" r="0" b="4445"/>
              <wp:wrapNone/>
              <wp:docPr id="9" name="Dowolny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A9E" w:rsidRPr="003C6C8D" w:rsidRDefault="003A3A9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C06C5" id="Dowolny kształt 9" o:spid="_x0000_s1031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A3A9E" w:rsidRPr="003C6C8D" w:rsidRDefault="003A3A9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05E2C8" wp14:editId="3ED9E980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A9E" w:rsidRDefault="003A3A9E" w:rsidP="002A432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F0246A1" wp14:editId="655C384C">
                                <wp:extent cx="1676400" cy="301288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1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5E2C8" id="Prostokąt 10" o:spid="_x0000_s1032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    <v:path arrowok="t"/>
              <v:textbox>
                <w:txbxContent>
                  <w:p w:rsidR="003A3A9E" w:rsidRDefault="003A3A9E" w:rsidP="002A432B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F0246A1" wp14:editId="655C384C">
                          <wp:extent cx="1676400" cy="301288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1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8DF9AFB" wp14:editId="454973F6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A3A9E" w:rsidRDefault="003A3A9E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DF289F9" wp14:editId="4CA3D49F">
              <wp:simplePos x="0" y="0"/>
              <wp:positionH relativeFrom="column">
                <wp:posOffset>5229225</wp:posOffset>
              </wp:positionH>
              <wp:positionV relativeFrom="paragraph">
                <wp:posOffset>236855</wp:posOffset>
              </wp:positionV>
              <wp:extent cx="1432560" cy="336550"/>
              <wp:effectExtent l="0" t="0" r="0" b="635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3A9E" w:rsidRPr="00C97596" w:rsidRDefault="003A3A9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13.07.2018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289F9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33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    <v:textbox>
                <w:txbxContent>
                  <w:p w:rsidR="003A3A9E" w:rsidRPr="00C97596" w:rsidRDefault="003A3A9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13.07.2018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20B652" wp14:editId="35FF4A78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A9E" w:rsidRDefault="003A3A9E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0B652" id="Prostokąt 7" o:spid="_x0000_s1034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    <v:path arrowok="t"/>
              <v:textbox>
                <w:txbxContent>
                  <w:p w:rsidR="003A3A9E" w:rsidRDefault="003A3A9E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675B9D" wp14:editId="3B32993C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4" name="Prostokąt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A9E" w:rsidRDefault="003A3A9E" w:rsidP="002A43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75B9D" id="Prostokąt 194" o:spid="_x0000_s1035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    <v:path arrowok="t"/>
              <v:textbox>
                <w:txbxContent>
                  <w:p w:rsidR="003A3A9E" w:rsidRDefault="003A3A9E" w:rsidP="002A432B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3A3A9E" w:rsidRDefault="003A3A9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2D6EBC" wp14:editId="2CFDF74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A9E" w:rsidRDefault="003A3A9E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D6EBC" id="Prostokąt 17" o:spid="_x0000_s1036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    <v:path arrowok="t"/>
              <v:textbox>
                <w:txbxContent>
                  <w:p w:rsidR="003A3A9E" w:rsidRDefault="003A3A9E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9E" w:rsidRDefault="003A3A9E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344"/>
    <w:rsid w:val="00003437"/>
    <w:rsid w:val="0000709F"/>
    <w:rsid w:val="000108B8"/>
    <w:rsid w:val="000152F5"/>
    <w:rsid w:val="000207B9"/>
    <w:rsid w:val="00030E9C"/>
    <w:rsid w:val="00030F44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839B7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0C10"/>
    <w:rsid w:val="000D1D43"/>
    <w:rsid w:val="000D1F42"/>
    <w:rsid w:val="000D223F"/>
    <w:rsid w:val="000D225C"/>
    <w:rsid w:val="000D2A5C"/>
    <w:rsid w:val="000E0918"/>
    <w:rsid w:val="000E5670"/>
    <w:rsid w:val="000F35C5"/>
    <w:rsid w:val="000F52C7"/>
    <w:rsid w:val="001011C3"/>
    <w:rsid w:val="00102C59"/>
    <w:rsid w:val="00105022"/>
    <w:rsid w:val="00110D87"/>
    <w:rsid w:val="00113F41"/>
    <w:rsid w:val="001149A1"/>
    <w:rsid w:val="00114DB9"/>
    <w:rsid w:val="00116087"/>
    <w:rsid w:val="00130296"/>
    <w:rsid w:val="00132297"/>
    <w:rsid w:val="00135B65"/>
    <w:rsid w:val="00142037"/>
    <w:rsid w:val="001423B6"/>
    <w:rsid w:val="001445C9"/>
    <w:rsid w:val="001448A7"/>
    <w:rsid w:val="00144AAD"/>
    <w:rsid w:val="00146621"/>
    <w:rsid w:val="00147BDB"/>
    <w:rsid w:val="00151D0F"/>
    <w:rsid w:val="001567D8"/>
    <w:rsid w:val="00162325"/>
    <w:rsid w:val="00191388"/>
    <w:rsid w:val="001951DA"/>
    <w:rsid w:val="001A0DC1"/>
    <w:rsid w:val="001A182E"/>
    <w:rsid w:val="001A5FB7"/>
    <w:rsid w:val="001A78D0"/>
    <w:rsid w:val="001B0B46"/>
    <w:rsid w:val="001C3269"/>
    <w:rsid w:val="001C4AB4"/>
    <w:rsid w:val="001D1DB4"/>
    <w:rsid w:val="001D5586"/>
    <w:rsid w:val="001D55AD"/>
    <w:rsid w:val="001D62D3"/>
    <w:rsid w:val="001D7526"/>
    <w:rsid w:val="001E1D94"/>
    <w:rsid w:val="001E2DBB"/>
    <w:rsid w:val="001E7DBB"/>
    <w:rsid w:val="001F50F4"/>
    <w:rsid w:val="001F60D1"/>
    <w:rsid w:val="00214152"/>
    <w:rsid w:val="0023271C"/>
    <w:rsid w:val="002401BC"/>
    <w:rsid w:val="00256539"/>
    <w:rsid w:val="002574F9"/>
    <w:rsid w:val="00262B61"/>
    <w:rsid w:val="0026302B"/>
    <w:rsid w:val="002724FF"/>
    <w:rsid w:val="00275FA6"/>
    <w:rsid w:val="00276811"/>
    <w:rsid w:val="00276C9A"/>
    <w:rsid w:val="0028195C"/>
    <w:rsid w:val="00282699"/>
    <w:rsid w:val="00284FD0"/>
    <w:rsid w:val="00290CB6"/>
    <w:rsid w:val="002926DF"/>
    <w:rsid w:val="00296697"/>
    <w:rsid w:val="002A432B"/>
    <w:rsid w:val="002A47B1"/>
    <w:rsid w:val="002A4D80"/>
    <w:rsid w:val="002B0472"/>
    <w:rsid w:val="002B31B7"/>
    <w:rsid w:val="002B332A"/>
    <w:rsid w:val="002B6B12"/>
    <w:rsid w:val="002D0020"/>
    <w:rsid w:val="002D3214"/>
    <w:rsid w:val="002E4A17"/>
    <w:rsid w:val="002E6140"/>
    <w:rsid w:val="002E6985"/>
    <w:rsid w:val="002E71B6"/>
    <w:rsid w:val="002F1083"/>
    <w:rsid w:val="002F77C8"/>
    <w:rsid w:val="00300F75"/>
    <w:rsid w:val="00304F22"/>
    <w:rsid w:val="00305162"/>
    <w:rsid w:val="00306C7C"/>
    <w:rsid w:val="0032161A"/>
    <w:rsid w:val="00322EDD"/>
    <w:rsid w:val="00326D2E"/>
    <w:rsid w:val="00327FD2"/>
    <w:rsid w:val="00331DEF"/>
    <w:rsid w:val="00332320"/>
    <w:rsid w:val="00341B03"/>
    <w:rsid w:val="00347D72"/>
    <w:rsid w:val="00352179"/>
    <w:rsid w:val="00357611"/>
    <w:rsid w:val="00367237"/>
    <w:rsid w:val="0037077F"/>
    <w:rsid w:val="00372411"/>
    <w:rsid w:val="00373882"/>
    <w:rsid w:val="003818E5"/>
    <w:rsid w:val="003843DB"/>
    <w:rsid w:val="003901AC"/>
    <w:rsid w:val="00393761"/>
    <w:rsid w:val="00397D18"/>
    <w:rsid w:val="003A1B36"/>
    <w:rsid w:val="003A3A9E"/>
    <w:rsid w:val="003A440F"/>
    <w:rsid w:val="003B1454"/>
    <w:rsid w:val="003B18B6"/>
    <w:rsid w:val="003B7A38"/>
    <w:rsid w:val="003C59E0"/>
    <w:rsid w:val="003C6A4B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06B2"/>
    <w:rsid w:val="004212E7"/>
    <w:rsid w:val="00421378"/>
    <w:rsid w:val="0042446D"/>
    <w:rsid w:val="00426D50"/>
    <w:rsid w:val="00427B62"/>
    <w:rsid w:val="00427BF8"/>
    <w:rsid w:val="00431C02"/>
    <w:rsid w:val="00434DCB"/>
    <w:rsid w:val="00437395"/>
    <w:rsid w:val="00443627"/>
    <w:rsid w:val="004447E7"/>
    <w:rsid w:val="00445047"/>
    <w:rsid w:val="004457C2"/>
    <w:rsid w:val="00454E14"/>
    <w:rsid w:val="004566AB"/>
    <w:rsid w:val="0045762F"/>
    <w:rsid w:val="004601AC"/>
    <w:rsid w:val="00461641"/>
    <w:rsid w:val="004638B4"/>
    <w:rsid w:val="00463E39"/>
    <w:rsid w:val="004657FC"/>
    <w:rsid w:val="004733F6"/>
    <w:rsid w:val="00474E69"/>
    <w:rsid w:val="0047674F"/>
    <w:rsid w:val="00480650"/>
    <w:rsid w:val="0048137F"/>
    <w:rsid w:val="00482C81"/>
    <w:rsid w:val="0049621B"/>
    <w:rsid w:val="004B43C7"/>
    <w:rsid w:val="004B77C7"/>
    <w:rsid w:val="004C1895"/>
    <w:rsid w:val="004C6D40"/>
    <w:rsid w:val="004E14F7"/>
    <w:rsid w:val="004E2F74"/>
    <w:rsid w:val="004F0C3C"/>
    <w:rsid w:val="004F312B"/>
    <w:rsid w:val="004F63FC"/>
    <w:rsid w:val="004F721C"/>
    <w:rsid w:val="00501F76"/>
    <w:rsid w:val="00502E6F"/>
    <w:rsid w:val="00505A92"/>
    <w:rsid w:val="005070C5"/>
    <w:rsid w:val="00511F19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3EB1"/>
    <w:rsid w:val="00545199"/>
    <w:rsid w:val="005520D8"/>
    <w:rsid w:val="0055296C"/>
    <w:rsid w:val="00556CF1"/>
    <w:rsid w:val="0056203D"/>
    <w:rsid w:val="00564851"/>
    <w:rsid w:val="0057202D"/>
    <w:rsid w:val="00575B45"/>
    <w:rsid w:val="005762A7"/>
    <w:rsid w:val="0058659E"/>
    <w:rsid w:val="005877DE"/>
    <w:rsid w:val="005916D7"/>
    <w:rsid w:val="005929DA"/>
    <w:rsid w:val="00592BF5"/>
    <w:rsid w:val="00595343"/>
    <w:rsid w:val="005A2784"/>
    <w:rsid w:val="005A55D5"/>
    <w:rsid w:val="005A698C"/>
    <w:rsid w:val="005C1AF8"/>
    <w:rsid w:val="005D1C04"/>
    <w:rsid w:val="005D25F8"/>
    <w:rsid w:val="005D470D"/>
    <w:rsid w:val="005E0799"/>
    <w:rsid w:val="005F0A20"/>
    <w:rsid w:val="005F0B86"/>
    <w:rsid w:val="005F4399"/>
    <w:rsid w:val="005F5A80"/>
    <w:rsid w:val="006044FF"/>
    <w:rsid w:val="00607CC5"/>
    <w:rsid w:val="00613E79"/>
    <w:rsid w:val="006149F0"/>
    <w:rsid w:val="00633014"/>
    <w:rsid w:val="0063437B"/>
    <w:rsid w:val="006375BD"/>
    <w:rsid w:val="006500AF"/>
    <w:rsid w:val="00654DB3"/>
    <w:rsid w:val="006673CA"/>
    <w:rsid w:val="00667EA4"/>
    <w:rsid w:val="006737D7"/>
    <w:rsid w:val="00673C26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E9E"/>
    <w:rsid w:val="006B208D"/>
    <w:rsid w:val="006B20B4"/>
    <w:rsid w:val="006B5AE4"/>
    <w:rsid w:val="006C5A26"/>
    <w:rsid w:val="006D1507"/>
    <w:rsid w:val="006D4054"/>
    <w:rsid w:val="006D6B72"/>
    <w:rsid w:val="006D7CF9"/>
    <w:rsid w:val="006E02EC"/>
    <w:rsid w:val="006E135A"/>
    <w:rsid w:val="00701980"/>
    <w:rsid w:val="007059D5"/>
    <w:rsid w:val="007162EB"/>
    <w:rsid w:val="00716E70"/>
    <w:rsid w:val="007211B1"/>
    <w:rsid w:val="0072400B"/>
    <w:rsid w:val="00733D55"/>
    <w:rsid w:val="00734095"/>
    <w:rsid w:val="00743715"/>
    <w:rsid w:val="00746187"/>
    <w:rsid w:val="00752A67"/>
    <w:rsid w:val="00752E87"/>
    <w:rsid w:val="00761070"/>
    <w:rsid w:val="0076254F"/>
    <w:rsid w:val="007625D8"/>
    <w:rsid w:val="00774E11"/>
    <w:rsid w:val="00775022"/>
    <w:rsid w:val="007771A4"/>
    <w:rsid w:val="007801F5"/>
    <w:rsid w:val="00781D69"/>
    <w:rsid w:val="00783CA4"/>
    <w:rsid w:val="007842FB"/>
    <w:rsid w:val="00786124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4B03"/>
    <w:rsid w:val="007F324B"/>
    <w:rsid w:val="007F5D91"/>
    <w:rsid w:val="00802A9A"/>
    <w:rsid w:val="008033BF"/>
    <w:rsid w:val="0080553C"/>
    <w:rsid w:val="00805B46"/>
    <w:rsid w:val="008144D3"/>
    <w:rsid w:val="00820461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7F0F"/>
    <w:rsid w:val="00852448"/>
    <w:rsid w:val="00856F88"/>
    <w:rsid w:val="00864F07"/>
    <w:rsid w:val="00865A1F"/>
    <w:rsid w:val="00872BF7"/>
    <w:rsid w:val="0088258A"/>
    <w:rsid w:val="008832C4"/>
    <w:rsid w:val="00883763"/>
    <w:rsid w:val="00885ECA"/>
    <w:rsid w:val="00886332"/>
    <w:rsid w:val="00893327"/>
    <w:rsid w:val="00897F0C"/>
    <w:rsid w:val="008A03DB"/>
    <w:rsid w:val="008A1889"/>
    <w:rsid w:val="008A1E68"/>
    <w:rsid w:val="008A26D9"/>
    <w:rsid w:val="008A3B00"/>
    <w:rsid w:val="008B2143"/>
    <w:rsid w:val="008B4AE0"/>
    <w:rsid w:val="008B6A9C"/>
    <w:rsid w:val="008C0C29"/>
    <w:rsid w:val="008C7A01"/>
    <w:rsid w:val="008F1DB7"/>
    <w:rsid w:val="008F3638"/>
    <w:rsid w:val="008F4441"/>
    <w:rsid w:val="008F6F31"/>
    <w:rsid w:val="008F74DF"/>
    <w:rsid w:val="00911B22"/>
    <w:rsid w:val="009127BA"/>
    <w:rsid w:val="009143B7"/>
    <w:rsid w:val="00916782"/>
    <w:rsid w:val="00917CCF"/>
    <w:rsid w:val="009227A6"/>
    <w:rsid w:val="00932079"/>
    <w:rsid w:val="00933B26"/>
    <w:rsid w:val="00933EC1"/>
    <w:rsid w:val="00942DCA"/>
    <w:rsid w:val="00951CDF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41D1"/>
    <w:rsid w:val="009954C9"/>
    <w:rsid w:val="00996BD5"/>
    <w:rsid w:val="009A32C0"/>
    <w:rsid w:val="009A3DA7"/>
    <w:rsid w:val="009A6EA0"/>
    <w:rsid w:val="009B1399"/>
    <w:rsid w:val="009C1335"/>
    <w:rsid w:val="009C1AB2"/>
    <w:rsid w:val="009C5407"/>
    <w:rsid w:val="009C7251"/>
    <w:rsid w:val="009E2E91"/>
    <w:rsid w:val="009E3BF4"/>
    <w:rsid w:val="009E3FA7"/>
    <w:rsid w:val="009E410D"/>
    <w:rsid w:val="009E4E6E"/>
    <w:rsid w:val="009F4806"/>
    <w:rsid w:val="009F5815"/>
    <w:rsid w:val="00A0476F"/>
    <w:rsid w:val="00A065BE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25C6"/>
    <w:rsid w:val="00A53132"/>
    <w:rsid w:val="00A563F2"/>
    <w:rsid w:val="00A566E8"/>
    <w:rsid w:val="00A57512"/>
    <w:rsid w:val="00A76B1F"/>
    <w:rsid w:val="00A7731C"/>
    <w:rsid w:val="00A810F9"/>
    <w:rsid w:val="00A86ECC"/>
    <w:rsid w:val="00A86FCC"/>
    <w:rsid w:val="00A93892"/>
    <w:rsid w:val="00AA710D"/>
    <w:rsid w:val="00AB1F98"/>
    <w:rsid w:val="00AB32D6"/>
    <w:rsid w:val="00AB6D25"/>
    <w:rsid w:val="00AC6CBE"/>
    <w:rsid w:val="00AD4947"/>
    <w:rsid w:val="00AD6B89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321B"/>
    <w:rsid w:val="00B4377A"/>
    <w:rsid w:val="00B447A4"/>
    <w:rsid w:val="00B45A5F"/>
    <w:rsid w:val="00B46A9C"/>
    <w:rsid w:val="00B609CE"/>
    <w:rsid w:val="00B617FB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C02CA"/>
    <w:rsid w:val="00BC467A"/>
    <w:rsid w:val="00BD47EC"/>
    <w:rsid w:val="00BD4E33"/>
    <w:rsid w:val="00BD6108"/>
    <w:rsid w:val="00BF54BF"/>
    <w:rsid w:val="00C00EDA"/>
    <w:rsid w:val="00C030DE"/>
    <w:rsid w:val="00C04C29"/>
    <w:rsid w:val="00C04FBC"/>
    <w:rsid w:val="00C05841"/>
    <w:rsid w:val="00C0758C"/>
    <w:rsid w:val="00C11941"/>
    <w:rsid w:val="00C22105"/>
    <w:rsid w:val="00C22E93"/>
    <w:rsid w:val="00C244B6"/>
    <w:rsid w:val="00C27D75"/>
    <w:rsid w:val="00C34033"/>
    <w:rsid w:val="00C3702F"/>
    <w:rsid w:val="00C4500A"/>
    <w:rsid w:val="00C50CA3"/>
    <w:rsid w:val="00C521A1"/>
    <w:rsid w:val="00C55C91"/>
    <w:rsid w:val="00C64A37"/>
    <w:rsid w:val="00C664B5"/>
    <w:rsid w:val="00C7158E"/>
    <w:rsid w:val="00C7250B"/>
    <w:rsid w:val="00C7346B"/>
    <w:rsid w:val="00C73B5E"/>
    <w:rsid w:val="00C77C0E"/>
    <w:rsid w:val="00C8000E"/>
    <w:rsid w:val="00C848A2"/>
    <w:rsid w:val="00C91687"/>
    <w:rsid w:val="00C9212D"/>
    <w:rsid w:val="00C924A8"/>
    <w:rsid w:val="00C93D8F"/>
    <w:rsid w:val="00C945FE"/>
    <w:rsid w:val="00C950B4"/>
    <w:rsid w:val="00C96FAA"/>
    <w:rsid w:val="00C97A04"/>
    <w:rsid w:val="00CA0691"/>
    <w:rsid w:val="00CA107B"/>
    <w:rsid w:val="00CA484D"/>
    <w:rsid w:val="00CA4FB6"/>
    <w:rsid w:val="00CB5FC3"/>
    <w:rsid w:val="00CC739E"/>
    <w:rsid w:val="00CD1E2E"/>
    <w:rsid w:val="00CD2AEC"/>
    <w:rsid w:val="00CD58B7"/>
    <w:rsid w:val="00CE1FA7"/>
    <w:rsid w:val="00CE39EF"/>
    <w:rsid w:val="00CE48BF"/>
    <w:rsid w:val="00CF08EF"/>
    <w:rsid w:val="00CF4099"/>
    <w:rsid w:val="00D00796"/>
    <w:rsid w:val="00D02D2C"/>
    <w:rsid w:val="00D12F43"/>
    <w:rsid w:val="00D228FB"/>
    <w:rsid w:val="00D23301"/>
    <w:rsid w:val="00D23366"/>
    <w:rsid w:val="00D24390"/>
    <w:rsid w:val="00D261A2"/>
    <w:rsid w:val="00D355E0"/>
    <w:rsid w:val="00D538E4"/>
    <w:rsid w:val="00D616D2"/>
    <w:rsid w:val="00D63B5F"/>
    <w:rsid w:val="00D7066F"/>
    <w:rsid w:val="00D70EF7"/>
    <w:rsid w:val="00D815F5"/>
    <w:rsid w:val="00D8397C"/>
    <w:rsid w:val="00D86F19"/>
    <w:rsid w:val="00D922C5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7CB"/>
    <w:rsid w:val="00DC6708"/>
    <w:rsid w:val="00DC6DEB"/>
    <w:rsid w:val="00DD2644"/>
    <w:rsid w:val="00DE5DA8"/>
    <w:rsid w:val="00DF712D"/>
    <w:rsid w:val="00DF78F1"/>
    <w:rsid w:val="00E01436"/>
    <w:rsid w:val="00E045BD"/>
    <w:rsid w:val="00E07F9C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4C8E"/>
    <w:rsid w:val="00E56A7B"/>
    <w:rsid w:val="00E664C5"/>
    <w:rsid w:val="00E667F2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B62EC"/>
    <w:rsid w:val="00EC1F6A"/>
    <w:rsid w:val="00EC5536"/>
    <w:rsid w:val="00ED193A"/>
    <w:rsid w:val="00ED55C0"/>
    <w:rsid w:val="00ED682B"/>
    <w:rsid w:val="00ED71DF"/>
    <w:rsid w:val="00EE41D5"/>
    <w:rsid w:val="00EE696D"/>
    <w:rsid w:val="00EF7B36"/>
    <w:rsid w:val="00F008F3"/>
    <w:rsid w:val="00F037A4"/>
    <w:rsid w:val="00F047FA"/>
    <w:rsid w:val="00F04C11"/>
    <w:rsid w:val="00F0562A"/>
    <w:rsid w:val="00F0573E"/>
    <w:rsid w:val="00F10992"/>
    <w:rsid w:val="00F12FEC"/>
    <w:rsid w:val="00F13C3F"/>
    <w:rsid w:val="00F21400"/>
    <w:rsid w:val="00F22FF9"/>
    <w:rsid w:val="00F26013"/>
    <w:rsid w:val="00F27C8F"/>
    <w:rsid w:val="00F30924"/>
    <w:rsid w:val="00F30A0C"/>
    <w:rsid w:val="00F32749"/>
    <w:rsid w:val="00F37172"/>
    <w:rsid w:val="00F4477E"/>
    <w:rsid w:val="00F45717"/>
    <w:rsid w:val="00F61291"/>
    <w:rsid w:val="00F635C6"/>
    <w:rsid w:val="00F64E51"/>
    <w:rsid w:val="00F65EEC"/>
    <w:rsid w:val="00F6637E"/>
    <w:rsid w:val="00F67D8F"/>
    <w:rsid w:val="00F739B3"/>
    <w:rsid w:val="00F74680"/>
    <w:rsid w:val="00F7490B"/>
    <w:rsid w:val="00F74B10"/>
    <w:rsid w:val="00F80247"/>
    <w:rsid w:val="00F802BE"/>
    <w:rsid w:val="00F804F1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860"/>
    <w:rsid w:val="00FB087C"/>
    <w:rsid w:val="00FB2068"/>
    <w:rsid w:val="00FB42D4"/>
    <w:rsid w:val="00FB5906"/>
    <w:rsid w:val="00FB63DE"/>
    <w:rsid w:val="00FB762F"/>
    <w:rsid w:val="00FC2AED"/>
    <w:rsid w:val="00FC4711"/>
    <w:rsid w:val="00FC5506"/>
    <w:rsid w:val="00FC6FEF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8FB6C-E55A-4997-97CC-79C6500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chart" Target="charts/chart5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a\cenydet\dyskF\ROBOCZY\Ula\Ci&#261;gutka_pier_str\WST_2018\WYKRESY\06\06_2018EN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6\06_2018EN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6\06_2018EN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6\06_2018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8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5887743509678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Vegetables</c:v>
                </c:pt>
                <c:pt idx="1">
                  <c:v>Garments</c:v>
                </c:pt>
                <c:pt idx="2">
                  <c:v>Fruit
</c:v>
                </c:pt>
                <c:pt idx="3">
                  <c:v>Milk, cheese and eggs</c:v>
                </c:pt>
                <c:pt idx="4">
                  <c:v>Transport services</c:v>
                </c:pt>
                <c:pt idx="5">
                  <c:v>Catering services</c:v>
                </c:pt>
                <c:pt idx="6">
                  <c:v>Animal fats</c:v>
                </c:pt>
                <c:pt idx="7">
                  <c:v>Meat</c:v>
                </c:pt>
                <c:pt idx="8">
                  <c:v>Package holidays</c:v>
                </c:pt>
                <c:pt idx="9">
                  <c:v>Fuels for personal transport equipment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-0.08</c:v>
                </c:pt>
                <c:pt idx="1">
                  <c:v>-7.0000000000000007E-2</c:v>
                </c:pt>
                <c:pt idx="2">
                  <c:v>-0.04</c:v>
                </c:pt>
                <c:pt idx="3">
                  <c:v>-0.01</c:v>
                </c:pt>
                <c:pt idx="4">
                  <c:v>0.01</c:v>
                </c:pt>
                <c:pt idx="5">
                  <c:v>0.02</c:v>
                </c:pt>
                <c:pt idx="6">
                  <c:v>0.03</c:v>
                </c:pt>
                <c:pt idx="7">
                  <c:v>0.04</c:v>
                </c:pt>
                <c:pt idx="8">
                  <c:v>0.06</c:v>
                </c:pt>
                <c:pt idx="9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290464"/>
        <c:axId val="1413294816"/>
      </c:barChart>
      <c:catAx>
        <c:axId val="14132904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94816"/>
        <c:crosses val="autoZero"/>
        <c:auto val="1"/>
        <c:lblAlgn val="ctr"/>
        <c:lblOffset val="300"/>
        <c:tickMarkSkip val="1"/>
        <c:noMultiLvlLbl val="0"/>
      </c:catAx>
      <c:valAx>
        <c:axId val="1413294816"/>
        <c:scaling>
          <c:orientation val="minMax"/>
          <c:max val="8.0000000000000029E-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90464"/>
        <c:crosses val="autoZero"/>
        <c:crossBetween val="between"/>
        <c:majorUnit val="2.0000000000000007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04"/>
          <c:y val="4.5267504380125223E-2"/>
          <c:w val="0.51977086663049799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3285568"/>
        <c:axId val="1413288832"/>
      </c:barChart>
      <c:catAx>
        <c:axId val="141328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1413288832"/>
        <c:crosses val="autoZero"/>
        <c:auto val="0"/>
        <c:lblAlgn val="ctr"/>
        <c:lblOffset val="100"/>
        <c:noMultiLvlLbl val="0"/>
      </c:catAx>
      <c:valAx>
        <c:axId val="1413288832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54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4132855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623E-2"/>
                  <c:y val="-2.8962056393186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346E-2"/>
                  <c:y val="3.163786595499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667569597413967E-2"/>
                  <c:y val="3.1071216516127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664E-2"/>
                  <c:y val="-2.8836485923688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56E-2"/>
                  <c:y val="2.6985992733554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537155534637192E-2"/>
                  <c:y val="3.572300017622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4111486621742267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44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77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303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'M-1'!$C$14:$C$31</c:f>
              <c:numCache>
                <c:formatCode>0.0</c:formatCode>
                <c:ptCount val="18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3292640"/>
        <c:axId val="1413288288"/>
      </c:lineChart>
      <c:dateAx>
        <c:axId val="14132926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88288"/>
        <c:crossesAt val="0"/>
        <c:auto val="0"/>
        <c:lblOffset val="100"/>
        <c:baseTimeUnit val="days"/>
      </c:dateAx>
      <c:valAx>
        <c:axId val="141328828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9264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74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78E-2"/>
                  <c:y val="-2.5375967836694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83426733189E-2"/>
                  <c:y val="2.353286975031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17286462677E-2"/>
                  <c:y val="-2.9895604486074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173778061349E-2"/>
                  <c:y val="2.9003308187650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6085627851571E-2"/>
                  <c:y val="-2.6416805018720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84008770845E-2"/>
                  <c:y val="-2.634603789964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71988942347E-2"/>
                  <c:y val="3.149767396887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841538499276376E-2"/>
                  <c:y val="-5.013731979154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6739029116687516E-2"/>
                  <c:y val="2.6974019551903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204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75E-2"/>
                  <c:y val="2.3658242201870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97E-2"/>
                  <c:y val="-3.3211373096366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65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95E-2"/>
                  <c:y val="2.7559939224357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(+FE)'!$C$14:$C$31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3286656"/>
        <c:axId val="1413289376"/>
      </c:lineChart>
      <c:dateAx>
        <c:axId val="14132866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89376"/>
        <c:crossesAt val="0"/>
        <c:auto val="0"/>
        <c:lblOffset val="100"/>
        <c:baseTimeUnit val="days"/>
      </c:dateAx>
      <c:valAx>
        <c:axId val="141328937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32866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04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m-12'!$B$15:$B$32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m-12'!$C$15:$C$32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m-12'!$E$15:$E$31</c:f>
              <c:numCache>
                <c:formatCode>0.0</c:formatCode>
                <c:ptCount val="17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  <c:pt idx="16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3298080"/>
        <c:axId val="1413296448"/>
      </c:lineChart>
      <c:catAx>
        <c:axId val="141329808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132964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1329644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1329808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170359745923952"/>
          <c:y val="0.10743859177321569"/>
          <c:w val="0.11602738896666091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0.64769</cdr:x>
      <cdr:y>0.8665</cdr:y>
    </cdr:from>
    <cdr:to>
      <cdr:x>0.64801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299681" y="2248538"/>
          <a:ext cx="1630" cy="20676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0.64167</cdr:x>
      <cdr:y>0.86417</cdr:y>
    </cdr:from>
    <cdr:to>
      <cdr:x>0.64202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295307" y="2196029"/>
          <a:ext cx="1797" cy="2158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0.04404</cdr:x>
      <cdr:y>0.17782</cdr:y>
    </cdr:from>
    <cdr:to>
      <cdr:x>0.3126</cdr:x>
      <cdr:y>0.27413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601" y="460903"/>
          <a:ext cx="1375779" cy="2496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0.18779</cdr:x>
      <cdr:y>0.26143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2025" y="677636"/>
          <a:ext cx="239067" cy="22966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0.3963</cdr:x>
      <cdr:y>0.18794</cdr:y>
    </cdr:from>
    <cdr:to>
      <cdr:x>0.58941</cdr:x>
      <cdr:y>0.38889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30190" y="487136"/>
          <a:ext cx="989235" cy="5208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0.28814</cdr:x>
      <cdr:y>0.26671</cdr:y>
    </cdr:from>
    <cdr:to>
      <cdr:x>0.41782</cdr:x>
      <cdr:y>0.54885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11" y="688185"/>
          <a:ext cx="662797" cy="728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0.64076</cdr:x>
      <cdr:y>0.85526</cdr:y>
    </cdr:from>
    <cdr:to>
      <cdr:x>0.64102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305410" y="2186475"/>
          <a:ext cx="1341" cy="1964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46969431-18AF-4390-8E67-BB12ADC6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7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June 2018</dc:title>
  <dc:creator>Zawistowska Beata</dc:creator>
  <cp:lastModifiedBy>Koszela Alicja</cp:lastModifiedBy>
  <cp:revision>17</cp:revision>
  <cp:lastPrinted>2018-04-11T14:06:00Z</cp:lastPrinted>
  <dcterms:created xsi:type="dcterms:W3CDTF">2018-04-04T11:35:00Z</dcterms:created>
  <dcterms:modified xsi:type="dcterms:W3CDTF">2018-07-13T07:30:00Z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