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5123" w:rsidRPr="00411531" w:rsidRDefault="00411531" w:rsidP="00685123">
      <w:pPr>
        <w:pStyle w:val="tytuinformacji"/>
        <w:rPr>
          <w:shd w:val="clear" w:color="auto" w:fill="FFFFFF"/>
          <w:lang w:val="en-GB"/>
        </w:rPr>
      </w:pPr>
      <w:r w:rsidRPr="00411531">
        <w:rPr>
          <w:lang w:val="en-GB"/>
        </w:rPr>
        <w:t>Consumer price indices</w:t>
      </w:r>
      <w:r w:rsidR="00CC10A8">
        <w:rPr>
          <w:lang w:val="en-GB"/>
        </w:rPr>
        <w:t xml:space="preserve"> </w:t>
      </w:r>
      <w:r w:rsidR="00CC10A8">
        <w:rPr>
          <w:lang w:val="en-GB"/>
        </w:rPr>
        <w:br/>
      </w:r>
      <w:r w:rsidRPr="00411531">
        <w:rPr>
          <w:lang w:val="en-GB"/>
        </w:rPr>
        <w:t xml:space="preserve">in January 2018 </w:t>
      </w:r>
      <w:r w:rsidR="00685123" w:rsidRPr="00411531">
        <w:rPr>
          <w:lang w:val="en-GB"/>
        </w:rPr>
        <w:t>(</w:t>
      </w:r>
      <w:r w:rsidR="00CC10A8">
        <w:rPr>
          <w:lang w:val="en-GB"/>
        </w:rPr>
        <w:t>preliminary data</w:t>
      </w:r>
      <w:r w:rsidR="00685123" w:rsidRPr="00411531">
        <w:rPr>
          <w:lang w:val="en-GB"/>
        </w:rPr>
        <w:t>)</w:t>
      </w:r>
    </w:p>
    <w:p w:rsidR="00393761" w:rsidRPr="00411531" w:rsidRDefault="00053C36" w:rsidP="00074DD8">
      <w:pPr>
        <w:pStyle w:val="tytuinformacji"/>
        <w:rPr>
          <w:sz w:val="32"/>
          <w:lang w:val="en-GB"/>
        </w:rPr>
      </w:pPr>
      <w:r>
        <w:rPr>
          <w:noProof/>
          <w:lang w:eastAsia="pl-PL"/>
        </w:rPr>
        <w:pict>
          <v:shapetype id="_x0000_t202" coordsize="21600,21600" o:spt="202" path="m,l,21600r21600,l21600,xe">
            <v:stroke joinstyle="miter"/>
            <v:path gradientshapeok="t" o:connecttype="rect"/>
          </v:shapetype>
          <v:shape id="_x0000_s1036" type="#_x0000_t202" style="position:absolute;margin-left:414.4pt;margin-top:19.9pt;width:135.85pt;height:80.3pt;z-index:-251577344;visibility:visible;mso-wrap-distance-top:3.6pt;mso-wrap-distance-bottom:3.6pt;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" filled="f" stroked="f">
            <v:textbox style="mso-next-textbox:#_x0000_s1036">
              <w:txbxContent>
                <w:p w:rsidR="0048729D" w:rsidRPr="00482FE5" w:rsidRDefault="00482FE5" w:rsidP="00685123">
                  <w:pPr>
                    <w:rPr>
                      <w:rFonts w:eastAsia="Times New Roman" w:cs="Times New Roman"/>
                      <w:bCs/>
                      <w:color w:val="001D77"/>
                      <w:sz w:val="18"/>
                      <w:szCs w:val="18"/>
                      <w:lang w:val="en-GB" w:eastAsia="pl-PL"/>
                    </w:rPr>
                  </w:pPr>
                  <w:r w:rsidRPr="00482FE5">
                    <w:rPr>
                      <w:rFonts w:eastAsia="Times New Roman" w:cs="Times New Roman"/>
                      <w:bCs/>
                      <w:color w:val="001D77"/>
                      <w:sz w:val="18"/>
                      <w:szCs w:val="18"/>
                      <w:lang w:val="en-GB" w:eastAsia="pl-PL"/>
                    </w:rPr>
                    <w:t>According to preliminary data, the consumer price index in January 2018 was 101.9 compared with January of the previous year</w:t>
                  </w:r>
                </w:p>
                <w:p w:rsidR="0048729D" w:rsidRDefault="0048729D" w:rsidP="0048729D">
                  <w:pPr>
                    <w:rPr>
                      <w:rFonts w:eastAsia="Times New Roman" w:cs="Times New Roman"/>
                      <w:bCs/>
                      <w:color w:val="001D77"/>
                      <w:sz w:val="18"/>
                      <w:szCs w:val="18"/>
                      <w:lang w:val="en-GB" w:eastAsia="pl-PL"/>
                    </w:rPr>
                  </w:pPr>
                </w:p>
                <w:p w:rsidR="0048729D" w:rsidRPr="0048729D" w:rsidRDefault="0048729D" w:rsidP="00685123">
                  <w:pPr>
                    <w:rPr>
                      <w:rFonts w:eastAsia="Times New Roman" w:cs="Times New Roman"/>
                      <w:bCs/>
                      <w:color w:val="001D77"/>
                      <w:sz w:val="18"/>
                      <w:szCs w:val="18"/>
                      <w:lang w:val="en-GB" w:eastAsia="pl-PL"/>
                    </w:rPr>
                  </w:pPr>
                </w:p>
                <w:p w:rsidR="0048729D" w:rsidRPr="0048729D" w:rsidRDefault="0048729D" w:rsidP="00685123">
                  <w:pPr>
                    <w:rPr>
                      <w:rFonts w:eastAsia="Times New Roman" w:cs="Times New Roman"/>
                      <w:bCs/>
                      <w:color w:val="001D77"/>
                      <w:sz w:val="18"/>
                      <w:szCs w:val="18"/>
                      <w:lang w:val="en-GB" w:eastAsia="pl-PL"/>
                    </w:rPr>
                  </w:pPr>
                </w:p>
                <w:p w:rsidR="0048729D" w:rsidRPr="0048729D" w:rsidRDefault="0048729D" w:rsidP="00685123">
                  <w:pPr>
                    <w:rPr>
                      <w:rFonts w:eastAsia="Times New Roman" w:cs="Times New Roman"/>
                      <w:bCs/>
                      <w:color w:val="001D77"/>
                      <w:sz w:val="18"/>
                      <w:szCs w:val="18"/>
                      <w:lang w:val="en-GB" w:eastAsia="pl-PL"/>
                    </w:rPr>
                  </w:pPr>
                </w:p>
                <w:p w:rsidR="0048729D" w:rsidRPr="0048729D" w:rsidRDefault="0048729D" w:rsidP="00685123">
                  <w:pPr>
                    <w:rPr>
                      <w:rFonts w:eastAsia="Times New Roman" w:cs="Times New Roman"/>
                      <w:bCs/>
                      <w:color w:val="001D77"/>
                      <w:sz w:val="18"/>
                      <w:szCs w:val="18"/>
                      <w:lang w:val="en-GB" w:eastAsia="pl-PL"/>
                    </w:rPr>
                  </w:pPr>
                </w:p>
              </w:txbxContent>
            </v:textbox>
            <w10:wrap type="tight"/>
          </v:shape>
        </w:pict>
      </w:r>
    </w:p>
    <w:p w:rsidR="00685123" w:rsidRPr="00735461" w:rsidRDefault="00053C36" w:rsidP="00685123">
      <w:pPr>
        <w:pStyle w:val="LID"/>
        <w:contextualSpacing/>
        <w:rPr>
          <w:lang w:val="en-GB"/>
        </w:rPr>
      </w:pPr>
      <w:r>
        <w:pict>
          <v:shape id="_x0000_s1027" type="#_x0000_t202" style="position:absolute;margin-left:0;margin-top:6.55pt;width:2in;height:82.35pt;z-index:251676672;visibility:visible;mso-wrap-distance-top:3.6pt;mso-wrap-distance-bottom:3.6pt;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" fillcolor="#001d77" stroked="f">
            <v:textbox style="mso-next-textbox:#_x0000_s1027">
              <w:txbxContent>
                <w:p w:rsidR="00685123" w:rsidRPr="00B66B19" w:rsidRDefault="00053C36" w:rsidP="00633014">
                  <w:pPr>
                    <w:spacing w:after="0" w:line="240" w:lineRule="auto"/>
                    <w:rPr>
                      <w:rFonts w:ascii="Fira Sans SemiBold" w:hAnsi="Fira Sans SemiBold"/>
                      <w:color w:val="FFFFFF" w:themeColor="background1"/>
                      <w:sz w:val="72"/>
                    </w:rPr>
                  </w:pPr>
                  <w:r>
                    <w:rPr>
                      <w:rFonts w:asciiTheme="minorHAnsi" w:hAnsiTheme="minorHAnsi"/>
                      <w:b/>
                      <w:color w:val="001D77"/>
                      <w:sz w:val="22"/>
                    </w:rPr>
                    <w:pict>
                      <v:shape id="_x0000_i1025" type="#_x0000_t75" style="width:26.25pt;height:26.25pt;visibility:visible" o:bullet="t">
                        <v:imagedata r:id="rId11" o:title=""/>
                      </v:shape>
                    </w:pict>
                  </w:r>
                  <w:r w:rsidR="00685123">
                    <w:rPr>
                      <w:noProof/>
                      <w:color w:val="001D77"/>
                      <w:lang w:eastAsia="pl-PL"/>
                    </w:rPr>
                    <w:t xml:space="preserve"> </w:t>
                  </w:r>
                  <w:r w:rsidR="002B275D">
                    <w:rPr>
                      <w:rFonts w:ascii="Fira Sans SemiBold" w:hAnsi="Fira Sans SemiBold"/>
                      <w:color w:val="FFFFFF" w:themeColor="background1"/>
                      <w:sz w:val="72"/>
                    </w:rPr>
                    <w:t>100.</w:t>
                  </w:r>
                  <w:r w:rsidR="00685123">
                    <w:rPr>
                      <w:rFonts w:ascii="Fira Sans SemiBold" w:hAnsi="Fira Sans SemiBold"/>
                      <w:color w:val="FFFFFF" w:themeColor="background1"/>
                      <w:sz w:val="72"/>
                    </w:rPr>
                    <w:t>3</w:t>
                  </w:r>
                </w:p>
                <w:p w:rsidR="00883763" w:rsidRPr="00735461" w:rsidRDefault="00482FE5" w:rsidP="00883763">
                  <w:pPr>
                    <w:pStyle w:val="tekstnaniebieskimtle"/>
                    <w:rPr>
                      <w:color w:val="FFFFFF" w:themeColor="background1"/>
                      <w:sz w:val="18"/>
                      <w:szCs w:val="20"/>
                      <w:lang w:val="en-GB"/>
                    </w:rPr>
                  </w:pPr>
                  <w:r w:rsidRPr="00735461">
                    <w:rPr>
                      <w:lang w:val="en-GB"/>
                    </w:rPr>
                    <w:t xml:space="preserve">compared with the previous month </w:t>
                  </w:r>
                  <w:r w:rsidR="00883763" w:rsidRPr="00735461">
                    <w:rPr>
                      <w:lang w:val="en-GB"/>
                    </w:rPr>
                    <w:t>(</w:t>
                  </w:r>
                  <w:r w:rsidRPr="00735461">
                    <w:rPr>
                      <w:lang w:val="en-GB"/>
                    </w:rPr>
                    <w:t xml:space="preserve">December </w:t>
                  </w:r>
                  <w:r w:rsidR="00883763" w:rsidRPr="00735461">
                    <w:rPr>
                      <w:lang w:val="en-GB"/>
                    </w:rPr>
                    <w:t>2017)</w:t>
                  </w:r>
                </w:p>
                <w:p w:rsidR="00685123" w:rsidRPr="00735461" w:rsidRDefault="00685123" w:rsidP="00883763">
                  <w:pPr>
                    <w:pStyle w:val="tekstnaniebieskimtle"/>
                    <w:rPr>
                      <w:color w:val="FFFFFF" w:themeColor="background1"/>
                      <w:sz w:val="18"/>
                      <w:szCs w:val="20"/>
                      <w:lang w:val="en-GB"/>
                    </w:rPr>
                  </w:pPr>
                </w:p>
              </w:txbxContent>
            </v:textbox>
            <w10:wrap type="square" anchorx="margin"/>
          </v:shape>
        </w:pict>
      </w:r>
      <w:r w:rsidR="00735461" w:rsidRPr="00735461">
        <w:rPr>
          <w:lang w:val="en-GB"/>
        </w:rPr>
        <w:t xml:space="preserve">In January 2018 the </w:t>
      </w:r>
      <w:r w:rsidR="00735461">
        <w:rPr>
          <w:lang w:val="en-GB"/>
        </w:rPr>
        <w:t xml:space="preserve">consumer </w:t>
      </w:r>
      <w:r w:rsidR="00735461" w:rsidRPr="00735461">
        <w:rPr>
          <w:lang w:val="en-GB"/>
        </w:rPr>
        <w:t>prices, according to prel</w:t>
      </w:r>
      <w:r w:rsidR="00735461">
        <w:rPr>
          <w:lang w:val="en-GB"/>
        </w:rPr>
        <w:t>imanary data</w:t>
      </w:r>
      <w:r w:rsidR="00AB7DB1" w:rsidRPr="00685123">
        <w:rPr>
          <w:vertAlign w:val="superscript"/>
        </w:rPr>
        <w:footnoteReference w:id="1"/>
      </w:r>
      <w:r w:rsidR="00735461">
        <w:rPr>
          <w:lang w:val="en-GB"/>
        </w:rPr>
        <w:t>, were higher by 0.3</w:t>
      </w:r>
      <w:r w:rsidR="00735461" w:rsidRPr="00735461">
        <w:rPr>
          <w:lang w:val="en-GB"/>
        </w:rPr>
        <w:t>% compared with December of the previous year.</w:t>
      </w:r>
    </w:p>
    <w:p w:rsidR="00685123" w:rsidRPr="00735461" w:rsidRDefault="00685123" w:rsidP="00685123">
      <w:pPr>
        <w:pStyle w:val="LID"/>
        <w:contextualSpacing/>
        <w:rPr>
          <w:lang w:val="en-GB"/>
        </w:rPr>
      </w:pPr>
    </w:p>
    <w:p w:rsidR="00685123" w:rsidRPr="00735461" w:rsidRDefault="00685123" w:rsidP="00685123">
      <w:pPr>
        <w:pStyle w:val="LID"/>
        <w:contextualSpacing/>
        <w:rPr>
          <w:lang w:val="en-GB"/>
        </w:rPr>
      </w:pPr>
    </w:p>
    <w:p w:rsidR="00685123" w:rsidRPr="00735461" w:rsidRDefault="00685123" w:rsidP="00685123">
      <w:pPr>
        <w:pStyle w:val="LID"/>
        <w:contextualSpacing/>
        <w:rPr>
          <w:lang w:val="en-GB"/>
        </w:rPr>
      </w:pPr>
    </w:p>
    <w:p w:rsidR="00685123" w:rsidRPr="00735461" w:rsidRDefault="00685123" w:rsidP="00685123">
      <w:pPr>
        <w:pStyle w:val="LID"/>
        <w:rPr>
          <w:lang w:val="en-GB"/>
        </w:rPr>
      </w:pPr>
    </w:p>
    <w:tbl>
      <w:tblPr>
        <w:tblStyle w:val="Siatkatabelijasna10"/>
        <w:tblpPr w:leftFromText="142" w:rightFromText="142" w:vertAnchor="text" w:horzAnchor="margin" w:tblpXSpec="center" w:tblpY="572"/>
        <w:tblW w:w="8068"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CellMar>
          <w:top w:w="57" w:type="dxa"/>
          <w:bottom w:w="57" w:type="dxa"/>
        </w:tblCellMar>
        <w:tblLook w:val="0000" w:firstRow="0" w:lastRow="0" w:firstColumn="0" w:lastColumn="0" w:noHBand="0" w:noVBand="0"/>
      </w:tblPr>
      <w:tblGrid>
        <w:gridCol w:w="2424"/>
        <w:gridCol w:w="1147"/>
        <w:gridCol w:w="2251"/>
        <w:gridCol w:w="2246"/>
      </w:tblGrid>
      <w:tr w:rsidR="00685123" w:rsidRPr="00FA5128" w:rsidTr="005442EF">
        <w:trPr>
          <w:trHeight w:val="57"/>
        </w:trPr>
        <w:tc>
          <w:tcPr>
            <w:tcW w:w="3571" w:type="dxa"/>
            <w:gridSpan w:val="2"/>
            <w:vMerge w:val="restart"/>
            <w:vAlign w:val="center"/>
          </w:tcPr>
          <w:p w:rsidR="00685123" w:rsidRPr="009C7251" w:rsidRDefault="00452CB1" w:rsidP="005442EF">
            <w:pPr>
              <w:pStyle w:val="Nagwek1"/>
              <w:tabs>
                <w:tab w:val="right" w:leader="dot" w:pos="4139"/>
              </w:tabs>
              <w:jc w:val="center"/>
              <w:outlineLvl w:val="0"/>
              <w:rPr>
                <w:rFonts w:ascii="Fira Sans" w:hAnsi="Fira Sans" w:cs="Arial"/>
                <w:b/>
                <w:bCs w:val="0"/>
                <w:color w:val="000000" w:themeColor="text1"/>
                <w:sz w:val="16"/>
                <w:szCs w:val="16"/>
              </w:rPr>
            </w:pPr>
            <w:r w:rsidRPr="00452CB1">
              <w:rPr>
                <w:rFonts w:ascii="Fira Sans" w:hAnsi="Fira Sans" w:cs="Arial"/>
                <w:color w:val="000000" w:themeColor="text1"/>
                <w:sz w:val="16"/>
                <w:szCs w:val="16"/>
              </w:rPr>
              <w:t>SPECIFICATION</w:t>
            </w:r>
          </w:p>
        </w:tc>
        <w:tc>
          <w:tcPr>
            <w:tcW w:w="4497" w:type="dxa"/>
            <w:gridSpan w:val="2"/>
            <w:vAlign w:val="center"/>
          </w:tcPr>
          <w:p w:rsidR="00685123" w:rsidRPr="00FA5128" w:rsidRDefault="00605407" w:rsidP="005442EF">
            <w:pPr>
              <w:pStyle w:val="Nagwek3"/>
              <w:spacing w:before="0"/>
              <w:jc w:val="center"/>
              <w:outlineLvl w:val="2"/>
              <w:rPr>
                <w:rFonts w:ascii="Fira Sans" w:hAnsi="Fira Sans"/>
                <w:color w:val="000000" w:themeColor="text1"/>
                <w:sz w:val="16"/>
                <w:szCs w:val="16"/>
              </w:rPr>
            </w:pPr>
            <w:r>
              <w:rPr>
                <w:rFonts w:ascii="Fira Sans" w:hAnsi="Fira Sans"/>
                <w:color w:val="000000" w:themeColor="text1"/>
                <w:sz w:val="16"/>
                <w:szCs w:val="16"/>
              </w:rPr>
              <w:t>I</w:t>
            </w:r>
            <w:r w:rsidR="00685123" w:rsidRPr="00FA5128">
              <w:rPr>
                <w:rFonts w:ascii="Fira Sans" w:hAnsi="Fira Sans"/>
                <w:color w:val="000000" w:themeColor="text1"/>
                <w:sz w:val="16"/>
                <w:szCs w:val="16"/>
              </w:rPr>
              <w:t xml:space="preserve"> 201</w:t>
            </w:r>
            <w:r w:rsidR="00685123">
              <w:rPr>
                <w:rFonts w:ascii="Fira Sans" w:hAnsi="Fira Sans"/>
                <w:color w:val="000000" w:themeColor="text1"/>
                <w:sz w:val="16"/>
                <w:szCs w:val="16"/>
              </w:rPr>
              <w:t>8</w:t>
            </w:r>
          </w:p>
        </w:tc>
      </w:tr>
      <w:tr w:rsidR="00685123" w:rsidRPr="00FA5128" w:rsidTr="005442EF">
        <w:trPr>
          <w:trHeight w:val="57"/>
        </w:trPr>
        <w:tc>
          <w:tcPr>
            <w:tcW w:w="3571" w:type="dxa"/>
            <w:gridSpan w:val="2"/>
            <w:vMerge/>
            <w:tcBorders>
              <w:bottom w:val="single" w:sz="12" w:space="0" w:color="212492"/>
            </w:tcBorders>
            <w:vAlign w:val="center"/>
          </w:tcPr>
          <w:p w:rsidR="00685123" w:rsidRPr="00FA5128" w:rsidRDefault="00685123" w:rsidP="005442EF">
            <w:pPr>
              <w:pStyle w:val="Nagwek1"/>
              <w:tabs>
                <w:tab w:val="right" w:leader="dot" w:pos="4139"/>
              </w:tabs>
              <w:jc w:val="center"/>
              <w:outlineLvl w:val="0"/>
              <w:rPr>
                <w:rFonts w:cs="Arial"/>
                <w:b/>
                <w:color w:val="000000" w:themeColor="text1"/>
                <w:sz w:val="16"/>
                <w:szCs w:val="16"/>
              </w:rPr>
            </w:pPr>
          </w:p>
        </w:tc>
        <w:tc>
          <w:tcPr>
            <w:tcW w:w="2251" w:type="dxa"/>
            <w:tcBorders>
              <w:bottom w:val="single" w:sz="12" w:space="0" w:color="212492"/>
            </w:tcBorders>
            <w:vAlign w:val="center"/>
          </w:tcPr>
          <w:p w:rsidR="00685123" w:rsidRPr="00FA5128" w:rsidRDefault="00605407" w:rsidP="005442EF">
            <w:pPr>
              <w:jc w:val="center"/>
              <w:rPr>
                <w:color w:val="000000" w:themeColor="text1"/>
                <w:sz w:val="16"/>
                <w:szCs w:val="16"/>
              </w:rPr>
            </w:pPr>
            <w:r>
              <w:rPr>
                <w:color w:val="000000" w:themeColor="text1"/>
                <w:sz w:val="16"/>
                <w:szCs w:val="16"/>
              </w:rPr>
              <w:t>I</w:t>
            </w:r>
            <w:r w:rsidR="00685123" w:rsidRPr="00FA5128">
              <w:rPr>
                <w:color w:val="000000" w:themeColor="text1"/>
                <w:sz w:val="16"/>
                <w:szCs w:val="16"/>
              </w:rPr>
              <w:t xml:space="preserve"> 201</w:t>
            </w:r>
            <w:r w:rsidR="00685123">
              <w:rPr>
                <w:color w:val="000000" w:themeColor="text1"/>
                <w:sz w:val="16"/>
                <w:szCs w:val="16"/>
              </w:rPr>
              <w:t>7</w:t>
            </w:r>
            <w:r w:rsidR="00685123" w:rsidRPr="00FA5128">
              <w:rPr>
                <w:color w:val="000000" w:themeColor="text1"/>
                <w:sz w:val="16"/>
                <w:szCs w:val="16"/>
              </w:rPr>
              <w:t>=100</w:t>
            </w:r>
          </w:p>
        </w:tc>
        <w:tc>
          <w:tcPr>
            <w:tcW w:w="2246" w:type="dxa"/>
            <w:tcBorders>
              <w:bottom w:val="single" w:sz="12" w:space="0" w:color="212492"/>
            </w:tcBorders>
            <w:vAlign w:val="center"/>
          </w:tcPr>
          <w:p w:rsidR="00685123" w:rsidRPr="00FA5128" w:rsidRDefault="00605407" w:rsidP="005442EF">
            <w:pPr>
              <w:jc w:val="center"/>
              <w:rPr>
                <w:color w:val="000000" w:themeColor="text1"/>
                <w:sz w:val="16"/>
                <w:szCs w:val="16"/>
              </w:rPr>
            </w:pPr>
            <w:r>
              <w:rPr>
                <w:color w:val="000000" w:themeColor="text1"/>
                <w:sz w:val="16"/>
                <w:szCs w:val="16"/>
              </w:rPr>
              <w:t>XII</w:t>
            </w:r>
            <w:r w:rsidR="00B31EBB">
              <w:rPr>
                <w:color w:val="000000" w:themeColor="text1"/>
                <w:sz w:val="16"/>
                <w:szCs w:val="16"/>
              </w:rPr>
              <w:t xml:space="preserve"> </w:t>
            </w:r>
            <w:r w:rsidR="00685123" w:rsidRPr="00FA5128">
              <w:rPr>
                <w:color w:val="000000" w:themeColor="text1"/>
                <w:sz w:val="16"/>
                <w:szCs w:val="16"/>
              </w:rPr>
              <w:t>201</w:t>
            </w:r>
            <w:r w:rsidR="00685123">
              <w:rPr>
                <w:color w:val="000000" w:themeColor="text1"/>
                <w:sz w:val="16"/>
                <w:szCs w:val="16"/>
              </w:rPr>
              <w:t>7</w:t>
            </w:r>
            <w:r w:rsidR="00685123" w:rsidRPr="00FA5128">
              <w:rPr>
                <w:color w:val="000000" w:themeColor="text1"/>
                <w:sz w:val="16"/>
                <w:szCs w:val="16"/>
              </w:rPr>
              <w:t>=100</w:t>
            </w:r>
          </w:p>
        </w:tc>
      </w:tr>
      <w:tr w:rsidR="00685123" w:rsidRPr="00FA5128" w:rsidTr="005442EF">
        <w:trPr>
          <w:trHeight w:val="57"/>
        </w:trPr>
        <w:tc>
          <w:tcPr>
            <w:tcW w:w="3571" w:type="dxa"/>
            <w:gridSpan w:val="2"/>
            <w:tcBorders>
              <w:top w:val="single" w:sz="12" w:space="0" w:color="212492"/>
            </w:tcBorders>
            <w:vAlign w:val="center"/>
          </w:tcPr>
          <w:p w:rsidR="00685123" w:rsidRPr="00FA5128" w:rsidRDefault="00452CB1" w:rsidP="005442EF">
            <w:pPr>
              <w:pStyle w:val="Nagwek5"/>
              <w:tabs>
                <w:tab w:val="right" w:leader="dot" w:pos="4156"/>
              </w:tabs>
              <w:spacing w:before="0"/>
              <w:contextualSpacing/>
              <w:outlineLvl w:val="4"/>
              <w:rPr>
                <w:rFonts w:ascii="Fira Sans" w:hAnsi="Fira Sans"/>
                <w:b/>
                <w:color w:val="000000" w:themeColor="text1"/>
                <w:sz w:val="16"/>
                <w:szCs w:val="16"/>
              </w:rPr>
            </w:pPr>
            <w:r w:rsidRPr="00452CB1">
              <w:rPr>
                <w:rFonts w:ascii="Fira Sans" w:hAnsi="Fira Sans"/>
                <w:b/>
                <w:color w:val="000000" w:themeColor="text1"/>
                <w:sz w:val="16"/>
                <w:szCs w:val="16"/>
              </w:rPr>
              <w:t>TOTAL</w:t>
            </w:r>
          </w:p>
        </w:tc>
        <w:tc>
          <w:tcPr>
            <w:tcW w:w="2251" w:type="dxa"/>
            <w:tcBorders>
              <w:top w:val="single" w:sz="12" w:space="0" w:color="212492"/>
            </w:tcBorders>
            <w:vAlign w:val="center"/>
          </w:tcPr>
          <w:p w:rsidR="00685123" w:rsidRPr="00FA5128" w:rsidRDefault="00B31EBB" w:rsidP="005442EF">
            <w:pPr>
              <w:jc w:val="right"/>
              <w:rPr>
                <w:rFonts w:cs="Arial"/>
                <w:b/>
                <w:color w:val="000000" w:themeColor="text1"/>
                <w:sz w:val="16"/>
                <w:szCs w:val="16"/>
              </w:rPr>
            </w:pPr>
            <w:r>
              <w:rPr>
                <w:rFonts w:cs="Arial"/>
                <w:b/>
                <w:color w:val="000000" w:themeColor="text1"/>
                <w:sz w:val="16"/>
                <w:szCs w:val="16"/>
              </w:rPr>
              <w:t>101.</w:t>
            </w:r>
            <w:r w:rsidR="00685123">
              <w:rPr>
                <w:rFonts w:cs="Arial"/>
                <w:b/>
                <w:color w:val="000000" w:themeColor="text1"/>
                <w:sz w:val="16"/>
                <w:szCs w:val="16"/>
              </w:rPr>
              <w:t>9</w:t>
            </w:r>
          </w:p>
        </w:tc>
        <w:tc>
          <w:tcPr>
            <w:tcW w:w="2246" w:type="dxa"/>
            <w:tcBorders>
              <w:top w:val="single" w:sz="12" w:space="0" w:color="212492"/>
            </w:tcBorders>
            <w:vAlign w:val="center"/>
          </w:tcPr>
          <w:p w:rsidR="00685123" w:rsidRPr="00FA5128" w:rsidRDefault="00B31EBB" w:rsidP="005442EF">
            <w:pPr>
              <w:jc w:val="right"/>
              <w:rPr>
                <w:rFonts w:cs="Arial"/>
                <w:b/>
                <w:color w:val="000000" w:themeColor="text1"/>
                <w:sz w:val="16"/>
                <w:szCs w:val="16"/>
              </w:rPr>
            </w:pPr>
            <w:r>
              <w:rPr>
                <w:rFonts w:cs="Arial"/>
                <w:b/>
                <w:color w:val="000000" w:themeColor="text1"/>
                <w:sz w:val="16"/>
                <w:szCs w:val="16"/>
              </w:rPr>
              <w:t>100.</w:t>
            </w:r>
            <w:r w:rsidR="00685123">
              <w:rPr>
                <w:rFonts w:cs="Arial"/>
                <w:b/>
                <w:color w:val="000000" w:themeColor="text1"/>
                <w:sz w:val="16"/>
                <w:szCs w:val="16"/>
              </w:rPr>
              <w:t>3</w:t>
            </w:r>
          </w:p>
        </w:tc>
      </w:tr>
      <w:tr w:rsidR="00685123" w:rsidRPr="00FA5128" w:rsidTr="005442EF">
        <w:trPr>
          <w:gridAfter w:val="3"/>
          <w:wAfter w:w="5644" w:type="dxa"/>
          <w:trHeight w:val="57"/>
        </w:trPr>
        <w:tc>
          <w:tcPr>
            <w:tcW w:w="2424" w:type="dxa"/>
          </w:tcPr>
          <w:p w:rsidR="00685123" w:rsidRPr="007D5668" w:rsidRDefault="00452CB1" w:rsidP="005442EF">
            <w:pPr>
              <w:rPr>
                <w:color w:val="000000" w:themeColor="text1"/>
                <w:sz w:val="16"/>
                <w:szCs w:val="16"/>
              </w:rPr>
            </w:pPr>
            <w:r w:rsidRPr="00452CB1">
              <w:rPr>
                <w:color w:val="000000" w:themeColor="text1"/>
                <w:sz w:val="16"/>
                <w:szCs w:val="16"/>
              </w:rPr>
              <w:t>of which:</w:t>
            </w:r>
          </w:p>
        </w:tc>
      </w:tr>
      <w:tr w:rsidR="00685123" w:rsidRPr="00FA5128" w:rsidTr="005442EF">
        <w:trPr>
          <w:trHeight w:val="57"/>
        </w:trPr>
        <w:tc>
          <w:tcPr>
            <w:tcW w:w="3571" w:type="dxa"/>
            <w:gridSpan w:val="2"/>
            <w:vAlign w:val="center"/>
          </w:tcPr>
          <w:p w:rsidR="00685123" w:rsidRPr="00452CB1" w:rsidRDefault="00452CB1" w:rsidP="005442EF">
            <w:pPr>
              <w:pStyle w:val="Nagwek8"/>
              <w:tabs>
                <w:tab w:val="right" w:leader="dot" w:pos="4156"/>
              </w:tabs>
              <w:spacing w:before="0"/>
              <w:contextualSpacing/>
              <w:outlineLvl w:val="7"/>
              <w:rPr>
                <w:rFonts w:ascii="Fira Sans" w:hAnsi="Fira Sans"/>
                <w:color w:val="000000" w:themeColor="text1"/>
                <w:sz w:val="16"/>
                <w:szCs w:val="16"/>
                <w:lang w:val="en-GB"/>
              </w:rPr>
            </w:pPr>
            <w:r w:rsidRPr="00452CB1">
              <w:rPr>
                <w:rFonts w:ascii="Fira Sans" w:hAnsi="Fira Sans"/>
                <w:color w:val="000000" w:themeColor="text1"/>
                <w:sz w:val="16"/>
                <w:szCs w:val="16"/>
                <w:lang w:val="en-GB"/>
              </w:rPr>
              <w:t>Food, non-alcoholic and alcoholic beverages, tobacco</w:t>
            </w:r>
          </w:p>
        </w:tc>
        <w:tc>
          <w:tcPr>
            <w:tcW w:w="2251" w:type="dxa"/>
            <w:vAlign w:val="center"/>
          </w:tcPr>
          <w:p w:rsidR="00685123" w:rsidRPr="00FA5128" w:rsidRDefault="00685123" w:rsidP="005442EF">
            <w:pPr>
              <w:jc w:val="right"/>
              <w:rPr>
                <w:rFonts w:cs="Arial"/>
                <w:color w:val="000000" w:themeColor="text1"/>
                <w:sz w:val="16"/>
                <w:szCs w:val="16"/>
              </w:rPr>
            </w:pPr>
            <w:r w:rsidRPr="00FA5128">
              <w:rPr>
                <w:rFonts w:cs="Arial"/>
                <w:color w:val="000000" w:themeColor="text1"/>
                <w:sz w:val="16"/>
                <w:szCs w:val="16"/>
              </w:rPr>
              <w:t>10</w:t>
            </w:r>
            <w:r>
              <w:rPr>
                <w:rFonts w:cs="Arial"/>
                <w:color w:val="000000" w:themeColor="text1"/>
                <w:sz w:val="16"/>
                <w:szCs w:val="16"/>
              </w:rPr>
              <w:t>4</w:t>
            </w:r>
            <w:r w:rsidR="00B31EBB">
              <w:rPr>
                <w:rFonts w:cs="Arial"/>
                <w:color w:val="000000" w:themeColor="text1"/>
                <w:sz w:val="16"/>
                <w:szCs w:val="16"/>
              </w:rPr>
              <w:t>.</w:t>
            </w:r>
            <w:r>
              <w:rPr>
                <w:rFonts w:cs="Arial"/>
                <w:color w:val="000000" w:themeColor="text1"/>
                <w:sz w:val="16"/>
                <w:szCs w:val="16"/>
              </w:rPr>
              <w:t>1</w:t>
            </w:r>
          </w:p>
        </w:tc>
        <w:tc>
          <w:tcPr>
            <w:tcW w:w="2246" w:type="dxa"/>
            <w:vAlign w:val="center"/>
          </w:tcPr>
          <w:p w:rsidR="00685123" w:rsidRPr="00FA5128" w:rsidRDefault="00685123" w:rsidP="005442EF">
            <w:pPr>
              <w:jc w:val="right"/>
              <w:rPr>
                <w:rFonts w:cs="Arial"/>
                <w:color w:val="000000" w:themeColor="text1"/>
                <w:sz w:val="16"/>
                <w:szCs w:val="16"/>
              </w:rPr>
            </w:pPr>
            <w:r w:rsidRPr="00FA5128">
              <w:rPr>
                <w:rFonts w:cs="Arial"/>
                <w:color w:val="000000" w:themeColor="text1"/>
                <w:sz w:val="16"/>
                <w:szCs w:val="16"/>
              </w:rPr>
              <w:t>10</w:t>
            </w:r>
            <w:r>
              <w:rPr>
                <w:rFonts w:cs="Arial"/>
                <w:color w:val="000000" w:themeColor="text1"/>
                <w:sz w:val="16"/>
                <w:szCs w:val="16"/>
              </w:rPr>
              <w:t>1</w:t>
            </w:r>
            <w:r w:rsidR="00B31EBB">
              <w:rPr>
                <w:rFonts w:cs="Arial"/>
                <w:color w:val="000000" w:themeColor="text1"/>
                <w:sz w:val="16"/>
                <w:szCs w:val="16"/>
              </w:rPr>
              <w:t>.</w:t>
            </w:r>
            <w:r>
              <w:rPr>
                <w:rFonts w:cs="Arial"/>
                <w:color w:val="000000" w:themeColor="text1"/>
                <w:sz w:val="16"/>
                <w:szCs w:val="16"/>
              </w:rPr>
              <w:t>1</w:t>
            </w:r>
          </w:p>
        </w:tc>
      </w:tr>
      <w:tr w:rsidR="00685123" w:rsidRPr="00296068" w:rsidTr="005442EF">
        <w:trPr>
          <w:trHeight w:val="57"/>
        </w:trPr>
        <w:tc>
          <w:tcPr>
            <w:tcW w:w="3571" w:type="dxa"/>
            <w:gridSpan w:val="2"/>
            <w:vAlign w:val="center"/>
          </w:tcPr>
          <w:p w:rsidR="00685123" w:rsidRPr="006761A7" w:rsidRDefault="00452CB1" w:rsidP="005442EF">
            <w:pPr>
              <w:pStyle w:val="Nagwek9"/>
              <w:tabs>
                <w:tab w:val="right" w:leader="dot" w:pos="4156"/>
              </w:tabs>
              <w:spacing w:before="0"/>
              <w:contextualSpacing/>
              <w:outlineLvl w:val="8"/>
              <w:rPr>
                <w:rFonts w:ascii="Fira Sans" w:hAnsi="Fira Sans"/>
                <w:i w:val="0"/>
                <w:color w:val="000000" w:themeColor="text1"/>
                <w:sz w:val="16"/>
                <w:szCs w:val="16"/>
              </w:rPr>
            </w:pPr>
            <w:r w:rsidRPr="00452CB1">
              <w:rPr>
                <w:rFonts w:ascii="Fira Sans" w:hAnsi="Fira Sans"/>
                <w:i w:val="0"/>
                <w:color w:val="000000" w:themeColor="text1"/>
                <w:sz w:val="16"/>
                <w:szCs w:val="16"/>
              </w:rPr>
              <w:t>Clothing and footwear</w:t>
            </w:r>
          </w:p>
        </w:tc>
        <w:tc>
          <w:tcPr>
            <w:tcW w:w="2251" w:type="dxa"/>
            <w:vAlign w:val="center"/>
          </w:tcPr>
          <w:p w:rsidR="00685123" w:rsidRPr="00296068" w:rsidRDefault="00685123" w:rsidP="005442EF">
            <w:pPr>
              <w:jc w:val="right"/>
              <w:rPr>
                <w:rFonts w:cs="Arial"/>
                <w:color w:val="000000" w:themeColor="text1"/>
                <w:sz w:val="16"/>
                <w:szCs w:val="16"/>
                <w:lang w:val="en-US"/>
              </w:rPr>
            </w:pPr>
            <w:r w:rsidRPr="00296068">
              <w:rPr>
                <w:rFonts w:cs="Arial"/>
                <w:color w:val="000000" w:themeColor="text1"/>
                <w:sz w:val="16"/>
                <w:szCs w:val="16"/>
                <w:lang w:val="en-US"/>
              </w:rPr>
              <w:t>9</w:t>
            </w:r>
            <w:r>
              <w:rPr>
                <w:rFonts w:cs="Arial"/>
                <w:color w:val="000000" w:themeColor="text1"/>
                <w:sz w:val="16"/>
                <w:szCs w:val="16"/>
                <w:lang w:val="en-US"/>
              </w:rPr>
              <w:t>5</w:t>
            </w:r>
            <w:r w:rsidR="00B31EBB">
              <w:rPr>
                <w:rFonts w:cs="Arial"/>
                <w:color w:val="000000" w:themeColor="text1"/>
                <w:sz w:val="16"/>
                <w:szCs w:val="16"/>
                <w:lang w:val="en-US"/>
              </w:rPr>
              <w:t>.</w:t>
            </w:r>
            <w:r>
              <w:rPr>
                <w:rFonts w:cs="Arial"/>
                <w:color w:val="000000" w:themeColor="text1"/>
                <w:sz w:val="16"/>
                <w:szCs w:val="16"/>
                <w:lang w:val="en-US"/>
              </w:rPr>
              <w:t>7</w:t>
            </w:r>
          </w:p>
        </w:tc>
        <w:tc>
          <w:tcPr>
            <w:tcW w:w="2246" w:type="dxa"/>
            <w:vAlign w:val="center"/>
          </w:tcPr>
          <w:p w:rsidR="00685123" w:rsidRPr="00296068" w:rsidRDefault="00685123" w:rsidP="005442EF">
            <w:pPr>
              <w:jc w:val="right"/>
              <w:rPr>
                <w:rFonts w:cs="Arial"/>
                <w:color w:val="000000" w:themeColor="text1"/>
                <w:sz w:val="16"/>
                <w:szCs w:val="16"/>
                <w:lang w:val="en-US"/>
              </w:rPr>
            </w:pPr>
            <w:r w:rsidRPr="006761A7">
              <w:rPr>
                <w:rFonts w:cs="Arial"/>
                <w:color w:val="000000" w:themeColor="text1"/>
                <w:sz w:val="16"/>
                <w:szCs w:val="16"/>
              </w:rPr>
              <w:t>9</w:t>
            </w:r>
            <w:r>
              <w:rPr>
                <w:rFonts w:cs="Arial"/>
                <w:color w:val="000000" w:themeColor="text1"/>
                <w:sz w:val="16"/>
                <w:szCs w:val="16"/>
              </w:rPr>
              <w:t>6</w:t>
            </w:r>
            <w:r w:rsidR="00B31EBB">
              <w:rPr>
                <w:rFonts w:cs="Arial"/>
                <w:color w:val="000000" w:themeColor="text1"/>
                <w:sz w:val="16"/>
                <w:szCs w:val="16"/>
              </w:rPr>
              <w:t>.</w:t>
            </w:r>
            <w:r>
              <w:rPr>
                <w:rFonts w:cs="Arial"/>
                <w:color w:val="000000" w:themeColor="text1"/>
                <w:sz w:val="16"/>
                <w:szCs w:val="16"/>
                <w:lang w:val="en-US"/>
              </w:rPr>
              <w:t>2</w:t>
            </w:r>
          </w:p>
        </w:tc>
      </w:tr>
      <w:tr w:rsidR="00685123" w:rsidRPr="00296068" w:rsidTr="005442EF">
        <w:trPr>
          <w:trHeight w:val="57"/>
        </w:trPr>
        <w:tc>
          <w:tcPr>
            <w:tcW w:w="3571" w:type="dxa"/>
            <w:gridSpan w:val="2"/>
            <w:vAlign w:val="center"/>
          </w:tcPr>
          <w:p w:rsidR="00685123" w:rsidRPr="00296068" w:rsidRDefault="00452CB1" w:rsidP="005442EF">
            <w:pPr>
              <w:tabs>
                <w:tab w:val="right" w:leader="dot" w:pos="4156"/>
              </w:tabs>
              <w:contextualSpacing/>
              <w:rPr>
                <w:color w:val="000000" w:themeColor="text1"/>
                <w:sz w:val="16"/>
                <w:szCs w:val="16"/>
                <w:lang w:val="en-US"/>
              </w:rPr>
            </w:pPr>
            <w:r w:rsidRPr="00452CB1">
              <w:rPr>
                <w:rFonts w:cstheme="majorBidi"/>
                <w:bCs/>
                <w:color w:val="000000" w:themeColor="text1"/>
                <w:sz w:val="16"/>
                <w:szCs w:val="16"/>
              </w:rPr>
              <w:t>Dwelling</w:t>
            </w:r>
          </w:p>
        </w:tc>
        <w:tc>
          <w:tcPr>
            <w:tcW w:w="2251" w:type="dxa"/>
            <w:vAlign w:val="center"/>
          </w:tcPr>
          <w:p w:rsidR="00685123" w:rsidRPr="00296068" w:rsidRDefault="00B31EBB" w:rsidP="005442EF">
            <w:pPr>
              <w:jc w:val="right"/>
              <w:rPr>
                <w:rFonts w:cs="Arial"/>
                <w:color w:val="000000" w:themeColor="text1"/>
                <w:sz w:val="16"/>
                <w:szCs w:val="16"/>
                <w:lang w:val="en-US"/>
              </w:rPr>
            </w:pPr>
            <w:r>
              <w:rPr>
                <w:rFonts w:cs="Arial"/>
                <w:color w:val="000000" w:themeColor="text1"/>
                <w:sz w:val="16"/>
                <w:szCs w:val="16"/>
                <w:lang w:val="en-US"/>
              </w:rPr>
              <w:t>101.</w:t>
            </w:r>
            <w:r w:rsidR="00685123">
              <w:rPr>
                <w:rFonts w:cs="Arial"/>
                <w:color w:val="000000" w:themeColor="text1"/>
                <w:sz w:val="16"/>
                <w:szCs w:val="16"/>
                <w:lang w:val="en-US"/>
              </w:rPr>
              <w:t>7</w:t>
            </w:r>
          </w:p>
        </w:tc>
        <w:tc>
          <w:tcPr>
            <w:tcW w:w="2246" w:type="dxa"/>
            <w:vAlign w:val="center"/>
          </w:tcPr>
          <w:p w:rsidR="00685123" w:rsidRPr="00296068" w:rsidRDefault="00B31EBB" w:rsidP="005442EF">
            <w:pPr>
              <w:jc w:val="right"/>
              <w:rPr>
                <w:rFonts w:cs="Arial"/>
                <w:color w:val="000000" w:themeColor="text1"/>
                <w:sz w:val="16"/>
                <w:szCs w:val="16"/>
                <w:lang w:val="en-US"/>
              </w:rPr>
            </w:pPr>
            <w:r>
              <w:rPr>
                <w:rFonts w:cs="Arial"/>
                <w:color w:val="000000" w:themeColor="text1"/>
                <w:sz w:val="16"/>
                <w:szCs w:val="16"/>
                <w:lang w:val="en-US"/>
              </w:rPr>
              <w:t>100.</w:t>
            </w:r>
            <w:r w:rsidR="00685123">
              <w:rPr>
                <w:rFonts w:cs="Arial"/>
                <w:color w:val="000000" w:themeColor="text1"/>
                <w:sz w:val="16"/>
                <w:szCs w:val="16"/>
                <w:lang w:val="en-US"/>
              </w:rPr>
              <w:t>3</w:t>
            </w:r>
          </w:p>
        </w:tc>
      </w:tr>
      <w:tr w:rsidR="00685123" w:rsidRPr="00FA5128" w:rsidTr="005442EF">
        <w:trPr>
          <w:trHeight w:val="57"/>
        </w:trPr>
        <w:tc>
          <w:tcPr>
            <w:tcW w:w="3571" w:type="dxa"/>
            <w:gridSpan w:val="2"/>
            <w:vAlign w:val="center"/>
          </w:tcPr>
          <w:p w:rsidR="00685123" w:rsidRPr="00A4450E" w:rsidRDefault="00452CB1" w:rsidP="005442EF">
            <w:pPr>
              <w:pStyle w:val="Nagwek2"/>
              <w:tabs>
                <w:tab w:val="right" w:leader="dot" w:pos="4156"/>
              </w:tabs>
              <w:spacing w:before="0"/>
              <w:contextualSpacing/>
              <w:outlineLvl w:val="1"/>
              <w:rPr>
                <w:rFonts w:ascii="Fira Sans" w:hAnsi="Fira Sans"/>
                <w:color w:val="000000" w:themeColor="text1"/>
                <w:sz w:val="16"/>
                <w:szCs w:val="16"/>
                <w:lang w:val="en-US"/>
              </w:rPr>
            </w:pPr>
            <w:r w:rsidRPr="00452CB1">
              <w:rPr>
                <w:rFonts w:ascii="Fira Sans" w:hAnsi="Fira Sans"/>
                <w:color w:val="000000" w:themeColor="text1"/>
                <w:sz w:val="16"/>
                <w:szCs w:val="16"/>
              </w:rPr>
              <w:t>Health</w:t>
            </w:r>
          </w:p>
        </w:tc>
        <w:tc>
          <w:tcPr>
            <w:tcW w:w="2251" w:type="dxa"/>
            <w:vAlign w:val="center"/>
          </w:tcPr>
          <w:p w:rsidR="00685123" w:rsidRPr="00FA5128" w:rsidRDefault="00685123" w:rsidP="005442EF">
            <w:pPr>
              <w:jc w:val="right"/>
              <w:rPr>
                <w:rFonts w:cs="Arial"/>
                <w:color w:val="000000" w:themeColor="text1"/>
                <w:sz w:val="16"/>
                <w:szCs w:val="16"/>
              </w:rPr>
            </w:pPr>
            <w:r w:rsidRPr="00FA5128">
              <w:rPr>
                <w:rFonts w:cs="Arial"/>
                <w:color w:val="000000" w:themeColor="text1"/>
                <w:sz w:val="16"/>
                <w:szCs w:val="16"/>
              </w:rPr>
              <w:t>10</w:t>
            </w:r>
            <w:r>
              <w:rPr>
                <w:rFonts w:cs="Arial"/>
                <w:color w:val="000000" w:themeColor="text1"/>
                <w:sz w:val="16"/>
                <w:szCs w:val="16"/>
              </w:rPr>
              <w:t>1</w:t>
            </w:r>
            <w:r w:rsidR="00B31EBB">
              <w:rPr>
                <w:rFonts w:cs="Arial"/>
                <w:color w:val="000000" w:themeColor="text1"/>
                <w:sz w:val="16"/>
                <w:szCs w:val="16"/>
              </w:rPr>
              <w:t>.</w:t>
            </w:r>
            <w:r>
              <w:rPr>
                <w:rFonts w:cs="Arial"/>
                <w:color w:val="000000" w:themeColor="text1"/>
                <w:sz w:val="16"/>
                <w:szCs w:val="16"/>
              </w:rPr>
              <w:t>7</w:t>
            </w:r>
          </w:p>
        </w:tc>
        <w:tc>
          <w:tcPr>
            <w:tcW w:w="2246" w:type="dxa"/>
            <w:vAlign w:val="center"/>
          </w:tcPr>
          <w:p w:rsidR="00685123" w:rsidRPr="00FA5128" w:rsidRDefault="00B31EBB" w:rsidP="005442EF">
            <w:pPr>
              <w:jc w:val="right"/>
              <w:rPr>
                <w:rFonts w:cs="Arial"/>
                <w:color w:val="000000" w:themeColor="text1"/>
                <w:sz w:val="16"/>
                <w:szCs w:val="16"/>
              </w:rPr>
            </w:pPr>
            <w:r>
              <w:rPr>
                <w:rFonts w:cs="Arial"/>
                <w:color w:val="000000" w:themeColor="text1"/>
                <w:sz w:val="16"/>
                <w:szCs w:val="16"/>
              </w:rPr>
              <w:t>100.</w:t>
            </w:r>
            <w:r w:rsidR="00685123">
              <w:rPr>
                <w:rFonts w:cs="Arial"/>
                <w:color w:val="000000" w:themeColor="text1"/>
                <w:sz w:val="16"/>
                <w:szCs w:val="16"/>
              </w:rPr>
              <w:t>4</w:t>
            </w:r>
          </w:p>
        </w:tc>
      </w:tr>
      <w:tr w:rsidR="00685123" w:rsidRPr="00FA5128" w:rsidTr="005442EF">
        <w:trPr>
          <w:trHeight w:val="57"/>
        </w:trPr>
        <w:tc>
          <w:tcPr>
            <w:tcW w:w="3571" w:type="dxa"/>
            <w:gridSpan w:val="2"/>
            <w:vAlign w:val="center"/>
          </w:tcPr>
          <w:p w:rsidR="00685123" w:rsidRPr="00660093" w:rsidRDefault="00685123" w:rsidP="005442EF">
            <w:pPr>
              <w:rPr>
                <w:rFonts w:cs="Arial"/>
                <w:color w:val="000000" w:themeColor="text1"/>
                <w:sz w:val="16"/>
                <w:szCs w:val="16"/>
              </w:rPr>
            </w:pPr>
            <w:r w:rsidRPr="00660093">
              <w:rPr>
                <w:rFonts w:cs="Arial"/>
                <w:color w:val="000000" w:themeColor="text1"/>
                <w:sz w:val="16"/>
                <w:szCs w:val="16"/>
              </w:rPr>
              <w:t>Transport</w:t>
            </w:r>
          </w:p>
        </w:tc>
        <w:tc>
          <w:tcPr>
            <w:tcW w:w="2251" w:type="dxa"/>
            <w:vAlign w:val="center"/>
          </w:tcPr>
          <w:p w:rsidR="00685123" w:rsidRPr="00660093" w:rsidRDefault="00B31EBB" w:rsidP="005442EF">
            <w:pPr>
              <w:jc w:val="right"/>
              <w:rPr>
                <w:rFonts w:cs="Arial"/>
                <w:color w:val="000000" w:themeColor="text1"/>
                <w:sz w:val="16"/>
                <w:szCs w:val="16"/>
              </w:rPr>
            </w:pPr>
            <w:r>
              <w:rPr>
                <w:rFonts w:cs="Arial"/>
                <w:color w:val="000000" w:themeColor="text1"/>
                <w:sz w:val="16"/>
                <w:szCs w:val="16"/>
              </w:rPr>
              <w:t>98.</w:t>
            </w:r>
            <w:r w:rsidR="00685123" w:rsidRPr="00660093">
              <w:rPr>
                <w:rFonts w:cs="Arial"/>
                <w:color w:val="000000" w:themeColor="text1"/>
                <w:sz w:val="16"/>
                <w:szCs w:val="16"/>
              </w:rPr>
              <w:t>9</w:t>
            </w:r>
          </w:p>
        </w:tc>
        <w:tc>
          <w:tcPr>
            <w:tcW w:w="2246" w:type="dxa"/>
            <w:vAlign w:val="center"/>
          </w:tcPr>
          <w:p w:rsidR="00685123" w:rsidRPr="00660093" w:rsidRDefault="00B31EBB" w:rsidP="005442EF">
            <w:pPr>
              <w:jc w:val="right"/>
              <w:rPr>
                <w:rFonts w:cs="Arial"/>
                <w:color w:val="000000" w:themeColor="text1"/>
                <w:sz w:val="16"/>
                <w:szCs w:val="16"/>
              </w:rPr>
            </w:pPr>
            <w:r>
              <w:rPr>
                <w:rFonts w:cs="Arial"/>
                <w:color w:val="000000" w:themeColor="text1"/>
                <w:sz w:val="16"/>
                <w:szCs w:val="16"/>
              </w:rPr>
              <w:t>99.</w:t>
            </w:r>
            <w:r w:rsidR="00685123" w:rsidRPr="00660093">
              <w:rPr>
                <w:rFonts w:cs="Arial"/>
                <w:color w:val="000000" w:themeColor="text1"/>
                <w:sz w:val="16"/>
                <w:szCs w:val="16"/>
              </w:rPr>
              <w:t>3</w:t>
            </w:r>
          </w:p>
        </w:tc>
      </w:tr>
    </w:tbl>
    <w:p w:rsidR="005442EF" w:rsidRDefault="005442EF" w:rsidP="00685123">
      <w:pPr>
        <w:pStyle w:val="LID"/>
        <w:spacing w:before="0" w:after="0"/>
        <w:rPr>
          <w:lang w:val="en-GB"/>
        </w:rPr>
      </w:pPr>
    </w:p>
    <w:p w:rsidR="00685123" w:rsidRPr="00AB7DB1" w:rsidRDefault="00053C36" w:rsidP="00685123">
      <w:pPr>
        <w:pStyle w:val="LID"/>
        <w:spacing w:before="0" w:after="0"/>
        <w:rPr>
          <w:shd w:val="clear" w:color="auto" w:fill="FFFFFF"/>
          <w:lang w:val="en-GB"/>
        </w:rPr>
      </w:pPr>
      <w:r>
        <w:rPr>
          <w:noProof w:val="0"/>
          <w:sz w:val="18"/>
          <w:lang w:eastAsia="en-US"/>
        </w:rPr>
        <w:pict>
          <v:shape id="Pole tekstowe 2" o:spid="_x0000_s1035" type="#_x0000_t202" style="position:absolute;margin-left:414.4pt;margin-top:136.4pt;width:135.85pt;height:145.15pt;z-index:-251579392;visibility:visible;mso-wrap-distance-top:3.6pt;mso-wrap-distance-bottom:3.6pt;mso-width-relative:margin;mso-height-relative:margin" wrapcoords="0 0" filled="f" stroked="f">
            <v:textbox style="mso-next-textbox:#Pole tekstowe 2">
              <w:txbxContent>
                <w:p w:rsidR="004617A9" w:rsidRPr="00D40004" w:rsidRDefault="00D40004" w:rsidP="00D40004">
                  <w:pPr>
                    <w:rPr>
                      <w:rFonts w:eastAsia="Times New Roman" w:cs="Times New Roman"/>
                      <w:bCs/>
                      <w:color w:val="001D77"/>
                      <w:sz w:val="18"/>
                      <w:szCs w:val="18"/>
                      <w:lang w:val="en-GB" w:eastAsia="pl-PL"/>
                    </w:rPr>
                  </w:pPr>
                  <w:r>
                    <w:rPr>
                      <w:rFonts w:eastAsia="Times New Roman" w:cs="Times New Roman"/>
                      <w:bCs/>
                      <w:color w:val="001D77"/>
                      <w:sz w:val="18"/>
                      <w:szCs w:val="18"/>
                      <w:lang w:val="en-GB" w:eastAsia="pl-PL"/>
                    </w:rPr>
                    <w:t>According to preliminary data, in January 2018</w:t>
                  </w:r>
                  <w:r w:rsidR="006F0D3B">
                    <w:rPr>
                      <w:rFonts w:eastAsia="Times New Roman" w:cs="Times New Roman"/>
                      <w:bCs/>
                      <w:color w:val="001D77"/>
                      <w:sz w:val="18"/>
                      <w:szCs w:val="18"/>
                      <w:lang w:val="en-GB" w:eastAsia="pl-PL"/>
                    </w:rPr>
                    <w:t xml:space="preserve"> the highest price increase was </w:t>
                  </w:r>
                  <w:r>
                    <w:rPr>
                      <w:rFonts w:eastAsia="Times New Roman" w:cs="Times New Roman"/>
                      <w:bCs/>
                      <w:color w:val="001D77"/>
                      <w:sz w:val="18"/>
                      <w:szCs w:val="18"/>
                      <w:lang w:val="en-GB" w:eastAsia="pl-PL"/>
                    </w:rPr>
                    <w:t>recorded for Fo</w:t>
                  </w:r>
                  <w:r w:rsidR="006F0D3B">
                    <w:rPr>
                      <w:rFonts w:eastAsia="Times New Roman" w:cs="Times New Roman"/>
                      <w:bCs/>
                      <w:color w:val="001D77"/>
                      <w:sz w:val="18"/>
                      <w:szCs w:val="18"/>
                      <w:lang w:val="en-GB" w:eastAsia="pl-PL"/>
                    </w:rPr>
                    <w:t>od, non</w:t>
                  </w:r>
                  <w:r w:rsidR="006F0D3B">
                    <w:rPr>
                      <w:rFonts w:eastAsia="Times New Roman" w:cs="Times New Roman"/>
                      <w:bCs/>
                      <w:color w:val="001D77"/>
                      <w:sz w:val="18"/>
                      <w:szCs w:val="18"/>
                      <w:lang w:val="en-GB" w:eastAsia="pl-PL"/>
                    </w:rPr>
                    <w:noBreakHyphen/>
                  </w:r>
                  <w:r w:rsidR="003A415A">
                    <w:rPr>
                      <w:rFonts w:eastAsia="Times New Roman" w:cs="Times New Roman"/>
                      <w:bCs/>
                      <w:color w:val="001D77"/>
                      <w:sz w:val="18"/>
                      <w:szCs w:val="18"/>
                      <w:lang w:val="en-GB" w:eastAsia="pl-PL"/>
                    </w:rPr>
                    <w:t>alcoholic and alcoholic</w:t>
                  </w:r>
                  <w:r w:rsidR="002D700E">
                    <w:rPr>
                      <w:rFonts w:eastAsia="Times New Roman" w:cs="Times New Roman"/>
                      <w:bCs/>
                      <w:color w:val="001D77"/>
                      <w:sz w:val="18"/>
                      <w:szCs w:val="18"/>
                      <w:lang w:val="en-GB" w:eastAsia="pl-PL"/>
                    </w:rPr>
                    <w:t xml:space="preserve"> </w:t>
                  </w:r>
                  <w:r>
                    <w:rPr>
                      <w:rFonts w:eastAsia="Times New Roman" w:cs="Times New Roman"/>
                      <w:bCs/>
                      <w:color w:val="001D77"/>
                      <w:sz w:val="18"/>
                      <w:szCs w:val="18"/>
                      <w:lang w:val="en-GB" w:eastAsia="pl-PL"/>
                    </w:rPr>
                    <w:t>bev</w:t>
                  </w:r>
                  <w:r w:rsidR="00532478">
                    <w:rPr>
                      <w:rFonts w:eastAsia="Times New Roman" w:cs="Times New Roman"/>
                      <w:bCs/>
                      <w:color w:val="001D77"/>
                      <w:sz w:val="18"/>
                      <w:szCs w:val="18"/>
                      <w:lang w:val="en-GB" w:eastAsia="pl-PL"/>
                    </w:rPr>
                    <w:t>erages, tobacco, 1.1</w:t>
                  </w:r>
                  <w:r>
                    <w:rPr>
                      <w:rFonts w:eastAsia="Times New Roman" w:cs="Times New Roman"/>
                      <w:bCs/>
                      <w:color w:val="001D77"/>
                      <w:sz w:val="18"/>
                      <w:szCs w:val="18"/>
                      <w:lang w:val="en-GB" w:eastAsia="pl-PL"/>
                    </w:rPr>
                    <w:t xml:space="preserve">% </w:t>
                  </w:r>
                  <w:r w:rsidR="006F0D3B">
                    <w:rPr>
                      <w:rFonts w:eastAsia="Times New Roman" w:cs="Times New Roman"/>
                      <w:bCs/>
                      <w:color w:val="001D77"/>
                      <w:sz w:val="18"/>
                      <w:szCs w:val="18"/>
                      <w:lang w:val="en-GB" w:eastAsia="pl-PL"/>
                    </w:rPr>
                    <w:t>on </w:t>
                  </w:r>
                  <w:r>
                    <w:rPr>
                      <w:rFonts w:eastAsia="Times New Roman" w:cs="Times New Roman"/>
                      <w:bCs/>
                      <w:color w:val="001D77"/>
                      <w:sz w:val="18"/>
                      <w:szCs w:val="18"/>
                      <w:lang w:val="en-GB" w:eastAsia="pl-PL"/>
                    </w:rPr>
                    <w:t>average</w:t>
                  </w:r>
                  <w:r w:rsidR="00532478">
                    <w:rPr>
                      <w:rFonts w:eastAsia="Times New Roman" w:cs="Times New Roman"/>
                      <w:bCs/>
                      <w:color w:val="001D77"/>
                      <w:sz w:val="18"/>
                      <w:szCs w:val="18"/>
                      <w:lang w:val="en-GB" w:eastAsia="pl-PL"/>
                    </w:rPr>
                    <w:t xml:space="preserve"> </w:t>
                  </w:r>
                  <w:r w:rsidR="00532478" w:rsidRPr="00532478">
                    <w:rPr>
                      <w:rFonts w:eastAsia="Times New Roman" w:cs="Times New Roman"/>
                      <w:bCs/>
                      <w:color w:val="001D77"/>
                      <w:sz w:val="18"/>
                      <w:szCs w:val="18"/>
                      <w:lang w:val="en-GB" w:eastAsia="pl-PL"/>
                    </w:rPr>
                    <w:t>compared with t</w:t>
                  </w:r>
                  <w:r w:rsidR="00532478">
                    <w:rPr>
                      <w:rFonts w:eastAsia="Times New Roman" w:cs="Times New Roman"/>
                      <w:bCs/>
                      <w:color w:val="001D77"/>
                      <w:sz w:val="18"/>
                      <w:szCs w:val="18"/>
                      <w:lang w:val="en-GB" w:eastAsia="pl-PL"/>
                    </w:rPr>
                    <w:t>he previous month</w:t>
                  </w:r>
                  <w:r>
                    <w:rPr>
                      <w:rFonts w:eastAsia="Times New Roman" w:cs="Times New Roman"/>
                      <w:bCs/>
                      <w:color w:val="001D77"/>
                      <w:sz w:val="18"/>
                      <w:szCs w:val="18"/>
                      <w:lang w:val="en-GB" w:eastAsia="pl-PL"/>
                    </w:rPr>
                    <w:t xml:space="preserve">. </w:t>
                  </w:r>
                  <w:r w:rsidR="002D700E">
                    <w:rPr>
                      <w:rFonts w:eastAsia="Times New Roman" w:cs="Times New Roman"/>
                      <w:bCs/>
                      <w:color w:val="001D77"/>
                      <w:sz w:val="18"/>
                      <w:szCs w:val="18"/>
                      <w:lang w:val="en-GB" w:eastAsia="pl-PL"/>
                    </w:rPr>
                    <w:t>C</w:t>
                  </w:r>
                  <w:r w:rsidR="002D700E" w:rsidRPr="00532478">
                    <w:rPr>
                      <w:rFonts w:eastAsia="Times New Roman" w:cs="Times New Roman"/>
                      <w:bCs/>
                      <w:color w:val="001D77"/>
                      <w:sz w:val="18"/>
                      <w:szCs w:val="18"/>
                      <w:lang w:val="en-GB" w:eastAsia="pl-PL"/>
                    </w:rPr>
                    <w:t>ompared with Janu</w:t>
                  </w:r>
                  <w:r w:rsidR="006F0D3B">
                    <w:rPr>
                      <w:rFonts w:eastAsia="Times New Roman" w:cs="Times New Roman"/>
                      <w:bCs/>
                      <w:color w:val="001D77"/>
                      <w:sz w:val="18"/>
                      <w:szCs w:val="18"/>
                      <w:lang w:val="en-GB" w:eastAsia="pl-PL"/>
                    </w:rPr>
                    <w:t>ary of </w:t>
                  </w:r>
                  <w:r w:rsidR="002D700E">
                    <w:rPr>
                      <w:rFonts w:eastAsia="Times New Roman" w:cs="Times New Roman"/>
                      <w:bCs/>
                      <w:color w:val="001D77"/>
                      <w:sz w:val="18"/>
                      <w:szCs w:val="18"/>
                      <w:lang w:val="en-GB" w:eastAsia="pl-PL"/>
                    </w:rPr>
                    <w:t>the previous year t</w:t>
                  </w:r>
                  <w:r w:rsidR="00532478">
                    <w:rPr>
                      <w:rFonts w:eastAsia="Times New Roman" w:cs="Times New Roman"/>
                      <w:bCs/>
                      <w:color w:val="001D77"/>
                      <w:sz w:val="18"/>
                      <w:szCs w:val="18"/>
                      <w:lang w:val="en-GB" w:eastAsia="pl-PL"/>
                    </w:rPr>
                    <w:t>he increase was 4.1</w:t>
                  </w:r>
                  <w:r>
                    <w:rPr>
                      <w:rFonts w:eastAsia="Times New Roman" w:cs="Times New Roman"/>
                      <w:bCs/>
                      <w:color w:val="001D77"/>
                      <w:sz w:val="18"/>
                      <w:szCs w:val="18"/>
                      <w:lang w:val="en-GB" w:eastAsia="pl-PL"/>
                    </w:rPr>
                    <w:t>%</w:t>
                  </w:r>
                  <w:r w:rsidR="00532478">
                    <w:rPr>
                      <w:rFonts w:eastAsia="Times New Roman" w:cs="Times New Roman"/>
                      <w:bCs/>
                      <w:color w:val="001D77"/>
                      <w:sz w:val="18"/>
                      <w:szCs w:val="18"/>
                      <w:lang w:val="en-GB" w:eastAsia="pl-PL"/>
                    </w:rPr>
                    <w:t xml:space="preserve"> </w:t>
                  </w:r>
                </w:p>
              </w:txbxContent>
            </v:textbox>
          </v:shape>
        </w:pict>
      </w:r>
      <w:r w:rsidR="00685123" w:rsidRPr="00AB7DB1">
        <w:rPr>
          <w:lang w:val="en-GB"/>
        </w:rPr>
        <w:t>Tabl</w:t>
      </w:r>
      <w:r w:rsidR="00AB7DB1" w:rsidRPr="00AB7DB1">
        <w:rPr>
          <w:lang w:val="en-GB"/>
        </w:rPr>
        <w:t>e</w:t>
      </w:r>
      <w:r w:rsidR="00685123" w:rsidRPr="00AB7DB1">
        <w:rPr>
          <w:lang w:val="en-GB"/>
        </w:rPr>
        <w:t xml:space="preserve"> 1.</w:t>
      </w:r>
      <w:r w:rsidR="00685123" w:rsidRPr="00AB7DB1">
        <w:rPr>
          <w:shd w:val="clear" w:color="auto" w:fill="FFFFFF"/>
          <w:lang w:val="en-GB"/>
        </w:rPr>
        <w:t xml:space="preserve"> </w:t>
      </w:r>
      <w:r w:rsidR="00AB7DB1" w:rsidRPr="00AB7DB1">
        <w:rPr>
          <w:shd w:val="clear" w:color="auto" w:fill="FFFFFF"/>
          <w:lang w:val="en-GB"/>
        </w:rPr>
        <w:t xml:space="preserve">Consumer price indices in January </w:t>
      </w:r>
      <w:r w:rsidR="00685123" w:rsidRPr="00AB7DB1">
        <w:rPr>
          <w:bCs/>
          <w:shd w:val="clear" w:color="auto" w:fill="FFFFFF"/>
          <w:lang w:val="en-GB"/>
        </w:rPr>
        <w:t>2018</w:t>
      </w:r>
    </w:p>
    <w:p w:rsidR="00685123" w:rsidRPr="00AB7DB1" w:rsidRDefault="009523E1" w:rsidP="00685123">
      <w:pPr>
        <w:pStyle w:val="tytuwykresu"/>
        <w:spacing w:before="0" w:after="0"/>
        <w:rPr>
          <w:sz w:val="12"/>
          <w:lang w:val="en-GB"/>
        </w:rPr>
      </w:pPr>
      <w:r>
        <w:rPr>
          <w:noProof/>
          <w:lang w:eastAsia="pl-PL"/>
        </w:rPr>
        <w:drawing>
          <wp:anchor distT="0" distB="0" distL="114300" distR="114300" simplePos="0" relativeHeight="251660288" behindDoc="1" locked="0" layoutInCell="1" allowOverlap="1">
            <wp:simplePos x="0" y="0"/>
            <wp:positionH relativeFrom="column">
              <wp:posOffset>0</wp:posOffset>
            </wp:positionH>
            <wp:positionV relativeFrom="paragraph">
              <wp:posOffset>3400137</wp:posOffset>
            </wp:positionV>
            <wp:extent cx="5098211" cy="2708694"/>
            <wp:effectExtent l="0" t="0" r="0" b="0"/>
            <wp:wrapNone/>
            <wp:docPr id="5"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9523E1" w:rsidRPr="009523E1" w:rsidRDefault="003F095D" w:rsidP="009523E1">
      <w:pPr>
        <w:pStyle w:val="tytuwykresu"/>
        <w:spacing w:before="0"/>
        <w:rPr>
          <w:b w:val="0"/>
          <w:shd w:val="clear" w:color="auto" w:fill="FFFFFF"/>
          <w:lang w:val="en-GB"/>
        </w:rPr>
      </w:pPr>
      <w:r w:rsidRPr="009523E1">
        <w:rPr>
          <w:lang w:val="en-GB"/>
        </w:rPr>
        <w:t>Chart</w:t>
      </w:r>
      <w:r w:rsidR="00685123" w:rsidRPr="009523E1">
        <w:rPr>
          <w:lang w:val="en-GB"/>
        </w:rPr>
        <w:t xml:space="preserve"> 1.</w:t>
      </w:r>
      <w:r w:rsidR="00685123" w:rsidRPr="009523E1">
        <w:rPr>
          <w:shd w:val="clear" w:color="auto" w:fill="FFFFFF"/>
          <w:lang w:val="en-GB"/>
        </w:rPr>
        <w:t xml:space="preserve"> </w:t>
      </w:r>
      <w:r w:rsidR="00C602B4">
        <w:rPr>
          <w:shd w:val="clear" w:color="auto" w:fill="FFFFFF"/>
          <w:lang w:val="en-GB"/>
        </w:rPr>
        <w:t>Consumer p</w:t>
      </w:r>
      <w:r w:rsidRPr="003F095D">
        <w:rPr>
          <w:shd w:val="clear" w:color="auto" w:fill="FFFFFF"/>
          <w:lang w:val="en-GB"/>
        </w:rPr>
        <w:t xml:space="preserve">rices </w:t>
      </w:r>
      <w:r w:rsidRPr="002C5135">
        <w:rPr>
          <w:shd w:val="clear" w:color="auto" w:fill="FFFFFF"/>
          <w:lang w:val="en-GB"/>
        </w:rPr>
        <w:t>(change in % compared with the previous period)</w:t>
      </w:r>
    </w:p>
    <w:p w:rsidR="00685123" w:rsidRPr="002C5135" w:rsidRDefault="00685123">
      <w:pPr>
        <w:spacing w:before="0" w:after="160" w:line="259" w:lineRule="auto"/>
        <w:rPr>
          <w:b/>
          <w:noProof/>
          <w:szCs w:val="19"/>
          <w:lang w:val="en-GB" w:eastAsia="pl-PL"/>
        </w:rPr>
      </w:pPr>
    </w:p>
    <w:p w:rsidR="009523E1" w:rsidRPr="000D128F" w:rsidRDefault="009523E1">
      <w:pPr>
        <w:spacing w:before="0" w:after="160" w:line="259" w:lineRule="auto"/>
        <w:rPr>
          <w:b/>
          <w:spacing w:val="-2"/>
          <w:sz w:val="18"/>
          <w:lang w:val="en-GB"/>
        </w:rPr>
      </w:pPr>
    </w:p>
    <w:p w:rsidR="009523E1" w:rsidRPr="000D128F" w:rsidRDefault="009523E1">
      <w:pPr>
        <w:spacing w:before="0" w:after="160" w:line="259" w:lineRule="auto"/>
        <w:rPr>
          <w:b/>
          <w:spacing w:val="-2"/>
          <w:sz w:val="18"/>
          <w:lang w:val="en-GB"/>
        </w:rPr>
      </w:pPr>
      <w:r w:rsidRPr="000D128F">
        <w:rPr>
          <w:lang w:val="en-GB"/>
        </w:rPr>
        <w:br w:type="page"/>
      </w:r>
    </w:p>
    <w:p w:rsidR="00883763" w:rsidRPr="009523E1" w:rsidRDefault="009523E1" w:rsidP="00883763">
      <w:pPr>
        <w:pStyle w:val="tytuwykresu"/>
        <w:rPr>
          <w:shd w:val="clear" w:color="auto" w:fill="FFFFFF"/>
          <w:lang w:val="en-GB"/>
        </w:rPr>
      </w:pPr>
      <w:r>
        <w:rPr>
          <w:noProof/>
          <w:lang w:eastAsia="pl-PL"/>
        </w:rPr>
        <w:lastRenderedPageBreak/>
        <w:drawing>
          <wp:anchor distT="0" distB="0" distL="114300" distR="114300" simplePos="0" relativeHeight="251662336" behindDoc="1" locked="0" layoutInCell="1" allowOverlap="1">
            <wp:simplePos x="0" y="0"/>
            <wp:positionH relativeFrom="column">
              <wp:posOffset>0</wp:posOffset>
            </wp:positionH>
            <wp:positionV relativeFrom="paragraph">
              <wp:posOffset>24765</wp:posOffset>
            </wp:positionV>
            <wp:extent cx="5120640" cy="2774950"/>
            <wp:effectExtent l="0" t="0" r="0" b="0"/>
            <wp:wrapNone/>
            <wp:docPr id="10" name="Wykres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C602B4">
        <w:rPr>
          <w:lang w:val="en-GB"/>
        </w:rPr>
        <w:t>Chart</w:t>
      </w:r>
      <w:r w:rsidR="00883763" w:rsidRPr="000D128F">
        <w:rPr>
          <w:lang w:val="en-GB"/>
        </w:rPr>
        <w:t xml:space="preserve"> 2.</w:t>
      </w:r>
      <w:r w:rsidR="00883763" w:rsidRPr="000D128F">
        <w:rPr>
          <w:shd w:val="clear" w:color="auto" w:fill="FFFFFF"/>
          <w:lang w:val="en-GB"/>
        </w:rPr>
        <w:t xml:space="preserve"> </w:t>
      </w:r>
      <w:r w:rsidR="00C602B4">
        <w:rPr>
          <w:shd w:val="clear" w:color="auto" w:fill="FFFFFF"/>
          <w:lang w:val="en-GB"/>
        </w:rPr>
        <w:t>Consumer p</w:t>
      </w:r>
      <w:r w:rsidRPr="009523E1">
        <w:rPr>
          <w:shd w:val="clear" w:color="auto" w:fill="FFFFFF"/>
          <w:lang w:val="en-GB"/>
        </w:rPr>
        <w:t>rices</w:t>
      </w:r>
      <w:r w:rsidR="00883763" w:rsidRPr="009523E1">
        <w:rPr>
          <w:bCs/>
          <w:shd w:val="clear" w:color="auto" w:fill="FFFFFF"/>
          <w:lang w:val="en-GB"/>
        </w:rPr>
        <w:t xml:space="preserve"> </w:t>
      </w:r>
      <w:r w:rsidRPr="009523E1">
        <w:rPr>
          <w:shd w:val="clear" w:color="auto" w:fill="FFFFFF"/>
          <w:lang w:val="en-GB"/>
        </w:rPr>
        <w:t>(change in % compared with the corresponding period of the previous year)</w:t>
      </w:r>
    </w:p>
    <w:p w:rsidR="00883763" w:rsidRPr="009523E1" w:rsidRDefault="00053C36" w:rsidP="00883763">
      <w:pPr>
        <w:spacing w:before="0" w:after="160" w:line="259" w:lineRule="auto"/>
        <w:rPr>
          <w:lang w:val="en-GB"/>
        </w:rPr>
      </w:pPr>
      <w:r>
        <w:rPr>
          <w:noProof/>
          <w:lang w:eastAsia="pl-PL"/>
        </w:rPr>
        <w:pict>
          <v:shape id="_x0000_s1038" type="#_x0000_t202" style="position:absolute;margin-left:414.75pt;margin-top:4.25pt;width:135.85pt;height:98.8pt;z-index:-251574272;visibility:visible;mso-wrap-distance-top:3.6pt;mso-wrap-distance-bottom:3.6pt;mso-width-relative:margin;mso-height-relative:margin" wrapcoords="0 0" filled="f" stroked="f">
            <v:textbox style="mso-next-textbox:#_x0000_s1038">
              <w:txbxContent>
                <w:p w:rsidR="00883763" w:rsidRPr="00ED3125" w:rsidRDefault="003E1FBC" w:rsidP="00BF5A0C">
                  <w:pPr>
                    <w:pStyle w:val="Tekstprzypisudolnego"/>
                    <w:rPr>
                      <w:rFonts w:eastAsia="Times New Roman" w:cs="Times New Roman"/>
                      <w:bCs/>
                      <w:color w:val="001D77"/>
                      <w:sz w:val="18"/>
                      <w:szCs w:val="18"/>
                      <w:lang w:val="en-GB" w:eastAsia="pl-PL"/>
                    </w:rPr>
                  </w:pPr>
                  <w:r>
                    <w:rPr>
                      <w:rFonts w:eastAsia="Times New Roman" w:cs="Times New Roman"/>
                      <w:bCs/>
                      <w:color w:val="001D77"/>
                      <w:sz w:val="18"/>
                      <w:szCs w:val="18"/>
                      <w:lang w:val="en-GB" w:eastAsia="pl-PL"/>
                    </w:rPr>
                    <w:t xml:space="preserve">In January 2018 </w:t>
                  </w:r>
                  <w:r w:rsidR="00ED3125">
                    <w:rPr>
                      <w:rFonts w:eastAsia="Times New Roman" w:cs="Times New Roman"/>
                      <w:bCs/>
                      <w:color w:val="001D77"/>
                      <w:sz w:val="18"/>
                      <w:szCs w:val="18"/>
                      <w:lang w:val="en-GB" w:eastAsia="pl-PL"/>
                    </w:rPr>
                    <w:t xml:space="preserve">the </w:t>
                  </w:r>
                  <w:r w:rsidR="00854A09">
                    <w:rPr>
                      <w:rFonts w:eastAsia="Times New Roman" w:cs="Times New Roman"/>
                      <w:bCs/>
                      <w:color w:val="001D77"/>
                      <w:sz w:val="18"/>
                      <w:szCs w:val="18"/>
                      <w:lang w:val="en-GB" w:eastAsia="pl-PL"/>
                    </w:rPr>
                    <w:t xml:space="preserve">consumer </w:t>
                  </w:r>
                  <w:r w:rsidR="00ED3125">
                    <w:rPr>
                      <w:rFonts w:eastAsia="Times New Roman" w:cs="Times New Roman"/>
                      <w:bCs/>
                      <w:color w:val="001D77"/>
                      <w:sz w:val="18"/>
                      <w:szCs w:val="18"/>
                      <w:lang w:val="en-GB" w:eastAsia="pl-PL"/>
                    </w:rPr>
                    <w:t xml:space="preserve">price index was within the </w:t>
                  </w:r>
                  <w:r w:rsidR="00653909">
                    <w:rPr>
                      <w:rFonts w:eastAsia="Times New Roman" w:cs="Times New Roman"/>
                      <w:bCs/>
                      <w:color w:val="001D77"/>
                      <w:sz w:val="18"/>
                      <w:szCs w:val="18"/>
                      <w:lang w:val="en-GB" w:eastAsia="pl-PL"/>
                    </w:rPr>
                    <w:t>deviations from</w:t>
                  </w:r>
                  <w:r w:rsidR="00854A09">
                    <w:rPr>
                      <w:rFonts w:eastAsia="Times New Roman" w:cs="Times New Roman"/>
                      <w:bCs/>
                      <w:color w:val="001D77"/>
                      <w:sz w:val="18"/>
                      <w:szCs w:val="18"/>
                      <w:lang w:val="en-GB" w:eastAsia="pl-PL"/>
                    </w:rPr>
                    <w:t xml:space="preserve"> inflation target</w:t>
                  </w:r>
                  <w:r w:rsidR="00C25754">
                    <w:rPr>
                      <w:rFonts w:eastAsia="Times New Roman" w:cs="Times New Roman"/>
                      <w:bCs/>
                      <w:color w:val="001D77"/>
                      <w:sz w:val="18"/>
                      <w:szCs w:val="18"/>
                      <w:lang w:val="en-GB" w:eastAsia="pl-PL"/>
                    </w:rPr>
                    <w:t xml:space="preserve"> determined by the </w:t>
                  </w:r>
                  <w:r w:rsidR="00ED3125">
                    <w:rPr>
                      <w:rFonts w:eastAsia="Times New Roman" w:cs="Times New Roman"/>
                      <w:bCs/>
                      <w:color w:val="001D77"/>
                      <w:sz w:val="18"/>
                      <w:szCs w:val="18"/>
                      <w:lang w:val="en-GB" w:eastAsia="pl-PL"/>
                    </w:rPr>
                    <w:t>Monetary Policy Council (2.5</w:t>
                  </w:r>
                  <w:r w:rsidR="00ED3125" w:rsidRPr="00662A45">
                    <w:rPr>
                      <w:rFonts w:eastAsia="Times New Roman" w:cs="Times New Roman"/>
                      <w:bCs/>
                      <w:color w:val="001D77"/>
                      <w:sz w:val="18"/>
                      <w:szCs w:val="18"/>
                      <w:lang w:val="en-GB" w:eastAsia="pl-PL"/>
                    </w:rPr>
                    <w:t xml:space="preserve">% +/- 1 </w:t>
                  </w:r>
                  <w:r w:rsidR="00BF5A0C" w:rsidRPr="00662A45">
                    <w:rPr>
                      <w:rFonts w:eastAsia="Times New Roman" w:cs="Times New Roman"/>
                      <w:bCs/>
                      <w:color w:val="001D77"/>
                      <w:sz w:val="18"/>
                      <w:szCs w:val="18"/>
                      <w:lang w:val="en-GB" w:eastAsia="pl-PL"/>
                    </w:rPr>
                    <w:t>pp</w:t>
                  </w:r>
                  <w:r w:rsidR="00ED3125" w:rsidRPr="00662A45">
                    <w:rPr>
                      <w:rFonts w:eastAsia="Times New Roman" w:cs="Times New Roman"/>
                      <w:bCs/>
                      <w:color w:val="001D77"/>
                      <w:sz w:val="18"/>
                      <w:szCs w:val="18"/>
                      <w:lang w:val="en-GB" w:eastAsia="pl-PL"/>
                    </w:rPr>
                    <w:t>)</w:t>
                  </w:r>
                </w:p>
              </w:txbxContent>
            </v:textbox>
            <w10:wrap type="tight"/>
          </v:shape>
        </w:pict>
      </w:r>
    </w:p>
    <w:p w:rsidR="00883763" w:rsidRPr="009523E1" w:rsidRDefault="00883763" w:rsidP="00883763">
      <w:pPr>
        <w:spacing w:before="0" w:after="160" w:line="259" w:lineRule="auto"/>
        <w:rPr>
          <w:lang w:val="en-GB"/>
        </w:rPr>
      </w:pPr>
    </w:p>
    <w:p w:rsidR="00883763" w:rsidRPr="009523E1" w:rsidRDefault="00883763" w:rsidP="00883763">
      <w:pPr>
        <w:spacing w:before="0" w:after="160" w:line="259" w:lineRule="auto"/>
        <w:rPr>
          <w:lang w:val="en-GB"/>
        </w:rPr>
      </w:pPr>
    </w:p>
    <w:p w:rsidR="00883763" w:rsidRPr="009523E1" w:rsidRDefault="00883763" w:rsidP="00883763">
      <w:pPr>
        <w:spacing w:before="0" w:after="160" w:line="259" w:lineRule="auto"/>
        <w:rPr>
          <w:lang w:val="en-GB"/>
        </w:rPr>
      </w:pPr>
    </w:p>
    <w:p w:rsidR="00883763" w:rsidRPr="009523E1" w:rsidRDefault="00883763" w:rsidP="00883763">
      <w:pPr>
        <w:spacing w:before="0" w:after="160" w:line="259" w:lineRule="auto"/>
        <w:rPr>
          <w:lang w:val="en-GB"/>
        </w:rPr>
      </w:pPr>
    </w:p>
    <w:p w:rsidR="00883763" w:rsidRPr="009523E1" w:rsidRDefault="00883763" w:rsidP="00883763">
      <w:pPr>
        <w:spacing w:before="0" w:after="160" w:line="259" w:lineRule="auto"/>
        <w:rPr>
          <w:lang w:val="en-GB"/>
        </w:rPr>
      </w:pPr>
    </w:p>
    <w:p w:rsidR="00883763" w:rsidRPr="009523E1" w:rsidRDefault="00883763" w:rsidP="00883763">
      <w:pPr>
        <w:spacing w:before="0" w:after="160" w:line="259" w:lineRule="auto"/>
        <w:rPr>
          <w:lang w:val="en-GB"/>
        </w:rPr>
      </w:pPr>
    </w:p>
    <w:p w:rsidR="00883763" w:rsidRPr="009523E1" w:rsidRDefault="00883763" w:rsidP="00883763">
      <w:pPr>
        <w:spacing w:before="0" w:after="160" w:line="259" w:lineRule="auto"/>
        <w:rPr>
          <w:lang w:val="en-GB"/>
        </w:rPr>
      </w:pPr>
    </w:p>
    <w:p w:rsidR="00883763" w:rsidRPr="009523E1" w:rsidRDefault="00883763" w:rsidP="00883763">
      <w:pPr>
        <w:spacing w:before="0" w:after="160" w:line="259" w:lineRule="auto"/>
        <w:rPr>
          <w:lang w:val="en-GB"/>
        </w:rPr>
      </w:pPr>
    </w:p>
    <w:p w:rsidR="00883763" w:rsidRPr="009523E1" w:rsidRDefault="00883763" w:rsidP="00883763">
      <w:pPr>
        <w:spacing w:before="0" w:after="0" w:line="240" w:lineRule="auto"/>
        <w:rPr>
          <w:lang w:val="en-GB"/>
        </w:rPr>
      </w:pPr>
    </w:p>
    <w:p w:rsidR="00883763" w:rsidRPr="009523E1" w:rsidRDefault="00576222" w:rsidP="00883763">
      <w:pPr>
        <w:pStyle w:val="tytuwykresu"/>
        <w:rPr>
          <w:shd w:val="clear" w:color="auto" w:fill="FFFFFF"/>
          <w:lang w:val="en-GB"/>
        </w:rPr>
      </w:pPr>
      <w:r>
        <w:rPr>
          <w:lang w:val="en-GB"/>
        </w:rPr>
        <w:t xml:space="preserve">Chart </w:t>
      </w:r>
      <w:r w:rsidR="00883763" w:rsidRPr="000D128F">
        <w:rPr>
          <w:lang w:val="en-GB"/>
        </w:rPr>
        <w:t>3.</w:t>
      </w:r>
      <w:r w:rsidR="00883763" w:rsidRPr="000D128F">
        <w:rPr>
          <w:shd w:val="clear" w:color="auto" w:fill="FFFFFF"/>
          <w:lang w:val="en-GB"/>
        </w:rPr>
        <w:t xml:space="preserve"> </w:t>
      </w:r>
      <w:r w:rsidR="009523E1" w:rsidRPr="00662A45">
        <w:rPr>
          <w:bCs/>
          <w:iCs/>
          <w:shd w:val="clear" w:color="auto" w:fill="FFFFFF"/>
          <w:lang w:val="en-GB"/>
        </w:rPr>
        <w:t>Weighting system</w:t>
      </w:r>
      <w:r w:rsidR="009523E1" w:rsidRPr="009523E1">
        <w:rPr>
          <w:bCs/>
          <w:iCs/>
          <w:shd w:val="clear" w:color="auto" w:fill="FFFFFF"/>
          <w:lang w:val="en-GB"/>
        </w:rPr>
        <w:t xml:space="preserve"> used in the compilations of consumer price indices in 2017</w:t>
      </w:r>
    </w:p>
    <w:p w:rsidR="00685123" w:rsidRDefault="00053C36" w:rsidP="00883763">
      <w:pPr>
        <w:spacing w:before="0" w:after="160" w:line="259" w:lineRule="auto"/>
        <w:rPr>
          <w:b/>
          <w:noProof/>
          <w:szCs w:val="19"/>
          <w:lang w:eastAsia="pl-PL"/>
        </w:rPr>
      </w:pPr>
      <w:r>
        <w:rPr>
          <w:noProof/>
          <w:lang w:eastAsia="pl-PL"/>
        </w:rPr>
        <w:pict>
          <v:shape id="_x0000_s1037" type="#_x0000_t202" style="position:absolute;margin-left:414.75pt;margin-top:4pt;width:135.85pt;height:98.45pt;z-index:-251575296;visibility:visible;mso-wrap-distance-top:3.6pt;mso-wrap-distance-bottom:3.6pt;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" filled="f" stroked="f">
            <v:textbox style="mso-next-textbox:#_x0000_s1037">
              <w:txbxContent>
                <w:p w:rsidR="00883763" w:rsidRPr="00CF183F" w:rsidRDefault="003E1FBC" w:rsidP="00023C0E">
                  <w:pPr>
                    <w:pStyle w:val="Tekstprzypisudolnego"/>
                    <w:rPr>
                      <w:rFonts w:eastAsia="Times New Roman" w:cs="Times New Roman"/>
                      <w:bCs/>
                      <w:color w:val="001D77"/>
                      <w:sz w:val="18"/>
                      <w:szCs w:val="18"/>
                      <w:lang w:val="en-GB" w:eastAsia="pl-PL"/>
                    </w:rPr>
                  </w:pPr>
                  <w:r>
                    <w:rPr>
                      <w:rFonts w:eastAsia="Times New Roman" w:cs="Times New Roman"/>
                      <w:bCs/>
                      <w:color w:val="001D77"/>
                      <w:sz w:val="18"/>
                      <w:szCs w:val="18"/>
                      <w:lang w:val="en-GB" w:eastAsia="pl-PL"/>
                    </w:rPr>
                    <w:t>In 2017 the greatest share in </w:t>
                  </w:r>
                  <w:r w:rsidR="00CF183F" w:rsidRPr="00CF183F">
                    <w:rPr>
                      <w:rFonts w:eastAsia="Times New Roman" w:cs="Times New Roman"/>
                      <w:bCs/>
                      <w:color w:val="001D77"/>
                      <w:sz w:val="18"/>
                      <w:szCs w:val="18"/>
                      <w:lang w:val="en-GB" w:eastAsia="pl-PL"/>
                    </w:rPr>
                    <w:t xml:space="preserve">calculations of </w:t>
                  </w:r>
                  <w:r w:rsidR="00831643">
                    <w:rPr>
                      <w:rFonts w:eastAsia="Times New Roman" w:cs="Times New Roman"/>
                      <w:bCs/>
                      <w:color w:val="001D77"/>
                      <w:sz w:val="18"/>
                      <w:szCs w:val="18"/>
                      <w:lang w:val="en-GB" w:eastAsia="pl-PL"/>
                    </w:rPr>
                    <w:t xml:space="preserve">consumer </w:t>
                  </w:r>
                  <w:r w:rsidR="00CF183F" w:rsidRPr="00CF183F">
                    <w:rPr>
                      <w:rFonts w:eastAsia="Times New Roman" w:cs="Times New Roman"/>
                      <w:bCs/>
                      <w:color w:val="001D77"/>
                      <w:sz w:val="18"/>
                      <w:szCs w:val="18"/>
                      <w:lang w:val="en-GB" w:eastAsia="pl-PL"/>
                    </w:rPr>
                    <w:t xml:space="preserve">price </w:t>
                  </w:r>
                  <w:r w:rsidR="00CF183F" w:rsidRPr="00662A45">
                    <w:rPr>
                      <w:rFonts w:eastAsia="Times New Roman" w:cs="Times New Roman"/>
                      <w:bCs/>
                      <w:color w:val="001D77"/>
                      <w:sz w:val="18"/>
                      <w:szCs w:val="18"/>
                      <w:lang w:val="en-GB" w:eastAsia="pl-PL"/>
                    </w:rPr>
                    <w:t>indices had Food</w:t>
                  </w:r>
                  <w:r w:rsidR="00CF183F" w:rsidRPr="00CF183F">
                    <w:rPr>
                      <w:rFonts w:eastAsia="Times New Roman" w:cs="Times New Roman"/>
                      <w:bCs/>
                      <w:color w:val="001D77"/>
                      <w:sz w:val="18"/>
                      <w:szCs w:val="18"/>
                      <w:lang w:val="en-GB" w:eastAsia="pl-PL"/>
                    </w:rPr>
                    <w:t xml:space="preserve"> an</w:t>
                  </w:r>
                  <w:r w:rsidR="00023C0E">
                    <w:rPr>
                      <w:rFonts w:eastAsia="Times New Roman" w:cs="Times New Roman"/>
                      <w:bCs/>
                      <w:color w:val="001D77"/>
                      <w:sz w:val="18"/>
                      <w:szCs w:val="18"/>
                      <w:lang w:val="en-GB" w:eastAsia="pl-PL"/>
                    </w:rPr>
                    <w:t>d non-alcoholic beverages (24.28</w:t>
                  </w:r>
                  <w:r w:rsidR="00CF183F" w:rsidRPr="00CF183F">
                    <w:rPr>
                      <w:rFonts w:eastAsia="Times New Roman" w:cs="Times New Roman"/>
                      <w:bCs/>
                      <w:color w:val="001D77"/>
                      <w:sz w:val="18"/>
                      <w:szCs w:val="18"/>
                      <w:lang w:val="en-GB" w:eastAsia="pl-PL"/>
                    </w:rPr>
                    <w:t>%) and Housing, water, electrici</w:t>
                  </w:r>
                  <w:r w:rsidR="00023C0E">
                    <w:rPr>
                      <w:rFonts w:eastAsia="Times New Roman" w:cs="Times New Roman"/>
                      <w:bCs/>
                      <w:color w:val="001D77"/>
                      <w:sz w:val="18"/>
                      <w:szCs w:val="18"/>
                      <w:lang w:val="en-GB" w:eastAsia="pl-PL"/>
                    </w:rPr>
                    <w:t>ty, gas and other fuels (20.53</w:t>
                  </w:r>
                  <w:r w:rsidR="00CF183F" w:rsidRPr="00CF183F">
                    <w:rPr>
                      <w:rFonts w:eastAsia="Times New Roman" w:cs="Times New Roman"/>
                      <w:bCs/>
                      <w:color w:val="001D77"/>
                      <w:sz w:val="18"/>
                      <w:szCs w:val="18"/>
                      <w:lang w:val="en-GB" w:eastAsia="pl-PL"/>
                    </w:rPr>
                    <w:t>%)</w:t>
                  </w:r>
                </w:p>
              </w:txbxContent>
            </v:textbox>
            <w10:wrap type="tight"/>
          </v:shape>
        </w:pict>
      </w:r>
      <w:r w:rsidR="00214D96">
        <w:rPr>
          <w:noProof/>
          <w:lang w:eastAsia="pl-PL"/>
        </w:rPr>
        <w:drawing>
          <wp:inline distT="0" distB="0" distL="0" distR="0">
            <wp:extent cx="5122545" cy="4725773"/>
            <wp:effectExtent l="0" t="0" r="0" b="0"/>
            <wp:docPr id="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14D96" w:rsidRDefault="00214D96" w:rsidP="00883763">
      <w:pPr>
        <w:spacing w:before="0" w:after="160" w:line="259" w:lineRule="auto"/>
        <w:rPr>
          <w:b/>
          <w:noProof/>
          <w:szCs w:val="19"/>
          <w:lang w:eastAsia="pl-PL"/>
        </w:rPr>
      </w:pPr>
    </w:p>
    <w:p w:rsidR="00214D96" w:rsidRDefault="00214D96" w:rsidP="00883763">
      <w:pPr>
        <w:spacing w:before="0" w:after="160" w:line="259" w:lineRule="auto"/>
        <w:rPr>
          <w:b/>
          <w:noProof/>
          <w:szCs w:val="19"/>
          <w:lang w:eastAsia="pl-PL"/>
        </w:rPr>
      </w:pPr>
    </w:p>
    <w:p w:rsidR="00214D96" w:rsidRPr="00883763" w:rsidRDefault="00214D96" w:rsidP="00883763">
      <w:pPr>
        <w:spacing w:before="0" w:after="160" w:line="259" w:lineRule="auto"/>
        <w:rPr>
          <w:b/>
          <w:noProof/>
          <w:szCs w:val="19"/>
          <w:lang w:eastAsia="pl-PL"/>
        </w:rPr>
        <w:sectPr w:rsidR="00214D96" w:rsidRPr="00883763" w:rsidSect="003B18B6">
          <w:headerReference w:type="default" r:id="rId15"/>
          <w:footerReference w:type="default" r:id="rId16"/>
          <w:headerReference w:type="first" r:id="rId17"/>
          <w:footerReference w:type="first" r:id="rId18"/>
          <w:footnotePr>
            <w:numFmt w:val="lowerLetter"/>
          </w:footnotePr>
          <w:pgSz w:w="11906" w:h="16838"/>
          <w:pgMar w:top="720" w:right="3119" w:bottom="720" w:left="720" w:header="284" w:footer="283" w:gutter="0"/>
          <w:cols w:space="708"/>
          <w:titlePg/>
          <w:docGrid w:linePitch="360"/>
        </w:sectPr>
      </w:pPr>
    </w:p>
    <w:p w:rsidR="000470AA" w:rsidRDefault="000470AA" w:rsidP="000470AA">
      <w:pPr>
        <w:rPr>
          <w:sz w:val="18"/>
        </w:rPr>
      </w:pPr>
      <w:bookmarkStart w:id="0" w:name="_GoBack"/>
      <w:bookmarkEnd w:id="0"/>
    </w:p>
    <w:tbl>
      <w:tblPr>
        <w:tblpPr w:leftFromText="141" w:rightFromText="141" w:vertAnchor="text" w:horzAnchor="margin" w:tblpXSpec="center" w:tblpY="-47"/>
        <w:tblW w:w="0" w:type="auto"/>
        <w:tblLook w:val="04A0" w:firstRow="1" w:lastRow="0" w:firstColumn="1" w:lastColumn="0" w:noHBand="0" w:noVBand="1"/>
      </w:tblPr>
      <w:tblGrid>
        <w:gridCol w:w="4358"/>
        <w:gridCol w:w="3925"/>
      </w:tblGrid>
      <w:tr w:rsidR="00883763" w:rsidRPr="00CB564A" w:rsidTr="00E74016">
        <w:trPr>
          <w:trHeight w:val="1912"/>
        </w:trPr>
        <w:tc>
          <w:tcPr>
            <w:tcW w:w="4379" w:type="dxa"/>
          </w:tcPr>
          <w:p w:rsidR="00883763" w:rsidRPr="00F6116B" w:rsidRDefault="00CC10A8" w:rsidP="00E74016">
            <w:pPr>
              <w:spacing w:before="0" w:after="0" w:line="240" w:lineRule="auto"/>
              <w:rPr>
                <w:rFonts w:cs="Arial"/>
                <w:color w:val="000000" w:themeColor="text1"/>
                <w:sz w:val="20"/>
                <w:lang w:val="en-GB"/>
              </w:rPr>
            </w:pPr>
            <w:r w:rsidRPr="00F6116B">
              <w:rPr>
                <w:rFonts w:cs="Arial"/>
                <w:color w:val="000000" w:themeColor="text1"/>
                <w:sz w:val="20"/>
                <w:lang w:val="en-GB"/>
              </w:rPr>
              <w:t>Prepared by:</w:t>
            </w:r>
          </w:p>
          <w:p w:rsidR="00883763" w:rsidRPr="00F6116B" w:rsidRDefault="00F6116B" w:rsidP="00E74016">
            <w:pPr>
              <w:spacing w:before="0" w:after="0" w:line="240" w:lineRule="auto"/>
              <w:rPr>
                <w:rFonts w:cs="Arial"/>
                <w:b/>
                <w:color w:val="000000" w:themeColor="text1"/>
                <w:sz w:val="20"/>
                <w:lang w:val="en-GB"/>
              </w:rPr>
            </w:pPr>
            <w:r w:rsidRPr="00F6116B">
              <w:rPr>
                <w:rFonts w:cs="Arial"/>
                <w:b/>
                <w:color w:val="000000" w:themeColor="text1"/>
                <w:sz w:val="20"/>
                <w:lang w:val="en-GB"/>
              </w:rPr>
              <w:t xml:space="preserve">Trade and Services </w:t>
            </w:r>
            <w:r w:rsidR="00883763" w:rsidRPr="00F6116B">
              <w:rPr>
                <w:rFonts w:cs="Arial"/>
                <w:b/>
                <w:color w:val="000000" w:themeColor="text1"/>
                <w:sz w:val="20"/>
                <w:lang w:val="en-GB"/>
              </w:rPr>
              <w:t>Department</w:t>
            </w:r>
          </w:p>
          <w:p w:rsidR="00883763" w:rsidRPr="003A5CC6" w:rsidRDefault="00883763" w:rsidP="00E74016">
            <w:pPr>
              <w:pStyle w:val="Nagwek3"/>
              <w:spacing w:before="0" w:line="240" w:lineRule="auto"/>
              <w:rPr>
                <w:rFonts w:ascii="Fira Sans" w:hAnsi="Fira Sans" w:cs="Arial"/>
                <w:b/>
                <w:color w:val="000000" w:themeColor="text1"/>
                <w:sz w:val="20"/>
                <w:szCs w:val="28"/>
                <w:lang w:val="en-US"/>
              </w:rPr>
            </w:pPr>
            <w:r w:rsidRPr="003A5CC6">
              <w:rPr>
                <w:rFonts w:ascii="Fira Sans" w:hAnsi="Fira Sans" w:cs="Arial"/>
                <w:b/>
                <w:color w:val="000000" w:themeColor="text1"/>
                <w:sz w:val="20"/>
                <w:szCs w:val="28"/>
                <w:lang w:val="en-US"/>
              </w:rPr>
              <w:t>Anna Bobel</w:t>
            </w:r>
          </w:p>
          <w:p w:rsidR="00883763" w:rsidRPr="008F3638" w:rsidRDefault="00296673" w:rsidP="00E74016">
            <w:pPr>
              <w:pStyle w:val="Nagwek3"/>
              <w:spacing w:before="0" w:line="240" w:lineRule="auto"/>
              <w:rPr>
                <w:rFonts w:ascii="Fira Sans" w:hAnsi="Fira Sans" w:cs="Arial"/>
                <w:color w:val="000000" w:themeColor="text1"/>
                <w:sz w:val="20"/>
                <w:lang w:val="fi-FI"/>
              </w:rPr>
            </w:pPr>
            <w:r w:rsidRPr="00296673">
              <w:rPr>
                <w:rFonts w:ascii="Fira Sans" w:hAnsi="Fira Sans" w:cs="Arial"/>
                <w:color w:val="000000" w:themeColor="text1"/>
                <w:sz w:val="20"/>
                <w:lang w:val="fi-FI"/>
              </w:rPr>
              <w:t>T</w:t>
            </w:r>
            <w:r w:rsidR="00883763" w:rsidRPr="00296673">
              <w:rPr>
                <w:rFonts w:ascii="Fira Sans" w:hAnsi="Fira Sans" w:cs="Arial"/>
                <w:color w:val="000000" w:themeColor="text1"/>
                <w:sz w:val="20"/>
                <w:lang w:val="fi-FI"/>
              </w:rPr>
              <w:t>el:</w:t>
            </w:r>
            <w:r w:rsidR="00883763" w:rsidRPr="008F3638">
              <w:rPr>
                <w:rFonts w:ascii="Fira Sans" w:hAnsi="Fira Sans" w:cs="Arial"/>
                <w:color w:val="000000" w:themeColor="text1"/>
                <w:sz w:val="20"/>
                <w:lang w:val="fi-FI"/>
              </w:rPr>
              <w:t xml:space="preserve"> </w:t>
            </w:r>
            <w:r w:rsidR="007E403D" w:rsidRPr="007E403D">
              <w:rPr>
                <w:rFonts w:ascii="Fira Sans" w:hAnsi="Fira Sans" w:cs="Arial"/>
                <w:color w:val="000000" w:themeColor="text1"/>
                <w:sz w:val="20"/>
                <w:lang w:val="fi-FI"/>
              </w:rPr>
              <w:t>+48</w:t>
            </w:r>
            <w:r w:rsidR="007E403D">
              <w:rPr>
                <w:rFonts w:ascii="Fira Sans" w:hAnsi="Fira Sans" w:cs="Arial"/>
                <w:color w:val="000000" w:themeColor="text1"/>
                <w:sz w:val="20"/>
                <w:lang w:val="fi-FI"/>
              </w:rPr>
              <w:t xml:space="preserve"> </w:t>
            </w:r>
            <w:r w:rsidR="00883763" w:rsidRPr="008F3638">
              <w:rPr>
                <w:rFonts w:ascii="Fira Sans" w:hAnsi="Fira Sans" w:cs="Arial"/>
                <w:color w:val="000000" w:themeColor="text1"/>
                <w:sz w:val="20"/>
                <w:lang w:val="fi-FI"/>
              </w:rPr>
              <w:t>22 </w:t>
            </w:r>
            <w:r w:rsidR="00883763">
              <w:rPr>
                <w:rFonts w:ascii="Fira Sans" w:hAnsi="Fira Sans" w:cs="Arial"/>
                <w:color w:val="000000" w:themeColor="text1"/>
                <w:sz w:val="20"/>
                <w:lang w:val="fi-FI"/>
              </w:rPr>
              <w:t>608 35 12</w:t>
            </w:r>
          </w:p>
          <w:p w:rsidR="00883763" w:rsidRPr="008F3638" w:rsidRDefault="00883763" w:rsidP="00E74016">
            <w:pPr>
              <w:pStyle w:val="Nagwek3"/>
              <w:spacing w:before="0" w:line="240" w:lineRule="auto"/>
              <w:rPr>
                <w:rFonts w:ascii="Fira Sans" w:hAnsi="Fira Sans"/>
                <w:color w:val="000000" w:themeColor="text1"/>
                <w:lang w:val="fi-FI"/>
              </w:rPr>
            </w:pPr>
            <w:r w:rsidRPr="003A5CC6">
              <w:rPr>
                <w:rFonts w:ascii="Fira Sans" w:hAnsi="Fira Sans" w:cs="Arial"/>
                <w:b/>
                <w:color w:val="000000" w:themeColor="text1"/>
                <w:sz w:val="20"/>
                <w:szCs w:val="20"/>
                <w:lang w:val="en-US"/>
              </w:rPr>
              <w:t xml:space="preserve">e-mail: </w:t>
            </w:r>
            <w:r w:rsidRPr="003A5CC6">
              <w:rPr>
                <w:rFonts w:ascii="Fira Sans" w:eastAsiaTheme="minorHAnsi" w:hAnsi="Fira Sans" w:cstheme="minorBidi"/>
                <w:color w:val="1F497D"/>
                <w:sz w:val="18"/>
                <w:szCs w:val="18"/>
                <w:lang w:val="en-US"/>
              </w:rPr>
              <w:t xml:space="preserve"> </w:t>
            </w:r>
            <w:hyperlink r:id="rId19" w:history="1">
              <w:r w:rsidRPr="00296068">
                <w:rPr>
                  <w:rStyle w:val="Hipercze"/>
                  <w:rFonts w:ascii="Fira Sans" w:hAnsi="Fira Sans" w:cs="Arial"/>
                  <w:b/>
                  <w:color w:val="000000" w:themeColor="text1"/>
                  <w:sz w:val="20"/>
                  <w:szCs w:val="20"/>
                  <w:lang w:val="en-US"/>
                </w:rPr>
                <w:t>a.bobel@stat.gov.pl</w:t>
              </w:r>
            </w:hyperlink>
          </w:p>
        </w:tc>
        <w:tc>
          <w:tcPr>
            <w:tcW w:w="3942" w:type="dxa"/>
          </w:tcPr>
          <w:p w:rsidR="00E47C9F" w:rsidRPr="00653909" w:rsidRDefault="00E47C9F" w:rsidP="00E47C9F">
            <w:pPr>
              <w:spacing w:before="0" w:after="0" w:line="276" w:lineRule="auto"/>
              <w:rPr>
                <w:rFonts w:cs="Arial"/>
                <w:b/>
                <w:color w:val="000000" w:themeColor="text1"/>
                <w:sz w:val="20"/>
                <w:lang w:val="en-GB"/>
              </w:rPr>
            </w:pPr>
            <w:r w:rsidRPr="00E47C9F">
              <w:rPr>
                <w:rFonts w:cs="Arial"/>
                <w:color w:val="000000" w:themeColor="text1"/>
                <w:sz w:val="20"/>
                <w:lang w:val="en-GB"/>
              </w:rPr>
              <w:t>Issued by:</w:t>
            </w:r>
            <w:r w:rsidRPr="00E47C9F">
              <w:rPr>
                <w:rFonts w:cs="Arial"/>
                <w:color w:val="000000" w:themeColor="text1"/>
                <w:sz w:val="20"/>
                <w:lang w:val="en-GB"/>
              </w:rPr>
              <w:br/>
            </w:r>
            <w:r w:rsidRPr="00E47C9F">
              <w:rPr>
                <w:rFonts w:cs="Arial"/>
                <w:b/>
                <w:color w:val="000000" w:themeColor="text1"/>
                <w:sz w:val="20"/>
                <w:lang w:val="en-GB"/>
              </w:rPr>
              <w:t xml:space="preserve">The </w:t>
            </w:r>
            <w:r w:rsidR="00CA3B68" w:rsidRPr="00653909">
              <w:rPr>
                <w:rFonts w:cs="Arial"/>
                <w:b/>
                <w:color w:val="000000" w:themeColor="text1"/>
                <w:sz w:val="20"/>
                <w:lang w:val="en-GB"/>
              </w:rPr>
              <w:t>Spokesperson</w:t>
            </w:r>
            <w:r w:rsidRPr="00653909">
              <w:rPr>
                <w:rFonts w:cs="Arial"/>
                <w:b/>
                <w:color w:val="000000" w:themeColor="text1"/>
                <w:sz w:val="20"/>
                <w:lang w:val="en-GB"/>
              </w:rPr>
              <w:t xml:space="preserve"> for the President </w:t>
            </w:r>
          </w:p>
          <w:p w:rsidR="00E47C9F" w:rsidRPr="00E47C9F" w:rsidRDefault="00E47C9F" w:rsidP="00E47C9F">
            <w:pPr>
              <w:spacing w:before="0" w:after="0" w:line="276" w:lineRule="auto"/>
              <w:rPr>
                <w:rFonts w:cs="Arial"/>
                <w:b/>
                <w:color w:val="000000" w:themeColor="text1"/>
                <w:sz w:val="20"/>
                <w:lang w:val="en-GB"/>
              </w:rPr>
            </w:pPr>
            <w:r w:rsidRPr="00653909">
              <w:rPr>
                <w:rFonts w:cs="Arial"/>
                <w:b/>
                <w:color w:val="000000" w:themeColor="text1"/>
                <w:sz w:val="20"/>
                <w:lang w:val="en-GB"/>
              </w:rPr>
              <w:t>of the Statistics Poland</w:t>
            </w:r>
          </w:p>
          <w:p w:rsidR="00883763" w:rsidRPr="00E47C9F" w:rsidRDefault="00E47C9F" w:rsidP="00E47C9F">
            <w:pPr>
              <w:pStyle w:val="Nagwek3"/>
              <w:spacing w:before="0" w:line="240" w:lineRule="auto"/>
              <w:rPr>
                <w:rFonts w:ascii="Fira Sans" w:hAnsi="Fira Sans" w:cs="Arial"/>
                <w:b/>
                <w:color w:val="000000" w:themeColor="text1"/>
                <w:sz w:val="20"/>
                <w:szCs w:val="28"/>
                <w:lang w:val="en-GB"/>
              </w:rPr>
            </w:pPr>
            <w:r w:rsidRPr="00E47C9F">
              <w:rPr>
                <w:rFonts w:ascii="Fira Sans" w:hAnsi="Fira Sans" w:cs="Arial"/>
                <w:b/>
                <w:color w:val="000000" w:themeColor="text1"/>
                <w:sz w:val="20"/>
                <w:szCs w:val="28"/>
                <w:lang w:val="en-GB"/>
              </w:rPr>
              <w:t>Karolina Dawidziuk</w:t>
            </w:r>
          </w:p>
          <w:p w:rsidR="00883763" w:rsidRPr="008F3638" w:rsidRDefault="00296673" w:rsidP="00E74016">
            <w:pPr>
              <w:pStyle w:val="Nagwek3"/>
              <w:spacing w:before="0" w:line="240" w:lineRule="auto"/>
              <w:rPr>
                <w:rFonts w:ascii="Fira Sans" w:hAnsi="Fira Sans" w:cs="Arial"/>
                <w:color w:val="000000" w:themeColor="text1"/>
                <w:sz w:val="20"/>
                <w:lang w:val="fi-FI"/>
              </w:rPr>
            </w:pPr>
            <w:r w:rsidRPr="00296673">
              <w:rPr>
                <w:rFonts w:ascii="Fira Sans" w:hAnsi="Fira Sans" w:cs="Arial"/>
                <w:color w:val="000000" w:themeColor="text1"/>
                <w:sz w:val="20"/>
                <w:lang w:val="fi-FI"/>
              </w:rPr>
              <w:t>T</w:t>
            </w:r>
            <w:r w:rsidR="00883763" w:rsidRPr="00296673">
              <w:rPr>
                <w:rFonts w:ascii="Fira Sans" w:hAnsi="Fira Sans" w:cs="Arial"/>
                <w:color w:val="000000" w:themeColor="text1"/>
                <w:sz w:val="20"/>
                <w:lang w:val="fi-FI"/>
              </w:rPr>
              <w:t>el:</w:t>
            </w:r>
            <w:r w:rsidR="00883763" w:rsidRPr="008F3638">
              <w:rPr>
                <w:rFonts w:ascii="Fira Sans" w:hAnsi="Fira Sans" w:cs="Arial"/>
                <w:color w:val="000000" w:themeColor="text1"/>
                <w:sz w:val="20"/>
                <w:lang w:val="fi-FI"/>
              </w:rPr>
              <w:t xml:space="preserve"> </w:t>
            </w:r>
            <w:r w:rsidR="00695F6F" w:rsidRPr="00695F6F">
              <w:rPr>
                <w:rFonts w:ascii="Fira Sans" w:hAnsi="Fira Sans" w:cs="Arial"/>
                <w:color w:val="000000" w:themeColor="text1"/>
                <w:sz w:val="20"/>
                <w:lang w:val="fi-FI"/>
              </w:rPr>
              <w:t xml:space="preserve">+48 </w:t>
            </w:r>
            <w:r w:rsidR="00883763" w:rsidRPr="008F3638">
              <w:rPr>
                <w:rFonts w:ascii="Fira Sans" w:hAnsi="Fira Sans" w:cs="Arial"/>
                <w:color w:val="000000" w:themeColor="text1"/>
                <w:sz w:val="20"/>
                <w:lang w:val="fi-FI"/>
              </w:rPr>
              <w:t>22 608 34</w:t>
            </w:r>
            <w:r w:rsidR="00883763">
              <w:rPr>
                <w:rFonts w:ascii="Fira Sans" w:hAnsi="Fira Sans" w:cs="Arial"/>
                <w:color w:val="000000" w:themeColor="text1"/>
                <w:sz w:val="20"/>
                <w:lang w:val="fi-FI"/>
              </w:rPr>
              <w:t xml:space="preserve"> </w:t>
            </w:r>
            <w:r w:rsidR="00883763" w:rsidRPr="008F3638">
              <w:rPr>
                <w:rFonts w:ascii="Fira Sans" w:hAnsi="Fira Sans" w:cs="Arial"/>
                <w:color w:val="000000" w:themeColor="text1"/>
                <w:sz w:val="20"/>
                <w:lang w:val="fi-FI"/>
              </w:rPr>
              <w:t xml:space="preserve">75, </w:t>
            </w:r>
            <w:r w:rsidR="00695F6F" w:rsidRPr="00695F6F">
              <w:rPr>
                <w:rFonts w:ascii="Fira Sans" w:hAnsi="Fira Sans" w:cs="Arial"/>
                <w:color w:val="000000" w:themeColor="text1"/>
                <w:sz w:val="20"/>
                <w:lang w:val="fi-FI"/>
              </w:rPr>
              <w:t xml:space="preserve">+48 </w:t>
            </w:r>
            <w:r w:rsidR="00883763" w:rsidRPr="008F3638">
              <w:rPr>
                <w:rFonts w:ascii="Fira Sans" w:hAnsi="Fira Sans" w:cs="Arial"/>
                <w:color w:val="000000" w:themeColor="text1"/>
                <w:sz w:val="20"/>
                <w:lang w:val="fi-FI"/>
              </w:rPr>
              <w:t>22 608 30</w:t>
            </w:r>
            <w:r w:rsidR="00883763">
              <w:rPr>
                <w:rFonts w:ascii="Fira Sans" w:hAnsi="Fira Sans" w:cs="Arial"/>
                <w:color w:val="000000" w:themeColor="text1"/>
                <w:sz w:val="20"/>
                <w:lang w:val="fi-FI"/>
              </w:rPr>
              <w:t xml:space="preserve"> </w:t>
            </w:r>
            <w:r w:rsidR="00883763" w:rsidRPr="008F3638">
              <w:rPr>
                <w:rFonts w:ascii="Fira Sans" w:hAnsi="Fira Sans" w:cs="Arial"/>
                <w:color w:val="000000" w:themeColor="text1"/>
                <w:sz w:val="20"/>
                <w:lang w:val="fi-FI"/>
              </w:rPr>
              <w:t>09</w:t>
            </w:r>
          </w:p>
          <w:p w:rsidR="00883763" w:rsidRPr="008F3638" w:rsidRDefault="00883763" w:rsidP="00E74016">
            <w:pPr>
              <w:pStyle w:val="Nagwek3"/>
              <w:spacing w:before="0" w:line="240" w:lineRule="auto"/>
              <w:rPr>
                <w:rFonts w:ascii="Fira Sans" w:hAnsi="Fira Sans" w:cs="Arial"/>
                <w:color w:val="000000" w:themeColor="text1"/>
                <w:sz w:val="20"/>
                <w:szCs w:val="20"/>
                <w:lang w:val="en-US"/>
              </w:rPr>
            </w:pPr>
            <w:r w:rsidRPr="008F3638">
              <w:rPr>
                <w:rFonts w:ascii="Fira Sans" w:hAnsi="Fira Sans" w:cs="Arial"/>
                <w:b/>
                <w:color w:val="000000" w:themeColor="text1"/>
                <w:sz w:val="20"/>
                <w:szCs w:val="20"/>
                <w:lang w:val="en-US"/>
              </w:rPr>
              <w:t xml:space="preserve">e-mail: </w:t>
            </w:r>
            <w:hyperlink r:id="rId20" w:history="1">
              <w:r w:rsidRPr="008F3638">
                <w:rPr>
                  <w:rStyle w:val="Hipercze"/>
                  <w:rFonts w:ascii="Fira Sans" w:hAnsi="Fira Sans" w:cs="Arial"/>
                  <w:b/>
                  <w:color w:val="000000" w:themeColor="text1"/>
                  <w:sz w:val="20"/>
                  <w:szCs w:val="20"/>
                  <w:lang w:val="en-US"/>
                </w:rPr>
                <w:t>rzecznik@stat.gov.pl</w:t>
              </w:r>
            </w:hyperlink>
          </w:p>
        </w:tc>
      </w:tr>
    </w:tbl>
    <w:p w:rsidR="000470AA" w:rsidRPr="00685123" w:rsidRDefault="000470AA" w:rsidP="000470AA">
      <w:pPr>
        <w:rPr>
          <w:sz w:val="18"/>
          <w:lang w:val="en-US"/>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452"/>
        <w:gridCol w:w="604"/>
        <w:gridCol w:w="3125"/>
      </w:tblGrid>
      <w:tr w:rsidR="000470AA" w:rsidRPr="00CB564A" w:rsidTr="000470AA">
        <w:trPr>
          <w:trHeight w:val="610"/>
        </w:trPr>
        <w:tc>
          <w:tcPr>
            <w:tcW w:w="2721" w:type="pct"/>
            <w:vMerge w:val="restart"/>
            <w:vAlign w:val="center"/>
          </w:tcPr>
          <w:p w:rsidR="000470AA" w:rsidRPr="000D128F" w:rsidRDefault="001047EB" w:rsidP="000470AA">
            <w:pPr>
              <w:rPr>
                <w:b/>
                <w:sz w:val="20"/>
                <w:lang w:val="en-GB"/>
              </w:rPr>
            </w:pPr>
            <w:r w:rsidRPr="000D128F">
              <w:rPr>
                <w:b/>
                <w:sz w:val="20"/>
                <w:lang w:val="en-GB"/>
              </w:rPr>
              <w:t>Press Office</w:t>
            </w:r>
          </w:p>
          <w:p w:rsidR="000470AA" w:rsidRPr="000D128F" w:rsidRDefault="00296673" w:rsidP="000470AA">
            <w:pPr>
              <w:rPr>
                <w:sz w:val="20"/>
                <w:lang w:val="en-GB"/>
              </w:rPr>
            </w:pPr>
            <w:r w:rsidRPr="007E403D">
              <w:rPr>
                <w:b/>
                <w:sz w:val="20"/>
                <w:lang w:val="en-GB"/>
              </w:rPr>
              <w:t xml:space="preserve">tel.: </w:t>
            </w:r>
            <w:r w:rsidR="006A641E" w:rsidRPr="00F27687">
              <w:rPr>
                <w:sz w:val="20"/>
                <w:lang w:val="en-GB"/>
              </w:rPr>
              <w:t xml:space="preserve">+48 </w:t>
            </w:r>
            <w:r w:rsidR="00097840" w:rsidRPr="000D128F">
              <w:rPr>
                <w:sz w:val="20"/>
                <w:lang w:val="en-GB"/>
              </w:rPr>
              <w:t>22 608 34 91, 22</w:t>
            </w:r>
            <w:r w:rsidR="000470AA" w:rsidRPr="000D128F">
              <w:rPr>
                <w:sz w:val="20"/>
                <w:lang w:val="en-GB"/>
              </w:rPr>
              <w:t xml:space="preserve"> 608 38 04 </w:t>
            </w:r>
          </w:p>
          <w:p w:rsidR="000470AA" w:rsidRPr="00685123" w:rsidRDefault="00296673" w:rsidP="000470AA">
            <w:pPr>
              <w:rPr>
                <w:sz w:val="20"/>
                <w:lang w:val="en-US"/>
              </w:rPr>
            </w:pPr>
            <w:r w:rsidRPr="007E403D">
              <w:rPr>
                <w:b/>
                <w:sz w:val="20"/>
                <w:lang w:val="en-GB"/>
              </w:rPr>
              <w:t xml:space="preserve">fax: </w:t>
            </w:r>
            <w:r w:rsidR="00215C50" w:rsidRPr="00F27687">
              <w:rPr>
                <w:sz w:val="20"/>
                <w:lang w:val="en-GB"/>
              </w:rPr>
              <w:t xml:space="preserve">+48 </w:t>
            </w:r>
            <w:r w:rsidR="00097840" w:rsidRPr="00685123">
              <w:rPr>
                <w:sz w:val="20"/>
                <w:lang w:val="en-US"/>
              </w:rPr>
              <w:t>22</w:t>
            </w:r>
            <w:r w:rsidR="000470AA" w:rsidRPr="00685123">
              <w:rPr>
                <w:sz w:val="20"/>
                <w:lang w:val="en-US"/>
              </w:rPr>
              <w:t xml:space="preserve"> 608 38 86 </w:t>
            </w:r>
          </w:p>
          <w:p w:rsidR="000470AA" w:rsidRPr="00685123" w:rsidRDefault="000470AA" w:rsidP="000470AA">
            <w:pPr>
              <w:rPr>
                <w:sz w:val="18"/>
                <w:lang w:val="en-US"/>
              </w:rPr>
            </w:pPr>
            <w:r w:rsidRPr="00685123">
              <w:rPr>
                <w:b/>
                <w:sz w:val="20"/>
                <w:lang w:val="en-US"/>
              </w:rPr>
              <w:t>e-mail:</w:t>
            </w:r>
            <w:r w:rsidRPr="00685123">
              <w:rPr>
                <w:sz w:val="20"/>
                <w:lang w:val="en-US"/>
              </w:rPr>
              <w:t xml:space="preserve"> </w:t>
            </w:r>
            <w:hyperlink r:id="rId21" w:history="1">
              <w:r w:rsidRPr="00685123">
                <w:rPr>
                  <w:rStyle w:val="Hipercze"/>
                  <w:rFonts w:cstheme="minorBidi"/>
                  <w:sz w:val="20"/>
                  <w:lang w:val="en-US"/>
                </w:rPr>
                <w:t>obslugaprasowa@stat.gov.pl</w:t>
              </w:r>
            </w:hyperlink>
          </w:p>
        </w:tc>
        <w:tc>
          <w:tcPr>
            <w:tcW w:w="369" w:type="pct"/>
            <w:vAlign w:val="center"/>
          </w:tcPr>
          <w:p w:rsidR="000470AA" w:rsidRPr="00685123" w:rsidRDefault="000470AA" w:rsidP="000470AA">
            <w:pPr>
              <w:rPr>
                <w:sz w:val="18"/>
                <w:lang w:val="en-US"/>
              </w:rPr>
            </w:pPr>
            <w:r>
              <w:rPr>
                <w:noProof/>
                <w:sz w:val="20"/>
                <w:lang w:eastAsia="pl-PL"/>
              </w:rPr>
              <w:drawing>
                <wp:anchor distT="0" distB="0" distL="114300" distR="114300" simplePos="0" relativeHeight="251654144" behindDoc="0" locked="0" layoutInCell="1" allowOverlap="1">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vAlign w:val="center"/>
          </w:tcPr>
          <w:p w:rsidR="000470AA" w:rsidRPr="007E403D" w:rsidRDefault="007E403D" w:rsidP="000470AA">
            <w:pPr>
              <w:rPr>
                <w:sz w:val="18"/>
                <w:lang w:val="en-US"/>
              </w:rPr>
            </w:pPr>
            <w:r w:rsidRPr="007E403D">
              <w:rPr>
                <w:sz w:val="20"/>
                <w:lang w:val="en-US"/>
              </w:rPr>
              <w:t>www.stat.gov.pl/en/</w:t>
            </w:r>
          </w:p>
        </w:tc>
      </w:tr>
      <w:tr w:rsidR="000470AA" w:rsidTr="000470AA">
        <w:trPr>
          <w:trHeight w:val="436"/>
        </w:trPr>
        <w:tc>
          <w:tcPr>
            <w:tcW w:w="2721" w:type="pct"/>
            <w:vMerge/>
            <w:vAlign w:val="center"/>
          </w:tcPr>
          <w:p w:rsidR="000470AA" w:rsidRPr="007E403D" w:rsidRDefault="000470AA" w:rsidP="000470AA">
            <w:pPr>
              <w:rPr>
                <w:sz w:val="18"/>
                <w:lang w:val="en-US"/>
              </w:rPr>
            </w:pPr>
          </w:p>
        </w:tc>
        <w:tc>
          <w:tcPr>
            <w:tcW w:w="369" w:type="pct"/>
            <w:vAlign w:val="center"/>
          </w:tcPr>
          <w:p w:rsidR="000470AA" w:rsidRPr="007E403D" w:rsidRDefault="000470AA" w:rsidP="000470AA">
            <w:pPr>
              <w:rPr>
                <w:sz w:val="18"/>
                <w:lang w:val="en-US"/>
              </w:rPr>
            </w:pPr>
            <w:r>
              <w:rPr>
                <w:noProof/>
                <w:sz w:val="20"/>
                <w:lang w:eastAsia="pl-PL"/>
              </w:rPr>
              <w:drawing>
                <wp:anchor distT="0" distB="0" distL="114300" distR="114300" simplePos="0" relativeHeight="251658240" behindDoc="0" locked="0" layoutInCell="1" allowOverlap="1">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rsidR="000470AA" w:rsidRDefault="007E403D" w:rsidP="000470AA">
            <w:pPr>
              <w:rPr>
                <w:sz w:val="18"/>
              </w:rPr>
            </w:pPr>
            <w:r w:rsidRPr="007E403D">
              <w:rPr>
                <w:sz w:val="20"/>
              </w:rPr>
              <w:t>@StatPoland</w:t>
            </w:r>
          </w:p>
        </w:tc>
      </w:tr>
      <w:tr w:rsidR="000470AA" w:rsidTr="000470AA">
        <w:trPr>
          <w:trHeight w:val="436"/>
        </w:trPr>
        <w:tc>
          <w:tcPr>
            <w:tcW w:w="2721" w:type="pct"/>
            <w:vMerge/>
            <w:vAlign w:val="center"/>
          </w:tcPr>
          <w:p w:rsidR="000470AA" w:rsidRDefault="000470AA" w:rsidP="000470AA">
            <w:pPr>
              <w:rPr>
                <w:sz w:val="18"/>
              </w:rPr>
            </w:pPr>
          </w:p>
        </w:tc>
        <w:tc>
          <w:tcPr>
            <w:tcW w:w="369" w:type="pct"/>
            <w:vAlign w:val="center"/>
          </w:tcPr>
          <w:p w:rsidR="000470AA" w:rsidRDefault="000470AA" w:rsidP="000470AA">
            <w:pPr>
              <w:rPr>
                <w:sz w:val="18"/>
              </w:rPr>
            </w:pPr>
            <w:r>
              <w:rPr>
                <w:noProof/>
                <w:sz w:val="20"/>
                <w:lang w:eastAsia="pl-PL"/>
              </w:rPr>
              <w:drawing>
                <wp:anchor distT="0" distB="0" distL="114300" distR="114300" simplePos="0" relativeHeight="251656192" behindDoc="0" locked="0" layoutInCell="1" allowOverlap="1">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rsidR="000470AA" w:rsidRDefault="000470AA" w:rsidP="000470AA">
            <w:pPr>
              <w:rPr>
                <w:sz w:val="20"/>
              </w:rPr>
            </w:pPr>
            <w:r w:rsidRPr="003D5F42">
              <w:rPr>
                <w:sz w:val="20"/>
              </w:rPr>
              <w:t>@GlownyUrzadStatystyczny</w:t>
            </w:r>
          </w:p>
        </w:tc>
      </w:tr>
    </w:tbl>
    <w:p w:rsidR="00D261A2" w:rsidRPr="00001C5B" w:rsidRDefault="00053C36" w:rsidP="00E76D26">
      <w:pPr>
        <w:rPr>
          <w:sz w:val="18"/>
        </w:rPr>
      </w:pPr>
      <w:r>
        <w:rPr>
          <w:noProof/>
          <w:sz w:val="18"/>
          <w:lang w:eastAsia="pl-PL"/>
        </w:rPr>
        <w:pict>
          <v:shape id="_x0000_s1039" type="#_x0000_t202" style="position:absolute;margin-left:1.5pt;margin-top:34.7pt;width:516.5pt;height:349.85pt;z-index:251744256;visibility:visible;mso-wrap-distance-top:3.6pt;mso-wrap-distance-bottom:3.6pt;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" fillcolor="#f2f2f2 [3052]" strokecolor="white [3212]">
            <v:textbox style="mso-next-textbox:#_x0000_s1039">
              <w:txbxContent>
                <w:p w:rsidR="00883763" w:rsidRDefault="00883763" w:rsidP="00883763">
                  <w:pPr>
                    <w:rPr>
                      <w:b/>
                    </w:rPr>
                  </w:pPr>
                </w:p>
                <w:p w:rsidR="00883763" w:rsidRPr="000D128F" w:rsidRDefault="00BB6820" w:rsidP="00883763">
                  <w:pPr>
                    <w:rPr>
                      <w:b/>
                      <w:lang w:val="en-GB"/>
                    </w:rPr>
                  </w:pPr>
                  <w:r w:rsidRPr="000D128F">
                    <w:rPr>
                      <w:b/>
                      <w:lang w:val="en-GB"/>
                    </w:rPr>
                    <w:t>Related information</w:t>
                  </w:r>
                </w:p>
                <w:p w:rsidR="00883763" w:rsidRPr="00BB6820" w:rsidRDefault="00053C36" w:rsidP="00883763">
                  <w:pPr>
                    <w:rPr>
                      <w:rStyle w:val="Hipercze"/>
                      <w:rFonts w:cs="Arial"/>
                      <w:color w:val="001D77"/>
                      <w:sz w:val="18"/>
                      <w:szCs w:val="30"/>
                      <w:shd w:val="clear" w:color="auto" w:fill="F0F0F0"/>
                      <w:lang w:val="en-GB"/>
                    </w:rPr>
                  </w:pPr>
                  <w:hyperlink r:id="rId25" w:history="1">
                    <w:r w:rsidR="00BB6820" w:rsidRPr="00BB6820">
                      <w:rPr>
                        <w:rStyle w:val="Hipercze"/>
                        <w:rFonts w:cs="Arial"/>
                        <w:color w:val="001D77"/>
                        <w:sz w:val="18"/>
                        <w:szCs w:val="30"/>
                        <w:shd w:val="clear" w:color="auto" w:fill="F0F0F0"/>
                        <w:lang w:val="en-GB"/>
                      </w:rPr>
                      <w:t>Communications and Announcements</w:t>
                    </w:r>
                  </w:hyperlink>
                </w:p>
                <w:p w:rsidR="00883763" w:rsidRPr="00BB6820" w:rsidRDefault="00053C36" w:rsidP="00883763">
                  <w:pPr>
                    <w:rPr>
                      <w:rStyle w:val="Hipercze"/>
                      <w:rFonts w:cs="Arial"/>
                      <w:color w:val="001D77"/>
                      <w:sz w:val="18"/>
                      <w:szCs w:val="30"/>
                      <w:shd w:val="clear" w:color="auto" w:fill="F0F0F0"/>
                      <w:lang w:val="en-GB"/>
                    </w:rPr>
                  </w:pPr>
                  <w:hyperlink r:id="rId26" w:history="1">
                    <w:r w:rsidR="00BB6820" w:rsidRPr="00BB6820">
                      <w:rPr>
                        <w:rStyle w:val="Hipercze"/>
                        <w:rFonts w:cs="Arial"/>
                        <w:color w:val="001D77"/>
                        <w:sz w:val="18"/>
                        <w:szCs w:val="30"/>
                        <w:shd w:val="clear" w:color="auto" w:fill="F0F0F0"/>
                        <w:lang w:val="en-GB"/>
                      </w:rPr>
                      <w:t>News releases</w:t>
                    </w:r>
                  </w:hyperlink>
                </w:p>
                <w:p w:rsidR="00883763" w:rsidRPr="00BB6820" w:rsidRDefault="00883763" w:rsidP="00883763">
                  <w:pPr>
                    <w:rPr>
                      <w:b/>
                      <w:color w:val="000000" w:themeColor="text1"/>
                      <w:szCs w:val="24"/>
                      <w:lang w:val="en-GB"/>
                    </w:rPr>
                  </w:pPr>
                </w:p>
                <w:p w:rsidR="00883763" w:rsidRPr="000D128F" w:rsidRDefault="00BB6820" w:rsidP="00883763">
                  <w:pPr>
                    <w:rPr>
                      <w:b/>
                      <w:color w:val="000000" w:themeColor="text1"/>
                      <w:szCs w:val="24"/>
                      <w:lang w:val="en-GB"/>
                    </w:rPr>
                  </w:pPr>
                  <w:r w:rsidRPr="000D128F">
                    <w:rPr>
                      <w:b/>
                      <w:color w:val="000000" w:themeColor="text1"/>
                      <w:szCs w:val="24"/>
                      <w:lang w:val="en-GB"/>
                    </w:rPr>
                    <w:t>Data available in databases</w:t>
                  </w:r>
                </w:p>
                <w:p w:rsidR="00883763" w:rsidRPr="00BB6820" w:rsidRDefault="00053C36" w:rsidP="00883763">
                  <w:pPr>
                    <w:rPr>
                      <w:rStyle w:val="Hipercze"/>
                      <w:rFonts w:cs="Arial"/>
                      <w:color w:val="001D77"/>
                      <w:sz w:val="18"/>
                      <w:szCs w:val="30"/>
                      <w:shd w:val="clear" w:color="auto" w:fill="F0F0F0"/>
                      <w:lang w:val="en-GB"/>
                    </w:rPr>
                  </w:pPr>
                  <w:hyperlink r:id="rId27" w:history="1">
                    <w:r w:rsidR="00BB6820" w:rsidRPr="00BB6820">
                      <w:rPr>
                        <w:rStyle w:val="Hipercze"/>
                        <w:rFonts w:cs="Arial"/>
                        <w:color w:val="001D77"/>
                        <w:sz w:val="18"/>
                        <w:szCs w:val="30"/>
                        <w:shd w:val="clear" w:color="auto" w:fill="F0F0F0"/>
                        <w:lang w:val="en-GB"/>
                      </w:rPr>
                      <w:t>Knowledge Databases</w:t>
                    </w:r>
                    <w:r w:rsidR="00883763" w:rsidRPr="00BB6820">
                      <w:rPr>
                        <w:rStyle w:val="Hipercze"/>
                        <w:rFonts w:cs="Arial"/>
                        <w:color w:val="001D77"/>
                        <w:sz w:val="18"/>
                        <w:szCs w:val="30"/>
                        <w:shd w:val="clear" w:color="auto" w:fill="F0F0F0"/>
                        <w:lang w:val="en-GB"/>
                      </w:rPr>
                      <w:t xml:space="preserve"> (DBW) </w:t>
                    </w:r>
                    <w:r w:rsidR="00BB6820" w:rsidRPr="00BB6820">
                      <w:rPr>
                        <w:rStyle w:val="Hipercze"/>
                        <w:rFonts w:cs="Arial"/>
                        <w:color w:val="001D77"/>
                        <w:sz w:val="18"/>
                        <w:szCs w:val="30"/>
                        <w:shd w:val="clear" w:color="auto" w:fill="F0F0F0"/>
                        <w:lang w:val="en-GB"/>
                      </w:rPr>
                      <w:t>Prices</w:t>
                    </w:r>
                  </w:hyperlink>
                </w:p>
                <w:p w:rsidR="00883763" w:rsidRPr="008D69B1" w:rsidRDefault="00053C36" w:rsidP="00883763">
                  <w:pPr>
                    <w:rPr>
                      <w:rStyle w:val="Hipercze"/>
                      <w:rFonts w:cs="Arial"/>
                      <w:color w:val="001D77"/>
                      <w:sz w:val="18"/>
                      <w:szCs w:val="30"/>
                      <w:shd w:val="clear" w:color="auto" w:fill="F0F0F0"/>
                      <w:lang w:val="en-GB"/>
                    </w:rPr>
                  </w:pPr>
                  <w:hyperlink r:id="rId28" w:history="1">
                    <w:r w:rsidR="008D69B1" w:rsidRPr="008D69B1">
                      <w:rPr>
                        <w:rStyle w:val="Hipercze"/>
                        <w:rFonts w:cs="Arial"/>
                        <w:color w:val="001D77"/>
                        <w:sz w:val="18"/>
                        <w:szCs w:val="30"/>
                        <w:shd w:val="clear" w:color="auto" w:fill="F0F0F0"/>
                        <w:lang w:val="en-GB"/>
                      </w:rPr>
                      <w:t>Macroeconomic Data Bank</w:t>
                    </w:r>
                    <w:r w:rsidR="00883763" w:rsidRPr="008D69B1">
                      <w:rPr>
                        <w:rStyle w:val="Hipercze"/>
                        <w:rFonts w:cs="Arial"/>
                        <w:color w:val="001D77"/>
                        <w:sz w:val="18"/>
                        <w:szCs w:val="30"/>
                        <w:shd w:val="clear" w:color="auto" w:fill="F0F0F0"/>
                        <w:lang w:val="en-GB"/>
                      </w:rPr>
                      <w:t xml:space="preserve"> (BDM)</w:t>
                    </w:r>
                  </w:hyperlink>
                </w:p>
                <w:p w:rsidR="00883763" w:rsidRPr="008D69B1" w:rsidRDefault="00053C36" w:rsidP="00883763">
                  <w:pPr>
                    <w:rPr>
                      <w:rStyle w:val="Hipercze"/>
                      <w:rFonts w:cs="Arial"/>
                      <w:color w:val="001D77"/>
                      <w:sz w:val="18"/>
                      <w:szCs w:val="30"/>
                      <w:shd w:val="clear" w:color="auto" w:fill="F0F0F0"/>
                      <w:lang w:val="en-GB"/>
                    </w:rPr>
                  </w:pPr>
                  <w:hyperlink r:id="rId29" w:history="1">
                    <w:r w:rsidR="00BB6820" w:rsidRPr="008A290B">
                      <w:rPr>
                        <w:rStyle w:val="Hipercze"/>
                        <w:rFonts w:cs="Arial"/>
                        <w:color w:val="001D77"/>
                        <w:sz w:val="18"/>
                        <w:szCs w:val="30"/>
                        <w:shd w:val="clear" w:color="auto" w:fill="F0F0F0"/>
                        <w:lang w:val="en-GB"/>
                      </w:rPr>
                      <w:t>Local Data Bank (BDL)</w:t>
                    </w:r>
                  </w:hyperlink>
                </w:p>
                <w:p w:rsidR="00883763" w:rsidRPr="00BB6820" w:rsidRDefault="00053C36" w:rsidP="00883763">
                  <w:pPr>
                    <w:rPr>
                      <w:rStyle w:val="Hipercze"/>
                      <w:rFonts w:cs="Arial"/>
                      <w:color w:val="001D77"/>
                      <w:sz w:val="18"/>
                      <w:szCs w:val="30"/>
                      <w:shd w:val="clear" w:color="auto" w:fill="F0F0F0"/>
                      <w:lang w:val="en-GB"/>
                    </w:rPr>
                  </w:pPr>
                  <w:hyperlink r:id="rId30" w:history="1">
                    <w:r w:rsidR="00BB6820" w:rsidRPr="00BB6820">
                      <w:rPr>
                        <w:rStyle w:val="Hipercze"/>
                        <w:rFonts w:cs="Arial"/>
                        <w:color w:val="001D77"/>
                        <w:sz w:val="18"/>
                        <w:szCs w:val="30"/>
                        <w:shd w:val="clear" w:color="auto" w:fill="F0F0F0"/>
                        <w:lang w:val="en-GB"/>
                      </w:rPr>
                      <w:t xml:space="preserve">Price indices </w:t>
                    </w:r>
                    <w:r w:rsidR="00883763" w:rsidRPr="00BB6820">
                      <w:rPr>
                        <w:rStyle w:val="Hipercze"/>
                        <w:rFonts w:cs="Arial"/>
                        <w:color w:val="001D77"/>
                        <w:sz w:val="18"/>
                        <w:szCs w:val="30"/>
                        <w:shd w:val="clear" w:color="auto" w:fill="F0F0F0"/>
                        <w:lang w:val="en-GB"/>
                      </w:rPr>
                      <w:t>(</w:t>
                    </w:r>
                    <w:r w:rsidR="00BB6820" w:rsidRPr="00BB6820">
                      <w:rPr>
                        <w:rStyle w:val="Hipercze"/>
                        <w:rFonts w:cs="Arial"/>
                        <w:color w:val="001D77"/>
                        <w:sz w:val="18"/>
                        <w:szCs w:val="30"/>
                        <w:shd w:val="clear" w:color="auto" w:fill="F0F0F0"/>
                        <w:lang w:val="en-GB"/>
                      </w:rPr>
                      <w:t>Topics: Prices, Trade</w:t>
                    </w:r>
                    <w:r w:rsidR="00883763" w:rsidRPr="00BB6820">
                      <w:rPr>
                        <w:rStyle w:val="Hipercze"/>
                        <w:rFonts w:cs="Arial"/>
                        <w:color w:val="001D77"/>
                        <w:sz w:val="18"/>
                        <w:szCs w:val="30"/>
                        <w:shd w:val="clear" w:color="auto" w:fill="F0F0F0"/>
                        <w:lang w:val="en-GB"/>
                      </w:rPr>
                      <w:t>)</w:t>
                    </w:r>
                  </w:hyperlink>
                </w:p>
                <w:p w:rsidR="00883763" w:rsidRPr="00BB6820" w:rsidRDefault="00053C36" w:rsidP="00883763">
                  <w:pPr>
                    <w:rPr>
                      <w:rStyle w:val="Hipercze"/>
                      <w:rFonts w:cs="Arial"/>
                      <w:color w:val="001D77"/>
                      <w:sz w:val="18"/>
                      <w:szCs w:val="30"/>
                      <w:shd w:val="clear" w:color="auto" w:fill="F0F0F0"/>
                      <w:lang w:val="en-GB"/>
                    </w:rPr>
                  </w:pPr>
                  <w:hyperlink r:id="rId31" w:history="1">
                    <w:r w:rsidR="00F11750" w:rsidRPr="00BB6820">
                      <w:rPr>
                        <w:rStyle w:val="Hipercze"/>
                        <w:rFonts w:cs="Arial"/>
                        <w:color w:val="001D77"/>
                        <w:sz w:val="18"/>
                        <w:szCs w:val="30"/>
                        <w:shd w:val="clear" w:color="auto" w:fill="F0F0F0"/>
                        <w:lang w:val="en-GB"/>
                      </w:rPr>
                      <w:t>Prices (Topics: Prices, Trade)</w:t>
                    </w:r>
                  </w:hyperlink>
                  <w:r w:rsidR="00F11750" w:rsidRPr="00BB6820">
                    <w:rPr>
                      <w:rStyle w:val="Hipercze"/>
                      <w:rFonts w:cs="Arial"/>
                      <w:color w:val="001D77"/>
                      <w:sz w:val="18"/>
                      <w:szCs w:val="30"/>
                      <w:shd w:val="clear" w:color="auto" w:fill="F0F0F0"/>
                      <w:lang w:val="en-GB"/>
                    </w:rPr>
                    <w:t xml:space="preserve"> </w:t>
                  </w:r>
                </w:p>
                <w:p w:rsidR="00883763" w:rsidRPr="00BB6820" w:rsidRDefault="00883763" w:rsidP="00883763">
                  <w:pPr>
                    <w:rPr>
                      <w:b/>
                      <w:color w:val="000000" w:themeColor="text1"/>
                      <w:szCs w:val="24"/>
                      <w:lang w:val="en-GB"/>
                    </w:rPr>
                  </w:pPr>
                </w:p>
                <w:p w:rsidR="00883763" w:rsidRPr="00BB6820" w:rsidRDefault="00BB6820" w:rsidP="00883763">
                  <w:pPr>
                    <w:rPr>
                      <w:b/>
                      <w:color w:val="000000" w:themeColor="text1"/>
                      <w:szCs w:val="24"/>
                      <w:lang w:val="en-GB"/>
                    </w:rPr>
                  </w:pPr>
                  <w:r w:rsidRPr="00BB6820">
                    <w:rPr>
                      <w:b/>
                      <w:color w:val="000000" w:themeColor="text1"/>
                      <w:szCs w:val="24"/>
                      <w:lang w:val="en-GB"/>
                    </w:rPr>
                    <w:t>Terms used in official statistics</w:t>
                  </w:r>
                </w:p>
                <w:p w:rsidR="00883763" w:rsidRPr="00C05B37" w:rsidRDefault="00053C36" w:rsidP="00883763">
                  <w:pPr>
                    <w:rPr>
                      <w:rStyle w:val="Hipercze"/>
                      <w:rFonts w:cs="Arial"/>
                      <w:color w:val="001D77"/>
                      <w:sz w:val="18"/>
                      <w:szCs w:val="30"/>
                      <w:shd w:val="clear" w:color="auto" w:fill="F0F0F0"/>
                      <w:lang w:val="en-GB"/>
                    </w:rPr>
                  </w:pPr>
                  <w:hyperlink r:id="rId32" w:history="1">
                    <w:r w:rsidR="00C05B37" w:rsidRPr="00C05B37">
                      <w:rPr>
                        <w:rStyle w:val="Hipercze"/>
                        <w:rFonts w:cs="Arial"/>
                        <w:color w:val="001D77"/>
                        <w:sz w:val="18"/>
                        <w:szCs w:val="30"/>
                        <w:shd w:val="clear" w:color="auto" w:fill="F0F0F0"/>
                        <w:lang w:val="en-GB"/>
                      </w:rPr>
                      <w:t>Price index of consumer goods and services</w:t>
                    </w:r>
                  </w:hyperlink>
                </w:p>
                <w:p w:rsidR="00883763" w:rsidRPr="008D69B1" w:rsidRDefault="00053C36" w:rsidP="00EA3A3A">
                  <w:pPr>
                    <w:rPr>
                      <w:rStyle w:val="Hipercze"/>
                      <w:rFonts w:cs="Arial"/>
                      <w:color w:val="001D77"/>
                      <w:sz w:val="18"/>
                      <w:szCs w:val="30"/>
                      <w:shd w:val="clear" w:color="auto" w:fill="F0F0F0"/>
                      <w:lang w:val="en-GB"/>
                    </w:rPr>
                  </w:pPr>
                  <w:hyperlink r:id="rId33" w:history="1">
                    <w:r w:rsidR="00EA3A3A" w:rsidRPr="008A290B">
                      <w:rPr>
                        <w:rStyle w:val="Hipercze"/>
                        <w:rFonts w:cs="Arial"/>
                        <w:color w:val="001D77"/>
                        <w:sz w:val="18"/>
                        <w:szCs w:val="30"/>
                        <w:shd w:val="clear" w:color="auto" w:fill="F0F0F0"/>
                        <w:lang w:val="en-GB"/>
                      </w:rPr>
                      <w:t>Retail price</w:t>
                    </w:r>
                  </w:hyperlink>
                </w:p>
              </w:txbxContent>
            </v:textbox>
            <w10:wrap type="square" anchorx="margin"/>
          </v:shape>
        </w:pict>
      </w:r>
    </w:p>
    <w:sectPr w:rsidR="00D261A2" w:rsidRPr="00001C5B" w:rsidSect="00685123">
      <w:headerReference w:type="default" r:id="rId34"/>
      <w:footerReference w:type="default" r:id="rId35"/>
      <w:footnotePr>
        <w:numFmt w:val="lowerLetter"/>
      </w:footnotePr>
      <w:pgSz w:w="11906" w:h="16838" w:code="9"/>
      <w:pgMar w:top="720" w:right="3119" w:bottom="720" w:left="720" w:header="170"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3C36" w:rsidRDefault="00053C36" w:rsidP="000662E2">
      <w:pPr>
        <w:spacing w:after="0" w:line="240" w:lineRule="auto"/>
      </w:pPr>
      <w:r>
        <w:separator/>
      </w:r>
    </w:p>
  </w:endnote>
  <w:endnote w:type="continuationSeparator" w:id="0">
    <w:p w:rsidR="00053C36" w:rsidRDefault="00053C36"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embedRegular r:id="rId1" w:fontKey="{B76DBD7F-2873-4625-B897-D0127F42601B}"/>
    <w:embedBold r:id="rId2" w:fontKey="{2656C392-E3F1-4BF2-8D0A-8E067CC9989C}"/>
  </w:font>
  <w:font w:name="Fira Sans">
    <w:panose1 w:val="020B0503050000020004"/>
    <w:charset w:val="EE"/>
    <w:family w:val="swiss"/>
    <w:pitch w:val="variable"/>
    <w:sig w:usb0="600002FF" w:usb1="02000001" w:usb2="00000000" w:usb3="00000000" w:csb0="0000019F" w:csb1="00000000"/>
    <w:embedRegular r:id="rId3" w:fontKey="{159FCCED-966E-4F13-9662-0D0E0288877F}"/>
    <w:embedBold r:id="rId4" w:fontKey="{D4CFB0C4-EAC0-453C-9A7F-769872751ED2}"/>
  </w:font>
  <w:font w:name="Fira Sans SemiBold">
    <w:panose1 w:val="020B0603050000020004"/>
    <w:charset w:val="EE"/>
    <w:family w:val="swiss"/>
    <w:pitch w:val="variable"/>
    <w:sig w:usb0="600002FF" w:usb1="02000001" w:usb2="00000000" w:usb3="00000000" w:csb0="0000019F" w:csb1="00000000"/>
    <w:embedRegular r:id="rId5" w:fontKey="{E6244CF0-1D19-4DF7-8E88-F2C776191EB8}"/>
    <w:embedBold r:id="rId6" w:fontKey="{BD436C9A-3BB6-4560-80ED-7F2EF566A060}"/>
  </w:font>
  <w:font w:name="Fira Sans Medium">
    <w:panose1 w:val="020B0603050000020004"/>
    <w:charset w:val="EE"/>
    <w:family w:val="swiss"/>
    <w:pitch w:val="variable"/>
    <w:sig w:usb0="600002FF" w:usb1="02000001" w:usb2="00000000" w:usb3="00000000" w:csb0="0000019F" w:csb1="00000000"/>
    <w:embedRegular r:id="rId7" w:fontKey="{75288364-4042-4855-8E9B-8867061C6CE2}"/>
    <w:embedItalic r:id="rId8" w:fontKey="{420D0EF3-C273-4936-B887-AD384582DD21}"/>
  </w:font>
  <w:font w:name="Segoe UI">
    <w:panose1 w:val="020B0502040204020203"/>
    <w:charset w:val="EE"/>
    <w:family w:val="swiss"/>
    <w:pitch w:val="variable"/>
    <w:sig w:usb0="E4002EFF" w:usb1="C000E47F" w:usb2="00000009" w:usb3="00000000" w:csb0="000001FF" w:csb1="00000000"/>
    <w:embedRegular r:id="rId9" w:fontKey="{0D815512-BEF8-4EB4-B37A-B523342A2AE4}"/>
  </w:font>
  <w:font w:name="Fira Sans Extra Condensed SemiB">
    <w:panose1 w:val="020B0603050000020004"/>
    <w:charset w:val="EE"/>
    <w:family w:val="swiss"/>
    <w:pitch w:val="variable"/>
    <w:sig w:usb0="600002FF" w:usb1="00000001" w:usb2="00000000" w:usb3="00000000" w:csb0="0000019F" w:csb1="00000000"/>
    <w:embedRegular r:id="rId10" w:fontKey="{36F7C0B9-6276-476F-BFB6-3345E91F96F3}"/>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90487"/>
      <w:docPartObj>
        <w:docPartGallery w:val="Page Numbers (Bottom of Page)"/>
        <w:docPartUnique/>
      </w:docPartObj>
    </w:sdtPr>
    <w:sdtEndPr/>
    <w:sdtContent>
      <w:p w:rsidR="00685123" w:rsidRDefault="00D97627" w:rsidP="003B18B6">
        <w:pPr>
          <w:pStyle w:val="Stopka"/>
          <w:jc w:val="center"/>
        </w:pPr>
        <w:r>
          <w:fldChar w:fldCharType="begin"/>
        </w:r>
        <w:r w:rsidR="00E74016">
          <w:instrText>PAGE   \* MERGEFORMAT</w:instrText>
        </w:r>
        <w:r>
          <w:fldChar w:fldCharType="separate"/>
        </w:r>
        <w:r w:rsidR="00CB564A">
          <w:rPr>
            <w:noProof/>
          </w:rPr>
          <w:t>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90488"/>
      <w:docPartObj>
        <w:docPartGallery w:val="Page Numbers (Bottom of Page)"/>
        <w:docPartUnique/>
      </w:docPartObj>
    </w:sdtPr>
    <w:sdtEndPr/>
    <w:sdtContent>
      <w:p w:rsidR="00685123" w:rsidRDefault="00D97627" w:rsidP="003B18B6">
        <w:pPr>
          <w:pStyle w:val="Stopka"/>
          <w:jc w:val="center"/>
        </w:pPr>
        <w:r>
          <w:fldChar w:fldCharType="begin"/>
        </w:r>
        <w:r w:rsidR="00E74016">
          <w:instrText>PAGE   \* MERGEFORMAT</w:instrText>
        </w:r>
        <w:r>
          <w:fldChar w:fldCharType="separate"/>
        </w:r>
        <w:r w:rsidR="00CB564A">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rsidR="00685123" w:rsidRDefault="00D97627" w:rsidP="003B18B6">
        <w:pPr>
          <w:pStyle w:val="Stopka"/>
          <w:jc w:val="center"/>
        </w:pPr>
        <w:r>
          <w:fldChar w:fldCharType="begin"/>
        </w:r>
        <w:r w:rsidR="00E74016">
          <w:instrText>PAGE   \* MERGEFORMAT</w:instrText>
        </w:r>
        <w:r>
          <w:fldChar w:fldCharType="separate"/>
        </w:r>
        <w:r w:rsidR="00CB564A">
          <w:rPr>
            <w:noProof/>
          </w:rPr>
          <w:t>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3C36" w:rsidRDefault="00053C36" w:rsidP="000662E2">
      <w:pPr>
        <w:spacing w:after="0" w:line="240" w:lineRule="auto"/>
      </w:pPr>
      <w:r>
        <w:separator/>
      </w:r>
    </w:p>
  </w:footnote>
  <w:footnote w:type="continuationSeparator" w:id="0">
    <w:p w:rsidR="00053C36" w:rsidRDefault="00053C36" w:rsidP="000662E2">
      <w:pPr>
        <w:spacing w:after="0" w:line="240" w:lineRule="auto"/>
      </w:pPr>
      <w:r>
        <w:continuationSeparator/>
      </w:r>
    </w:p>
  </w:footnote>
  <w:footnote w:id="1">
    <w:p w:rsidR="002C5135" w:rsidRPr="004617A9" w:rsidRDefault="00AB7DB1" w:rsidP="00AB7DB1">
      <w:pPr>
        <w:pStyle w:val="Tekstprzypisudolnego"/>
        <w:spacing w:before="0"/>
        <w:rPr>
          <w:bCs/>
          <w:sz w:val="16"/>
          <w:szCs w:val="16"/>
          <w:lang w:val="en-GB"/>
        </w:rPr>
      </w:pPr>
      <w:r>
        <w:rPr>
          <w:rStyle w:val="Odwoanieprzypisudolnego"/>
        </w:rPr>
        <w:footnoteRef/>
      </w:r>
      <w:r w:rsidRPr="004617A9">
        <w:rPr>
          <w:lang w:val="en-GB"/>
        </w:rPr>
        <w:t xml:space="preserve"> </w:t>
      </w:r>
      <w:r w:rsidR="004617A9" w:rsidRPr="004617A9">
        <w:rPr>
          <w:bCs/>
          <w:sz w:val="16"/>
          <w:szCs w:val="16"/>
          <w:lang w:val="en-GB"/>
        </w:rPr>
        <w:t>Data are preliminary and are presented in a narrower scope. It is calculated based on the structure of households’ expenditure (excluding own consumption) from 2016. Data calculated based on the structure of households’ expenditure (excluding own consumption) from 2017 will be published on 15.03.2018.</w:t>
      </w:r>
      <w:r w:rsidRPr="004617A9">
        <w:rPr>
          <w:bCs/>
          <w:sz w:val="16"/>
          <w:szCs w:val="16"/>
          <w:lang w:val="en-GB"/>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5123" w:rsidRDefault="00053C36">
    <w:pPr>
      <w:pStyle w:val="Nagwek"/>
    </w:pPr>
    <w:r>
      <w:rPr>
        <w:noProof/>
        <w:lang w:eastAsia="pl-PL"/>
      </w:rPr>
      <w:pict>
        <v:rect id="Prostokąt 24" o:spid="_x0000_s2052" style="position:absolute;margin-left:410.6pt;margin-top:-14.05pt;width:147.6pt;height:1785.85pt;z-index:-2516541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w:r>
  </w:p>
  <w:p w:rsidR="00685123" w:rsidRDefault="00685123">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5123" w:rsidRDefault="00053C36">
    <w:pPr>
      <w:pStyle w:val="Nagwek"/>
      <w:rPr>
        <w:noProof/>
        <w:lang w:eastAsia="pl-PL"/>
      </w:rPr>
    </w:pPr>
    <w:r>
      <w:rPr>
        <w:noProof/>
        <w:lang w:eastAsia="pl-PL"/>
      </w:rPr>
      <w:pict>
        <v:shape id="Schemat blokowy: opóźnienie 6" o:spid="_x0000_s2051" style="position:absolute;margin-left:396.6pt;margin-top:15.65pt;width:162.25pt;height:28.15pt;flip:x;z-index:251668480;visibility:visible;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style="mso-next-textbox:#Schemat blokowy: opóźnienie 6">
            <w:txbxContent>
              <w:p w:rsidR="00685123" w:rsidRPr="003C6C8D" w:rsidRDefault="00411531" w:rsidP="00074DD8">
                <w:pPr>
                  <w:spacing w:before="0" w:after="0" w:line="240" w:lineRule="auto"/>
                  <w:ind w:left="227"/>
                  <w:jc w:val="both"/>
                  <w:rPr>
                    <w:rFonts w:ascii="Fira Sans SemiBold" w:hAnsi="Fira Sans SemiBold"/>
                  </w:rPr>
                </w:pPr>
                <w:r w:rsidRPr="00411531">
                  <w:rPr>
                    <w:rFonts w:ascii="Fira Sans SemiBold" w:hAnsi="Fira Sans SemiBold"/>
                  </w:rPr>
                  <w:t>NEWS RELEASES</w:t>
                </w:r>
              </w:p>
            </w:txbxContent>
          </v:textbox>
        </v:shape>
      </w:pict>
    </w:r>
    <w:r>
      <w:rPr>
        <w:noProof/>
        <w:lang w:eastAsia="pl-PL"/>
      </w:rPr>
      <w:pict>
        <v:rect id="Prostokąt 10" o:spid="_x0000_s2050" style="position:absolute;margin-left:410.95pt;margin-top:40.3pt;width:147.4pt;height:1803.55pt;z-index:-251650048;visibility:visible;mso-width-relative:margin;mso-height-relative:margin;v-text-anchor:middle" wrapcoords="-110 0 -110 21591 21600 21591 21600 0 -11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w:r>
    <w:r w:rsidR="000F683B">
      <w:rPr>
        <w:noProof/>
        <w:lang w:eastAsia="pl-PL"/>
      </w:rPr>
      <w:drawing>
        <wp:inline distT="0" distB="0" distL="0" distR="0">
          <wp:extent cx="1865630" cy="709295"/>
          <wp:effectExtent l="0" t="0" r="0" b="0"/>
          <wp:docPr id="1" name="Obraz 1" descr="logog-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g-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709295"/>
                  </a:xfrm>
                  <a:prstGeom prst="rect">
                    <a:avLst/>
                  </a:prstGeom>
                  <a:noFill/>
                  <a:ln>
                    <a:noFill/>
                  </a:ln>
                </pic:spPr>
              </pic:pic>
            </a:graphicData>
          </a:graphic>
        </wp:inline>
      </w:drawing>
    </w:r>
  </w:p>
  <w:p w:rsidR="00685123" w:rsidRDefault="00053C36">
    <w:pPr>
      <w:pStyle w:val="Nagwek"/>
      <w:rPr>
        <w:noProof/>
        <w:lang w:eastAsia="pl-PL"/>
      </w:rPr>
    </w:pPr>
    <w:r>
      <w:rPr>
        <w:noProof/>
        <w:lang w:eastAsia="pl-PL"/>
      </w:rPr>
      <w:pict>
        <v:shapetype id="_x0000_t202" coordsize="21600,21600" o:spt="202" path="m,l,21600r21600,l21600,xe">
          <v:stroke joinstyle="miter"/>
          <v:path gradientshapeok="t" o:connecttype="rect"/>
        </v:shapetype>
        <v:shape id="_x0000_s2049" type="#_x0000_t202" style="position:absolute;margin-left:411pt;margin-top:20.95pt;width:112.8pt;height:26.5pt;z-index:25166950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BBGbvN&#10;EAIAAP4DAAAOAAAAAAAAAAAAAAAAAC4CAABkcnMvZTJvRG9jLnhtbFBLAQItABQABgAIAAAAIQBr&#10;Z3Ed3gAAAAoBAAAPAAAAAAAAAAAAAAAAAGoEAABkcnMvZG93bnJldi54bWxQSwUGAAAAAAQABADz&#10;AAAAdQUAAAAA&#10;" filled="f" stroked="f">
          <v:textbox style="mso-next-textbox:#_x0000_s2049">
            <w:txbxContent>
              <w:p w:rsidR="00685123" w:rsidRPr="00C97596" w:rsidRDefault="00685123" w:rsidP="00F37172">
                <w:pPr>
                  <w:jc w:val="both"/>
                  <w:rPr>
                    <w:rFonts w:ascii="Fira Sans SemiBold" w:hAnsi="Fira Sans SemiBold"/>
                    <w:color w:val="001D77"/>
                  </w:rPr>
                </w:pPr>
                <w:r>
                  <w:rPr>
                    <w:rFonts w:ascii="Fira Sans SemiBold" w:hAnsi="Fira Sans SemiBold"/>
                    <w:color w:val="001D77"/>
                  </w:rPr>
                  <w:t>15.02.2018</w:t>
                </w:r>
              </w:p>
            </w:txbxContent>
          </v:textbox>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5123" w:rsidRDefault="00685123">
    <w:pPr>
      <w:pStyle w:val="Nagwek"/>
    </w:pPr>
  </w:p>
  <w:p w:rsidR="00685123" w:rsidRDefault="00685123">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pt;height:125.25pt;visibility:visible" o:bullet="t">
        <v:imagedata r:id="rId1" o:title=""/>
      </v:shape>
    </w:pict>
  </w:numPicBullet>
  <w:numPicBullet w:numPicBulletId="1">
    <w:pict>
      <v:shape id="_x0000_i1029" type="#_x0000_t75" style="width:123.75pt;height:125.25pt;visibility:visibl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TrueTypeFonts/>
  <w:defaultTabStop w:val="708"/>
  <w:hyphenationZone w:val="425"/>
  <w:drawingGridHorizontalSpacing w:val="57"/>
  <w:drawingGridVerticalSpacing w:val="57"/>
  <w:characterSpacingControl w:val="doNotCompress"/>
  <w:hdrShapeDefaults>
    <o:shapedefaults v:ext="edit" spidmax="2053"/>
    <o:shapelayout v:ext="edit">
      <o:idmap v:ext="edit" data="2"/>
    </o:shapelayout>
  </w:hdrShapeDefaults>
  <w:footnotePr>
    <w:numFmt w:val="lowerLetter"/>
    <w:footnote w:id="-1"/>
    <w:footnote w:id="0"/>
  </w:footnotePr>
  <w:endnotePr>
    <w:endnote w:id="-1"/>
    <w:endnote w:id="0"/>
  </w:endnotePr>
  <w:compat>
    <w:compatSetting w:name="compatibilityMode" w:uri="http://schemas.microsoft.com/office/word" w:val="12"/>
  </w:compat>
  <w:rsids>
    <w:rsidRoot w:val="00110D87"/>
    <w:rsid w:val="00001C5B"/>
    <w:rsid w:val="00003437"/>
    <w:rsid w:val="0000709F"/>
    <w:rsid w:val="000108B8"/>
    <w:rsid w:val="00012669"/>
    <w:rsid w:val="000152F5"/>
    <w:rsid w:val="00023C0E"/>
    <w:rsid w:val="0004582E"/>
    <w:rsid w:val="000470AA"/>
    <w:rsid w:val="00053C36"/>
    <w:rsid w:val="00057CA1"/>
    <w:rsid w:val="00060009"/>
    <w:rsid w:val="000662E2"/>
    <w:rsid w:val="00066883"/>
    <w:rsid w:val="00074DD8"/>
    <w:rsid w:val="000806F7"/>
    <w:rsid w:val="00097840"/>
    <w:rsid w:val="000B0727"/>
    <w:rsid w:val="000C135D"/>
    <w:rsid w:val="000D128F"/>
    <w:rsid w:val="000D1D43"/>
    <w:rsid w:val="000D225C"/>
    <w:rsid w:val="000D2A5C"/>
    <w:rsid w:val="000E0918"/>
    <w:rsid w:val="000E6861"/>
    <w:rsid w:val="000F683B"/>
    <w:rsid w:val="001011C3"/>
    <w:rsid w:val="001047EB"/>
    <w:rsid w:val="00110D87"/>
    <w:rsid w:val="00114DB9"/>
    <w:rsid w:val="00116087"/>
    <w:rsid w:val="00130296"/>
    <w:rsid w:val="001423B6"/>
    <w:rsid w:val="001448A7"/>
    <w:rsid w:val="00146621"/>
    <w:rsid w:val="00162325"/>
    <w:rsid w:val="001951DA"/>
    <w:rsid w:val="001A7056"/>
    <w:rsid w:val="001C3269"/>
    <w:rsid w:val="001D1DB4"/>
    <w:rsid w:val="00206FBB"/>
    <w:rsid w:val="00214D96"/>
    <w:rsid w:val="00215C50"/>
    <w:rsid w:val="002574F9"/>
    <w:rsid w:val="00262B61"/>
    <w:rsid w:val="00276811"/>
    <w:rsid w:val="00282699"/>
    <w:rsid w:val="002926DF"/>
    <w:rsid w:val="00296673"/>
    <w:rsid w:val="00296697"/>
    <w:rsid w:val="002B0472"/>
    <w:rsid w:val="002B275D"/>
    <w:rsid w:val="002B6B12"/>
    <w:rsid w:val="002C5135"/>
    <w:rsid w:val="002D700E"/>
    <w:rsid w:val="002E6140"/>
    <w:rsid w:val="002E6985"/>
    <w:rsid w:val="002E71B6"/>
    <w:rsid w:val="002F0F84"/>
    <w:rsid w:val="002F77C8"/>
    <w:rsid w:val="00304F22"/>
    <w:rsid w:val="00306C7C"/>
    <w:rsid w:val="00322EDD"/>
    <w:rsid w:val="00332320"/>
    <w:rsid w:val="00347D72"/>
    <w:rsid w:val="00357611"/>
    <w:rsid w:val="00367237"/>
    <w:rsid w:val="0037077F"/>
    <w:rsid w:val="00372411"/>
    <w:rsid w:val="00373882"/>
    <w:rsid w:val="003843DB"/>
    <w:rsid w:val="00393761"/>
    <w:rsid w:val="00397D18"/>
    <w:rsid w:val="003A1B36"/>
    <w:rsid w:val="003A415A"/>
    <w:rsid w:val="003B1454"/>
    <w:rsid w:val="003B18B6"/>
    <w:rsid w:val="003C59E0"/>
    <w:rsid w:val="003C6C8D"/>
    <w:rsid w:val="003D4F95"/>
    <w:rsid w:val="003D5F42"/>
    <w:rsid w:val="003D60A9"/>
    <w:rsid w:val="003E1FBC"/>
    <w:rsid w:val="003F095D"/>
    <w:rsid w:val="003F4C97"/>
    <w:rsid w:val="003F7FE6"/>
    <w:rsid w:val="00400193"/>
    <w:rsid w:val="00411531"/>
    <w:rsid w:val="004212E7"/>
    <w:rsid w:val="0042446D"/>
    <w:rsid w:val="00427BF8"/>
    <w:rsid w:val="00431C02"/>
    <w:rsid w:val="00437395"/>
    <w:rsid w:val="00445047"/>
    <w:rsid w:val="00452CB1"/>
    <w:rsid w:val="004617A9"/>
    <w:rsid w:val="00463E39"/>
    <w:rsid w:val="004657FC"/>
    <w:rsid w:val="004733F6"/>
    <w:rsid w:val="00474E69"/>
    <w:rsid w:val="0047671E"/>
    <w:rsid w:val="00482FE5"/>
    <w:rsid w:val="0048729D"/>
    <w:rsid w:val="0049621B"/>
    <w:rsid w:val="004B4984"/>
    <w:rsid w:val="004C1895"/>
    <w:rsid w:val="004C6D40"/>
    <w:rsid w:val="004F0C3C"/>
    <w:rsid w:val="004F63FC"/>
    <w:rsid w:val="00505A92"/>
    <w:rsid w:val="005203F1"/>
    <w:rsid w:val="00521BC3"/>
    <w:rsid w:val="00532478"/>
    <w:rsid w:val="00533632"/>
    <w:rsid w:val="00541E6E"/>
    <w:rsid w:val="0054251F"/>
    <w:rsid w:val="005442EF"/>
    <w:rsid w:val="005520D8"/>
    <w:rsid w:val="00556CF1"/>
    <w:rsid w:val="00576222"/>
    <w:rsid w:val="005762A7"/>
    <w:rsid w:val="005916D7"/>
    <w:rsid w:val="005A698C"/>
    <w:rsid w:val="005E0799"/>
    <w:rsid w:val="005F5A80"/>
    <w:rsid w:val="006044FF"/>
    <w:rsid w:val="00605407"/>
    <w:rsid w:val="00607CC5"/>
    <w:rsid w:val="00633014"/>
    <w:rsid w:val="0063437B"/>
    <w:rsid w:val="00653909"/>
    <w:rsid w:val="00662A45"/>
    <w:rsid w:val="006673CA"/>
    <w:rsid w:val="00673C26"/>
    <w:rsid w:val="006812AF"/>
    <w:rsid w:val="0068327D"/>
    <w:rsid w:val="00685123"/>
    <w:rsid w:val="00694AF0"/>
    <w:rsid w:val="00695F6F"/>
    <w:rsid w:val="006A4686"/>
    <w:rsid w:val="006A641E"/>
    <w:rsid w:val="006B0E9E"/>
    <w:rsid w:val="006B5AE4"/>
    <w:rsid w:val="006D1507"/>
    <w:rsid w:val="006D4054"/>
    <w:rsid w:val="006E02EC"/>
    <w:rsid w:val="006F0D3B"/>
    <w:rsid w:val="007211B1"/>
    <w:rsid w:val="007266DB"/>
    <w:rsid w:val="00735461"/>
    <w:rsid w:val="007367CD"/>
    <w:rsid w:val="00746187"/>
    <w:rsid w:val="0076254F"/>
    <w:rsid w:val="007801F5"/>
    <w:rsid w:val="00783CA4"/>
    <w:rsid w:val="007842FB"/>
    <w:rsid w:val="00786124"/>
    <w:rsid w:val="0079514B"/>
    <w:rsid w:val="007A2DC1"/>
    <w:rsid w:val="007D3319"/>
    <w:rsid w:val="007D335D"/>
    <w:rsid w:val="007E3314"/>
    <w:rsid w:val="007E403D"/>
    <w:rsid w:val="007E4B03"/>
    <w:rsid w:val="007F324B"/>
    <w:rsid w:val="0080553C"/>
    <w:rsid w:val="00805B46"/>
    <w:rsid w:val="00825DC2"/>
    <w:rsid w:val="00831643"/>
    <w:rsid w:val="00834AD3"/>
    <w:rsid w:val="00843795"/>
    <w:rsid w:val="00847F0F"/>
    <w:rsid w:val="00852448"/>
    <w:rsid w:val="00854A09"/>
    <w:rsid w:val="0088258A"/>
    <w:rsid w:val="00883763"/>
    <w:rsid w:val="00886332"/>
    <w:rsid w:val="008A26D9"/>
    <w:rsid w:val="008A290B"/>
    <w:rsid w:val="008A5AC9"/>
    <w:rsid w:val="008C0C29"/>
    <w:rsid w:val="008C6489"/>
    <w:rsid w:val="008D69B1"/>
    <w:rsid w:val="008F0103"/>
    <w:rsid w:val="008F3638"/>
    <w:rsid w:val="008F4441"/>
    <w:rsid w:val="008F6F31"/>
    <w:rsid w:val="008F74DF"/>
    <w:rsid w:val="009127BA"/>
    <w:rsid w:val="009227A6"/>
    <w:rsid w:val="00933EC1"/>
    <w:rsid w:val="009523E1"/>
    <w:rsid w:val="009530DB"/>
    <w:rsid w:val="00953676"/>
    <w:rsid w:val="009705EE"/>
    <w:rsid w:val="00977927"/>
    <w:rsid w:val="0098135C"/>
    <w:rsid w:val="0098156A"/>
    <w:rsid w:val="00991BAC"/>
    <w:rsid w:val="009A6EA0"/>
    <w:rsid w:val="009C1335"/>
    <w:rsid w:val="009C1AB2"/>
    <w:rsid w:val="009C7251"/>
    <w:rsid w:val="009E2E91"/>
    <w:rsid w:val="00A139F5"/>
    <w:rsid w:val="00A34C24"/>
    <w:rsid w:val="00A365F4"/>
    <w:rsid w:val="00A47D80"/>
    <w:rsid w:val="00A53132"/>
    <w:rsid w:val="00A563F2"/>
    <w:rsid w:val="00A566E8"/>
    <w:rsid w:val="00A810F9"/>
    <w:rsid w:val="00A86ECC"/>
    <w:rsid w:val="00A86FCC"/>
    <w:rsid w:val="00AA710D"/>
    <w:rsid w:val="00AB6D25"/>
    <w:rsid w:val="00AB7DB1"/>
    <w:rsid w:val="00AD0E3B"/>
    <w:rsid w:val="00AE2D4B"/>
    <w:rsid w:val="00AE4F99"/>
    <w:rsid w:val="00AF6759"/>
    <w:rsid w:val="00B11B69"/>
    <w:rsid w:val="00B14952"/>
    <w:rsid w:val="00B31E5A"/>
    <w:rsid w:val="00B31EBB"/>
    <w:rsid w:val="00B653AB"/>
    <w:rsid w:val="00B65F9E"/>
    <w:rsid w:val="00B66B19"/>
    <w:rsid w:val="00B914E9"/>
    <w:rsid w:val="00B956EE"/>
    <w:rsid w:val="00B96FFE"/>
    <w:rsid w:val="00BA2BA1"/>
    <w:rsid w:val="00BA3562"/>
    <w:rsid w:val="00BB4F09"/>
    <w:rsid w:val="00BB6820"/>
    <w:rsid w:val="00BD4E33"/>
    <w:rsid w:val="00BF5A0C"/>
    <w:rsid w:val="00C030DE"/>
    <w:rsid w:val="00C05B37"/>
    <w:rsid w:val="00C22105"/>
    <w:rsid w:val="00C244B6"/>
    <w:rsid w:val="00C25754"/>
    <w:rsid w:val="00C3702F"/>
    <w:rsid w:val="00C4500A"/>
    <w:rsid w:val="00C602B4"/>
    <w:rsid w:val="00C64A37"/>
    <w:rsid w:val="00C7158E"/>
    <w:rsid w:val="00C7250B"/>
    <w:rsid w:val="00C7346B"/>
    <w:rsid w:val="00C77C0E"/>
    <w:rsid w:val="00C91687"/>
    <w:rsid w:val="00C924A8"/>
    <w:rsid w:val="00C945FE"/>
    <w:rsid w:val="00C950B4"/>
    <w:rsid w:val="00C96FAA"/>
    <w:rsid w:val="00C97A04"/>
    <w:rsid w:val="00CA107B"/>
    <w:rsid w:val="00CA3B68"/>
    <w:rsid w:val="00CA484D"/>
    <w:rsid w:val="00CA4FB6"/>
    <w:rsid w:val="00CB564A"/>
    <w:rsid w:val="00CC10A8"/>
    <w:rsid w:val="00CC739E"/>
    <w:rsid w:val="00CD58B7"/>
    <w:rsid w:val="00CF183F"/>
    <w:rsid w:val="00CF4099"/>
    <w:rsid w:val="00D00796"/>
    <w:rsid w:val="00D261A2"/>
    <w:rsid w:val="00D40004"/>
    <w:rsid w:val="00D616D2"/>
    <w:rsid w:val="00D63B5F"/>
    <w:rsid w:val="00D63C19"/>
    <w:rsid w:val="00D64C02"/>
    <w:rsid w:val="00D70EF7"/>
    <w:rsid w:val="00D8397C"/>
    <w:rsid w:val="00D94EED"/>
    <w:rsid w:val="00D96026"/>
    <w:rsid w:val="00D97627"/>
    <w:rsid w:val="00DA7C1C"/>
    <w:rsid w:val="00DB147A"/>
    <w:rsid w:val="00DB1B7A"/>
    <w:rsid w:val="00DC6708"/>
    <w:rsid w:val="00DD18DA"/>
    <w:rsid w:val="00E01436"/>
    <w:rsid w:val="00E045BD"/>
    <w:rsid w:val="00E17B77"/>
    <w:rsid w:val="00E23337"/>
    <w:rsid w:val="00E259EA"/>
    <w:rsid w:val="00E32061"/>
    <w:rsid w:val="00E42FF9"/>
    <w:rsid w:val="00E4714C"/>
    <w:rsid w:val="00E47C9F"/>
    <w:rsid w:val="00E51AEB"/>
    <w:rsid w:val="00E522A7"/>
    <w:rsid w:val="00E54452"/>
    <w:rsid w:val="00E664C5"/>
    <w:rsid w:val="00E671A2"/>
    <w:rsid w:val="00E74016"/>
    <w:rsid w:val="00E76D26"/>
    <w:rsid w:val="00E83253"/>
    <w:rsid w:val="00EA3A3A"/>
    <w:rsid w:val="00EB1390"/>
    <w:rsid w:val="00EB2C71"/>
    <w:rsid w:val="00EB4340"/>
    <w:rsid w:val="00EB556D"/>
    <w:rsid w:val="00EB5A7D"/>
    <w:rsid w:val="00ED3125"/>
    <w:rsid w:val="00ED55C0"/>
    <w:rsid w:val="00ED682B"/>
    <w:rsid w:val="00EE41D5"/>
    <w:rsid w:val="00F037A4"/>
    <w:rsid w:val="00F11750"/>
    <w:rsid w:val="00F27687"/>
    <w:rsid w:val="00F27C8F"/>
    <w:rsid w:val="00F32749"/>
    <w:rsid w:val="00F37172"/>
    <w:rsid w:val="00F4477E"/>
    <w:rsid w:val="00F6116B"/>
    <w:rsid w:val="00F67D8F"/>
    <w:rsid w:val="00F739B3"/>
    <w:rsid w:val="00F802BE"/>
    <w:rsid w:val="00F80E93"/>
    <w:rsid w:val="00F86024"/>
    <w:rsid w:val="00F8611A"/>
    <w:rsid w:val="00FA5128"/>
    <w:rsid w:val="00FB42D4"/>
    <w:rsid w:val="00FB5906"/>
    <w:rsid w:val="00FB762F"/>
    <w:rsid w:val="00FC2AED"/>
    <w:rsid w:val="00FD5E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988254CA-6758-410F-AA97-3C6C4D8F6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lsdException w:name="heading 4" w:semiHidden="1" w:uiPriority="9" w:unhideWhenUsed="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nhideWhenUsed/>
    <w:qFormat/>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table" w:customStyle="1" w:styleId="Siatkatabelijasna10">
    <w:name w:val="Siatka tabeli — jasna1"/>
    <w:basedOn w:val="Standardowy"/>
    <w:uiPriority w:val="40"/>
    <w:rsid w:val="0068512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yteHipercze">
    <w:name w:val="FollowedHyperlink"/>
    <w:basedOn w:val="Domylnaczcionkaakapitu"/>
    <w:uiPriority w:val="99"/>
    <w:semiHidden/>
    <w:unhideWhenUsed/>
    <w:rsid w:val="00EA3A3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081652">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00178062">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76757807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32860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footer" Target="footer2.xml"/><Relationship Id="rId26" Type="http://schemas.openxmlformats.org/officeDocument/2006/relationships/hyperlink" Target="http://stat.gov.pl/en/latest-statistical-news/news-releases/" TargetMode="External"/><Relationship Id="rId21" Type="http://schemas.openxmlformats.org/officeDocument/2006/relationships/hyperlink" Target="mailto:obslugaprasowa@stat.gov.pl"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header" Target="header2.xml"/><Relationship Id="rId25" Type="http://schemas.openxmlformats.org/officeDocument/2006/relationships/hyperlink" Target="http://stat.gov.pl/en/latest-statistical-news/communications-and-announcements/" TargetMode="External"/><Relationship Id="rId33" Type="http://schemas.openxmlformats.org/officeDocument/2006/relationships/hyperlink" Target="http://stat.gov.pl/en/metainformations/glossary/terms-used-in-official-statistics/32,term.html"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rzecznik@stat.gov.pl" TargetMode="External"/><Relationship Id="rId29" Type="http://schemas.openxmlformats.org/officeDocument/2006/relationships/hyperlink" Target="https://bdl.stat.gov.pl/BDL/star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24" Type="http://schemas.openxmlformats.org/officeDocument/2006/relationships/image" Target="media/image7.png"/><Relationship Id="rId32" Type="http://schemas.openxmlformats.org/officeDocument/2006/relationships/hyperlink" Target="http://stat.gov.pl/en/metainformations/glossary/terms-used-in-official-statistics/711,term.html"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6.png"/><Relationship Id="rId28" Type="http://schemas.openxmlformats.org/officeDocument/2006/relationships/hyperlink" Target="http://bdm.stat.gov.pl/"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a.bobel@stat.gov.pl" TargetMode="External"/><Relationship Id="rId31" Type="http://schemas.openxmlformats.org/officeDocument/2006/relationships/hyperlink" Target="http://stat.gov.pl/en/topics/prices-trade/pric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 Id="rId22" Type="http://schemas.openxmlformats.org/officeDocument/2006/relationships/image" Target="media/image5.png"/><Relationship Id="rId27" Type="http://schemas.openxmlformats.org/officeDocument/2006/relationships/hyperlink" Target="http://swaid.stat.gov.pl/en/SitePages/StronaGlownaDBW.aspx" TargetMode="External"/><Relationship Id="rId30" Type="http://schemas.openxmlformats.org/officeDocument/2006/relationships/hyperlink" Target="http://stat.gov.pl/en/topics/prices-trade/price-indices/" TargetMode="Externa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Arkusz_programu_Microsoft_Excel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Arkusz_programu_Microsoft_Excel2.xlsx"/></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328494807714925"/>
          <c:y val="0.19001312335958007"/>
          <c:w val="0.78186100650462165"/>
          <c:h val="0.63063095731459395"/>
        </c:manualLayout>
      </c:layout>
      <c:barChart>
        <c:barDir val="col"/>
        <c:grouping val="clustered"/>
        <c:varyColors val="0"/>
        <c:ser>
          <c:idx val="0"/>
          <c:order val="0"/>
          <c:tx>
            <c:strRef>
              <c:f>DANE!$AE$5</c:f>
              <c:strCache>
                <c:ptCount val="1"/>
                <c:pt idx="0">
                  <c:v>2016</c:v>
                </c:pt>
              </c:strCache>
            </c:strRef>
          </c:tx>
          <c:spPr>
            <a:solidFill>
              <a:srgbClr val="001D77"/>
            </a:solidFill>
          </c:spPr>
          <c:invertIfNegative val="0"/>
          <c:cat>
            <c:strRef>
              <c:f>DANE!$A$6:$A$17</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DANE!$AF$6:$AF$17</c:f>
              <c:numCache>
                <c:formatCode>0.0</c:formatCode>
                <c:ptCount val="12"/>
                <c:pt idx="0">
                  <c:v>-0.5</c:v>
                </c:pt>
                <c:pt idx="1">
                  <c:v>-9.9999999999994316E-2</c:v>
                </c:pt>
                <c:pt idx="2">
                  <c:v>9.9999999999994316E-2</c:v>
                </c:pt>
                <c:pt idx="3">
                  <c:v>0.29999999999999716</c:v>
                </c:pt>
                <c:pt idx="4">
                  <c:v>9.9999999999994316E-2</c:v>
                </c:pt>
                <c:pt idx="5">
                  <c:v>0.20000000000000284</c:v>
                </c:pt>
                <c:pt idx="6">
                  <c:v>-0.29999999999999716</c:v>
                </c:pt>
                <c:pt idx="7">
                  <c:v>-0.20000000000000284</c:v>
                </c:pt>
                <c:pt idx="8">
                  <c:v>0</c:v>
                </c:pt>
                <c:pt idx="9">
                  <c:v>0.5</c:v>
                </c:pt>
                <c:pt idx="10">
                  <c:v>9.9999999999994316E-2</c:v>
                </c:pt>
                <c:pt idx="11">
                  <c:v>0.70000000000000284</c:v>
                </c:pt>
              </c:numCache>
            </c:numRef>
          </c:val>
        </c:ser>
        <c:ser>
          <c:idx val="2"/>
          <c:order val="1"/>
          <c:tx>
            <c:strRef>
              <c:f>DANE!$AG$5</c:f>
              <c:strCache>
                <c:ptCount val="1"/>
                <c:pt idx="0">
                  <c:v>2017</c:v>
                </c:pt>
              </c:strCache>
            </c:strRef>
          </c:tx>
          <c:spPr>
            <a:solidFill>
              <a:srgbClr val="007AC9"/>
            </a:solidFill>
            <a:ln>
              <a:noFill/>
            </a:ln>
          </c:spPr>
          <c:invertIfNegative val="0"/>
          <c:cat>
            <c:strRef>
              <c:f>DANE!$A$6:$A$17</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DANE!$AH$6:$AH$17</c:f>
              <c:numCache>
                <c:formatCode>0.0</c:formatCode>
                <c:ptCount val="12"/>
                <c:pt idx="0">
                  <c:v>0.40000000000000568</c:v>
                </c:pt>
                <c:pt idx="1">
                  <c:v>0.29999999999999716</c:v>
                </c:pt>
                <c:pt idx="2">
                  <c:v>-9.9999999999994316E-2</c:v>
                </c:pt>
                <c:pt idx="3">
                  <c:v>0.29999999999999716</c:v>
                </c:pt>
                <c:pt idx="4">
                  <c:v>0</c:v>
                </c:pt>
                <c:pt idx="5">
                  <c:v>-0.20000000000000284</c:v>
                </c:pt>
                <c:pt idx="6">
                  <c:v>-0.20000000000000284</c:v>
                </c:pt>
                <c:pt idx="7">
                  <c:v>-9.9999999999994316E-2</c:v>
                </c:pt>
                <c:pt idx="8">
                  <c:v>0.40000000000000568</c:v>
                </c:pt>
                <c:pt idx="9">
                  <c:v>0.5</c:v>
                </c:pt>
                <c:pt idx="10">
                  <c:v>0.5</c:v>
                </c:pt>
                <c:pt idx="11">
                  <c:v>0.20000000000000284</c:v>
                </c:pt>
              </c:numCache>
            </c:numRef>
          </c:val>
        </c:ser>
        <c:ser>
          <c:idx val="3"/>
          <c:order val="2"/>
          <c:tx>
            <c:strRef>
              <c:f>DANE!$AI$5</c:f>
              <c:strCache>
                <c:ptCount val="1"/>
                <c:pt idx="0">
                  <c:v>2018</c:v>
                </c:pt>
              </c:strCache>
            </c:strRef>
          </c:tx>
          <c:spPr>
            <a:solidFill>
              <a:srgbClr val="008542"/>
            </a:solidFill>
          </c:spPr>
          <c:invertIfNegative val="0"/>
          <c:cat>
            <c:strRef>
              <c:f>DANE!$A$6:$A$17</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DANE!$AJ$6</c:f>
              <c:numCache>
                <c:formatCode>0.0</c:formatCode>
                <c:ptCount val="1"/>
                <c:pt idx="0">
                  <c:v>0.29999999999999716</c:v>
                </c:pt>
              </c:numCache>
            </c:numRef>
          </c:val>
        </c:ser>
        <c:dLbls>
          <c:showLegendKey val="0"/>
          <c:showVal val="0"/>
          <c:showCatName val="0"/>
          <c:showSerName val="0"/>
          <c:showPercent val="0"/>
          <c:showBubbleSize val="0"/>
        </c:dLbls>
        <c:gapWidth val="30"/>
        <c:axId val="-1855558448"/>
        <c:axId val="-1855562800"/>
      </c:barChart>
      <c:catAx>
        <c:axId val="-1855558448"/>
        <c:scaling>
          <c:orientation val="minMax"/>
        </c:scaling>
        <c:delete val="0"/>
        <c:axPos val="b"/>
        <c:numFmt formatCode="d/mm" sourceLinked="0"/>
        <c:majorTickMark val="out"/>
        <c:minorTickMark val="none"/>
        <c:tickLblPos val="low"/>
        <c:spPr>
          <a:ln w="3175">
            <a:solidFill>
              <a:srgbClr val="000000"/>
            </a:solidFill>
            <a:prstDash val="solid"/>
          </a:ln>
        </c:spPr>
        <c:txPr>
          <a:bodyPr rot="0" vert="horz"/>
          <a:lstStyle/>
          <a:p>
            <a:pPr>
              <a:defRPr sz="800" b="0" i="0" u="none" strike="noStrike" baseline="0">
                <a:solidFill>
                  <a:srgbClr val="000000"/>
                </a:solidFill>
                <a:latin typeface="Fira Sans" pitchFamily="34" charset="0"/>
                <a:ea typeface="Fira Sans" pitchFamily="34" charset="0"/>
                <a:cs typeface="Arial CE"/>
              </a:defRPr>
            </a:pPr>
            <a:endParaRPr lang="pl-PL"/>
          </a:p>
        </c:txPr>
        <c:crossAx val="-1855562800"/>
        <c:crossesAt val="0"/>
        <c:auto val="0"/>
        <c:lblAlgn val="ctr"/>
        <c:lblOffset val="100"/>
        <c:tickLblSkip val="1"/>
        <c:tickMarkSkip val="1"/>
        <c:noMultiLvlLbl val="0"/>
      </c:catAx>
      <c:valAx>
        <c:axId val="-1855562800"/>
        <c:scaling>
          <c:orientation val="minMax"/>
          <c:max val="0.8"/>
          <c:min val="-0.60000000000000064"/>
        </c:scaling>
        <c:delete val="0"/>
        <c:axPos val="l"/>
        <c:majorGridlines>
          <c:spPr>
            <a:ln w="3175">
              <a:solidFill>
                <a:srgbClr val="C0C0C0"/>
              </a:solidFill>
              <a:prstDash val="sysDot"/>
            </a:ln>
          </c:spPr>
        </c:majorGridlines>
        <c:numFmt formatCode="0.0" sourceLinked="0"/>
        <c:majorTickMark val="out"/>
        <c:minorTickMark val="none"/>
        <c:tickLblPos val="nextTo"/>
        <c:spPr>
          <a:ln w="3175">
            <a:noFill/>
            <a:prstDash val="solid"/>
          </a:ln>
        </c:spPr>
        <c:txPr>
          <a:bodyPr rot="0" vert="horz"/>
          <a:lstStyle/>
          <a:p>
            <a:pPr>
              <a:defRPr sz="800" b="0" i="0" u="none" strike="noStrike" baseline="0">
                <a:solidFill>
                  <a:srgbClr val="000000"/>
                </a:solidFill>
                <a:latin typeface="Fira Sans" pitchFamily="34" charset="0"/>
                <a:ea typeface="Fira Sans" pitchFamily="34" charset="0"/>
                <a:cs typeface="Arial CE"/>
              </a:defRPr>
            </a:pPr>
            <a:endParaRPr lang="pl-PL"/>
          </a:p>
        </c:txPr>
        <c:crossAx val="-1855558448"/>
        <c:crosses val="autoZero"/>
        <c:crossBetween val="between"/>
        <c:majorUnit val="0.2"/>
        <c:minorUnit val="0.1"/>
      </c:valAx>
      <c:spPr>
        <a:noFill/>
        <a:ln w="3175">
          <a:noFill/>
          <a:prstDash val="solid"/>
        </a:ln>
      </c:spPr>
    </c:plotArea>
    <c:legend>
      <c:legendPos val="r"/>
      <c:layout>
        <c:manualLayout>
          <c:xMode val="edge"/>
          <c:yMode val="edge"/>
          <c:x val="8.9566481649570748E-2"/>
          <c:y val="0.89132189511885007"/>
          <c:w val="0.86618868989765008"/>
          <c:h val="8.2780517265228129E-2"/>
        </c:manualLayout>
      </c:layout>
      <c:overlay val="0"/>
      <c:spPr>
        <a:noFill/>
        <a:ln w="38100">
          <a:noFill/>
          <a:prstDash val="solid"/>
        </a:ln>
      </c:spPr>
      <c:txPr>
        <a:bodyPr/>
        <a:lstStyle/>
        <a:p>
          <a:pPr>
            <a:defRPr sz="800" b="0" i="0" u="none" strike="noStrike" baseline="0">
              <a:solidFill>
                <a:srgbClr val="000000"/>
              </a:solidFill>
              <a:latin typeface="Fira Sans" pitchFamily="34" charset="0"/>
              <a:ea typeface="Fira Sans" pitchFamily="34" charset="0"/>
              <a:cs typeface="Arial CE"/>
            </a:defRPr>
          </a:pPr>
          <a:endParaRPr lang="pl-PL"/>
        </a:p>
      </c:txPr>
    </c:legend>
    <c:plotVisOnly val="0"/>
    <c:dispBlanksAs val="gap"/>
    <c:showDLblsOverMax val="0"/>
  </c:chart>
  <c:spPr>
    <a:noFill/>
    <a:ln w="9525">
      <a:noFill/>
      <a:prstDash val="solid"/>
    </a:ln>
    <a:effectLst/>
  </c:spPr>
  <c:txPr>
    <a:bodyPr/>
    <a:lstStyle/>
    <a:p>
      <a:pPr>
        <a:defRPr sz="1000" b="0" i="0" u="none" strike="noStrike" baseline="0">
          <a:solidFill>
            <a:srgbClr val="000000"/>
          </a:solidFill>
          <a:latin typeface="MS Sans Serif"/>
          <a:ea typeface="MS Sans Serif"/>
          <a:cs typeface="MS Sans Serif"/>
        </a:defRPr>
      </a:pPr>
      <a:endParaRPr lang="pl-PL"/>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917858207363468"/>
          <c:y val="0.18751205118968342"/>
          <c:w val="0.77452127018042638"/>
          <c:h val="0.63739385517989211"/>
        </c:manualLayout>
      </c:layout>
      <c:barChart>
        <c:barDir val="col"/>
        <c:grouping val="clustered"/>
        <c:varyColors val="0"/>
        <c:ser>
          <c:idx val="0"/>
          <c:order val="0"/>
          <c:tx>
            <c:strRef>
              <c:f>DANE!$V$5</c:f>
              <c:strCache>
                <c:ptCount val="1"/>
                <c:pt idx="0">
                  <c:v>2016</c:v>
                </c:pt>
              </c:strCache>
            </c:strRef>
          </c:tx>
          <c:spPr>
            <a:solidFill>
              <a:srgbClr val="001D77"/>
            </a:solidFill>
          </c:spPr>
          <c:invertIfNegative val="0"/>
          <c:dLbls>
            <c:delete val="1"/>
          </c:dLbls>
          <c:cat>
            <c:strRef>
              <c:f>DANE!$A$6:$A$17</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DANE!$W$6:$W$17</c:f>
              <c:numCache>
                <c:formatCode>0.0</c:formatCode>
                <c:ptCount val="12"/>
                <c:pt idx="0">
                  <c:v>-0.90000000000000568</c:v>
                </c:pt>
                <c:pt idx="1">
                  <c:v>-0.79999999999999716</c:v>
                </c:pt>
                <c:pt idx="2">
                  <c:v>-0.90000000000000568</c:v>
                </c:pt>
                <c:pt idx="3">
                  <c:v>-1.0999999999999943</c:v>
                </c:pt>
                <c:pt idx="4">
                  <c:v>-0.90000000000000568</c:v>
                </c:pt>
                <c:pt idx="5">
                  <c:v>-0.79999999999999716</c:v>
                </c:pt>
                <c:pt idx="6">
                  <c:v>-0.90000000000000568</c:v>
                </c:pt>
                <c:pt idx="7">
                  <c:v>-0.79999999999999716</c:v>
                </c:pt>
                <c:pt idx="8">
                  <c:v>-0.5</c:v>
                </c:pt>
                <c:pt idx="9">
                  <c:v>-0.20000000000000284</c:v>
                </c:pt>
                <c:pt idx="10">
                  <c:v>0</c:v>
                </c:pt>
                <c:pt idx="11">
                  <c:v>0.79999999999999716</c:v>
                </c:pt>
              </c:numCache>
            </c:numRef>
          </c:val>
        </c:ser>
        <c:ser>
          <c:idx val="1"/>
          <c:order val="1"/>
          <c:tx>
            <c:strRef>
              <c:f>DANE!$X$5</c:f>
              <c:strCache>
                <c:ptCount val="1"/>
                <c:pt idx="0">
                  <c:v>2017</c:v>
                </c:pt>
              </c:strCache>
            </c:strRef>
          </c:tx>
          <c:spPr>
            <a:solidFill>
              <a:srgbClr val="007AC9"/>
            </a:solidFill>
          </c:spPr>
          <c:invertIfNegative val="0"/>
          <c:dLbls>
            <c:delete val="1"/>
          </c:dLbls>
          <c:cat>
            <c:strRef>
              <c:f>DANE!$A$6:$A$17</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DANE!$Y$6:$Y$17</c:f>
              <c:numCache>
                <c:formatCode>0.0</c:formatCode>
                <c:ptCount val="12"/>
                <c:pt idx="0">
                  <c:v>1.7000000000000028</c:v>
                </c:pt>
                <c:pt idx="1">
                  <c:v>2.2000000000000028</c:v>
                </c:pt>
                <c:pt idx="2">
                  <c:v>2</c:v>
                </c:pt>
                <c:pt idx="3">
                  <c:v>2</c:v>
                </c:pt>
                <c:pt idx="4">
                  <c:v>1.9000000000000057</c:v>
                </c:pt>
                <c:pt idx="5">
                  <c:v>1.5</c:v>
                </c:pt>
                <c:pt idx="6">
                  <c:v>1.7000000000000028</c:v>
                </c:pt>
                <c:pt idx="7">
                  <c:v>1.7999999999999972</c:v>
                </c:pt>
                <c:pt idx="8">
                  <c:v>2.2000000000000028</c:v>
                </c:pt>
                <c:pt idx="9">
                  <c:v>2.0999999999999943</c:v>
                </c:pt>
                <c:pt idx="10">
                  <c:v>2.5</c:v>
                </c:pt>
                <c:pt idx="11">
                  <c:v>2.0999999999999943</c:v>
                </c:pt>
              </c:numCache>
            </c:numRef>
          </c:val>
        </c:ser>
        <c:ser>
          <c:idx val="2"/>
          <c:order val="2"/>
          <c:tx>
            <c:strRef>
              <c:f>DANE!$Z$5</c:f>
              <c:strCache>
                <c:ptCount val="1"/>
                <c:pt idx="0">
                  <c:v>2018</c:v>
                </c:pt>
              </c:strCache>
            </c:strRef>
          </c:tx>
          <c:spPr>
            <a:solidFill>
              <a:srgbClr val="008542"/>
            </a:solidFill>
          </c:spPr>
          <c:invertIfNegative val="0"/>
          <c:dLbls>
            <c:dLbl>
              <c:idx val="0"/>
              <c:delete val="1"/>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DANE!$A$6:$A$17</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DANE!$AA$6</c:f>
              <c:numCache>
                <c:formatCode>0.0</c:formatCode>
                <c:ptCount val="1"/>
                <c:pt idx="0">
                  <c:v>1.9000000000000057</c:v>
                </c:pt>
              </c:numCache>
            </c:numRef>
          </c:val>
        </c:ser>
        <c:dLbls>
          <c:showLegendKey val="0"/>
          <c:showVal val="1"/>
          <c:showCatName val="0"/>
          <c:showSerName val="0"/>
          <c:showPercent val="0"/>
          <c:showBubbleSize val="0"/>
        </c:dLbls>
        <c:gapWidth val="90"/>
        <c:axId val="-1769632368"/>
        <c:axId val="-1769630192"/>
      </c:barChart>
      <c:catAx>
        <c:axId val="-1769632368"/>
        <c:scaling>
          <c:orientation val="minMax"/>
        </c:scaling>
        <c:delete val="0"/>
        <c:axPos val="b"/>
        <c:numFmt formatCode="d/mm" sourceLinked="0"/>
        <c:majorTickMark val="none"/>
        <c:minorTickMark val="none"/>
        <c:tickLblPos val="low"/>
        <c:spPr>
          <a:ln w="3175">
            <a:solidFill>
              <a:srgbClr val="000000"/>
            </a:solidFill>
            <a:prstDash val="solid"/>
          </a:ln>
        </c:spPr>
        <c:txPr>
          <a:bodyPr rot="0" vert="horz"/>
          <a:lstStyle/>
          <a:p>
            <a:pPr>
              <a:defRPr sz="800" b="0" i="0" u="none" strike="noStrike" baseline="0">
                <a:solidFill>
                  <a:srgbClr val="000000"/>
                </a:solidFill>
                <a:latin typeface="Fira Sans" pitchFamily="34" charset="0"/>
                <a:ea typeface="Fira Sans" pitchFamily="34" charset="0"/>
                <a:cs typeface="Arial CE"/>
              </a:defRPr>
            </a:pPr>
            <a:endParaRPr lang="pl-PL"/>
          </a:p>
        </c:txPr>
        <c:crossAx val="-1769630192"/>
        <c:crossesAt val="0"/>
        <c:auto val="1"/>
        <c:lblAlgn val="ctr"/>
        <c:lblOffset val="100"/>
        <c:tickLblSkip val="1"/>
        <c:tickMarkSkip val="1"/>
        <c:noMultiLvlLbl val="0"/>
      </c:catAx>
      <c:valAx>
        <c:axId val="-1769630192"/>
        <c:scaling>
          <c:orientation val="minMax"/>
          <c:max val="3.8"/>
          <c:min val="-2"/>
        </c:scaling>
        <c:delete val="0"/>
        <c:axPos val="l"/>
        <c:majorGridlines>
          <c:spPr>
            <a:ln w="6350" cap="flat" cmpd="sng" algn="ctr">
              <a:solidFill>
                <a:schemeClr val="bg1">
                  <a:lumMod val="65000"/>
                </a:schemeClr>
              </a:solidFill>
              <a:prstDash val="sysDot"/>
            </a:ln>
            <a:effectLst/>
          </c:spPr>
        </c:majorGridlines>
        <c:numFmt formatCode="0.0" sourceLinked="0"/>
        <c:majorTickMark val="out"/>
        <c:minorTickMark val="none"/>
        <c:tickLblPos val="low"/>
        <c:spPr>
          <a:noFill/>
          <a:ln w="3175">
            <a:noFill/>
            <a:prstDash val="solid"/>
          </a:ln>
        </c:spPr>
        <c:txPr>
          <a:bodyPr rot="0" vert="horz"/>
          <a:lstStyle/>
          <a:p>
            <a:pPr>
              <a:defRPr sz="800" b="0" i="0" u="none" strike="noStrike" baseline="0">
                <a:solidFill>
                  <a:srgbClr val="000000"/>
                </a:solidFill>
                <a:latin typeface="Fira Sans" pitchFamily="34" charset="0"/>
                <a:ea typeface="Fira Sans" pitchFamily="34" charset="0"/>
                <a:cs typeface="Arial CE"/>
              </a:defRPr>
            </a:pPr>
            <a:endParaRPr lang="pl-PL"/>
          </a:p>
        </c:txPr>
        <c:crossAx val="-1769632368"/>
        <c:crosses val="autoZero"/>
        <c:crossBetween val="between"/>
        <c:majorUnit val="0.5"/>
        <c:minorUnit val="0.5"/>
      </c:valAx>
      <c:spPr>
        <a:noFill/>
        <a:ln w="15875" cap="rnd" cmpd="sng">
          <a:noFill/>
        </a:ln>
      </c:spPr>
    </c:plotArea>
    <c:legend>
      <c:legendPos val="b"/>
      <c:layout>
        <c:manualLayout>
          <c:xMode val="edge"/>
          <c:yMode val="edge"/>
          <c:x val="9.2008187253389009E-2"/>
          <c:y val="0.89507076321342194"/>
          <c:w val="0.85794098893889448"/>
          <c:h val="6.3665302563745807E-2"/>
        </c:manualLayout>
      </c:layout>
      <c:overlay val="0"/>
      <c:spPr>
        <a:noFill/>
        <a:ln>
          <a:noFill/>
        </a:ln>
      </c:spPr>
      <c:txPr>
        <a:bodyPr/>
        <a:lstStyle/>
        <a:p>
          <a:pPr>
            <a:defRPr sz="800">
              <a:latin typeface="Fira Sans" pitchFamily="34" charset="0"/>
              <a:ea typeface="Fira Sans" pitchFamily="34" charset="0"/>
              <a:cs typeface="Arial" pitchFamily="34" charset="0"/>
            </a:defRPr>
          </a:pPr>
          <a:endParaRPr lang="pl-PL"/>
        </a:p>
      </c:txPr>
    </c:legend>
    <c:plotVisOnly val="0"/>
    <c:dispBlanksAs val="gap"/>
    <c:showDLblsOverMax val="0"/>
  </c:chart>
  <c:spPr>
    <a:noFill/>
    <a:ln w="12700" cap="rnd">
      <a:noFill/>
      <a:prstDash val="solid"/>
    </a:ln>
    <a:effectLst>
      <a:innerShdw blurRad="63500" dist="50800" dir="2700000">
        <a:prstClr val="black">
          <a:alpha val="50000"/>
        </a:prstClr>
      </a:innerShdw>
    </a:effectLst>
  </c:spPr>
  <c:txPr>
    <a:bodyPr/>
    <a:lstStyle/>
    <a:p>
      <a:pPr>
        <a:defRPr sz="1000" b="0" i="0" u="none" strike="noStrike" baseline="0">
          <a:solidFill>
            <a:srgbClr val="000000"/>
          </a:solidFill>
          <a:latin typeface="MS Sans Serif"/>
          <a:ea typeface="MS Sans Serif"/>
          <a:cs typeface="MS Sans Serif"/>
        </a:defRPr>
      </a:pPr>
      <a:endParaRPr lang="pl-PL"/>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39505312765272382"/>
          <c:y val="4.3117283950617646E-2"/>
          <c:w val="0.5452977392695818"/>
          <c:h val="0.85868641975308913"/>
        </c:manualLayout>
      </c:layout>
      <c:barChart>
        <c:barDir val="bar"/>
        <c:grouping val="clustered"/>
        <c:varyColors val="0"/>
        <c:ser>
          <c:idx val="0"/>
          <c:order val="0"/>
          <c:spPr>
            <a:solidFill>
              <a:srgbClr val="007AC9"/>
            </a:solidFill>
            <a:ln>
              <a:noFill/>
            </a:ln>
          </c:spPr>
          <c:invertIfNegative val="0"/>
          <c:dLbls>
            <c:dLbl>
              <c:idx val="0"/>
              <c:tx>
                <c:rich>
                  <a:bodyPr/>
                  <a:lstStyle/>
                  <a:p>
                    <a:r>
                      <a:rPr lang="en-US" sz="800">
                        <a:solidFill>
                          <a:schemeClr val="tx1"/>
                        </a:solidFill>
                        <a:latin typeface="Fira Sans" panose="020B0503050000020004" pitchFamily="34" charset="0"/>
                        <a:ea typeface="Fira Sans" panose="020B0503050000020004" pitchFamily="34" charset="0"/>
                      </a:rPr>
                      <a:t>5.51</a:t>
                    </a:r>
                    <a:endParaRPr lang="en-US"/>
                  </a:p>
                </c:rich>
              </c:tx>
              <c:dLblPos val="outEnd"/>
              <c:showLegendKey val="0"/>
              <c:showVal val="1"/>
              <c:showCatName val="0"/>
              <c:showSerName val="0"/>
              <c:showPercent val="0"/>
              <c:showBubbleSize val="0"/>
              <c:separator>. </c:separator>
              <c:extLst>
                <c:ext xmlns:c15="http://schemas.microsoft.com/office/drawing/2012/chart" uri="{CE6537A1-D6FC-4f65-9D91-7224C49458BB}"/>
              </c:extLst>
            </c:dLbl>
            <c:dLbl>
              <c:idx val="1"/>
              <c:tx>
                <c:rich>
                  <a:bodyPr/>
                  <a:lstStyle/>
                  <a:p>
                    <a:r>
                      <a:rPr lang="en-US" sz="800">
                        <a:solidFill>
                          <a:schemeClr val="tx1"/>
                        </a:solidFill>
                        <a:latin typeface="Fira Sans" panose="020B0503050000020004" pitchFamily="34" charset="0"/>
                        <a:ea typeface="Fira Sans" panose="020B0503050000020004" pitchFamily="34" charset="0"/>
                      </a:rPr>
                      <a:t>5.23</a:t>
                    </a:r>
                    <a:endParaRPr lang="en-US"/>
                  </a:p>
                </c:rich>
              </c:tx>
              <c:dLblPos val="outEnd"/>
              <c:showLegendKey val="0"/>
              <c:showVal val="1"/>
              <c:showCatName val="0"/>
              <c:showSerName val="0"/>
              <c:showPercent val="0"/>
              <c:showBubbleSize val="0"/>
              <c:separator>. </c:separator>
              <c:extLst>
                <c:ext xmlns:c15="http://schemas.microsoft.com/office/drawing/2012/chart" uri="{CE6537A1-D6FC-4f65-9D91-7224C49458BB}"/>
              </c:extLst>
            </c:dLbl>
            <c:dLbl>
              <c:idx val="2"/>
              <c:tx>
                <c:rich>
                  <a:bodyPr/>
                  <a:lstStyle/>
                  <a:p>
                    <a:r>
                      <a:rPr lang="en-US" sz="800">
                        <a:solidFill>
                          <a:schemeClr val="tx1"/>
                        </a:solidFill>
                        <a:latin typeface="Fira Sans" panose="020B0503050000020004" pitchFamily="34" charset="0"/>
                        <a:ea typeface="Fira Sans" panose="020B0503050000020004" pitchFamily="34" charset="0"/>
                      </a:rPr>
                      <a:t>0.97</a:t>
                    </a:r>
                    <a:endParaRPr lang="en-US"/>
                  </a:p>
                </c:rich>
              </c:tx>
              <c:dLblPos val="outEnd"/>
              <c:showLegendKey val="0"/>
              <c:showVal val="1"/>
              <c:showCatName val="0"/>
              <c:showSerName val="0"/>
              <c:showPercent val="0"/>
              <c:showBubbleSize val="0"/>
              <c:separator>. </c:separator>
              <c:extLst>
                <c:ext xmlns:c15="http://schemas.microsoft.com/office/drawing/2012/chart" uri="{CE6537A1-D6FC-4f65-9D91-7224C49458BB}"/>
              </c:extLst>
            </c:dLbl>
            <c:dLbl>
              <c:idx val="3"/>
              <c:tx>
                <c:rich>
                  <a:bodyPr/>
                  <a:lstStyle/>
                  <a:p>
                    <a:r>
                      <a:rPr lang="en-US" sz="800">
                        <a:solidFill>
                          <a:schemeClr val="tx1"/>
                        </a:solidFill>
                        <a:latin typeface="Fira Sans" panose="020B0503050000020004" pitchFamily="34" charset="0"/>
                        <a:ea typeface="Fira Sans" panose="020B0503050000020004" pitchFamily="34" charset="0"/>
                      </a:rPr>
                      <a:t>6.89</a:t>
                    </a:r>
                    <a:endParaRPr lang="en-US"/>
                  </a:p>
                </c:rich>
              </c:tx>
              <c:dLblPos val="outEnd"/>
              <c:showLegendKey val="0"/>
              <c:showVal val="1"/>
              <c:showCatName val="0"/>
              <c:showSerName val="0"/>
              <c:showPercent val="0"/>
              <c:showBubbleSize val="0"/>
              <c:separator>. </c:separator>
              <c:extLst>
                <c:ext xmlns:c15="http://schemas.microsoft.com/office/drawing/2012/chart" uri="{CE6537A1-D6FC-4f65-9D91-7224C49458BB}"/>
              </c:extLst>
            </c:dLbl>
            <c:dLbl>
              <c:idx val="4"/>
              <c:tx>
                <c:rich>
                  <a:bodyPr/>
                  <a:lstStyle/>
                  <a:p>
                    <a:r>
                      <a:rPr lang="en-US" sz="800">
                        <a:solidFill>
                          <a:schemeClr val="tx1"/>
                        </a:solidFill>
                        <a:latin typeface="Fira Sans" panose="020B0503050000020004" pitchFamily="34" charset="0"/>
                        <a:ea typeface="Fira Sans" panose="020B0503050000020004" pitchFamily="34" charset="0"/>
                      </a:rPr>
                      <a:t>5.20</a:t>
                    </a:r>
                    <a:endParaRPr lang="en-US"/>
                  </a:p>
                </c:rich>
              </c:tx>
              <c:dLblPos val="outEnd"/>
              <c:showLegendKey val="0"/>
              <c:showVal val="1"/>
              <c:showCatName val="0"/>
              <c:showSerName val="0"/>
              <c:showPercent val="0"/>
              <c:showBubbleSize val="0"/>
              <c:separator>. </c:separator>
              <c:extLst>
                <c:ext xmlns:c15="http://schemas.microsoft.com/office/drawing/2012/chart" uri="{CE6537A1-D6FC-4f65-9D91-7224C49458BB}"/>
              </c:extLst>
            </c:dLbl>
            <c:dLbl>
              <c:idx val="5"/>
              <c:tx>
                <c:rich>
                  <a:bodyPr/>
                  <a:lstStyle/>
                  <a:p>
                    <a:r>
                      <a:rPr lang="en-US" sz="800">
                        <a:solidFill>
                          <a:schemeClr val="tx1"/>
                        </a:solidFill>
                        <a:latin typeface="Fira Sans" panose="020B0503050000020004" pitchFamily="34" charset="0"/>
                        <a:ea typeface="Fira Sans" panose="020B0503050000020004" pitchFamily="34" charset="0"/>
                      </a:rPr>
                      <a:t>8.63</a:t>
                    </a:r>
                    <a:endParaRPr lang="en-US"/>
                  </a:p>
                </c:rich>
              </c:tx>
              <c:dLblPos val="outEnd"/>
              <c:showLegendKey val="0"/>
              <c:showVal val="1"/>
              <c:showCatName val="0"/>
              <c:showSerName val="0"/>
              <c:showPercent val="0"/>
              <c:showBubbleSize val="0"/>
              <c:separator>. </c:separator>
              <c:extLst>
                <c:ext xmlns:c15="http://schemas.microsoft.com/office/drawing/2012/chart" uri="{CE6537A1-D6FC-4f65-9D91-7224C49458BB}"/>
              </c:extLst>
            </c:dLbl>
            <c:dLbl>
              <c:idx val="6"/>
              <c:tx>
                <c:rich>
                  <a:bodyPr/>
                  <a:lstStyle/>
                  <a:p>
                    <a:r>
                      <a:rPr lang="en-US" sz="800">
                        <a:solidFill>
                          <a:schemeClr val="tx1"/>
                        </a:solidFill>
                        <a:latin typeface="Fira Sans" panose="020B0503050000020004" pitchFamily="34" charset="0"/>
                        <a:ea typeface="Fira Sans" panose="020B0503050000020004" pitchFamily="34" charset="0"/>
                      </a:rPr>
                      <a:t>5.56</a:t>
                    </a:r>
                    <a:endParaRPr lang="en-US"/>
                  </a:p>
                </c:rich>
              </c:tx>
              <c:dLblPos val="outEnd"/>
              <c:showLegendKey val="0"/>
              <c:showVal val="1"/>
              <c:showCatName val="0"/>
              <c:showSerName val="0"/>
              <c:showPercent val="0"/>
              <c:showBubbleSize val="0"/>
              <c:separator>. </c:separator>
              <c:extLst>
                <c:ext xmlns:c15="http://schemas.microsoft.com/office/drawing/2012/chart" uri="{CE6537A1-D6FC-4f65-9D91-7224C49458BB}"/>
              </c:extLst>
            </c:dLbl>
            <c:dLbl>
              <c:idx val="7"/>
              <c:tx>
                <c:rich>
                  <a:bodyPr/>
                  <a:lstStyle/>
                  <a:p>
                    <a:r>
                      <a:rPr lang="en-US" sz="800">
                        <a:solidFill>
                          <a:schemeClr val="tx1"/>
                        </a:solidFill>
                        <a:latin typeface="Fira Sans" panose="020B0503050000020004" pitchFamily="34" charset="0"/>
                        <a:ea typeface="Fira Sans" panose="020B0503050000020004" pitchFamily="34" charset="0"/>
                      </a:rPr>
                      <a:t>5.14</a:t>
                    </a:r>
                    <a:endParaRPr lang="en-US"/>
                  </a:p>
                </c:rich>
              </c:tx>
              <c:dLblPos val="outEnd"/>
              <c:showLegendKey val="0"/>
              <c:showVal val="1"/>
              <c:showCatName val="0"/>
              <c:showSerName val="0"/>
              <c:showPercent val="0"/>
              <c:showBubbleSize val="0"/>
              <c:separator>. </c:separator>
              <c:extLst>
                <c:ext xmlns:c15="http://schemas.microsoft.com/office/drawing/2012/chart" uri="{CE6537A1-D6FC-4f65-9D91-7224C49458BB}"/>
              </c:extLst>
            </c:dLbl>
            <c:dLbl>
              <c:idx val="8"/>
              <c:tx>
                <c:rich>
                  <a:bodyPr/>
                  <a:lstStyle/>
                  <a:p>
                    <a:r>
                      <a:rPr lang="en-US" sz="800">
                        <a:solidFill>
                          <a:schemeClr val="tx1"/>
                        </a:solidFill>
                        <a:latin typeface="Fira Sans" panose="020B0503050000020004" pitchFamily="34" charset="0"/>
                        <a:ea typeface="Fira Sans" panose="020B0503050000020004" pitchFamily="34" charset="0"/>
                      </a:rPr>
                      <a:t>20.53</a:t>
                    </a:r>
                    <a:endParaRPr lang="en-US"/>
                  </a:p>
                </c:rich>
              </c:tx>
              <c:dLblPos val="outEnd"/>
              <c:showLegendKey val="0"/>
              <c:showVal val="1"/>
              <c:showCatName val="0"/>
              <c:showSerName val="0"/>
              <c:showPercent val="0"/>
              <c:showBubbleSize val="0"/>
              <c:separator>. </c:separator>
              <c:extLst>
                <c:ext xmlns:c15="http://schemas.microsoft.com/office/drawing/2012/chart" uri="{CE6537A1-D6FC-4f65-9D91-7224C49458BB}"/>
              </c:extLst>
            </c:dLbl>
            <c:dLbl>
              <c:idx val="9"/>
              <c:tx>
                <c:rich>
                  <a:bodyPr/>
                  <a:lstStyle/>
                  <a:p>
                    <a:r>
                      <a:rPr lang="en-US"/>
                      <a:t>5.68</a:t>
                    </a:r>
                  </a:p>
                </c:rich>
              </c:tx>
              <c:dLblPos val="outEnd"/>
              <c:showLegendKey val="0"/>
              <c:showVal val="1"/>
              <c:showCatName val="0"/>
              <c:showSerName val="0"/>
              <c:showPercent val="0"/>
              <c:showBubbleSize val="0"/>
              <c:separator>. </c:separator>
              <c:extLst>
                <c:ext xmlns:c15="http://schemas.microsoft.com/office/drawing/2012/chart" uri="{CE6537A1-D6FC-4f65-9D91-7224C49458BB}"/>
              </c:extLst>
            </c:dLbl>
            <c:dLbl>
              <c:idx val="10"/>
              <c:tx>
                <c:rich>
                  <a:bodyPr/>
                  <a:lstStyle/>
                  <a:p>
                    <a:r>
                      <a:rPr lang="en-US" sz="800">
                        <a:solidFill>
                          <a:schemeClr val="tx1"/>
                        </a:solidFill>
                        <a:latin typeface="Fira Sans" panose="020B0503050000020004" pitchFamily="34" charset="0"/>
                        <a:ea typeface="Fira Sans" panose="020B0503050000020004" pitchFamily="34" charset="0"/>
                      </a:rPr>
                      <a:t>6.38</a:t>
                    </a:r>
                    <a:endParaRPr lang="en-US"/>
                  </a:p>
                </c:rich>
              </c:tx>
              <c:dLblPos val="outEnd"/>
              <c:showLegendKey val="0"/>
              <c:showVal val="1"/>
              <c:showCatName val="0"/>
              <c:showSerName val="0"/>
              <c:showPercent val="0"/>
              <c:showBubbleSize val="0"/>
              <c:separator>. </c:separator>
              <c:extLst>
                <c:ext xmlns:c15="http://schemas.microsoft.com/office/drawing/2012/chart" uri="{CE6537A1-D6FC-4f65-9D91-7224C49458BB}"/>
              </c:extLst>
            </c:dLbl>
            <c:dLbl>
              <c:idx val="11"/>
              <c:tx>
                <c:rich>
                  <a:bodyPr/>
                  <a:lstStyle/>
                  <a:p>
                    <a:r>
                      <a:rPr lang="en-US" sz="800">
                        <a:solidFill>
                          <a:schemeClr val="tx1"/>
                        </a:solidFill>
                        <a:latin typeface="Fira Sans" panose="020B0503050000020004" pitchFamily="34" charset="0"/>
                        <a:ea typeface="Fira Sans" panose="020B0503050000020004" pitchFamily="34" charset="0"/>
                      </a:rPr>
                      <a:t>24.28</a:t>
                    </a:r>
                    <a:endParaRPr lang="en-US"/>
                  </a:p>
                </c:rich>
              </c:tx>
              <c:dLblPos val="outEnd"/>
              <c:showLegendKey val="0"/>
              <c:showVal val="1"/>
              <c:showCatName val="0"/>
              <c:showSerName val="0"/>
              <c:showPercent val="0"/>
              <c:showBubbleSize val="0"/>
              <c:separator>. </c:separator>
              <c:extLst>
                <c:ext xmlns:c15="http://schemas.microsoft.com/office/drawing/2012/chart" uri="{CE6537A1-D6FC-4f65-9D91-7224C49458BB}"/>
              </c:extLst>
            </c:dLbl>
            <c:spPr>
              <a:noFill/>
              <a:ln>
                <a:noFill/>
              </a:ln>
              <a:effectLst/>
            </c:spPr>
            <c:txPr>
              <a:bodyPr/>
              <a:lstStyle/>
              <a:p>
                <a:pPr>
                  <a:defRPr sz="800">
                    <a:solidFill>
                      <a:schemeClr val="tx1"/>
                    </a:solidFill>
                    <a:latin typeface="Fira Sans" panose="020B0503050000020004" pitchFamily="34" charset="0"/>
                    <a:ea typeface="Fira Sans" panose="020B0503050000020004" pitchFamily="34" charset="0"/>
                  </a:defRPr>
                </a:pPr>
                <a:endParaRPr lang="pl-PL"/>
              </a:p>
            </c:txPr>
            <c:dLblPos val="outEnd"/>
            <c:showLegendKey val="0"/>
            <c:showVal val="1"/>
            <c:showCatName val="0"/>
            <c:showSerName val="0"/>
            <c:showPercent val="0"/>
            <c:showBubbleSize val="0"/>
            <c:separator>. </c:separator>
            <c:showLeaderLines val="0"/>
            <c:extLst>
              <c:ext xmlns:c15="http://schemas.microsoft.com/office/drawing/2012/chart" uri="{CE6537A1-D6FC-4f65-9D91-7224C49458BB}">
                <c15:showLeaderLines val="0"/>
              </c:ext>
            </c:extLst>
          </c:dLbls>
          <c:cat>
            <c:strRef>
              <c:f>Arkusz2!$B$2:$B$13</c:f>
              <c:strCache>
                <c:ptCount val="12"/>
                <c:pt idx="0">
                  <c:v>Miscellaneous goods and services</c:v>
                </c:pt>
                <c:pt idx="1">
                  <c:v>Restaurants and hotels</c:v>
                </c:pt>
                <c:pt idx="2">
                  <c:v>Education</c:v>
                </c:pt>
                <c:pt idx="3">
                  <c:v>Recreation and culture</c:v>
                </c:pt>
                <c:pt idx="4">
                  <c:v>Communication</c:v>
                </c:pt>
                <c:pt idx="5">
                  <c:v>Transport</c:v>
                </c:pt>
                <c:pt idx="6">
                  <c:v>Health</c:v>
                </c:pt>
                <c:pt idx="7">
                  <c:v>Furnishings, household equipment 
and routine household maintenance</c:v>
                </c:pt>
                <c:pt idx="8">
                  <c:v>Housing, water, electricity, gas 
and other fuels</c:v>
                </c:pt>
                <c:pt idx="9">
                  <c:v>Clothing and footwear </c:v>
                </c:pt>
                <c:pt idx="10">
                  <c:v>Alcoholic beverages 
and tobacco</c:v>
                </c:pt>
                <c:pt idx="11">
                  <c:v>Food and non-alcoholic beverages</c:v>
                </c:pt>
              </c:strCache>
            </c:strRef>
          </c:cat>
          <c:val>
            <c:numRef>
              <c:f>Arkusz2!$C$2:$C$13</c:f>
              <c:numCache>
                <c:formatCode>0.00</c:formatCode>
                <c:ptCount val="12"/>
                <c:pt idx="0">
                  <c:v>5.51</c:v>
                </c:pt>
                <c:pt idx="1">
                  <c:v>5.23</c:v>
                </c:pt>
                <c:pt idx="2">
                  <c:v>0.9700000000000002</c:v>
                </c:pt>
                <c:pt idx="3">
                  <c:v>6.89</c:v>
                </c:pt>
                <c:pt idx="4">
                  <c:v>5.2</c:v>
                </c:pt>
                <c:pt idx="5">
                  <c:v>8.6300000000000008</c:v>
                </c:pt>
                <c:pt idx="6">
                  <c:v>5.56</c:v>
                </c:pt>
                <c:pt idx="7">
                  <c:v>5.14</c:v>
                </c:pt>
                <c:pt idx="8">
                  <c:v>20.53</c:v>
                </c:pt>
                <c:pt idx="9">
                  <c:v>5.68</c:v>
                </c:pt>
                <c:pt idx="10">
                  <c:v>6.38</c:v>
                </c:pt>
                <c:pt idx="11">
                  <c:v>24.279999999999994</c:v>
                </c:pt>
              </c:numCache>
            </c:numRef>
          </c:val>
        </c:ser>
        <c:dLbls>
          <c:showLegendKey val="0"/>
          <c:showVal val="0"/>
          <c:showCatName val="0"/>
          <c:showSerName val="0"/>
          <c:showPercent val="0"/>
          <c:showBubbleSize val="0"/>
        </c:dLbls>
        <c:gapWidth val="150"/>
        <c:axId val="-1769644880"/>
        <c:axId val="-1769637264"/>
      </c:barChart>
      <c:catAx>
        <c:axId val="-1769644880"/>
        <c:scaling>
          <c:orientation val="minMax"/>
        </c:scaling>
        <c:delete val="0"/>
        <c:axPos val="l"/>
        <c:numFmt formatCode="General" sourceLinked="1"/>
        <c:majorTickMark val="out"/>
        <c:minorTickMark val="none"/>
        <c:tickLblPos val="nextTo"/>
        <c:txPr>
          <a:bodyPr rot="0" vert="horz" anchor="ctr" anchorCtr="1"/>
          <a:lstStyle/>
          <a:p>
            <a:pPr algn="r">
              <a:defRPr sz="800" baseline="0">
                <a:latin typeface="Fira Sans" pitchFamily="34" charset="0"/>
                <a:ea typeface="Fira Sans" pitchFamily="34" charset="0"/>
              </a:defRPr>
            </a:pPr>
            <a:endParaRPr lang="pl-PL"/>
          </a:p>
        </c:txPr>
        <c:crossAx val="-1769637264"/>
        <c:crosses val="autoZero"/>
        <c:auto val="0"/>
        <c:lblAlgn val="ctr"/>
        <c:lblOffset val="100"/>
        <c:noMultiLvlLbl val="0"/>
      </c:catAx>
      <c:valAx>
        <c:axId val="-1769637264"/>
        <c:scaling>
          <c:orientation val="minMax"/>
          <c:max val="30"/>
        </c:scaling>
        <c:delete val="0"/>
        <c:axPos val="b"/>
        <c:majorGridlines>
          <c:spPr>
            <a:ln w="3175" cmpd="sng">
              <a:solidFill>
                <a:srgbClr val="C0C0C0"/>
              </a:solidFill>
              <a:prstDash val="sysDot"/>
            </a:ln>
          </c:spPr>
        </c:majorGridlines>
        <c:numFmt formatCode="General" sourceLinked="0"/>
        <c:majorTickMark val="out"/>
        <c:minorTickMark val="none"/>
        <c:tickLblPos val="nextTo"/>
        <c:spPr>
          <a:noFill/>
          <a:ln>
            <a:solidFill>
              <a:schemeClr val="tx1"/>
            </a:solidFill>
          </a:ln>
        </c:spPr>
        <c:txPr>
          <a:bodyPr/>
          <a:lstStyle/>
          <a:p>
            <a:pPr>
              <a:defRPr sz="900">
                <a:latin typeface="Fira Sans" pitchFamily="34" charset="0"/>
                <a:ea typeface="Fira Sans" pitchFamily="34" charset="0"/>
              </a:defRPr>
            </a:pPr>
            <a:endParaRPr lang="pl-PL"/>
          </a:p>
        </c:txPr>
        <c:crossAx val="-1769644880"/>
        <c:crosses val="autoZero"/>
        <c:crossBetween val="between"/>
        <c:majorUnit val="5"/>
      </c:valAx>
      <c:spPr>
        <a:noFill/>
        <a:ln>
          <a:noFill/>
        </a:ln>
      </c:spPr>
    </c:plotArea>
    <c:plotVisOnly val="1"/>
    <c:dispBlanksAs val="gap"/>
    <c:showDLblsOverMax val="0"/>
  </c:chart>
  <c:spPr>
    <a:noFill/>
    <a:ln>
      <a:noFill/>
    </a:ln>
  </c:spPr>
  <c:externalData r:id="rId1">
    <c:autoUpdate val="0"/>
  </c:externalData>
  <c:userShapes r:id="rId2"/>
</c:chartSpace>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0.06337</cdr:x>
      <cdr:y>0.0639</cdr:y>
    </cdr:from>
    <cdr:to>
      <cdr:x>0.12174</cdr:x>
      <cdr:y>0.18421</cdr:y>
    </cdr:to>
    <cdr:sp macro="" textlink="">
      <cdr:nvSpPr>
        <cdr:cNvPr id="1351681" name="Tekst 1"/>
        <cdr:cNvSpPr txBox="1">
          <a:spLocks xmlns:a="http://schemas.openxmlformats.org/drawingml/2006/main" noChangeArrowheads="1"/>
        </cdr:cNvSpPr>
      </cdr:nvSpPr>
      <cdr:spPr bwMode="auto">
        <a:xfrm xmlns:a="http://schemas.openxmlformats.org/drawingml/2006/main">
          <a:off x="324736" y="165552"/>
          <a:ext cx="299115" cy="311699"/>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dr:relSizeAnchor xmlns:cdr="http://schemas.openxmlformats.org/drawingml/2006/chartDrawing">
    <cdr:from>
      <cdr:x>0.66957</cdr:x>
      <cdr:y>0.55098</cdr:y>
    </cdr:from>
    <cdr:to>
      <cdr:x>0.68741</cdr:x>
      <cdr:y>0.55098</cdr:y>
    </cdr:to>
    <cdr:cxnSp macro="">
      <cdr:nvCxnSpPr>
        <cdr:cNvPr id="5" name="Łącznik prosty 4"/>
        <cdr:cNvCxnSpPr/>
      </cdr:nvCxnSpPr>
      <cdr:spPr bwMode="auto">
        <a:xfrm xmlns:a="http://schemas.openxmlformats.org/drawingml/2006/main">
          <a:off x="3431185" y="1427486"/>
          <a:ext cx="91420" cy="0"/>
        </a:xfrm>
        <a:prstGeom xmlns:a="http://schemas.openxmlformats.org/drawingml/2006/main" prst="line">
          <a:avLst/>
        </a:prstGeom>
        <a:noFill xmlns:a="http://schemas.openxmlformats.org/drawingml/2006/main"/>
        <a:ln xmlns:a="http://schemas.openxmlformats.org/drawingml/2006/main" w="28575" cap="flat" cmpd="sng" algn="ctr">
          <a:solidFill>
            <a:srgbClr val="001D77"/>
          </a:solidFill>
          <a:prstDash val="solid"/>
          <a:miter lim="800000"/>
          <a:headEnd type="none" w="med" len="med"/>
          <a:tailEnd type="none" w="med" len="med"/>
        </a:ln>
        <a:effectLst xmlns:a="http://schemas.openxmlformats.org/drawingml/2006/mai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dr:relSizeAnchor xmlns:cdr="http://schemas.openxmlformats.org/drawingml/2006/chartDrawing">
    <cdr:from>
      <cdr:x>0.42689</cdr:x>
      <cdr:y>0.55098</cdr:y>
    </cdr:from>
    <cdr:to>
      <cdr:x>0.44473</cdr:x>
      <cdr:y>0.55098</cdr:y>
    </cdr:to>
    <cdr:cxnSp macro="">
      <cdr:nvCxnSpPr>
        <cdr:cNvPr id="6" name="Łącznik prosty 5"/>
        <cdr:cNvCxnSpPr/>
      </cdr:nvCxnSpPr>
      <cdr:spPr bwMode="auto">
        <a:xfrm xmlns:a="http://schemas.openxmlformats.org/drawingml/2006/main">
          <a:off x="2187601" y="1427486"/>
          <a:ext cx="91420" cy="0"/>
        </a:xfrm>
        <a:prstGeom xmlns:a="http://schemas.openxmlformats.org/drawingml/2006/main" prst="line">
          <a:avLst/>
        </a:prstGeom>
        <a:noFill xmlns:a="http://schemas.openxmlformats.org/drawingml/2006/main"/>
        <a:ln xmlns:a="http://schemas.openxmlformats.org/drawingml/2006/main" w="28575" cap="flat" cmpd="sng" algn="ctr">
          <a:solidFill>
            <a:srgbClr val="007AC9"/>
          </a:solidFill>
          <a:prstDash val="solid"/>
          <a:miter lim="800000"/>
          <a:headEnd type="none" w="med" len="med"/>
          <a:tailEnd type="none" w="med" len="med"/>
        </a:ln>
        <a:effectLst xmlns:a="http://schemas.openxmlformats.org/drawingml/2006/mai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0.05699</cdr:x>
      <cdr:y>0.13104</cdr:y>
    </cdr:from>
    <cdr:to>
      <cdr:x>0.12605</cdr:x>
      <cdr:y>0.2018</cdr:y>
    </cdr:to>
    <cdr:sp macro="" textlink="">
      <cdr:nvSpPr>
        <cdr:cNvPr id="1351681" name="Tekst 1"/>
        <cdr:cNvSpPr txBox="1">
          <a:spLocks xmlns:a="http://schemas.openxmlformats.org/drawingml/2006/main" noChangeArrowheads="1"/>
        </cdr:cNvSpPr>
      </cdr:nvSpPr>
      <cdr:spPr bwMode="auto">
        <a:xfrm xmlns:a="http://schemas.openxmlformats.org/drawingml/2006/main">
          <a:off x="247513" y="378956"/>
          <a:ext cx="299961" cy="204625"/>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0.47432</cdr:x>
      <cdr:y>0.46915</cdr:y>
    </cdr:from>
    <cdr:to>
      <cdr:x>0.48942</cdr:x>
      <cdr:y>0.52227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055631" y="1367396"/>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dr:relSizeAnchor xmlns:cdr="http://schemas.openxmlformats.org/drawingml/2006/chartDrawing">
    <cdr:from>
      <cdr:x>0.15053</cdr:x>
      <cdr:y>0.21665</cdr:y>
    </cdr:from>
    <cdr:to>
      <cdr:x>0.41845</cdr:x>
      <cdr:y>0.30803</cdr:y>
    </cdr:to>
    <cdr:sp macro="" textlink="">
      <cdr:nvSpPr>
        <cdr:cNvPr id="2" name="Tekst 6"/>
        <cdr:cNvSpPr txBox="1">
          <a:spLocks xmlns:a="http://schemas.openxmlformats.org/drawingml/2006/main" noChangeArrowheads="1"/>
        </cdr:cNvSpPr>
      </cdr:nvSpPr>
      <cdr:spPr bwMode="auto">
        <a:xfrm xmlns:a="http://schemas.openxmlformats.org/drawingml/2006/main">
          <a:off x="656630" y="640429"/>
          <a:ext cx="1168700" cy="270122"/>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pl-PL" sz="800" b="1" i="0" u="none" strike="noStrike" baseline="0">
              <a:solidFill>
                <a:sysClr val="windowText" lastClr="000000"/>
              </a:solidFill>
              <a:latin typeface="Fira Sans" pitchFamily="34" charset="0"/>
              <a:ea typeface="Fira Sans" pitchFamily="34" charset="0"/>
              <a:cs typeface="Arial CE"/>
            </a:rPr>
            <a:t>Inflation target 2.5</a:t>
          </a:r>
        </a:p>
      </cdr:txBody>
    </cdr:sp>
  </cdr:relSizeAnchor>
  <cdr:relSizeAnchor xmlns:cdr="http://schemas.openxmlformats.org/drawingml/2006/chartDrawing">
    <cdr:from>
      <cdr:x>0.25941</cdr:x>
      <cdr:y>0.28521</cdr:y>
    </cdr:from>
    <cdr:to>
      <cdr:x>0.29415</cdr:x>
      <cdr:y>0.31695</cdr:y>
    </cdr:to>
    <cdr:sp macro="" textlink="">
      <cdr:nvSpPr>
        <cdr:cNvPr id="1991687" name="Line 7"/>
        <cdr:cNvSpPr>
          <a:spLocks xmlns:a="http://schemas.openxmlformats.org/drawingml/2006/main" noChangeShapeType="1"/>
        </cdr:cNvSpPr>
      </cdr:nvSpPr>
      <cdr:spPr bwMode="auto">
        <a:xfrm xmlns:a="http://schemas.openxmlformats.org/drawingml/2006/main">
          <a:off x="1131578" y="843077"/>
          <a:ext cx="151540" cy="93825"/>
        </a:xfrm>
        <a:prstGeom xmlns:a="http://schemas.openxmlformats.org/drawingml/2006/main" prst="line">
          <a:avLst/>
        </a:prstGeom>
        <a:noFill xmlns:a="http://schemas.openxmlformats.org/drawingml/2006/main"/>
        <a:ln xmlns:a="http://schemas.openxmlformats.org/drawingml/2006/main" w="3175">
          <a:solidFill>
            <a:sysClr val="windowText" lastClr="000000"/>
          </a:solidFill>
          <a:round/>
          <a:headEnd/>
          <a:tailEnd type="arrow" w="med" len="med"/>
        </a:ln>
        <a:effectLst xmlns:a="http://schemas.openxmlformats.org/drawingml/2006/main"/>
      </cdr:spPr>
      <cdr:txBody>
        <a:bodyPr xmlns:a="http://schemas.openxmlformats.org/drawingml/2006/main"/>
        <a:lstStyle xmlns:a="http://schemas.openxmlformats.org/drawingml/2006/main"/>
        <a:p xmlns:a="http://schemas.openxmlformats.org/drawingml/2006/main">
          <a:endParaRPr lang="pl-PL"/>
        </a:p>
      </cdr:txBody>
    </cdr:sp>
  </cdr:relSizeAnchor>
  <cdr:relSizeAnchor xmlns:cdr="http://schemas.openxmlformats.org/drawingml/2006/chartDrawing">
    <cdr:from>
      <cdr:x>0.51818</cdr:x>
      <cdr:y>0.27491</cdr:y>
    </cdr:from>
    <cdr:to>
      <cdr:x>0.6696</cdr:x>
      <cdr:y>0.43602</cdr:y>
    </cdr:to>
    <cdr:sp macro="" textlink="">
      <cdr:nvSpPr>
        <cdr:cNvPr id="8" name="Line 7"/>
        <cdr:cNvSpPr>
          <a:spLocks xmlns:a="http://schemas.openxmlformats.org/drawingml/2006/main" noChangeShapeType="1"/>
        </cdr:cNvSpPr>
      </cdr:nvSpPr>
      <cdr:spPr bwMode="auto">
        <a:xfrm xmlns:a="http://schemas.openxmlformats.org/drawingml/2006/main" flipH="1">
          <a:off x="2267626" y="819716"/>
          <a:ext cx="662608" cy="480391"/>
        </a:xfrm>
        <a:prstGeom xmlns:a="http://schemas.openxmlformats.org/drawingml/2006/main" prst="line">
          <a:avLst/>
        </a:prstGeom>
        <a:noFill xmlns:a="http://schemas.openxmlformats.org/drawingml/2006/main"/>
        <a:ln xmlns:a="http://schemas.openxmlformats.org/drawingml/2006/main" w="3175">
          <a:solidFill>
            <a:sysClr val="windowText" lastClr="000000"/>
          </a:solidFill>
          <a:round/>
          <a:headEnd/>
          <a:tailEnd type="arrow" w="med" len="med"/>
        </a:ln>
        <a:effectLst xmlns:a="http://schemas.openxmlformats.org/drawingml/2006/main"/>
      </cdr:spPr>
      <cdr:txBody>
        <a:bodyPr xmlns:a="http://schemas.openxmlformats.org/drawingml/2006/main"/>
        <a:lstStyle xmlns:a="http://schemas.openxmlformats.org/drawingml/2006/main"/>
        <a:p xmlns:a="http://schemas.openxmlformats.org/drawingml/2006/main">
          <a:endParaRPr lang="pl-PL"/>
        </a:p>
      </cdr:txBody>
    </cdr:sp>
  </cdr:relSizeAnchor>
  <cdr:relSizeAnchor xmlns:cdr="http://schemas.openxmlformats.org/drawingml/2006/chartDrawing">
    <cdr:from>
      <cdr:x>0.51521</cdr:x>
      <cdr:y>0.23091</cdr:y>
    </cdr:from>
    <cdr:to>
      <cdr:x>0.66581</cdr:x>
      <cdr:y>0.27491</cdr:y>
    </cdr:to>
    <cdr:sp macro="" textlink="">
      <cdr:nvSpPr>
        <cdr:cNvPr id="9" name="Line 7"/>
        <cdr:cNvSpPr>
          <a:spLocks xmlns:a="http://schemas.openxmlformats.org/drawingml/2006/main" noChangeShapeType="1"/>
        </cdr:cNvSpPr>
      </cdr:nvSpPr>
      <cdr:spPr bwMode="auto">
        <a:xfrm xmlns:a="http://schemas.openxmlformats.org/drawingml/2006/main" flipH="1" flipV="1">
          <a:off x="2254597" y="688514"/>
          <a:ext cx="659074" cy="131202"/>
        </a:xfrm>
        <a:prstGeom xmlns:a="http://schemas.openxmlformats.org/drawingml/2006/main" prst="line">
          <a:avLst/>
        </a:prstGeom>
        <a:noFill xmlns:a="http://schemas.openxmlformats.org/drawingml/2006/main"/>
        <a:ln xmlns:a="http://schemas.openxmlformats.org/drawingml/2006/main" w="3175">
          <a:solidFill>
            <a:sysClr val="windowText" lastClr="000000"/>
          </a:solidFill>
          <a:round/>
          <a:headEnd/>
          <a:tailEnd type="arrow" w="med" len="med"/>
        </a:ln>
        <a:effectLst xmlns:a="http://schemas.openxmlformats.org/drawingml/2006/main"/>
      </cdr:spPr>
      <cdr:txBody>
        <a:bodyPr xmlns:a="http://schemas.openxmlformats.org/drawingml/2006/main"/>
        <a:lstStyle xmlns:a="http://schemas.openxmlformats.org/drawingml/2006/main"/>
        <a:p xmlns:a="http://schemas.openxmlformats.org/drawingml/2006/main">
          <a:endParaRPr lang="pl-PL"/>
        </a:p>
      </cdr:txBody>
    </cdr:sp>
  </cdr:relSizeAnchor>
  <cdr:relSizeAnchor xmlns:cdr="http://schemas.openxmlformats.org/drawingml/2006/chartDrawing">
    <cdr:from>
      <cdr:x>0</cdr:x>
      <cdr:y>0</cdr:y>
    </cdr:from>
    <cdr:to>
      <cdr:x>0.00265</cdr:x>
      <cdr:y>0.00434</cdr:y>
    </cdr:to>
    <cdr:pic>
      <cdr:nvPicPr>
        <cdr:cNvPr id="10"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cdr:x>
      <cdr:y>0</cdr:y>
    </cdr:from>
    <cdr:to>
      <cdr:x>0.00265</cdr:x>
      <cdr:y>0.00434</cdr:y>
    </cdr:to>
    <cdr:pic>
      <cdr:nvPicPr>
        <cdr:cNvPr id="11"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cdr:x>
      <cdr:y>0</cdr:y>
    </cdr:from>
    <cdr:to>
      <cdr:x>0.00265</cdr:x>
      <cdr:y>0.00434</cdr:y>
    </cdr:to>
    <cdr:pic>
      <cdr:nvPicPr>
        <cdr:cNvPr id="1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cdr:x>
      <cdr:y>0</cdr:y>
    </cdr:from>
    <cdr:to>
      <cdr:x>0.00265</cdr:x>
      <cdr:y>0.00434</cdr:y>
    </cdr:to>
    <cdr:pic>
      <cdr:nvPicPr>
        <cdr:cNvPr id="1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1</cdr:x>
      <cdr:y>0.7795</cdr:y>
    </cdr:from>
    <cdr:to>
      <cdr:x>1</cdr:x>
      <cdr:y>0.7795</cdr:y>
    </cdr:to>
    <cdr:sp macro="" textlink="">
      <cdr:nvSpPr>
        <cdr:cNvPr id="15" name="pole tekstowe 14"/>
        <cdr:cNvSpPr txBox="1"/>
      </cdr:nvSpPr>
      <cdr:spPr>
        <a:xfrm xmlns:a="http://schemas.openxmlformats.org/drawingml/2006/main">
          <a:off x="8572500" y="30480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pl-PL"/>
        </a:p>
      </cdr:txBody>
    </cdr:sp>
  </cdr:relSizeAnchor>
  <cdr:relSizeAnchor xmlns:cdr="http://schemas.openxmlformats.org/drawingml/2006/chartDrawing">
    <cdr:from>
      <cdr:x>0.65742</cdr:x>
      <cdr:y>0.21796</cdr:y>
    </cdr:from>
    <cdr:to>
      <cdr:x>0.91012</cdr:x>
      <cdr:y>0.35614</cdr:y>
    </cdr:to>
    <cdr:sp macro="" textlink="">
      <cdr:nvSpPr>
        <cdr:cNvPr id="16" name="pole tekstowe 15"/>
        <cdr:cNvSpPr txBox="1"/>
      </cdr:nvSpPr>
      <cdr:spPr>
        <a:xfrm xmlns:a="http://schemas.openxmlformats.org/drawingml/2006/main">
          <a:off x="2876946" y="649893"/>
          <a:ext cx="1105845" cy="412017"/>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pl-PL" sz="800" b="1">
              <a:solidFill>
                <a:sysClr val="windowText" lastClr="000000"/>
              </a:solidFill>
              <a:latin typeface="Fira Sans" pitchFamily="34" charset="0"/>
              <a:ea typeface="Fira Sans" pitchFamily="34" charset="0"/>
              <a:cs typeface="Arial" pitchFamily="34" charset="0"/>
            </a:rPr>
            <a:t>Deviation</a:t>
          </a:r>
          <a:r>
            <a:rPr lang="pl-PL" sz="800" b="1" baseline="0">
              <a:solidFill>
                <a:sysClr val="windowText" lastClr="000000"/>
              </a:solidFill>
              <a:latin typeface="Fira Sans" pitchFamily="34" charset="0"/>
              <a:ea typeface="Fira Sans" pitchFamily="34" charset="0"/>
              <a:cs typeface="Arial" pitchFamily="34" charset="0"/>
            </a:rPr>
            <a:t> </a:t>
          </a:r>
          <a:br>
            <a:rPr lang="pl-PL" sz="800" b="1" baseline="0">
              <a:solidFill>
                <a:sysClr val="windowText" lastClr="000000"/>
              </a:solidFill>
              <a:latin typeface="Fira Sans" pitchFamily="34" charset="0"/>
              <a:ea typeface="Fira Sans" pitchFamily="34" charset="0"/>
              <a:cs typeface="Arial" pitchFamily="34" charset="0"/>
            </a:rPr>
          </a:br>
          <a:r>
            <a:rPr lang="pl-PL" sz="800" b="1">
              <a:solidFill>
                <a:sysClr val="windowText" lastClr="000000"/>
              </a:solidFill>
              <a:latin typeface="Fira Sans" pitchFamily="34" charset="0"/>
              <a:ea typeface="Fira Sans" pitchFamily="34" charset="0"/>
              <a:cs typeface="Arial" pitchFamily="34" charset="0"/>
            </a:rPr>
            <a:t>from inflation target</a:t>
          </a:r>
        </a:p>
      </cdr:txBody>
    </cdr:sp>
  </cdr:relSizeAnchor>
  <cdr:relSizeAnchor xmlns:cdr="http://schemas.openxmlformats.org/drawingml/2006/chartDrawing">
    <cdr:from>
      <cdr:x>0.14303</cdr:x>
      <cdr:y>0.22097</cdr:y>
    </cdr:from>
    <cdr:to>
      <cdr:x>0.91492</cdr:x>
      <cdr:y>0.22098</cdr:y>
    </cdr:to>
    <cdr:sp macro="" textlink="">
      <cdr:nvSpPr>
        <cdr:cNvPr id="18" name="Łącznik prosty 17"/>
        <cdr:cNvSpPr/>
      </cdr:nvSpPr>
      <cdr:spPr bwMode="auto">
        <a:xfrm xmlns:a="http://schemas.openxmlformats.org/drawingml/2006/main">
          <a:off x="622061" y="637489"/>
          <a:ext cx="3357010" cy="29"/>
        </a:xfrm>
        <a:prstGeom xmlns:a="http://schemas.openxmlformats.org/drawingml/2006/main" prst="line">
          <a:avLst/>
        </a:prstGeom>
        <a:solidFill xmlns:a="http://schemas.openxmlformats.org/drawingml/2006/main">
          <a:srgbClr val="FFFFFF"/>
        </a:solidFill>
        <a:ln xmlns:a="http://schemas.openxmlformats.org/drawingml/2006/main" w="9525" cap="flat" cmpd="sng" algn="ctr">
          <a:solidFill>
            <a:sysClr val="windowText" lastClr="000000"/>
          </a:solidFill>
          <a:prstDash val="dash"/>
          <a:round/>
          <a:headEnd type="none" w="med" len="med"/>
          <a:tailEnd type="none" w="med" len="med"/>
        </a:ln>
        <a:effectLst xmlns:a="http://schemas.openxmlformats.org/drawingml/2006/main"/>
      </cdr:spPr>
      <cdr:txBody>
        <a:bodyPr xmlns:a="http://schemas.openxmlformats.org/drawingml/2006/main" vertOverflow="clip" wrap="square" lIns="18288" tIns="0" rIns="0" bIns="0" upright="1"/>
        <a:lstStyle xmlns:a="http://schemas.openxmlformats.org/drawingml/2006/main"/>
        <a:p xmlns:a="http://schemas.openxmlformats.org/drawingml/2006/main">
          <a:endParaRPr lang="pl-PL"/>
        </a:p>
      </cdr:txBody>
    </cdr:sp>
  </cdr:relSizeAnchor>
  <cdr:relSizeAnchor xmlns:cdr="http://schemas.openxmlformats.org/drawingml/2006/chartDrawing">
    <cdr:from>
      <cdr:x>0.1417</cdr:x>
      <cdr:y>0.32836</cdr:y>
    </cdr:from>
    <cdr:to>
      <cdr:x>0.9117</cdr:x>
      <cdr:y>0.33083</cdr:y>
    </cdr:to>
    <cdr:sp macro="" textlink="">
      <cdr:nvSpPr>
        <cdr:cNvPr id="22" name="Łącznik prosty 21"/>
        <cdr:cNvSpPr/>
      </cdr:nvSpPr>
      <cdr:spPr bwMode="auto">
        <a:xfrm xmlns:a="http://schemas.openxmlformats.org/drawingml/2006/main" flipV="1">
          <a:off x="614469" y="950016"/>
          <a:ext cx="3338895" cy="7138"/>
        </a:xfrm>
        <a:prstGeom xmlns:a="http://schemas.openxmlformats.org/drawingml/2006/main" prst="line">
          <a:avLst/>
        </a:prstGeom>
        <a:ln xmlns:a="http://schemas.openxmlformats.org/drawingml/2006/main" w="12700">
          <a:solidFill>
            <a:sysClr val="windowText" lastClr="000000"/>
          </a:solidFill>
          <a:headEnd type="none" w="med" len="med"/>
          <a:tailEnd type="none" w="med" len="med"/>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txBody>
        <a:bodyPr xmlns:a="http://schemas.openxmlformats.org/drawingml/2006/main" vertOverflow="clip" wrap="square" lIns="18288" tIns="0" rIns="0" bIns="0" upright="1"/>
        <a:lstStyle xmlns:a="http://schemas.openxmlformats.org/drawingml/2006/main"/>
        <a:p xmlns:a="http://schemas.openxmlformats.org/drawingml/2006/main">
          <a:endParaRPr lang="pl-PL"/>
        </a:p>
      </cdr:txBody>
    </cdr:sp>
  </cdr:relSizeAnchor>
  <cdr:relSizeAnchor xmlns:cdr="http://schemas.openxmlformats.org/drawingml/2006/chartDrawing">
    <cdr:from>
      <cdr:x>0.14499</cdr:x>
      <cdr:y>0.44031</cdr:y>
    </cdr:from>
    <cdr:to>
      <cdr:x>0.91581</cdr:x>
      <cdr:y>0.44084</cdr:y>
    </cdr:to>
    <cdr:sp macro="" textlink="">
      <cdr:nvSpPr>
        <cdr:cNvPr id="26" name="Łącznik prosty 25"/>
        <cdr:cNvSpPr/>
      </cdr:nvSpPr>
      <cdr:spPr bwMode="auto">
        <a:xfrm xmlns:a="http://schemas.openxmlformats.org/drawingml/2006/main">
          <a:off x="634493" y="1312890"/>
          <a:ext cx="3373198" cy="1580"/>
        </a:xfrm>
        <a:prstGeom xmlns:a="http://schemas.openxmlformats.org/drawingml/2006/main" prst="line">
          <a:avLst/>
        </a:prstGeom>
        <a:solidFill xmlns:a="http://schemas.openxmlformats.org/drawingml/2006/main">
          <a:srgbClr val="FFFFFF"/>
        </a:solidFill>
        <a:ln xmlns:a="http://schemas.openxmlformats.org/drawingml/2006/main" w="9525" cap="flat" cmpd="sng" algn="ctr">
          <a:solidFill>
            <a:sysClr val="windowText" lastClr="000000"/>
          </a:solidFill>
          <a:prstDash val="dash"/>
          <a:round/>
          <a:headEnd type="none" w="med" len="med"/>
          <a:tailEnd type="none" w="med" len="med"/>
        </a:ln>
        <a:effectLst xmlns:a="http://schemas.openxmlformats.org/drawingml/2006/main"/>
      </cdr:spPr>
      <cdr:txBody>
        <a:bodyPr xmlns:a="http://schemas.openxmlformats.org/drawingml/2006/main" vertOverflow="clip" wrap="square" lIns="18288" tIns="0" rIns="0" bIns="0" upright="1"/>
        <a:lstStyle xmlns:a="http://schemas.openxmlformats.org/drawingml/2006/main"/>
        <a:p xmlns:a="http://schemas.openxmlformats.org/drawingml/2006/main">
          <a:endParaRPr lang="pl-PL"/>
        </a:p>
      </cdr:txBody>
    </cdr:sp>
  </cdr:relSizeAnchor>
  <cdr:relSizeAnchor xmlns:cdr="http://schemas.openxmlformats.org/drawingml/2006/chartDrawing">
    <cdr:from>
      <cdr:x>0.88654</cdr:x>
      <cdr:y>0.60488</cdr:y>
    </cdr:from>
    <cdr:to>
      <cdr:x>0.897</cdr:x>
      <cdr:y>0.62044</cdr:y>
    </cdr:to>
    <cdr:sp macro="" textlink="">
      <cdr:nvSpPr>
        <cdr:cNvPr id="19" name="Minus 18"/>
        <cdr:cNvSpPr/>
      </cdr:nvSpPr>
      <cdr:spPr bwMode="auto">
        <a:xfrm xmlns:a="http://schemas.openxmlformats.org/drawingml/2006/main">
          <a:off x="3875932" y="1777836"/>
          <a:ext cx="45719" cy="45719"/>
        </a:xfrm>
        <a:prstGeom xmlns:a="http://schemas.openxmlformats.org/drawingml/2006/main" prst="mathMinus">
          <a:avLst/>
        </a:prstGeom>
        <a:solidFill xmlns:a="http://schemas.openxmlformats.org/drawingml/2006/main">
          <a:srgbClr val="FFFFFF"/>
        </a:solidFill>
        <a:ln xmlns:a="http://schemas.openxmlformats.org/drawingml/2006/main" w="9525" cap="flat" cmpd="sng" algn="ctr">
          <a:solidFill>
            <a:srgbClr val="FFFFFF"/>
          </a:solidFill>
          <a:prstDash val="solid"/>
          <a:round/>
          <a:headEnd type="none" w="med" len="med"/>
          <a:tailEnd type="none" w="med" len="med"/>
        </a:ln>
        <a:effectLst xmlns:a="http://schemas.openxmlformats.org/drawingml/2006/main"/>
      </cdr:spPr>
      <cdr:txBody>
        <a:bodyPr xmlns:a="http://schemas.openxmlformats.org/drawingml/2006/main" vertOverflow="clip" wrap="square" lIns="18288" tIns="0" rIns="0" bIns="0" upright="1"/>
        <a:lstStyle xmlns:a="http://schemas.openxmlformats.org/drawingml/2006/main"/>
        <a:p xmlns:a="http://schemas.openxmlformats.org/drawingml/2006/main">
          <a:endParaRPr lang="pl-PL"/>
        </a:p>
      </cdr:txBody>
    </cdr:sp>
  </cdr:relSizeAnchor>
  <cdr:relSizeAnchor xmlns:cdr="http://schemas.openxmlformats.org/drawingml/2006/chartDrawing">
    <cdr:from>
      <cdr:x>0.79091</cdr:x>
      <cdr:y>0.60474</cdr:y>
    </cdr:from>
    <cdr:to>
      <cdr:x>0.80875</cdr:x>
      <cdr:y>0.60474</cdr:y>
    </cdr:to>
    <cdr:cxnSp macro="">
      <cdr:nvCxnSpPr>
        <cdr:cNvPr id="20" name="Łącznik prosty 19"/>
        <cdr:cNvCxnSpPr/>
      </cdr:nvCxnSpPr>
      <cdr:spPr bwMode="auto">
        <a:xfrm xmlns:a="http://schemas.openxmlformats.org/drawingml/2006/main">
          <a:off x="4052977" y="1676203"/>
          <a:ext cx="91420" cy="0"/>
        </a:xfrm>
        <a:prstGeom xmlns:a="http://schemas.openxmlformats.org/drawingml/2006/main" prst="line">
          <a:avLst/>
        </a:prstGeom>
        <a:noFill xmlns:a="http://schemas.openxmlformats.org/drawingml/2006/main"/>
        <a:ln xmlns:a="http://schemas.openxmlformats.org/drawingml/2006/main" w="28575" cap="flat" cmpd="sng" algn="ctr">
          <a:solidFill>
            <a:srgbClr val="001D77"/>
          </a:solidFill>
          <a:prstDash val="solid"/>
          <a:headEnd type="none" w="med" len="med"/>
          <a:tailEnd type="none" w="med" len="med"/>
        </a:ln>
        <a:effectLst xmlns:a="http://schemas.openxmlformats.org/drawingml/2006/mai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userShapes>
</file>

<file path=word/drawings/drawing3.xml><?xml version="1.0" encoding="utf-8"?>
<c:userShapes xmlns:c="http://schemas.openxmlformats.org/drawingml/2006/chart">
  <cdr:relSizeAnchor xmlns:cdr="http://schemas.openxmlformats.org/drawingml/2006/chartDrawing">
    <cdr:from>
      <cdr:x>0.94695</cdr:x>
      <cdr:y>0.90772</cdr:y>
    </cdr:from>
    <cdr:to>
      <cdr:x>1</cdr:x>
      <cdr:y>0.98079</cdr:y>
    </cdr:to>
    <cdr:sp macro="" textlink="">
      <cdr:nvSpPr>
        <cdr:cNvPr id="2" name="pole tekstowe 1"/>
        <cdr:cNvSpPr txBox="1"/>
      </cdr:nvSpPr>
      <cdr:spPr>
        <a:xfrm xmlns:a="http://schemas.openxmlformats.org/drawingml/2006/main">
          <a:off x="4852598" y="4248143"/>
          <a:ext cx="271852" cy="341967"/>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pl-PL" sz="900">
              <a:latin typeface="Fira Sans" pitchFamily="34" charset="0"/>
              <a:ea typeface="Fira Sans" pitchFamily="34" charset="0"/>
            </a:rPr>
            <a:t>%</a:t>
          </a:r>
          <a:endParaRPr lang="pl-PL" sz="1100">
            <a:latin typeface="Fira Sans" pitchFamily="34" charset="0"/>
            <a:ea typeface="Fira Sans" pitchFamily="34" charset="0"/>
          </a:endParaRP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1" ma:contentTypeDescription="Utwórz nowy dokument." ma:contentTypeScope="" ma:versionID="b20bbc3dded4abcf92e167189ff234f7">
  <xsd:schema xmlns:xsd="http://www.w3.org/2001/XMLSchema" xmlns:xs="http://www.w3.org/2001/XMLSchema" xmlns:p="http://schemas.microsoft.com/office/2006/metadata/properties" xmlns:ns2="30d47203-49ec-4c8c-a442-62231931aabb" targetNamespace="http://schemas.microsoft.com/office/2006/metadata/properties" ma:root="true" ma:fieldsID="c1fa5ad568066013d8ffcd1c33bb2164" ns2:_="">
    <xsd:import namespace="30d47203-49ec-4c8c-a442-62231931aabb"/>
    <xsd:element name="properties">
      <xsd:complexType>
        <xsd:sequence>
          <xsd:element name="documentManagement">
            <xsd:complexType>
              <xsd:all>
                <xsd:element ref="ns2: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8"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39804-E15D-40D9-A3F2-808567566B96}">
  <ds:schemaRefs>
    <ds:schemaRef ds:uri="http://schemas.microsoft.com/office/2006/metadata/properties"/>
    <ds:schemaRef ds:uri="http://schemas.microsoft.com/office/infopath/2007/PartnerControls"/>
    <ds:schemaRef ds:uri="30d47203-49ec-4c8c-a442-62231931aabb"/>
  </ds:schemaRefs>
</ds:datastoreItem>
</file>

<file path=customXml/itemProps2.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3.xml><?xml version="1.0" encoding="utf-8"?>
<ds:datastoreItem xmlns:ds="http://schemas.openxmlformats.org/officeDocument/2006/customXml" ds:itemID="{3AF4DC58-EFEE-42A1-9591-F32E189D2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7629D0-0243-4308-A72F-D365825D6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3</Pages>
  <Words>193</Words>
  <Characters>1162</Characters>
  <DocSecurity>0</DocSecurity>
  <Lines>9</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Price indices of consumer goods and services in January 2018</dc:title>
  <cp:lastPrinted>2018-02-14T10:13:00Z</cp:lastPrinted>
  <dcterms:created xsi:type="dcterms:W3CDTF">2018-02-14T11:39:00Z</dcterms:created>
  <dcterms:modified xsi:type="dcterms:W3CDTF">2018-02-15T08:44:00Z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