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E4CAD" w14:textId="03009626" w:rsidR="00D2431F" w:rsidRPr="00D2431F" w:rsidRDefault="00D2431F" w:rsidP="00D2431F">
      <w:pPr>
        <w:pStyle w:val="tytuinformacji"/>
        <w:rPr>
          <w:rFonts w:cs="Arial"/>
          <w:b/>
          <w:szCs w:val="40"/>
          <w:lang w:val="en-US"/>
        </w:rPr>
      </w:pPr>
      <w:bookmarkStart w:id="0" w:name="_GoBack"/>
      <w:r w:rsidRPr="00D2431F">
        <w:rPr>
          <w:rFonts w:cs="Arial"/>
          <w:b/>
          <w:szCs w:val="40"/>
          <w:lang w:val="en-US"/>
        </w:rPr>
        <w:t>Gross Domes</w:t>
      </w:r>
      <w:r w:rsidRPr="00395700">
        <w:rPr>
          <w:rFonts w:cs="Arial"/>
          <w:b/>
          <w:szCs w:val="40"/>
          <w:lang w:val="en-US"/>
        </w:rPr>
        <w:t>t</w:t>
      </w:r>
      <w:r w:rsidRPr="00D2431F">
        <w:rPr>
          <w:rFonts w:cs="Arial"/>
          <w:b/>
          <w:szCs w:val="40"/>
          <w:lang w:val="en-US"/>
        </w:rPr>
        <w:t xml:space="preserve">ic Product in the </w:t>
      </w:r>
      <w:r>
        <w:rPr>
          <w:rFonts w:cs="Arial"/>
          <w:b/>
          <w:szCs w:val="40"/>
          <w:lang w:val="en-US"/>
        </w:rPr>
        <w:t>4</w:t>
      </w:r>
      <w:r w:rsidR="004C078F">
        <w:rPr>
          <w:rFonts w:cs="Arial"/>
          <w:b/>
          <w:szCs w:val="40"/>
          <w:vertAlign w:val="superscript"/>
          <w:lang w:val="en-US"/>
        </w:rPr>
        <w:t>th</w:t>
      </w:r>
      <w:r w:rsidRPr="00D2431F">
        <w:rPr>
          <w:rFonts w:cs="Arial"/>
          <w:b/>
          <w:szCs w:val="40"/>
          <w:vertAlign w:val="superscript"/>
          <w:lang w:val="en-US"/>
        </w:rPr>
        <w:t xml:space="preserve"> </w:t>
      </w:r>
      <w:r w:rsidRPr="00D2431F">
        <w:rPr>
          <w:rFonts w:cs="Arial"/>
          <w:b/>
          <w:szCs w:val="40"/>
          <w:lang w:val="en-US"/>
        </w:rPr>
        <w:t>quarter of 2017</w:t>
      </w:r>
      <w:r>
        <w:rPr>
          <w:rFonts w:cs="Arial"/>
          <w:b/>
          <w:szCs w:val="40"/>
          <w:lang w:val="en-US"/>
        </w:rPr>
        <w:t xml:space="preserve"> </w:t>
      </w:r>
      <w:r w:rsidRPr="00D2431F">
        <w:rPr>
          <w:rFonts w:cs="Arial"/>
          <w:b/>
          <w:lang w:val="en-US"/>
        </w:rPr>
        <w:t>Preliminary estimate</w:t>
      </w:r>
    </w:p>
    <w:bookmarkEnd w:id="0"/>
    <w:p w14:paraId="5F87F154" w14:textId="50AD381D" w:rsidR="00393761" w:rsidRPr="00D2431F" w:rsidRDefault="008D5438"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14:anchorId="5F87F1F4" wp14:editId="455A883B">
                <wp:simplePos x="0" y="0"/>
                <wp:positionH relativeFrom="column">
                  <wp:posOffset>5246745</wp:posOffset>
                </wp:positionH>
                <wp:positionV relativeFrom="paragraph">
                  <wp:posOffset>211267</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F87F21A" w14:textId="2EF70F2F" w:rsidR="007A2DC1" w:rsidRPr="008D5438" w:rsidRDefault="008D5438" w:rsidP="00074DD8">
                            <w:pPr>
                              <w:pStyle w:val="tekstzboku"/>
                              <w:rPr>
                                <w:lang w:val="en-US"/>
                              </w:rPr>
                            </w:pPr>
                            <w:r w:rsidRPr="008D5438">
                              <w:rPr>
                                <w:lang w:val="en-US"/>
                              </w:rPr>
                              <w:t>For the whole year 2017 the economic growth was 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4" id="_x0000_t202" coordsize="21600,21600" o:spt="202" path="m,l,21600r21600,l21600,xe">
                <v:stroke joinstyle="miter"/>
                <v:path gradientshapeok="t" o:connecttype="rect"/>
              </v:shapetype>
              <v:shape id="Pole tekstowe 2" o:spid="_x0000_s1026" type="#_x0000_t202" style="position:absolute;margin-left:413.15pt;margin-top:16.65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LWCsLbfAAAACwEAAA8AAABkcnMvZG93bnJldi54bWxMj81OwzAQhO9IvIO1SNyo3YaWJI1T&#10;VSCuIMqPxM2Nt0nUeB3FbhPenu0JTrurGc1+U2wm14kzDqH1pGE+UyCQKm9bqjV8vD/fpSBCNGRN&#10;5wk1/GCATXl9VZjc+pHe8LyLteAQCrnR0MTY51KGqkFnwsz3SKwd/OBM5HOopR3MyOGukwulVtKZ&#10;lvhDY3p8bLA67k5Ow+fL4fvrXr3WT27Zj35Sklwmtb69mbZrEBGn+GeGCz6jQ8lMe38iG0SnIV2s&#10;ErZqSBKeF4PKUm635y17WIIsC/m/Q/kLAAD//wMAUEsBAi0AFAAGAAgAAAAhALaDOJL+AAAA4QEA&#10;ABMAAAAAAAAAAAAAAAAAAAAAAFtDb250ZW50X1R5cGVzXS54bWxQSwECLQAUAAYACAAAACEAOP0h&#10;/9YAAACUAQAACwAAAAAAAAAAAAAAAAAvAQAAX3JlbHMvLnJlbHNQSwECLQAUAAYACAAAACEA8T+P&#10;5BACAAD5AwAADgAAAAAAAAAAAAAAAAAuAgAAZHJzL2Uyb0RvYy54bWxQSwECLQAUAAYACAAAACEA&#10;tYKwtt8AAAALAQAADwAAAAAAAAAAAAAAAABqBAAAZHJzL2Rvd25yZXYueG1sUEsFBgAAAAAEAAQA&#10;8wAAAHYFAAAAAA==&#10;" filled="f" stroked="f">
                <v:textbox>
                  <w:txbxContent>
                    <w:p w14:paraId="5F87F21A" w14:textId="2EF70F2F" w:rsidR="007A2DC1" w:rsidRPr="008D5438" w:rsidRDefault="008D5438" w:rsidP="00074DD8">
                      <w:pPr>
                        <w:pStyle w:val="tekstzboku"/>
                        <w:rPr>
                          <w:lang w:val="en-US"/>
                        </w:rPr>
                      </w:pPr>
                      <w:r w:rsidRPr="008D5438">
                        <w:rPr>
                          <w:lang w:val="en-US"/>
                        </w:rPr>
                        <w:t>For the whole year 2017 the economic growth was 4.6%</w:t>
                      </w:r>
                    </w:p>
                  </w:txbxContent>
                </v:textbox>
                <w10:wrap type="tight"/>
              </v:shape>
            </w:pict>
          </mc:Fallback>
        </mc:AlternateContent>
      </w:r>
    </w:p>
    <w:p w14:paraId="5F87F155" w14:textId="5573A5D1" w:rsidR="005916D7" w:rsidRPr="003B3E1C" w:rsidRDefault="00003437" w:rsidP="00633014">
      <w:pPr>
        <w:pStyle w:val="LID"/>
        <w:rPr>
          <w:lang w:val="en-US"/>
        </w:rPr>
      </w:pPr>
      <w:r w:rsidRPr="00074DD8">
        <mc:AlternateContent>
          <mc:Choice Requires="wps">
            <w:drawing>
              <wp:anchor distT="45720" distB="45720" distL="114300" distR="114300" simplePos="0" relativeHeight="251676672" behindDoc="0" locked="0" layoutInCell="1" allowOverlap="1" wp14:anchorId="5F87F1F6" wp14:editId="3B88C0C5">
                <wp:simplePos x="0" y="0"/>
                <wp:positionH relativeFrom="margin">
                  <wp:align>left</wp:align>
                </wp:positionH>
                <wp:positionV relativeFrom="paragraph">
                  <wp:posOffset>83427</wp:posOffset>
                </wp:positionV>
                <wp:extent cx="1828800" cy="100012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00665"/>
                        </a:xfrm>
                        <a:prstGeom prst="rect">
                          <a:avLst/>
                        </a:prstGeom>
                        <a:solidFill>
                          <a:srgbClr val="001D77"/>
                        </a:solidFill>
                        <a:ln w="9525">
                          <a:noFill/>
                          <a:miter lim="800000"/>
                          <a:headEnd/>
                          <a:tailEnd/>
                        </a:ln>
                      </wps:spPr>
                      <wps:txbx>
                        <w:txbxContent>
                          <w:p w14:paraId="5F87F21B" w14:textId="63D92412" w:rsidR="00933EC1" w:rsidRPr="00B66B19" w:rsidRDefault="001D56DC"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5" type="#_x0000_t75" style="width:28.8pt;height:28.8pt;visibility:visible" o:bullet="t">
                                  <v:imagedata r:id="rId11" o:title=""/>
                                </v:shape>
                              </w:pict>
                            </w:r>
                            <w:r w:rsidR="007801F5">
                              <w:rPr>
                                <w:noProof/>
                                <w:color w:val="001D77"/>
                                <w:lang w:eastAsia="pl-PL"/>
                              </w:rPr>
                              <w:t xml:space="preserve"> </w:t>
                            </w:r>
                            <w:r w:rsidR="008D2931">
                              <w:rPr>
                                <w:rFonts w:ascii="Fira Sans SemiBold" w:hAnsi="Fira Sans SemiBold"/>
                                <w:color w:val="FFFFFF" w:themeColor="background1"/>
                                <w:sz w:val="72"/>
                              </w:rPr>
                              <w:t>105.1</w:t>
                            </w:r>
                          </w:p>
                          <w:p w14:paraId="0734DB2A" w14:textId="566C5517" w:rsidR="0038292F" w:rsidRPr="008D2931" w:rsidRDefault="008D2931" w:rsidP="0038292F">
                            <w:pPr>
                              <w:pStyle w:val="tekstnaniebieskimtle"/>
                              <w:rPr>
                                <w:color w:val="FFFFFF" w:themeColor="background1"/>
                                <w:sz w:val="19"/>
                                <w:szCs w:val="19"/>
                                <w:lang w:val="en-US"/>
                              </w:rPr>
                            </w:pPr>
                            <w:r>
                              <w:rPr>
                                <w:sz w:val="19"/>
                                <w:szCs w:val="19"/>
                                <w:lang w:val="en-US"/>
                              </w:rPr>
                              <w:t>G</w:t>
                            </w:r>
                            <w:r w:rsidRPr="008D2931">
                              <w:rPr>
                                <w:sz w:val="19"/>
                                <w:szCs w:val="19"/>
                                <w:lang w:val="en-US"/>
                              </w:rPr>
                              <w:t>DP growth in the 4</w:t>
                            </w:r>
                            <w:r w:rsidRPr="008D2931">
                              <w:rPr>
                                <w:sz w:val="19"/>
                                <w:szCs w:val="19"/>
                                <w:vertAlign w:val="superscript"/>
                                <w:lang w:val="en-US"/>
                              </w:rPr>
                              <w:t xml:space="preserve">th </w:t>
                            </w:r>
                            <w:r w:rsidRPr="008D2931">
                              <w:rPr>
                                <w:sz w:val="19"/>
                                <w:szCs w:val="19"/>
                                <w:lang w:val="en-US"/>
                              </w:rPr>
                              <w:t>quarter of 2017</w:t>
                            </w:r>
                          </w:p>
                          <w:p w14:paraId="5F87F21C" w14:textId="70304786" w:rsidR="00933EC1" w:rsidRPr="008D2931" w:rsidRDefault="00933EC1" w:rsidP="0038292F">
                            <w:pPr>
                              <w:pStyle w:val="tekstnaniebieskimtle"/>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6" id="_x0000_s1027" type="#_x0000_t202" style="position:absolute;margin-left:0;margin-top:6.55pt;width:2in;height:78.7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HLKQIAACoEAAAOAAAAZHJzL2Uyb0RvYy54bWysU9tu2zAMfR+wfxD0vviCpEmNOEWXrMOA&#10;bivQ7QNkWY6FSqImKbG7rx8lp2m2vQ3zgyCa5OHhIbW+GbUiR+G8BFPTYpZTIgyHVpp9Tb9/u3u3&#10;osQHZlqmwIiaPgtPbzZv36wHW4kSelCtcARBjK8GW9M+BFtlmee90MzPwAqDzg6cZgFNt89axwZE&#10;1yor8/wqG8C11gEX3uPf3eSkm4TfdYKHr13nRSCqpsgtpNOls4lntlmzau+Y7SU/0WD/wEIzabDo&#10;GWrHAiMHJ/+C0pI78NCFGQedQddJLlIP2E2R/9HNY8+sSL2gON6eZfL/D5Z/OT44ItualsWSEsM0&#10;DukBlCBBPPkAgyBlFGmwvsLYR4vRYXwPIw47NeztPfAnTwxse2b24tY5GHrBWiRZxMzsInXC8RGk&#10;GT5Di7XYIUACGjuno4KoCUF0HNbzeUBiDITHkqtytcrRxdFX5Dj/q0WqwaqXdOt8+ChAk3ipqcMN&#10;SPDseO9DpMOql5BYzYOS7Z1UKhlu32yVI0cWtyUvdsvlCf23MGXIUNPrRblIyAZiflokLQNus5K6&#10;pkgTv5jOqijHB9Ome2BSTXdkosxJnyjJJE4YmzHNI4kXtWugfUbBHEzLi48NLz24n5QMuLg19T8O&#10;zAlK1CeDol8X83nc9GTMF8sSDXfpaS49zHCEqmmgZLpuQ3odkbaBWxxOJ5Nsr0xOlHEhk5qnxxM3&#10;/tJOUa9PfPMLAAD//wMAUEsDBBQABgAIAAAAIQAuL4O42wAAAAcBAAAPAAAAZHJzL2Rvd25yZXYu&#10;eG1sTI/BTsMwDIbvSLxDZCRuLG1Bo+qaTgjUAyAQbFy4eY3XVjRO1WRbeXvMCY7+fuv353I9u0Ed&#10;aQq9ZwPpIgFF3Hjbc2vgY1tf5aBCRLY4eCYD3xRgXZ2flVhYf+J3Om5iq6SEQ4EGuhjHQuvQdOQw&#10;LPxILNneTw6jjFOr7YQnKXeDzpJkqR32LBc6HOm+o+Zrc3AGbtLXJn8Ln1v2L3VWPz+gewxPxlxe&#10;zHcrUJHm+LcMv/qiDpU47fyBbVCDAXkkCr1OQUma5bmAnYDbZAm6KvV//+oHAAD//wMAUEsBAi0A&#10;FAAGAAgAAAAhALaDOJL+AAAA4QEAABMAAAAAAAAAAAAAAAAAAAAAAFtDb250ZW50X1R5cGVzXS54&#10;bWxQSwECLQAUAAYACAAAACEAOP0h/9YAAACUAQAACwAAAAAAAAAAAAAAAAAvAQAAX3JlbHMvLnJl&#10;bHNQSwECLQAUAAYACAAAACEA+mihyykCAAAqBAAADgAAAAAAAAAAAAAAAAAuAgAAZHJzL2Uyb0Rv&#10;Yy54bWxQSwECLQAUAAYACAAAACEALi+DuNsAAAAHAQAADwAAAAAAAAAAAAAAAACDBAAAZHJzL2Rv&#10;d25yZXYueG1sUEsFBgAAAAAEAAQA8wAAAIsFAAAAAA==&#10;" fillcolor="#001d77" stroked="f">
                <v:textbox>
                  <w:txbxContent>
                    <w:p w14:paraId="5F87F21B" w14:textId="63D92412" w:rsidR="00933EC1" w:rsidRPr="00B66B19" w:rsidRDefault="00DA3172"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_x0000_i1028" type="#_x0000_t75" style="width:27.4pt;height:25.85pt;visibility:visible" o:bullet="t">
                            <v:imagedata r:id="rId12" o:title=""/>
                          </v:shape>
                        </w:pict>
                      </w:r>
                      <w:r w:rsidR="007801F5">
                        <w:rPr>
                          <w:noProof/>
                          <w:color w:val="001D77"/>
                          <w:lang w:eastAsia="pl-PL"/>
                        </w:rPr>
                        <w:t xml:space="preserve"> </w:t>
                      </w:r>
                      <w:r w:rsidR="008D2931">
                        <w:rPr>
                          <w:rFonts w:ascii="Fira Sans SemiBold" w:hAnsi="Fira Sans SemiBold"/>
                          <w:color w:val="FFFFFF" w:themeColor="background1"/>
                          <w:sz w:val="72"/>
                        </w:rPr>
                        <w:t>105.1</w:t>
                      </w:r>
                    </w:p>
                    <w:p w14:paraId="0734DB2A" w14:textId="566C5517" w:rsidR="0038292F" w:rsidRPr="008D2931" w:rsidRDefault="008D2931" w:rsidP="0038292F">
                      <w:pPr>
                        <w:pStyle w:val="tekstnaniebieskimtle"/>
                        <w:rPr>
                          <w:color w:val="FFFFFF" w:themeColor="background1"/>
                          <w:sz w:val="19"/>
                          <w:szCs w:val="19"/>
                          <w:lang w:val="en-US"/>
                        </w:rPr>
                      </w:pPr>
                      <w:r>
                        <w:rPr>
                          <w:sz w:val="19"/>
                          <w:szCs w:val="19"/>
                          <w:lang w:val="en-US"/>
                        </w:rPr>
                        <w:t>G</w:t>
                      </w:r>
                      <w:r w:rsidRPr="008D2931">
                        <w:rPr>
                          <w:sz w:val="19"/>
                          <w:szCs w:val="19"/>
                          <w:lang w:val="en-US"/>
                        </w:rPr>
                        <w:t>DP growth in the 4</w:t>
                      </w:r>
                      <w:r w:rsidRPr="008D2931">
                        <w:rPr>
                          <w:sz w:val="19"/>
                          <w:szCs w:val="19"/>
                          <w:vertAlign w:val="superscript"/>
                          <w:lang w:val="en-US"/>
                        </w:rPr>
                        <w:t xml:space="preserve">th </w:t>
                      </w:r>
                      <w:r w:rsidRPr="008D2931">
                        <w:rPr>
                          <w:sz w:val="19"/>
                          <w:szCs w:val="19"/>
                          <w:lang w:val="en-US"/>
                        </w:rPr>
                        <w:t>quarter of 2017</w:t>
                      </w:r>
                    </w:p>
                    <w:p w14:paraId="5F87F21C" w14:textId="70304786" w:rsidR="00933EC1" w:rsidRPr="008D2931" w:rsidRDefault="00933EC1" w:rsidP="0038292F">
                      <w:pPr>
                        <w:pStyle w:val="tekstnaniebieskimtle"/>
                        <w:rPr>
                          <w:color w:val="FFFFFF" w:themeColor="background1"/>
                          <w:sz w:val="18"/>
                          <w:szCs w:val="20"/>
                          <w:lang w:val="en-US"/>
                        </w:rPr>
                      </w:pPr>
                    </w:p>
                  </w:txbxContent>
                </v:textbox>
                <w10:wrap type="square" anchorx="margin"/>
              </v:shape>
            </w:pict>
          </mc:Fallback>
        </mc:AlternateContent>
      </w:r>
      <w:r w:rsidR="00167FE5" w:rsidRPr="003B3E1C">
        <w:rPr>
          <w:lang w:val="en-US"/>
        </w:rPr>
        <w:t>Gross domestic product</w:t>
      </w:r>
      <w:r w:rsidR="0038292F" w:rsidRPr="003B3E1C">
        <w:rPr>
          <w:lang w:val="en-US"/>
        </w:rPr>
        <w:t xml:space="preserve"> (</w:t>
      </w:r>
      <w:r w:rsidR="00167FE5" w:rsidRPr="003B3E1C">
        <w:rPr>
          <w:lang w:val="en-US"/>
        </w:rPr>
        <w:t>GDP</w:t>
      </w:r>
      <w:r w:rsidR="0038292F" w:rsidRPr="003B3E1C">
        <w:rPr>
          <w:lang w:val="en-US"/>
        </w:rPr>
        <w:t xml:space="preserve">) </w:t>
      </w:r>
      <w:r w:rsidR="00167FE5" w:rsidRPr="003B3E1C">
        <w:rPr>
          <w:lang w:val="en-US"/>
        </w:rPr>
        <w:t>in the 4</w:t>
      </w:r>
      <w:r w:rsidR="00167FE5" w:rsidRPr="003B3E1C">
        <w:rPr>
          <w:vertAlign w:val="superscript"/>
          <w:lang w:val="en-US"/>
        </w:rPr>
        <w:t>th</w:t>
      </w:r>
      <w:r w:rsidR="00167FE5" w:rsidRPr="003B3E1C">
        <w:rPr>
          <w:lang w:val="en-US"/>
        </w:rPr>
        <w:t xml:space="preserve"> quarter of </w:t>
      </w:r>
      <w:r w:rsidR="0038292F" w:rsidRPr="003B3E1C">
        <w:rPr>
          <w:lang w:val="en-US"/>
        </w:rPr>
        <w:t>2</w:t>
      </w:r>
      <w:r w:rsidR="00A67688" w:rsidRPr="003B3E1C">
        <w:rPr>
          <w:lang w:val="en-US"/>
        </w:rPr>
        <w:t xml:space="preserve">017 </w:t>
      </w:r>
      <w:r w:rsidR="00167FE5" w:rsidRPr="003B3E1C">
        <w:rPr>
          <w:lang w:val="en-US"/>
        </w:rPr>
        <w:t>was higher</w:t>
      </w:r>
      <w:r w:rsidR="003B3E1C" w:rsidRPr="003B3E1C">
        <w:rPr>
          <w:lang w:val="en-US"/>
        </w:rPr>
        <w:t xml:space="preserve"> by </w:t>
      </w:r>
      <w:r w:rsidR="00A67688" w:rsidRPr="003B3E1C">
        <w:rPr>
          <w:lang w:val="en-US"/>
        </w:rPr>
        <w:t xml:space="preserve"> </w:t>
      </w:r>
      <w:r w:rsidR="003B3E1C" w:rsidRPr="003B3E1C">
        <w:rPr>
          <w:lang w:val="en-US"/>
        </w:rPr>
        <w:t xml:space="preserve">5.1% in </w:t>
      </w:r>
      <w:r w:rsidR="003B3E1C">
        <w:rPr>
          <w:lang w:val="en-US"/>
        </w:rPr>
        <w:t>the corresponding quarter of 2016,</w:t>
      </w:r>
      <w:r w:rsidR="0038292F" w:rsidRPr="003B3E1C">
        <w:rPr>
          <w:lang w:val="en-US"/>
        </w:rPr>
        <w:t xml:space="preserve"> </w:t>
      </w:r>
      <w:r w:rsidR="003B3E1C">
        <w:rPr>
          <w:lang w:val="en-US"/>
        </w:rPr>
        <w:t>against 2.7</w:t>
      </w:r>
      <w:r w:rsidR="00A67688" w:rsidRPr="003B3E1C">
        <w:rPr>
          <w:lang w:val="en-US"/>
        </w:rPr>
        <w:t>%</w:t>
      </w:r>
      <w:r w:rsidR="0038292F" w:rsidRPr="003B3E1C">
        <w:rPr>
          <w:lang w:val="en-US"/>
        </w:rPr>
        <w:t xml:space="preserve"> </w:t>
      </w:r>
      <w:r w:rsidR="003B3E1C">
        <w:rPr>
          <w:lang w:val="en-US"/>
        </w:rPr>
        <w:t>in</w:t>
      </w:r>
      <w:r w:rsidR="0038292F" w:rsidRPr="003B3E1C">
        <w:rPr>
          <w:lang w:val="en-US"/>
        </w:rPr>
        <w:t xml:space="preserve"> 2016 (</w:t>
      </w:r>
      <w:r w:rsidR="003B3E1C">
        <w:rPr>
          <w:lang w:val="en-US"/>
        </w:rPr>
        <w:t>constatnt average prices of the previous year</w:t>
      </w:r>
      <w:r w:rsidR="0038292F" w:rsidRPr="003B3E1C">
        <w:rPr>
          <w:lang w:val="en-US"/>
        </w:rPr>
        <w:t>).</w:t>
      </w:r>
    </w:p>
    <w:p w14:paraId="5F87F156" w14:textId="50F5B0DC" w:rsidR="00003437" w:rsidRPr="003B3E1C" w:rsidRDefault="00003437" w:rsidP="00E76D26">
      <w:pPr>
        <w:pStyle w:val="Nagwek1"/>
        <w:spacing w:before="0"/>
        <w:rPr>
          <w:rFonts w:ascii="Fira Sans" w:hAnsi="Fira Sans"/>
          <w:b/>
          <w:color w:val="212492"/>
          <w:spacing w:val="-2"/>
          <w:szCs w:val="19"/>
          <w:lang w:val="en-US"/>
        </w:rPr>
      </w:pPr>
    </w:p>
    <w:p w14:paraId="6B655E96" w14:textId="0E478BE2" w:rsidR="002E0C25" w:rsidRPr="003B3E1C" w:rsidRDefault="002E0C25" w:rsidP="002E0C25">
      <w:pPr>
        <w:rPr>
          <w:lang w:val="en-US" w:eastAsia="pl-PL"/>
        </w:rPr>
      </w:pPr>
    </w:p>
    <w:p w14:paraId="56E5065B" w14:textId="77777777" w:rsidR="00F75026" w:rsidRPr="003B3E1C" w:rsidRDefault="00F75026" w:rsidP="002E0C25">
      <w:pPr>
        <w:rPr>
          <w:lang w:val="en-US" w:eastAsia="pl-PL"/>
        </w:rPr>
      </w:pPr>
    </w:p>
    <w:p w14:paraId="5F87F157" w14:textId="6E1AF571" w:rsidR="00C22105" w:rsidRPr="004C078F" w:rsidRDefault="00074DD8" w:rsidP="00074DD8">
      <w:pPr>
        <w:pStyle w:val="Nagwek1"/>
        <w:rPr>
          <w:lang w:val="en-US"/>
        </w:rPr>
      </w:pPr>
      <w:r w:rsidRPr="003B3E1C">
        <w:rPr>
          <w:shd w:val="clear" w:color="auto" w:fill="FFFFFF"/>
          <w:lang w:val="en-US"/>
        </w:rPr>
        <w:t xml:space="preserve"> </w:t>
      </w:r>
      <w:r w:rsidR="004C078F" w:rsidRPr="004C078F">
        <w:rPr>
          <w:lang w:val="en-US"/>
        </w:rPr>
        <w:t>Gross domestic product in the 4</w:t>
      </w:r>
      <w:r w:rsidR="004C078F" w:rsidRPr="004C078F">
        <w:rPr>
          <w:vertAlign w:val="superscript"/>
          <w:lang w:val="en-US"/>
        </w:rPr>
        <w:t xml:space="preserve">th </w:t>
      </w:r>
      <w:r w:rsidR="004C078F" w:rsidRPr="004C078F">
        <w:rPr>
          <w:lang w:val="en-US"/>
        </w:rPr>
        <w:t>quarter of</w:t>
      </w:r>
      <w:r w:rsidR="005D2A63" w:rsidRPr="004C078F">
        <w:rPr>
          <w:lang w:val="en-US"/>
        </w:rPr>
        <w:t xml:space="preserve"> 2017</w:t>
      </w:r>
    </w:p>
    <w:p w14:paraId="619F635F" w14:textId="54D56BA7" w:rsidR="00D2431F" w:rsidRPr="00D2431F" w:rsidRDefault="00D2431F" w:rsidP="00D2431F">
      <w:pPr>
        <w:tabs>
          <w:tab w:val="left" w:pos="284"/>
        </w:tabs>
        <w:spacing w:before="360" w:after="360"/>
        <w:jc w:val="both"/>
        <w:rPr>
          <w:rFonts w:cs="Arial"/>
          <w:bCs/>
          <w:szCs w:val="19"/>
          <w:lang w:val="en-US"/>
        </w:rPr>
      </w:pPr>
      <w:r w:rsidRPr="004C078F">
        <w:rPr>
          <w:rFonts w:cs="Arial"/>
          <w:szCs w:val="19"/>
          <w:lang w:val="en-US"/>
        </w:rPr>
        <w:tab/>
      </w:r>
      <w:r w:rsidRPr="00D2431F">
        <w:rPr>
          <w:rFonts w:cs="Arial"/>
          <w:szCs w:val="19"/>
          <w:lang w:val="en-US"/>
        </w:rPr>
        <w:t xml:space="preserve">In the </w:t>
      </w:r>
      <w:r>
        <w:rPr>
          <w:rFonts w:cs="Arial"/>
          <w:szCs w:val="19"/>
          <w:lang w:val="en-US"/>
        </w:rPr>
        <w:t>4</w:t>
      </w:r>
      <w:r w:rsidR="004C078F">
        <w:rPr>
          <w:rFonts w:cs="Arial"/>
          <w:szCs w:val="19"/>
          <w:vertAlign w:val="superscript"/>
          <w:lang w:val="en-US"/>
        </w:rPr>
        <w:t>th</w:t>
      </w:r>
      <w:r w:rsidRPr="00D2431F">
        <w:rPr>
          <w:rFonts w:cs="Arial"/>
          <w:szCs w:val="19"/>
          <w:lang w:val="en-US"/>
        </w:rPr>
        <w:t xml:space="preserve"> quarter of 2017 seasonally adjusted gross domestic product (GDP) (constant  prices, reference year 2010) was higher by </w:t>
      </w:r>
      <w:r w:rsidR="004C078F">
        <w:rPr>
          <w:rFonts w:cs="Arial"/>
          <w:szCs w:val="19"/>
          <w:lang w:val="en-US"/>
        </w:rPr>
        <w:t>1.0</w:t>
      </w:r>
      <w:r w:rsidRPr="00D2431F">
        <w:rPr>
          <w:rFonts w:cs="Arial"/>
          <w:szCs w:val="19"/>
          <w:lang w:val="en-US"/>
        </w:rPr>
        <w:t xml:space="preserve">% than in the previous quarter </w:t>
      </w:r>
      <w:r w:rsidRPr="00D2431F">
        <w:rPr>
          <w:rFonts w:cs="Arial"/>
          <w:bCs/>
          <w:szCs w:val="19"/>
          <w:lang w:val="en-US"/>
        </w:rPr>
        <w:t xml:space="preserve">and </w:t>
      </w:r>
      <w:r w:rsidR="004C078F">
        <w:rPr>
          <w:rFonts w:cs="Arial"/>
          <w:bCs/>
          <w:szCs w:val="19"/>
          <w:lang w:val="en-US"/>
        </w:rPr>
        <w:t>4.3</w:t>
      </w:r>
      <w:r w:rsidRPr="00D2431F">
        <w:rPr>
          <w:rFonts w:cs="Arial"/>
          <w:bCs/>
          <w:szCs w:val="19"/>
          <w:lang w:val="en-US"/>
        </w:rPr>
        <w:t>% higher than in the</w:t>
      </w:r>
      <w:r w:rsidR="00E046E4">
        <w:rPr>
          <w:rFonts w:cs="Arial"/>
          <w:bCs/>
          <w:szCs w:val="19"/>
          <w:lang w:val="en-US"/>
        </w:rPr>
        <w:t xml:space="preserve"> </w:t>
      </w:r>
      <w:r w:rsidR="00E046E4">
        <w:rPr>
          <w:rFonts w:cs="Arial"/>
          <w:szCs w:val="19"/>
          <w:lang w:val="en-US"/>
        </w:rPr>
        <w:t>4</w:t>
      </w:r>
      <w:r w:rsidR="00E046E4">
        <w:rPr>
          <w:rFonts w:cs="Arial"/>
          <w:szCs w:val="19"/>
          <w:vertAlign w:val="superscript"/>
          <w:lang w:val="en-US"/>
        </w:rPr>
        <w:t>th</w:t>
      </w:r>
      <w:r w:rsidRPr="00D2431F">
        <w:rPr>
          <w:rFonts w:cs="Arial"/>
          <w:szCs w:val="19"/>
          <w:vertAlign w:val="superscript"/>
          <w:lang w:val="en-US"/>
        </w:rPr>
        <w:t xml:space="preserve"> </w:t>
      </w:r>
      <w:r w:rsidRPr="00D2431F">
        <w:rPr>
          <w:rFonts w:cs="Arial"/>
          <w:bCs/>
          <w:szCs w:val="19"/>
          <w:lang w:val="en-US"/>
        </w:rPr>
        <w:t xml:space="preserve"> quarter of the previous year.</w:t>
      </w:r>
    </w:p>
    <w:p w14:paraId="581687BD" w14:textId="77777777" w:rsidR="00703612" w:rsidRDefault="00D2431F" w:rsidP="00D2431F">
      <w:pPr>
        <w:tabs>
          <w:tab w:val="left" w:pos="284"/>
        </w:tabs>
        <w:spacing w:before="360" w:after="360"/>
        <w:jc w:val="both"/>
        <w:rPr>
          <w:rFonts w:cs="Arial"/>
          <w:szCs w:val="19"/>
          <w:lang w:val="en-US"/>
        </w:rPr>
      </w:pPr>
      <w:r w:rsidRPr="00D2431F">
        <w:rPr>
          <w:rFonts w:cs="Arial"/>
          <w:szCs w:val="19"/>
          <w:lang w:val="en-US"/>
        </w:rPr>
        <w:tab/>
        <w:t xml:space="preserve">Seasonally unadjusted GDP (constant average prices of the previous year) was higher by </w:t>
      </w:r>
      <w:r w:rsidR="00703612">
        <w:rPr>
          <w:rFonts w:cs="Arial"/>
          <w:szCs w:val="19"/>
          <w:lang w:val="en-US"/>
        </w:rPr>
        <w:t>5.1</w:t>
      </w:r>
      <w:r w:rsidRPr="00D2431F">
        <w:rPr>
          <w:rFonts w:cs="Arial"/>
          <w:szCs w:val="19"/>
          <w:lang w:val="en-US"/>
        </w:rPr>
        <w:t>% than in the corresponding quarter of the previous year</w:t>
      </w:r>
      <w:r w:rsidR="00703612">
        <w:rPr>
          <w:rFonts w:cs="Arial"/>
          <w:szCs w:val="19"/>
          <w:lang w:val="en-US"/>
        </w:rPr>
        <w:t>.</w:t>
      </w:r>
    </w:p>
    <w:p w14:paraId="566CD423" w14:textId="347DAFFE" w:rsidR="00F06B8D" w:rsidRPr="00D2431F" w:rsidRDefault="00703612" w:rsidP="004D5717">
      <w:pPr>
        <w:tabs>
          <w:tab w:val="left" w:pos="284"/>
        </w:tabs>
        <w:spacing w:before="360" w:after="360"/>
        <w:jc w:val="both"/>
        <w:rPr>
          <w:rFonts w:cs="Arial"/>
          <w:szCs w:val="19"/>
          <w:lang w:val="en-US"/>
        </w:rPr>
      </w:pPr>
      <w:r>
        <w:rPr>
          <w:rFonts w:cs="Arial"/>
          <w:szCs w:val="19"/>
          <w:lang w:val="en-US"/>
        </w:rPr>
        <w:t xml:space="preserve">The result presented has not been changed compared to the GDP flash estimate </w:t>
      </w:r>
      <w:r w:rsidRPr="00D2431F">
        <w:rPr>
          <w:rFonts w:cs="Arial"/>
          <w:szCs w:val="19"/>
          <w:lang w:val="en-US"/>
        </w:rPr>
        <w:t xml:space="preserve">for the </w:t>
      </w:r>
      <w:r w:rsidR="00E046E4">
        <w:rPr>
          <w:rFonts w:cs="Arial"/>
          <w:szCs w:val="19"/>
          <w:lang w:val="en-US"/>
        </w:rPr>
        <w:t>4</w:t>
      </w:r>
      <w:r w:rsidR="00E046E4">
        <w:rPr>
          <w:rFonts w:cs="Arial"/>
          <w:szCs w:val="19"/>
          <w:vertAlign w:val="superscript"/>
          <w:lang w:val="en-US"/>
        </w:rPr>
        <w:t>th</w:t>
      </w:r>
      <w:r>
        <w:rPr>
          <w:rFonts w:cs="Arial"/>
          <w:szCs w:val="19"/>
          <w:vertAlign w:val="superscript"/>
          <w:lang w:val="en-US"/>
        </w:rPr>
        <w:t xml:space="preserve"> </w:t>
      </w:r>
      <w:r w:rsidRPr="00D2431F">
        <w:rPr>
          <w:rFonts w:cs="Arial"/>
          <w:szCs w:val="19"/>
          <w:lang w:val="en-US"/>
        </w:rPr>
        <w:t xml:space="preserve">quarter of 2017, released on 14 </w:t>
      </w:r>
      <w:r>
        <w:rPr>
          <w:rFonts w:cs="Arial"/>
          <w:szCs w:val="19"/>
          <w:lang w:val="en-US"/>
        </w:rPr>
        <w:t>February</w:t>
      </w:r>
      <w:r w:rsidRPr="00D2431F">
        <w:rPr>
          <w:rFonts w:cs="Arial"/>
          <w:szCs w:val="19"/>
          <w:lang w:val="en-US"/>
        </w:rPr>
        <w:t xml:space="preserve"> 2017. </w:t>
      </w:r>
    </w:p>
    <w:p w14:paraId="4D79F629" w14:textId="23A5706A" w:rsidR="004D5717" w:rsidRPr="00D2431F" w:rsidRDefault="00EC3CAC" w:rsidP="004D5717">
      <w:pPr>
        <w:pStyle w:val="Nagwek1"/>
        <w:ind w:left="851" w:hanging="851"/>
        <w:rPr>
          <w:rFonts w:ascii="Fira Sans" w:hAnsi="Fira Sans"/>
          <w:b/>
          <w:noProof/>
          <w:spacing w:val="-2"/>
          <w:szCs w:val="19"/>
          <w:lang w:val="en-US"/>
        </w:rPr>
      </w:pPr>
      <w:r>
        <w:rPr>
          <w:rFonts w:ascii="Fira Sans" w:hAnsi="Fira Sans"/>
          <w:b/>
          <w:noProof/>
          <w:spacing w:val="-2"/>
          <w:szCs w:val="19"/>
          <w:lang w:val="en-US"/>
        </w:rPr>
        <w:t>Table</w:t>
      </w:r>
      <w:r w:rsidR="004D5717" w:rsidRPr="00A804D3">
        <w:rPr>
          <w:rFonts w:ascii="Fira Sans" w:hAnsi="Fira Sans"/>
          <w:b/>
          <w:noProof/>
          <w:spacing w:val="-2"/>
          <w:szCs w:val="19"/>
          <w:lang w:val="en-US"/>
        </w:rPr>
        <w:t xml:space="preserve"> 1. </w:t>
      </w:r>
      <w:r w:rsidR="00D2431F">
        <w:rPr>
          <w:rFonts w:ascii="Fira Sans" w:hAnsi="Fira Sans"/>
          <w:b/>
          <w:szCs w:val="19"/>
          <w:lang w:val="en-US"/>
        </w:rPr>
        <w:t xml:space="preserve">Seasonally </w:t>
      </w:r>
      <w:r w:rsidR="00D2431F" w:rsidRPr="00120854">
        <w:rPr>
          <w:rFonts w:ascii="Fira Sans" w:hAnsi="Fira Sans"/>
          <w:b/>
          <w:szCs w:val="19"/>
          <w:lang w:val="en-US"/>
        </w:rPr>
        <w:t xml:space="preserve">adjusted GDP; constant </w:t>
      </w:r>
      <w:r w:rsidR="00D2431F">
        <w:rPr>
          <w:rFonts w:ascii="Fira Sans" w:hAnsi="Fira Sans"/>
          <w:b/>
          <w:szCs w:val="19"/>
          <w:lang w:val="en-US"/>
        </w:rPr>
        <w:t xml:space="preserve">prices, reference </w:t>
      </w:r>
      <w:r w:rsidR="00D2431F" w:rsidRPr="00120854">
        <w:rPr>
          <w:rFonts w:ascii="Fira Sans" w:hAnsi="Fira Sans"/>
          <w:b/>
          <w:szCs w:val="19"/>
          <w:lang w:val="en-US"/>
        </w:rPr>
        <w:t>year</w:t>
      </w:r>
      <w:r w:rsidR="00D2431F">
        <w:rPr>
          <w:rFonts w:ascii="Fira Sans" w:hAnsi="Fira Sans"/>
          <w:b/>
          <w:szCs w:val="19"/>
          <w:lang w:val="en-US"/>
        </w:rPr>
        <w:t xml:space="preserve"> 2010</w:t>
      </w:r>
    </w:p>
    <w:tbl>
      <w:tblPr>
        <w:tblpPr w:leftFromText="141" w:rightFromText="141" w:vertAnchor="text" w:horzAnchor="margin" w:tblpY="-22"/>
        <w:tblW w:w="8057" w:type="dxa"/>
        <w:tblCellMar>
          <w:left w:w="70" w:type="dxa"/>
          <w:right w:w="70" w:type="dxa"/>
        </w:tblCellMar>
        <w:tblLook w:val="04A0" w:firstRow="1" w:lastRow="0" w:firstColumn="1" w:lastColumn="0" w:noHBand="0" w:noVBand="1"/>
      </w:tblPr>
      <w:tblGrid>
        <w:gridCol w:w="640"/>
        <w:gridCol w:w="641"/>
        <w:gridCol w:w="716"/>
        <w:gridCol w:w="710"/>
        <w:gridCol w:w="592"/>
        <w:gridCol w:w="645"/>
        <w:gridCol w:w="722"/>
        <w:gridCol w:w="716"/>
        <w:gridCol w:w="617"/>
        <w:gridCol w:w="637"/>
        <w:gridCol w:w="713"/>
        <w:gridCol w:w="708"/>
      </w:tblGrid>
      <w:tr w:rsidR="004D5717" w:rsidRPr="00EC3CAC" w14:paraId="2924A5E8" w14:textId="77777777" w:rsidTr="00942DF3">
        <w:trPr>
          <w:trHeight w:val="423"/>
        </w:trPr>
        <w:tc>
          <w:tcPr>
            <w:tcW w:w="270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AF1DF" w14:textId="77777777" w:rsidR="004D5717" w:rsidRPr="00EC3CAC" w:rsidRDefault="004D5717" w:rsidP="00942DF3">
            <w:pPr>
              <w:spacing w:before="0" w:after="0" w:line="240" w:lineRule="auto"/>
              <w:jc w:val="center"/>
              <w:rPr>
                <w:rFonts w:eastAsia="Times New Roman" w:cs="Calibri"/>
                <w:color w:val="000000"/>
                <w:szCs w:val="19"/>
                <w:lang w:val="en-US" w:eastAsia="pl-PL"/>
              </w:rPr>
            </w:pPr>
            <w:r w:rsidRPr="00EC3CAC">
              <w:rPr>
                <w:rFonts w:eastAsia="Times New Roman" w:cs="Calibri"/>
                <w:color w:val="000000"/>
                <w:szCs w:val="19"/>
                <w:lang w:val="en-US" w:eastAsia="pl-PL"/>
              </w:rPr>
              <w:t>2015</w:t>
            </w:r>
          </w:p>
        </w:tc>
        <w:tc>
          <w:tcPr>
            <w:tcW w:w="26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48CDDEF7" w14:textId="77777777" w:rsidR="004D5717" w:rsidRPr="00EC3CAC" w:rsidRDefault="004D5717" w:rsidP="00942DF3">
            <w:pPr>
              <w:spacing w:before="0" w:after="0" w:line="240" w:lineRule="auto"/>
              <w:jc w:val="center"/>
              <w:rPr>
                <w:rFonts w:eastAsia="Times New Roman" w:cs="Calibri"/>
                <w:color w:val="000000"/>
                <w:szCs w:val="19"/>
                <w:lang w:val="en-US" w:eastAsia="pl-PL"/>
              </w:rPr>
            </w:pPr>
            <w:r w:rsidRPr="00EC3CAC">
              <w:rPr>
                <w:rFonts w:eastAsia="Times New Roman" w:cs="Calibri"/>
                <w:color w:val="000000"/>
                <w:szCs w:val="19"/>
                <w:lang w:val="en-US" w:eastAsia="pl-PL"/>
              </w:rPr>
              <w:t>2016</w:t>
            </w:r>
          </w:p>
        </w:tc>
        <w:tc>
          <w:tcPr>
            <w:tcW w:w="267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CEF733D" w14:textId="77777777" w:rsidR="004D5717" w:rsidRPr="00EC3CAC" w:rsidRDefault="004D5717" w:rsidP="00942DF3">
            <w:pPr>
              <w:spacing w:before="0" w:after="0" w:line="240" w:lineRule="auto"/>
              <w:jc w:val="center"/>
              <w:rPr>
                <w:rFonts w:eastAsia="Times New Roman" w:cs="Calibri"/>
                <w:color w:val="000000"/>
                <w:szCs w:val="19"/>
                <w:lang w:val="en-US" w:eastAsia="pl-PL"/>
              </w:rPr>
            </w:pPr>
            <w:r w:rsidRPr="00EC3CAC">
              <w:rPr>
                <w:rFonts w:eastAsia="Times New Roman" w:cs="Calibri"/>
                <w:color w:val="000000"/>
                <w:szCs w:val="19"/>
                <w:lang w:val="en-US" w:eastAsia="pl-PL"/>
              </w:rPr>
              <w:t>2017</w:t>
            </w:r>
          </w:p>
        </w:tc>
      </w:tr>
      <w:tr w:rsidR="009746D2" w:rsidRPr="00EC3CAC" w14:paraId="214559CB" w14:textId="77777777" w:rsidTr="00942DF3">
        <w:trPr>
          <w:trHeight w:val="42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FD7857" w14:textId="3F0E335B"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Q1</w:t>
            </w:r>
          </w:p>
        </w:tc>
        <w:tc>
          <w:tcPr>
            <w:tcW w:w="641" w:type="dxa"/>
            <w:tcBorders>
              <w:top w:val="nil"/>
              <w:left w:val="nil"/>
              <w:bottom w:val="single" w:sz="4" w:space="0" w:color="auto"/>
              <w:right w:val="single" w:sz="4" w:space="0" w:color="auto"/>
            </w:tcBorders>
            <w:shd w:val="clear" w:color="auto" w:fill="auto"/>
            <w:noWrap/>
            <w:vAlign w:val="center"/>
            <w:hideMark/>
          </w:tcPr>
          <w:p w14:paraId="7FFE913F" w14:textId="6C8AA5A8"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Q2</w:t>
            </w:r>
          </w:p>
        </w:tc>
        <w:tc>
          <w:tcPr>
            <w:tcW w:w="716" w:type="dxa"/>
            <w:tcBorders>
              <w:top w:val="nil"/>
              <w:left w:val="nil"/>
              <w:bottom w:val="single" w:sz="4" w:space="0" w:color="auto"/>
              <w:right w:val="single" w:sz="4" w:space="0" w:color="auto"/>
            </w:tcBorders>
            <w:shd w:val="clear" w:color="auto" w:fill="auto"/>
            <w:noWrap/>
            <w:vAlign w:val="center"/>
            <w:hideMark/>
          </w:tcPr>
          <w:p w14:paraId="6417109A" w14:textId="4F6ED6A7"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Q3</w:t>
            </w:r>
          </w:p>
        </w:tc>
        <w:tc>
          <w:tcPr>
            <w:tcW w:w="710" w:type="dxa"/>
            <w:tcBorders>
              <w:top w:val="nil"/>
              <w:left w:val="nil"/>
              <w:bottom w:val="single" w:sz="4" w:space="0" w:color="auto"/>
              <w:right w:val="single" w:sz="4" w:space="0" w:color="auto"/>
            </w:tcBorders>
            <w:shd w:val="clear" w:color="auto" w:fill="auto"/>
            <w:noWrap/>
            <w:vAlign w:val="center"/>
            <w:hideMark/>
          </w:tcPr>
          <w:p w14:paraId="63E4C161" w14:textId="7140E8C0"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Q4</w:t>
            </w:r>
          </w:p>
        </w:tc>
        <w:tc>
          <w:tcPr>
            <w:tcW w:w="592" w:type="dxa"/>
            <w:tcBorders>
              <w:top w:val="nil"/>
              <w:left w:val="nil"/>
              <w:bottom w:val="single" w:sz="4" w:space="0" w:color="auto"/>
              <w:right w:val="single" w:sz="4" w:space="0" w:color="auto"/>
            </w:tcBorders>
            <w:shd w:val="clear" w:color="auto" w:fill="auto"/>
            <w:noWrap/>
            <w:vAlign w:val="center"/>
            <w:hideMark/>
          </w:tcPr>
          <w:p w14:paraId="59DB937C" w14:textId="1CABF1E0"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Q1</w:t>
            </w:r>
          </w:p>
        </w:tc>
        <w:tc>
          <w:tcPr>
            <w:tcW w:w="645" w:type="dxa"/>
            <w:tcBorders>
              <w:top w:val="nil"/>
              <w:left w:val="nil"/>
              <w:bottom w:val="single" w:sz="4" w:space="0" w:color="auto"/>
              <w:right w:val="single" w:sz="4" w:space="0" w:color="auto"/>
            </w:tcBorders>
            <w:shd w:val="clear" w:color="auto" w:fill="auto"/>
            <w:noWrap/>
            <w:vAlign w:val="center"/>
            <w:hideMark/>
          </w:tcPr>
          <w:p w14:paraId="57B5CF71" w14:textId="1CD9002C"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Q2</w:t>
            </w:r>
          </w:p>
        </w:tc>
        <w:tc>
          <w:tcPr>
            <w:tcW w:w="722" w:type="dxa"/>
            <w:tcBorders>
              <w:top w:val="nil"/>
              <w:left w:val="nil"/>
              <w:bottom w:val="single" w:sz="4" w:space="0" w:color="auto"/>
              <w:right w:val="single" w:sz="4" w:space="0" w:color="auto"/>
            </w:tcBorders>
            <w:shd w:val="clear" w:color="auto" w:fill="auto"/>
            <w:noWrap/>
            <w:vAlign w:val="center"/>
            <w:hideMark/>
          </w:tcPr>
          <w:p w14:paraId="74E40241" w14:textId="293F2411"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Q3</w:t>
            </w:r>
          </w:p>
        </w:tc>
        <w:tc>
          <w:tcPr>
            <w:tcW w:w="716" w:type="dxa"/>
            <w:tcBorders>
              <w:top w:val="nil"/>
              <w:left w:val="nil"/>
              <w:bottom w:val="single" w:sz="4" w:space="0" w:color="auto"/>
              <w:right w:val="single" w:sz="4" w:space="0" w:color="auto"/>
            </w:tcBorders>
            <w:shd w:val="clear" w:color="auto" w:fill="auto"/>
            <w:noWrap/>
            <w:vAlign w:val="center"/>
            <w:hideMark/>
          </w:tcPr>
          <w:p w14:paraId="6A378081" w14:textId="137DEDD0"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Q4</w:t>
            </w:r>
          </w:p>
        </w:tc>
        <w:tc>
          <w:tcPr>
            <w:tcW w:w="617" w:type="dxa"/>
            <w:tcBorders>
              <w:top w:val="nil"/>
              <w:left w:val="nil"/>
              <w:bottom w:val="single" w:sz="4" w:space="0" w:color="auto"/>
              <w:right w:val="single" w:sz="4" w:space="0" w:color="auto"/>
            </w:tcBorders>
            <w:shd w:val="clear" w:color="auto" w:fill="auto"/>
            <w:noWrap/>
            <w:vAlign w:val="center"/>
            <w:hideMark/>
          </w:tcPr>
          <w:p w14:paraId="6E49CFAB" w14:textId="15103365"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Q1</w:t>
            </w:r>
          </w:p>
        </w:tc>
        <w:tc>
          <w:tcPr>
            <w:tcW w:w="637" w:type="dxa"/>
            <w:tcBorders>
              <w:top w:val="nil"/>
              <w:left w:val="nil"/>
              <w:bottom w:val="single" w:sz="4" w:space="0" w:color="auto"/>
              <w:right w:val="single" w:sz="4" w:space="0" w:color="auto"/>
            </w:tcBorders>
            <w:shd w:val="clear" w:color="auto" w:fill="auto"/>
            <w:noWrap/>
            <w:vAlign w:val="center"/>
            <w:hideMark/>
          </w:tcPr>
          <w:p w14:paraId="20B0C829" w14:textId="246F73FB"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Q2</w:t>
            </w:r>
          </w:p>
        </w:tc>
        <w:tc>
          <w:tcPr>
            <w:tcW w:w="713" w:type="dxa"/>
            <w:tcBorders>
              <w:top w:val="nil"/>
              <w:left w:val="nil"/>
              <w:bottom w:val="single" w:sz="4" w:space="0" w:color="auto"/>
              <w:right w:val="single" w:sz="4" w:space="0" w:color="auto"/>
            </w:tcBorders>
            <w:shd w:val="clear" w:color="auto" w:fill="auto"/>
            <w:noWrap/>
            <w:vAlign w:val="center"/>
            <w:hideMark/>
          </w:tcPr>
          <w:p w14:paraId="38FB9C3F" w14:textId="29448B90"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Q3</w:t>
            </w:r>
          </w:p>
        </w:tc>
        <w:tc>
          <w:tcPr>
            <w:tcW w:w="708" w:type="dxa"/>
            <w:tcBorders>
              <w:top w:val="nil"/>
              <w:left w:val="nil"/>
              <w:bottom w:val="single" w:sz="4" w:space="0" w:color="auto"/>
              <w:right w:val="single" w:sz="4" w:space="0" w:color="auto"/>
            </w:tcBorders>
            <w:shd w:val="clear" w:color="auto" w:fill="auto"/>
            <w:noWrap/>
            <w:vAlign w:val="center"/>
            <w:hideMark/>
          </w:tcPr>
          <w:p w14:paraId="27A5DE13" w14:textId="45C0EC39" w:rsidR="009746D2" w:rsidRPr="00EC3CAC" w:rsidRDefault="009746D2" w:rsidP="009746D2">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Q4</w:t>
            </w:r>
          </w:p>
        </w:tc>
      </w:tr>
      <w:tr w:rsidR="004D5717" w:rsidRPr="00D77050" w14:paraId="1B674A86" w14:textId="77777777" w:rsidTr="00942DF3">
        <w:trPr>
          <w:trHeight w:val="423"/>
        </w:trPr>
        <w:tc>
          <w:tcPr>
            <w:tcW w:w="8057"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9280E2" w14:textId="064F9674" w:rsidR="004D5717" w:rsidRPr="009746D2" w:rsidRDefault="009746D2" w:rsidP="00942DF3">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previous quarter</w:t>
            </w:r>
          </w:p>
        </w:tc>
      </w:tr>
      <w:tr w:rsidR="004D5717" w:rsidRPr="00A40C37" w14:paraId="6D53FE90" w14:textId="77777777" w:rsidTr="00942DF3">
        <w:trPr>
          <w:trHeight w:val="42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4A2CA39" w14:textId="133481F0"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+1</w:t>
            </w:r>
            <w:r w:rsidR="00A1629E" w:rsidRPr="00EC3CAC">
              <w:rPr>
                <w:rFonts w:cs="Calibri"/>
                <w:color w:val="000000"/>
                <w:szCs w:val="19"/>
                <w:lang w:val="en-US"/>
              </w:rPr>
              <w:t>.</w:t>
            </w:r>
            <w:r w:rsidRPr="00EC3CAC">
              <w:rPr>
                <w:rFonts w:cs="Calibri"/>
                <w:color w:val="000000"/>
                <w:szCs w:val="19"/>
                <w:lang w:val="en-US"/>
              </w:rPr>
              <w:t>4</w:t>
            </w:r>
          </w:p>
        </w:tc>
        <w:tc>
          <w:tcPr>
            <w:tcW w:w="641" w:type="dxa"/>
            <w:tcBorders>
              <w:top w:val="nil"/>
              <w:left w:val="nil"/>
              <w:bottom w:val="single" w:sz="4" w:space="0" w:color="auto"/>
              <w:right w:val="single" w:sz="4" w:space="0" w:color="auto"/>
            </w:tcBorders>
            <w:shd w:val="clear" w:color="auto" w:fill="auto"/>
            <w:noWrap/>
            <w:vAlign w:val="center"/>
          </w:tcPr>
          <w:p w14:paraId="5434DADA" w14:textId="4D2FC34A"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+0</w:t>
            </w:r>
            <w:r w:rsidR="00A1629E" w:rsidRPr="00EC3CAC">
              <w:rPr>
                <w:rFonts w:cs="Calibri"/>
                <w:color w:val="000000"/>
                <w:szCs w:val="19"/>
                <w:lang w:val="en-US"/>
              </w:rPr>
              <w:t>.</w:t>
            </w:r>
            <w:r w:rsidRPr="00EC3CAC">
              <w:rPr>
                <w:rFonts w:cs="Calibri"/>
                <w:color w:val="000000"/>
                <w:szCs w:val="19"/>
                <w:lang w:val="en-US"/>
              </w:rPr>
              <w:t>6</w:t>
            </w:r>
          </w:p>
        </w:tc>
        <w:tc>
          <w:tcPr>
            <w:tcW w:w="716" w:type="dxa"/>
            <w:tcBorders>
              <w:top w:val="nil"/>
              <w:left w:val="nil"/>
              <w:bottom w:val="single" w:sz="4" w:space="0" w:color="auto"/>
              <w:right w:val="single" w:sz="4" w:space="0" w:color="auto"/>
            </w:tcBorders>
            <w:shd w:val="clear" w:color="auto" w:fill="auto"/>
            <w:noWrap/>
            <w:vAlign w:val="center"/>
          </w:tcPr>
          <w:p w14:paraId="0ABCB77D" w14:textId="5B760FEE"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+1</w:t>
            </w:r>
            <w:r w:rsidR="00A1629E" w:rsidRPr="00EC3CAC">
              <w:rPr>
                <w:rFonts w:cs="Calibri"/>
                <w:color w:val="000000"/>
                <w:szCs w:val="19"/>
                <w:lang w:val="en-US"/>
              </w:rPr>
              <w:t>.</w:t>
            </w:r>
            <w:r w:rsidRPr="00EC3CAC">
              <w:rPr>
                <w:rFonts w:cs="Calibri"/>
                <w:color w:val="000000"/>
                <w:szCs w:val="19"/>
                <w:lang w:val="en-US"/>
              </w:rPr>
              <w:t>2</w:t>
            </w:r>
          </w:p>
        </w:tc>
        <w:tc>
          <w:tcPr>
            <w:tcW w:w="710" w:type="dxa"/>
            <w:tcBorders>
              <w:top w:val="nil"/>
              <w:left w:val="nil"/>
              <w:bottom w:val="single" w:sz="4" w:space="0" w:color="auto"/>
              <w:right w:val="single" w:sz="4" w:space="0" w:color="auto"/>
            </w:tcBorders>
            <w:shd w:val="clear" w:color="auto" w:fill="auto"/>
            <w:noWrap/>
            <w:vAlign w:val="center"/>
          </w:tcPr>
          <w:p w14:paraId="04D7E52B" w14:textId="595A138A"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+0</w:t>
            </w:r>
            <w:r w:rsidR="00A1629E" w:rsidRPr="00EC3CAC">
              <w:rPr>
                <w:rFonts w:cs="Calibri"/>
                <w:color w:val="000000"/>
                <w:szCs w:val="19"/>
                <w:lang w:val="en-US"/>
              </w:rPr>
              <w:t>.</w:t>
            </w:r>
            <w:r w:rsidRPr="00EC3CAC">
              <w:rPr>
                <w:rFonts w:cs="Calibri"/>
                <w:color w:val="000000"/>
                <w:szCs w:val="19"/>
                <w:lang w:val="en-US"/>
              </w:rPr>
              <w:t>9</w:t>
            </w:r>
          </w:p>
        </w:tc>
        <w:tc>
          <w:tcPr>
            <w:tcW w:w="592" w:type="dxa"/>
            <w:tcBorders>
              <w:top w:val="nil"/>
              <w:left w:val="nil"/>
              <w:bottom w:val="single" w:sz="4" w:space="0" w:color="auto"/>
              <w:right w:val="single" w:sz="4" w:space="0" w:color="auto"/>
            </w:tcBorders>
            <w:shd w:val="clear" w:color="auto" w:fill="auto"/>
            <w:noWrap/>
            <w:vAlign w:val="center"/>
          </w:tcPr>
          <w:p w14:paraId="697F6348" w14:textId="4785BCF8"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0</w:t>
            </w:r>
            <w:r w:rsidR="00A1629E" w:rsidRPr="00EC3CAC">
              <w:rPr>
                <w:rFonts w:cs="Calibri"/>
                <w:color w:val="000000"/>
                <w:szCs w:val="19"/>
                <w:lang w:val="en-US"/>
              </w:rPr>
              <w:t>.</w:t>
            </w:r>
            <w:r w:rsidRPr="00EC3CAC">
              <w:rPr>
                <w:rFonts w:cs="Calibri"/>
                <w:color w:val="000000"/>
                <w:szCs w:val="19"/>
                <w:lang w:val="en-US"/>
              </w:rPr>
              <w:t>0</w:t>
            </w:r>
          </w:p>
        </w:tc>
        <w:tc>
          <w:tcPr>
            <w:tcW w:w="645" w:type="dxa"/>
            <w:tcBorders>
              <w:top w:val="nil"/>
              <w:left w:val="nil"/>
              <w:bottom w:val="single" w:sz="4" w:space="0" w:color="auto"/>
              <w:right w:val="single" w:sz="4" w:space="0" w:color="auto"/>
            </w:tcBorders>
            <w:shd w:val="clear" w:color="auto" w:fill="auto"/>
            <w:noWrap/>
            <w:vAlign w:val="center"/>
          </w:tcPr>
          <w:p w14:paraId="5710B7FE" w14:textId="1312B90C"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+1</w:t>
            </w:r>
            <w:r w:rsidR="00A1629E" w:rsidRPr="00EC3CAC">
              <w:rPr>
                <w:rFonts w:cs="Calibri"/>
                <w:color w:val="000000"/>
                <w:szCs w:val="19"/>
                <w:lang w:val="en-US"/>
              </w:rPr>
              <w:t>.</w:t>
            </w:r>
            <w:r w:rsidRPr="00EC3CAC">
              <w:rPr>
                <w:rFonts w:cs="Calibri"/>
                <w:color w:val="000000"/>
                <w:szCs w:val="19"/>
                <w:lang w:val="en-US"/>
              </w:rPr>
              <w:t>1</w:t>
            </w:r>
          </w:p>
        </w:tc>
        <w:tc>
          <w:tcPr>
            <w:tcW w:w="722" w:type="dxa"/>
            <w:tcBorders>
              <w:top w:val="nil"/>
              <w:left w:val="nil"/>
              <w:bottom w:val="single" w:sz="4" w:space="0" w:color="auto"/>
              <w:right w:val="single" w:sz="4" w:space="0" w:color="auto"/>
            </w:tcBorders>
            <w:shd w:val="clear" w:color="auto" w:fill="auto"/>
            <w:noWrap/>
            <w:vAlign w:val="center"/>
          </w:tcPr>
          <w:p w14:paraId="376F6843" w14:textId="6BA42F9E"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+0</w:t>
            </w:r>
            <w:r w:rsidR="00A1629E" w:rsidRPr="00EC3CAC">
              <w:rPr>
                <w:rFonts w:cs="Calibri"/>
                <w:color w:val="000000"/>
                <w:szCs w:val="19"/>
                <w:lang w:val="en-US"/>
              </w:rPr>
              <w:t>.</w:t>
            </w:r>
            <w:r w:rsidRPr="00EC3CAC">
              <w:rPr>
                <w:rFonts w:cs="Calibri"/>
                <w:color w:val="000000"/>
                <w:szCs w:val="19"/>
                <w:lang w:val="en-US"/>
              </w:rPr>
              <w:t>3</w:t>
            </w:r>
          </w:p>
        </w:tc>
        <w:tc>
          <w:tcPr>
            <w:tcW w:w="716" w:type="dxa"/>
            <w:tcBorders>
              <w:top w:val="nil"/>
              <w:left w:val="nil"/>
              <w:bottom w:val="single" w:sz="4" w:space="0" w:color="auto"/>
              <w:right w:val="single" w:sz="4" w:space="0" w:color="auto"/>
            </w:tcBorders>
            <w:shd w:val="clear" w:color="auto" w:fill="auto"/>
            <w:noWrap/>
            <w:vAlign w:val="center"/>
          </w:tcPr>
          <w:p w14:paraId="47FF95C6" w14:textId="3048992A" w:rsidR="004D5717" w:rsidRPr="00EC3CAC" w:rsidRDefault="004D5717" w:rsidP="00A1629E">
            <w:pPr>
              <w:spacing w:before="0" w:after="0" w:line="240" w:lineRule="auto"/>
              <w:jc w:val="center"/>
              <w:rPr>
                <w:rFonts w:eastAsia="Times New Roman" w:cs="Calibri"/>
                <w:color w:val="000000"/>
                <w:szCs w:val="19"/>
                <w:lang w:val="en-US" w:eastAsia="pl-PL"/>
              </w:rPr>
            </w:pPr>
            <w:r w:rsidRPr="00EC3CAC">
              <w:rPr>
                <w:rFonts w:cs="Calibri"/>
                <w:color w:val="000000"/>
                <w:szCs w:val="19"/>
                <w:lang w:val="en-US"/>
              </w:rPr>
              <w:t>+1</w:t>
            </w:r>
            <w:r w:rsidR="00A1629E" w:rsidRPr="00EC3CAC">
              <w:rPr>
                <w:rFonts w:cs="Calibri"/>
                <w:color w:val="000000"/>
                <w:szCs w:val="19"/>
                <w:lang w:val="en-US"/>
              </w:rPr>
              <w:t>.</w:t>
            </w:r>
            <w:r w:rsidRPr="00EC3CAC">
              <w:rPr>
                <w:rFonts w:cs="Calibri"/>
                <w:color w:val="000000"/>
                <w:szCs w:val="19"/>
                <w:lang w:val="en-US"/>
              </w:rPr>
              <w:t>8</w:t>
            </w:r>
          </w:p>
        </w:tc>
        <w:tc>
          <w:tcPr>
            <w:tcW w:w="617" w:type="dxa"/>
            <w:tcBorders>
              <w:top w:val="nil"/>
              <w:left w:val="nil"/>
              <w:bottom w:val="single" w:sz="4" w:space="0" w:color="auto"/>
              <w:right w:val="single" w:sz="4" w:space="0" w:color="auto"/>
            </w:tcBorders>
            <w:shd w:val="clear" w:color="auto" w:fill="auto"/>
            <w:noWrap/>
            <w:vAlign w:val="center"/>
          </w:tcPr>
          <w:p w14:paraId="3321B90D" w14:textId="710807CB"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+1</w:t>
            </w:r>
            <w:r w:rsidR="00A1629E">
              <w:rPr>
                <w:rFonts w:cs="Calibri"/>
                <w:color w:val="000000"/>
                <w:szCs w:val="19"/>
              </w:rPr>
              <w:t>.</w:t>
            </w:r>
            <w:r>
              <w:rPr>
                <w:rFonts w:cs="Calibri"/>
                <w:color w:val="000000"/>
                <w:szCs w:val="19"/>
              </w:rPr>
              <w:t>1</w:t>
            </w:r>
          </w:p>
        </w:tc>
        <w:tc>
          <w:tcPr>
            <w:tcW w:w="637" w:type="dxa"/>
            <w:tcBorders>
              <w:top w:val="nil"/>
              <w:left w:val="nil"/>
              <w:bottom w:val="single" w:sz="4" w:space="0" w:color="auto"/>
              <w:right w:val="single" w:sz="4" w:space="0" w:color="auto"/>
            </w:tcBorders>
            <w:shd w:val="clear" w:color="auto" w:fill="auto"/>
            <w:noWrap/>
            <w:vAlign w:val="center"/>
          </w:tcPr>
          <w:p w14:paraId="2FC505AF" w14:textId="63DCC67A"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+1</w:t>
            </w:r>
            <w:r w:rsidR="00A1629E">
              <w:rPr>
                <w:rFonts w:cs="Calibri"/>
                <w:color w:val="000000"/>
                <w:szCs w:val="19"/>
              </w:rPr>
              <w:t>.</w:t>
            </w:r>
            <w:r>
              <w:rPr>
                <w:rFonts w:cs="Calibri"/>
                <w:color w:val="000000"/>
                <w:szCs w:val="19"/>
              </w:rPr>
              <w:t xml:space="preserve">0 </w:t>
            </w:r>
          </w:p>
        </w:tc>
        <w:tc>
          <w:tcPr>
            <w:tcW w:w="713" w:type="dxa"/>
            <w:tcBorders>
              <w:top w:val="nil"/>
              <w:left w:val="nil"/>
              <w:bottom w:val="single" w:sz="4" w:space="0" w:color="auto"/>
              <w:right w:val="single" w:sz="4" w:space="0" w:color="auto"/>
            </w:tcBorders>
            <w:shd w:val="clear" w:color="auto" w:fill="auto"/>
            <w:noWrap/>
            <w:vAlign w:val="center"/>
          </w:tcPr>
          <w:p w14:paraId="3477DBDF" w14:textId="37C2663C"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+1</w:t>
            </w:r>
            <w:r w:rsidR="00A1629E">
              <w:rPr>
                <w:rFonts w:cs="Calibri"/>
                <w:color w:val="000000"/>
                <w:szCs w:val="19"/>
              </w:rPr>
              <w:t>.</w:t>
            </w:r>
            <w:r>
              <w:rPr>
                <w:rFonts w:cs="Calibri"/>
                <w:color w:val="000000"/>
                <w:szCs w:val="19"/>
              </w:rPr>
              <w:t>2</w:t>
            </w:r>
          </w:p>
        </w:tc>
        <w:tc>
          <w:tcPr>
            <w:tcW w:w="708" w:type="dxa"/>
            <w:tcBorders>
              <w:top w:val="nil"/>
              <w:left w:val="nil"/>
              <w:bottom w:val="single" w:sz="4" w:space="0" w:color="auto"/>
              <w:right w:val="single" w:sz="4" w:space="0" w:color="auto"/>
            </w:tcBorders>
            <w:shd w:val="clear" w:color="auto" w:fill="auto"/>
            <w:noWrap/>
            <w:vAlign w:val="center"/>
          </w:tcPr>
          <w:p w14:paraId="753AD6EB" w14:textId="17B1E718"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+1</w:t>
            </w:r>
            <w:r w:rsidR="00A1629E">
              <w:rPr>
                <w:rFonts w:cs="Calibri"/>
                <w:color w:val="000000"/>
                <w:szCs w:val="19"/>
              </w:rPr>
              <w:t>.</w:t>
            </w:r>
            <w:r>
              <w:rPr>
                <w:rFonts w:cs="Calibri"/>
                <w:color w:val="000000"/>
                <w:szCs w:val="19"/>
              </w:rPr>
              <w:t>0</w:t>
            </w:r>
          </w:p>
        </w:tc>
      </w:tr>
      <w:tr w:rsidR="004D5717" w:rsidRPr="00D77050" w14:paraId="71BF671D" w14:textId="77777777" w:rsidTr="00942DF3">
        <w:trPr>
          <w:trHeight w:val="423"/>
        </w:trPr>
        <w:tc>
          <w:tcPr>
            <w:tcW w:w="8057"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59CAA1" w14:textId="6A7243F8" w:rsidR="004D5717" w:rsidRPr="009746D2" w:rsidRDefault="009746D2" w:rsidP="00942DF3">
            <w:pPr>
              <w:spacing w:before="0" w:after="0" w:line="240" w:lineRule="auto"/>
              <w:jc w:val="center"/>
              <w:rPr>
                <w:rFonts w:eastAsia="Times New Roman" w:cs="Calibri"/>
                <w:color w:val="000000"/>
                <w:szCs w:val="19"/>
                <w:lang w:val="en-US" w:eastAsia="pl-PL"/>
              </w:rPr>
            </w:pPr>
            <w:r w:rsidRPr="00A20AFE">
              <w:rPr>
                <w:rFonts w:cs="Arial"/>
                <w:color w:val="000000"/>
                <w:szCs w:val="19"/>
                <w:lang w:val="en-US"/>
              </w:rPr>
              <w:t>Change (%) to the corresponding quarter of the previous year</w:t>
            </w:r>
          </w:p>
        </w:tc>
      </w:tr>
      <w:tr w:rsidR="004D5717" w:rsidRPr="00A40C37" w14:paraId="2BDC6BF9" w14:textId="77777777" w:rsidTr="00942DF3">
        <w:trPr>
          <w:trHeight w:val="42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E3C190" w14:textId="2A6F5D93"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9</w:t>
            </w:r>
          </w:p>
        </w:tc>
        <w:tc>
          <w:tcPr>
            <w:tcW w:w="641" w:type="dxa"/>
            <w:tcBorders>
              <w:top w:val="nil"/>
              <w:left w:val="nil"/>
              <w:bottom w:val="single" w:sz="4" w:space="0" w:color="auto"/>
              <w:right w:val="single" w:sz="4" w:space="0" w:color="auto"/>
            </w:tcBorders>
            <w:shd w:val="clear" w:color="auto" w:fill="auto"/>
            <w:noWrap/>
            <w:vAlign w:val="center"/>
          </w:tcPr>
          <w:p w14:paraId="7A859F3B" w14:textId="0CC0068C"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4</w:t>
            </w:r>
          </w:p>
        </w:tc>
        <w:tc>
          <w:tcPr>
            <w:tcW w:w="716" w:type="dxa"/>
            <w:tcBorders>
              <w:top w:val="nil"/>
              <w:left w:val="nil"/>
              <w:bottom w:val="single" w:sz="4" w:space="0" w:color="auto"/>
              <w:right w:val="single" w:sz="4" w:space="0" w:color="auto"/>
            </w:tcBorders>
            <w:shd w:val="clear" w:color="auto" w:fill="auto"/>
            <w:noWrap/>
            <w:vAlign w:val="center"/>
          </w:tcPr>
          <w:p w14:paraId="733A862D" w14:textId="3A423F8C"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8</w:t>
            </w:r>
          </w:p>
        </w:tc>
        <w:tc>
          <w:tcPr>
            <w:tcW w:w="710" w:type="dxa"/>
            <w:tcBorders>
              <w:top w:val="nil"/>
              <w:left w:val="nil"/>
              <w:bottom w:val="single" w:sz="4" w:space="0" w:color="auto"/>
              <w:right w:val="single" w:sz="4" w:space="0" w:color="auto"/>
            </w:tcBorders>
            <w:shd w:val="clear" w:color="auto" w:fill="auto"/>
            <w:noWrap/>
            <w:vAlign w:val="center"/>
          </w:tcPr>
          <w:p w14:paraId="273A7458" w14:textId="25028D98"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2</w:t>
            </w:r>
          </w:p>
        </w:tc>
        <w:tc>
          <w:tcPr>
            <w:tcW w:w="592" w:type="dxa"/>
            <w:tcBorders>
              <w:top w:val="nil"/>
              <w:left w:val="nil"/>
              <w:bottom w:val="single" w:sz="4" w:space="0" w:color="auto"/>
              <w:right w:val="single" w:sz="4" w:space="0" w:color="auto"/>
            </w:tcBorders>
            <w:shd w:val="clear" w:color="auto" w:fill="auto"/>
            <w:noWrap/>
            <w:vAlign w:val="center"/>
          </w:tcPr>
          <w:p w14:paraId="088E2186" w14:textId="64B5867B"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+2</w:t>
            </w:r>
            <w:r w:rsidR="00A1629E">
              <w:rPr>
                <w:rFonts w:cs="Calibri"/>
                <w:color w:val="000000"/>
                <w:szCs w:val="19"/>
              </w:rPr>
              <w:t>.</w:t>
            </w:r>
            <w:r>
              <w:rPr>
                <w:rFonts w:cs="Calibri"/>
                <w:color w:val="000000"/>
                <w:szCs w:val="19"/>
              </w:rPr>
              <w:t>7</w:t>
            </w:r>
          </w:p>
        </w:tc>
        <w:tc>
          <w:tcPr>
            <w:tcW w:w="645" w:type="dxa"/>
            <w:tcBorders>
              <w:top w:val="nil"/>
              <w:left w:val="nil"/>
              <w:bottom w:val="single" w:sz="4" w:space="0" w:color="auto"/>
              <w:right w:val="single" w:sz="4" w:space="0" w:color="auto"/>
            </w:tcBorders>
            <w:shd w:val="clear" w:color="auto" w:fill="auto"/>
            <w:noWrap/>
            <w:vAlign w:val="center"/>
          </w:tcPr>
          <w:p w14:paraId="4FA8C514" w14:textId="2F20109F"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2</w:t>
            </w:r>
          </w:p>
        </w:tc>
        <w:tc>
          <w:tcPr>
            <w:tcW w:w="722" w:type="dxa"/>
            <w:tcBorders>
              <w:top w:val="nil"/>
              <w:left w:val="nil"/>
              <w:bottom w:val="single" w:sz="4" w:space="0" w:color="auto"/>
              <w:right w:val="single" w:sz="4" w:space="0" w:color="auto"/>
            </w:tcBorders>
            <w:shd w:val="clear" w:color="auto" w:fill="auto"/>
            <w:noWrap/>
            <w:vAlign w:val="center"/>
          </w:tcPr>
          <w:p w14:paraId="189D8156" w14:textId="053E0D54"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+2</w:t>
            </w:r>
            <w:r w:rsidR="00A1629E">
              <w:rPr>
                <w:rFonts w:cs="Calibri"/>
                <w:color w:val="000000"/>
                <w:szCs w:val="19"/>
              </w:rPr>
              <w:t>.</w:t>
            </w:r>
            <w:r>
              <w:rPr>
                <w:rFonts w:cs="Calibri"/>
                <w:color w:val="000000"/>
                <w:szCs w:val="19"/>
              </w:rPr>
              <w:t>3</w:t>
            </w:r>
          </w:p>
        </w:tc>
        <w:tc>
          <w:tcPr>
            <w:tcW w:w="716" w:type="dxa"/>
            <w:tcBorders>
              <w:top w:val="nil"/>
              <w:left w:val="nil"/>
              <w:bottom w:val="single" w:sz="4" w:space="0" w:color="auto"/>
              <w:right w:val="single" w:sz="4" w:space="0" w:color="auto"/>
            </w:tcBorders>
            <w:shd w:val="clear" w:color="auto" w:fill="auto"/>
            <w:noWrap/>
            <w:vAlign w:val="center"/>
          </w:tcPr>
          <w:p w14:paraId="6D777763" w14:textId="540B21A2"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2</w:t>
            </w:r>
          </w:p>
        </w:tc>
        <w:tc>
          <w:tcPr>
            <w:tcW w:w="617" w:type="dxa"/>
            <w:tcBorders>
              <w:top w:val="nil"/>
              <w:left w:val="nil"/>
              <w:bottom w:val="single" w:sz="4" w:space="0" w:color="auto"/>
              <w:right w:val="single" w:sz="4" w:space="0" w:color="auto"/>
            </w:tcBorders>
            <w:shd w:val="clear" w:color="auto" w:fill="auto"/>
            <w:noWrap/>
            <w:vAlign w:val="center"/>
          </w:tcPr>
          <w:p w14:paraId="1B2C052E" w14:textId="5199F1A3"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4</w:t>
            </w:r>
          </w:p>
        </w:tc>
        <w:tc>
          <w:tcPr>
            <w:tcW w:w="637" w:type="dxa"/>
            <w:tcBorders>
              <w:top w:val="nil"/>
              <w:left w:val="nil"/>
              <w:bottom w:val="single" w:sz="4" w:space="0" w:color="auto"/>
              <w:right w:val="single" w:sz="4" w:space="0" w:color="auto"/>
            </w:tcBorders>
            <w:shd w:val="clear" w:color="auto" w:fill="auto"/>
            <w:noWrap/>
            <w:vAlign w:val="center"/>
          </w:tcPr>
          <w:p w14:paraId="02CF8510" w14:textId="0BCBC246"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3</w:t>
            </w:r>
          </w:p>
        </w:tc>
        <w:tc>
          <w:tcPr>
            <w:tcW w:w="713" w:type="dxa"/>
            <w:tcBorders>
              <w:top w:val="nil"/>
              <w:left w:val="nil"/>
              <w:bottom w:val="single" w:sz="4" w:space="0" w:color="auto"/>
              <w:right w:val="single" w:sz="4" w:space="0" w:color="auto"/>
            </w:tcBorders>
            <w:shd w:val="clear" w:color="auto" w:fill="auto"/>
            <w:noWrap/>
            <w:vAlign w:val="center"/>
          </w:tcPr>
          <w:p w14:paraId="6E3077FF" w14:textId="532515A0"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+5</w:t>
            </w:r>
            <w:r w:rsidR="00A1629E">
              <w:rPr>
                <w:rFonts w:cs="Calibri"/>
                <w:color w:val="000000"/>
                <w:szCs w:val="19"/>
              </w:rPr>
              <w:t>.</w:t>
            </w:r>
            <w:r>
              <w:rPr>
                <w:rFonts w:cs="Calibri"/>
                <w:color w:val="000000"/>
                <w:szCs w:val="19"/>
              </w:rPr>
              <w:t>2</w:t>
            </w:r>
          </w:p>
        </w:tc>
        <w:tc>
          <w:tcPr>
            <w:tcW w:w="708" w:type="dxa"/>
            <w:tcBorders>
              <w:top w:val="nil"/>
              <w:left w:val="nil"/>
              <w:bottom w:val="single" w:sz="4" w:space="0" w:color="auto"/>
              <w:right w:val="single" w:sz="4" w:space="0" w:color="auto"/>
            </w:tcBorders>
            <w:shd w:val="clear" w:color="auto" w:fill="auto"/>
            <w:noWrap/>
            <w:vAlign w:val="center"/>
          </w:tcPr>
          <w:p w14:paraId="547872E4" w14:textId="42D375C8" w:rsidR="004D5717" w:rsidRPr="00A40C37" w:rsidRDefault="004D5717" w:rsidP="00A1629E">
            <w:pPr>
              <w:spacing w:before="0" w:after="0" w:line="240" w:lineRule="auto"/>
              <w:jc w:val="center"/>
              <w:rPr>
                <w:rFonts w:eastAsia="Times New Roman" w:cs="Calibri"/>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3</w:t>
            </w:r>
          </w:p>
        </w:tc>
      </w:tr>
    </w:tbl>
    <w:p w14:paraId="26295B00" w14:textId="77777777" w:rsidR="00DB42D7" w:rsidRDefault="00DB42D7" w:rsidP="00DB42D7">
      <w:pPr>
        <w:rPr>
          <w:lang w:eastAsia="pl-PL"/>
        </w:rPr>
      </w:pPr>
    </w:p>
    <w:p w14:paraId="63553205" w14:textId="77777777" w:rsidR="00F06B8D" w:rsidRPr="00DB42D7" w:rsidRDefault="00F06B8D" w:rsidP="00DB42D7">
      <w:pPr>
        <w:rPr>
          <w:lang w:eastAsia="pl-PL"/>
        </w:rPr>
      </w:pPr>
    </w:p>
    <w:p w14:paraId="2C26B5A4" w14:textId="67A8B3C8" w:rsidR="004D5717" w:rsidRPr="009746D2" w:rsidRDefault="00B119FA" w:rsidP="004D5717">
      <w:pPr>
        <w:pStyle w:val="Nagwek1"/>
        <w:spacing w:before="0" w:after="0"/>
        <w:ind w:left="851" w:hanging="851"/>
        <w:rPr>
          <w:rFonts w:ascii="Fira Sans" w:hAnsi="Fira Sans"/>
          <w:b/>
          <w:noProof/>
          <w:spacing w:val="-2"/>
          <w:szCs w:val="19"/>
          <w:lang w:val="en-US"/>
        </w:rPr>
      </w:pPr>
      <w:r w:rsidRPr="00A334DB">
        <w:rPr>
          <w:rFonts w:ascii="Fira Sans" w:hAnsi="Fira Sans"/>
          <w:b/>
          <w:noProof/>
          <w:spacing w:val="-2"/>
          <w:szCs w:val="19"/>
        </w:rPr>
        <mc:AlternateContent>
          <mc:Choice Requires="wps">
            <w:drawing>
              <wp:anchor distT="45720" distB="45720" distL="114300" distR="114300" simplePos="0" relativeHeight="251737088" behindDoc="1" locked="0" layoutInCell="1" allowOverlap="1" wp14:anchorId="1DF80B96" wp14:editId="4FE146F8">
                <wp:simplePos x="0" y="0"/>
                <wp:positionH relativeFrom="column">
                  <wp:posOffset>5219700</wp:posOffset>
                </wp:positionH>
                <wp:positionV relativeFrom="paragraph">
                  <wp:posOffset>165100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433F5637" w14:textId="77777777" w:rsidR="00B119FA" w:rsidRPr="00D616D2" w:rsidRDefault="00B119FA" w:rsidP="00B119FA">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80B96" id="Pole tekstowe 4" o:spid="_x0000_s1028" type="#_x0000_t202" style="position:absolute;left:0;text-align:left;margin-left:411pt;margin-top:13pt;width:135.85pt;height:65.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t+EQIAAP4D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R8zpkFQyN6&#10;RC1ZlM8hYi/ZPEnUu1DRzSdHd+PwHgcadaYb3AOK58As3nZgd/LGe+w7CQ21OEuZxUXqiBMSyLb/&#10;jA3Vgn3EDDS03iT9SBFG6DSql/N45BCZSCWvykW5WnAmKLZ8O1su8vwKqE7Zzof4UaJhaVNzT+PP&#10;6HB4CDF1A9XpSipm8V5pnS2gLetrvlqUi5xwETEqkkO1MlRzmr7RM4nkB9vk5AhKj3sqoO2RdSI6&#10;Uo7Ddsgalycxt9i8kAweR0PSA6JNh/4nZz2Zsebhxx685Ex/siTlajafJ/fmw3xxVdLBX0a2lxGw&#10;gqBqHjkbt7cxO36kfEOStyqrkWYzdnJsmUyWRTo+iOTiy3O+9fvZbn4BAAD//wMAUEsDBBQABgAI&#10;AAAAIQBTaVMD3wAAAAsBAAAPAAAAZHJzL2Rvd25yZXYueG1sTI9LT8MwEITvSPwHa5G40TWBvkKc&#10;CoG4gigPiZsbb5OIeB3FbhP+PdsTnHZXM5r9pthMvlNHGmIb2MD1TIMiroJruTbw/vZ0tQIVk2Vn&#10;u8Bk4IcibMrzs8LmLoz8SsdtqpWEcMytgSalPkeMVUPexlnoiUXbh8HbJOdQoxvsKOG+w0zrBXrb&#10;snxobE8PDVXf24M38PG8//q81S/1o5/3Y5g0sl+jMZcX0/0dqERT+jPDCV/QoRSmXTiwi6ozsMoy&#10;6ZIMZAuZJ4Ne3yxB7WSbLzVgWeD/DuUvAAAA//8DAFBLAQItABQABgAIAAAAIQC2gziS/gAAAOEB&#10;AAATAAAAAAAAAAAAAAAAAAAAAABbQ29udGVudF9UeXBlc10ueG1sUEsBAi0AFAAGAAgAAAAhADj9&#10;If/WAAAAlAEAAAsAAAAAAAAAAAAAAAAALwEAAF9yZWxzLy5yZWxzUEsBAi0AFAAGAAgAAAAhAIdz&#10;S34RAgAA/gMAAA4AAAAAAAAAAAAAAAAALgIAAGRycy9lMm9Eb2MueG1sUEsBAi0AFAAGAAgAAAAh&#10;AFNpUwPfAAAACwEAAA8AAAAAAAAAAAAAAAAAawQAAGRycy9kb3ducmV2LnhtbFBLBQYAAAAABAAE&#10;APMAAAB3BQAAAAA=&#10;" filled="f" stroked="f">
                <v:textbox>
                  <w:txbxContent>
                    <w:p w14:paraId="433F5637" w14:textId="77777777" w:rsidR="00B119FA" w:rsidRPr="00D616D2" w:rsidRDefault="00B119FA" w:rsidP="00B119FA">
                      <w:pPr>
                        <w:spacing w:after="0"/>
                        <w:rPr>
                          <w:rFonts w:eastAsia="Times New Roman" w:cs="Times New Roman"/>
                          <w:bCs/>
                          <w:color w:val="001D77"/>
                          <w:sz w:val="18"/>
                          <w:szCs w:val="18"/>
                          <w:lang w:eastAsia="pl-PL"/>
                        </w:rPr>
                      </w:pPr>
                    </w:p>
                  </w:txbxContent>
                </v:textbox>
                <w10:wrap type="tight"/>
              </v:shape>
            </w:pict>
          </mc:Fallback>
        </mc:AlternateContent>
      </w:r>
      <w:r w:rsidR="004D5717" w:rsidRPr="00A804D3">
        <w:rPr>
          <w:rFonts w:ascii="Fira Sans" w:hAnsi="Fira Sans"/>
          <w:b/>
          <w:noProof/>
          <w:spacing w:val="-2"/>
          <w:szCs w:val="19"/>
          <w:lang w:val="en-US"/>
        </w:rPr>
        <w:t xml:space="preserve"> Tab</w:t>
      </w:r>
      <w:r w:rsidR="00EC3CAC">
        <w:rPr>
          <w:rFonts w:ascii="Fira Sans" w:hAnsi="Fira Sans"/>
          <w:b/>
          <w:noProof/>
          <w:spacing w:val="-2"/>
          <w:szCs w:val="19"/>
          <w:lang w:val="en-US"/>
        </w:rPr>
        <w:t>le</w:t>
      </w:r>
      <w:r w:rsidR="004D5717" w:rsidRPr="00A804D3">
        <w:rPr>
          <w:rFonts w:ascii="Fira Sans" w:hAnsi="Fira Sans"/>
          <w:b/>
          <w:noProof/>
          <w:spacing w:val="-2"/>
          <w:szCs w:val="19"/>
          <w:lang w:val="en-US"/>
        </w:rPr>
        <w:t xml:space="preserve"> 2. </w:t>
      </w:r>
      <w:r w:rsidR="009746D2" w:rsidRPr="00120854">
        <w:rPr>
          <w:rFonts w:ascii="Fira Sans" w:hAnsi="Fira Sans"/>
          <w:b/>
          <w:szCs w:val="19"/>
          <w:lang w:val="en-US"/>
        </w:rPr>
        <w:t>Seasonally unadjusted GDP; constant average prices of the previous year</w:t>
      </w:r>
    </w:p>
    <w:tbl>
      <w:tblPr>
        <w:tblpPr w:leftFromText="141" w:rightFromText="141" w:vertAnchor="text" w:horzAnchor="margin" w:tblpY="245"/>
        <w:tblW w:w="8057" w:type="dxa"/>
        <w:tblCellMar>
          <w:left w:w="70" w:type="dxa"/>
          <w:right w:w="70" w:type="dxa"/>
        </w:tblCellMar>
        <w:tblLook w:val="04A0" w:firstRow="1" w:lastRow="0" w:firstColumn="1" w:lastColumn="0" w:noHBand="0" w:noVBand="1"/>
      </w:tblPr>
      <w:tblGrid>
        <w:gridCol w:w="574"/>
        <w:gridCol w:w="633"/>
        <w:gridCol w:w="705"/>
        <w:gridCol w:w="732"/>
        <w:gridCol w:w="659"/>
        <w:gridCol w:w="660"/>
        <w:gridCol w:w="683"/>
        <w:gridCol w:w="710"/>
        <w:gridCol w:w="660"/>
        <w:gridCol w:w="660"/>
        <w:gridCol w:w="690"/>
        <w:gridCol w:w="691"/>
      </w:tblGrid>
      <w:tr w:rsidR="004D5717" w:rsidRPr="00185EB3" w14:paraId="06116390" w14:textId="77777777" w:rsidTr="00942DF3">
        <w:trPr>
          <w:trHeight w:val="361"/>
        </w:trPr>
        <w:tc>
          <w:tcPr>
            <w:tcW w:w="264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39FA5" w14:textId="77777777" w:rsidR="004D5717" w:rsidRPr="00185EB3" w:rsidRDefault="004D5717" w:rsidP="00942DF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2015</w:t>
            </w:r>
          </w:p>
        </w:tc>
        <w:tc>
          <w:tcPr>
            <w:tcW w:w="271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870518A" w14:textId="77777777" w:rsidR="004D5717" w:rsidRPr="00185EB3" w:rsidRDefault="004D5717" w:rsidP="00942DF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2016</w:t>
            </w:r>
          </w:p>
        </w:tc>
        <w:tc>
          <w:tcPr>
            <w:tcW w:w="270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7F4D161" w14:textId="77777777" w:rsidR="004D5717" w:rsidRPr="00185EB3" w:rsidRDefault="004D5717" w:rsidP="00942DF3">
            <w:pPr>
              <w:spacing w:before="0" w:after="0" w:line="240" w:lineRule="auto"/>
              <w:jc w:val="center"/>
              <w:rPr>
                <w:rFonts w:eastAsia="Times New Roman" w:cs="Arial"/>
                <w:color w:val="000000"/>
                <w:szCs w:val="19"/>
                <w:lang w:eastAsia="pl-PL"/>
              </w:rPr>
            </w:pPr>
            <w:r w:rsidRPr="00185EB3">
              <w:rPr>
                <w:rFonts w:eastAsia="Times New Roman" w:cs="Arial"/>
                <w:color w:val="000000"/>
                <w:szCs w:val="19"/>
                <w:lang w:eastAsia="pl-PL"/>
              </w:rPr>
              <w:t>2017</w:t>
            </w:r>
          </w:p>
        </w:tc>
      </w:tr>
      <w:tr w:rsidR="009746D2" w:rsidRPr="00185EB3" w14:paraId="518A4726" w14:textId="77777777" w:rsidTr="00942DF3">
        <w:trPr>
          <w:trHeight w:val="361"/>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64253F63" w14:textId="4F0C8349"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Q1</w:t>
            </w:r>
          </w:p>
        </w:tc>
        <w:tc>
          <w:tcPr>
            <w:tcW w:w="633" w:type="dxa"/>
            <w:tcBorders>
              <w:top w:val="nil"/>
              <w:left w:val="nil"/>
              <w:bottom w:val="single" w:sz="4" w:space="0" w:color="auto"/>
              <w:right w:val="single" w:sz="4" w:space="0" w:color="auto"/>
            </w:tcBorders>
            <w:shd w:val="clear" w:color="auto" w:fill="auto"/>
            <w:noWrap/>
            <w:vAlign w:val="center"/>
            <w:hideMark/>
          </w:tcPr>
          <w:p w14:paraId="03FD9C06" w14:textId="07D71A7B"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Q2</w:t>
            </w:r>
          </w:p>
        </w:tc>
        <w:tc>
          <w:tcPr>
            <w:tcW w:w="705" w:type="dxa"/>
            <w:tcBorders>
              <w:top w:val="nil"/>
              <w:left w:val="nil"/>
              <w:bottom w:val="single" w:sz="4" w:space="0" w:color="auto"/>
              <w:right w:val="single" w:sz="4" w:space="0" w:color="auto"/>
            </w:tcBorders>
            <w:shd w:val="clear" w:color="auto" w:fill="auto"/>
            <w:noWrap/>
            <w:vAlign w:val="center"/>
            <w:hideMark/>
          </w:tcPr>
          <w:p w14:paraId="33574A9A" w14:textId="72BFC0D4"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Q3</w:t>
            </w:r>
          </w:p>
        </w:tc>
        <w:tc>
          <w:tcPr>
            <w:tcW w:w="732" w:type="dxa"/>
            <w:tcBorders>
              <w:top w:val="nil"/>
              <w:left w:val="nil"/>
              <w:bottom w:val="single" w:sz="4" w:space="0" w:color="auto"/>
              <w:right w:val="single" w:sz="4" w:space="0" w:color="auto"/>
            </w:tcBorders>
            <w:shd w:val="clear" w:color="auto" w:fill="auto"/>
            <w:noWrap/>
            <w:vAlign w:val="center"/>
            <w:hideMark/>
          </w:tcPr>
          <w:p w14:paraId="36D5C72B" w14:textId="06A880C1"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Q4</w:t>
            </w:r>
          </w:p>
        </w:tc>
        <w:tc>
          <w:tcPr>
            <w:tcW w:w="659" w:type="dxa"/>
            <w:tcBorders>
              <w:top w:val="nil"/>
              <w:left w:val="nil"/>
              <w:bottom w:val="single" w:sz="4" w:space="0" w:color="auto"/>
              <w:right w:val="single" w:sz="4" w:space="0" w:color="auto"/>
            </w:tcBorders>
            <w:shd w:val="clear" w:color="auto" w:fill="auto"/>
            <w:noWrap/>
            <w:vAlign w:val="center"/>
            <w:hideMark/>
          </w:tcPr>
          <w:p w14:paraId="42469290" w14:textId="49C23D58"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Q1</w:t>
            </w:r>
          </w:p>
        </w:tc>
        <w:tc>
          <w:tcPr>
            <w:tcW w:w="660" w:type="dxa"/>
            <w:tcBorders>
              <w:top w:val="nil"/>
              <w:left w:val="nil"/>
              <w:bottom w:val="single" w:sz="4" w:space="0" w:color="auto"/>
              <w:right w:val="single" w:sz="4" w:space="0" w:color="auto"/>
            </w:tcBorders>
            <w:shd w:val="clear" w:color="auto" w:fill="auto"/>
            <w:noWrap/>
            <w:vAlign w:val="center"/>
            <w:hideMark/>
          </w:tcPr>
          <w:p w14:paraId="28718544" w14:textId="23EF6778"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Q2</w:t>
            </w:r>
          </w:p>
        </w:tc>
        <w:tc>
          <w:tcPr>
            <w:tcW w:w="683" w:type="dxa"/>
            <w:tcBorders>
              <w:top w:val="nil"/>
              <w:left w:val="nil"/>
              <w:bottom w:val="single" w:sz="4" w:space="0" w:color="auto"/>
              <w:right w:val="single" w:sz="4" w:space="0" w:color="auto"/>
            </w:tcBorders>
            <w:shd w:val="clear" w:color="auto" w:fill="auto"/>
            <w:noWrap/>
            <w:vAlign w:val="center"/>
            <w:hideMark/>
          </w:tcPr>
          <w:p w14:paraId="26124B36" w14:textId="54E0F74D"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Q3</w:t>
            </w:r>
          </w:p>
        </w:tc>
        <w:tc>
          <w:tcPr>
            <w:tcW w:w="710" w:type="dxa"/>
            <w:tcBorders>
              <w:top w:val="nil"/>
              <w:left w:val="nil"/>
              <w:bottom w:val="single" w:sz="4" w:space="0" w:color="auto"/>
              <w:right w:val="single" w:sz="4" w:space="0" w:color="auto"/>
            </w:tcBorders>
            <w:shd w:val="clear" w:color="auto" w:fill="auto"/>
            <w:noWrap/>
            <w:vAlign w:val="center"/>
            <w:hideMark/>
          </w:tcPr>
          <w:p w14:paraId="26DC115D" w14:textId="1785AE6A"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Q4</w:t>
            </w:r>
          </w:p>
        </w:tc>
        <w:tc>
          <w:tcPr>
            <w:tcW w:w="660" w:type="dxa"/>
            <w:tcBorders>
              <w:top w:val="nil"/>
              <w:left w:val="nil"/>
              <w:bottom w:val="single" w:sz="4" w:space="0" w:color="auto"/>
              <w:right w:val="single" w:sz="4" w:space="0" w:color="auto"/>
            </w:tcBorders>
            <w:shd w:val="clear" w:color="auto" w:fill="auto"/>
            <w:noWrap/>
            <w:vAlign w:val="center"/>
            <w:hideMark/>
          </w:tcPr>
          <w:p w14:paraId="6392DFD8" w14:textId="321AC64F"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Q1</w:t>
            </w:r>
          </w:p>
        </w:tc>
        <w:tc>
          <w:tcPr>
            <w:tcW w:w="660" w:type="dxa"/>
            <w:tcBorders>
              <w:top w:val="nil"/>
              <w:left w:val="nil"/>
              <w:bottom w:val="single" w:sz="4" w:space="0" w:color="auto"/>
              <w:right w:val="single" w:sz="4" w:space="0" w:color="auto"/>
            </w:tcBorders>
            <w:shd w:val="clear" w:color="auto" w:fill="auto"/>
            <w:noWrap/>
            <w:vAlign w:val="center"/>
            <w:hideMark/>
          </w:tcPr>
          <w:p w14:paraId="14A2511D" w14:textId="71982F5F"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Q2</w:t>
            </w:r>
          </w:p>
        </w:tc>
        <w:tc>
          <w:tcPr>
            <w:tcW w:w="690" w:type="dxa"/>
            <w:tcBorders>
              <w:top w:val="nil"/>
              <w:left w:val="nil"/>
              <w:bottom w:val="single" w:sz="4" w:space="0" w:color="auto"/>
              <w:right w:val="single" w:sz="4" w:space="0" w:color="auto"/>
            </w:tcBorders>
            <w:shd w:val="clear" w:color="auto" w:fill="auto"/>
            <w:noWrap/>
            <w:vAlign w:val="center"/>
            <w:hideMark/>
          </w:tcPr>
          <w:p w14:paraId="320E91BD" w14:textId="1AC8F55E"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Q3</w:t>
            </w:r>
          </w:p>
        </w:tc>
        <w:tc>
          <w:tcPr>
            <w:tcW w:w="691" w:type="dxa"/>
            <w:tcBorders>
              <w:top w:val="nil"/>
              <w:left w:val="nil"/>
              <w:bottom w:val="single" w:sz="4" w:space="0" w:color="auto"/>
              <w:right w:val="single" w:sz="4" w:space="0" w:color="auto"/>
            </w:tcBorders>
            <w:shd w:val="clear" w:color="auto" w:fill="auto"/>
            <w:noWrap/>
            <w:vAlign w:val="center"/>
            <w:hideMark/>
          </w:tcPr>
          <w:p w14:paraId="73F9CF15" w14:textId="20E00573" w:rsidR="009746D2" w:rsidRPr="00185EB3" w:rsidRDefault="009746D2" w:rsidP="009746D2">
            <w:pPr>
              <w:spacing w:before="0" w:after="0" w:line="240" w:lineRule="auto"/>
              <w:jc w:val="center"/>
              <w:rPr>
                <w:rFonts w:eastAsia="Times New Roman" w:cs="Arial"/>
                <w:color w:val="000000"/>
                <w:szCs w:val="19"/>
                <w:lang w:eastAsia="pl-PL"/>
              </w:rPr>
            </w:pPr>
            <w:r>
              <w:rPr>
                <w:rFonts w:cs="Calibri"/>
                <w:color w:val="000000"/>
                <w:szCs w:val="19"/>
              </w:rPr>
              <w:t>Q4</w:t>
            </w:r>
          </w:p>
        </w:tc>
      </w:tr>
      <w:tr w:rsidR="004D5717" w:rsidRPr="00D77050" w14:paraId="460DCEC9" w14:textId="77777777" w:rsidTr="00942DF3">
        <w:trPr>
          <w:trHeight w:val="361"/>
        </w:trPr>
        <w:tc>
          <w:tcPr>
            <w:tcW w:w="8057"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853A6" w14:textId="5981C060" w:rsidR="004D5717" w:rsidRPr="009746D2" w:rsidRDefault="009746D2" w:rsidP="00942DF3">
            <w:pPr>
              <w:spacing w:before="0" w:after="0" w:line="240" w:lineRule="auto"/>
              <w:jc w:val="center"/>
              <w:rPr>
                <w:rFonts w:eastAsia="Times New Roman" w:cs="Arial"/>
                <w:color w:val="000000"/>
                <w:szCs w:val="19"/>
                <w:lang w:val="en-US" w:eastAsia="pl-PL"/>
              </w:rPr>
            </w:pPr>
            <w:r w:rsidRPr="00A20AFE">
              <w:rPr>
                <w:rFonts w:cs="Arial"/>
                <w:color w:val="000000"/>
                <w:szCs w:val="19"/>
                <w:lang w:val="en-US"/>
              </w:rPr>
              <w:t>Change (%) to the corresponding quarter of the previous year</w:t>
            </w:r>
          </w:p>
        </w:tc>
      </w:tr>
      <w:tr w:rsidR="004D5717" w:rsidRPr="00185EB3" w14:paraId="7B977130" w14:textId="77777777" w:rsidTr="00942DF3">
        <w:trPr>
          <w:trHeight w:val="361"/>
        </w:trPr>
        <w:tc>
          <w:tcPr>
            <w:tcW w:w="574" w:type="dxa"/>
            <w:tcBorders>
              <w:top w:val="nil"/>
              <w:left w:val="single" w:sz="4" w:space="0" w:color="auto"/>
              <w:bottom w:val="single" w:sz="4" w:space="0" w:color="auto"/>
              <w:right w:val="single" w:sz="4" w:space="0" w:color="auto"/>
            </w:tcBorders>
            <w:shd w:val="clear" w:color="auto" w:fill="auto"/>
            <w:noWrap/>
            <w:vAlign w:val="center"/>
          </w:tcPr>
          <w:p w14:paraId="1AC2D9CD" w14:textId="3525421A"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8</w:t>
            </w:r>
          </w:p>
        </w:tc>
        <w:tc>
          <w:tcPr>
            <w:tcW w:w="633" w:type="dxa"/>
            <w:tcBorders>
              <w:top w:val="nil"/>
              <w:left w:val="nil"/>
              <w:bottom w:val="single" w:sz="4" w:space="0" w:color="auto"/>
              <w:right w:val="single" w:sz="4" w:space="0" w:color="auto"/>
            </w:tcBorders>
            <w:shd w:val="clear" w:color="auto" w:fill="auto"/>
            <w:noWrap/>
            <w:vAlign w:val="center"/>
          </w:tcPr>
          <w:p w14:paraId="402A4CB6" w14:textId="66DDF30D"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3</w:t>
            </w:r>
          </w:p>
        </w:tc>
        <w:tc>
          <w:tcPr>
            <w:tcW w:w="705" w:type="dxa"/>
            <w:tcBorders>
              <w:top w:val="nil"/>
              <w:left w:val="nil"/>
              <w:bottom w:val="single" w:sz="4" w:space="0" w:color="auto"/>
              <w:right w:val="single" w:sz="4" w:space="0" w:color="auto"/>
            </w:tcBorders>
            <w:shd w:val="clear" w:color="auto" w:fill="auto"/>
            <w:noWrap/>
            <w:vAlign w:val="center"/>
          </w:tcPr>
          <w:p w14:paraId="31CDC7A5" w14:textId="12A5A842"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6</w:t>
            </w:r>
          </w:p>
        </w:tc>
        <w:tc>
          <w:tcPr>
            <w:tcW w:w="732" w:type="dxa"/>
            <w:tcBorders>
              <w:top w:val="nil"/>
              <w:left w:val="nil"/>
              <w:bottom w:val="single" w:sz="4" w:space="0" w:color="auto"/>
              <w:right w:val="single" w:sz="4" w:space="0" w:color="auto"/>
            </w:tcBorders>
            <w:shd w:val="clear" w:color="auto" w:fill="auto"/>
            <w:noWrap/>
            <w:vAlign w:val="center"/>
          </w:tcPr>
          <w:p w14:paraId="3E70E380" w14:textId="189ED6BE"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6</w:t>
            </w:r>
          </w:p>
        </w:tc>
        <w:tc>
          <w:tcPr>
            <w:tcW w:w="659" w:type="dxa"/>
            <w:tcBorders>
              <w:top w:val="nil"/>
              <w:left w:val="nil"/>
              <w:bottom w:val="single" w:sz="4" w:space="0" w:color="auto"/>
              <w:right w:val="single" w:sz="4" w:space="0" w:color="auto"/>
            </w:tcBorders>
            <w:shd w:val="clear" w:color="auto" w:fill="auto"/>
            <w:noWrap/>
            <w:vAlign w:val="center"/>
          </w:tcPr>
          <w:p w14:paraId="0BD4882F" w14:textId="5A566AE4"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0</w:t>
            </w:r>
          </w:p>
        </w:tc>
        <w:tc>
          <w:tcPr>
            <w:tcW w:w="660" w:type="dxa"/>
            <w:tcBorders>
              <w:top w:val="nil"/>
              <w:left w:val="nil"/>
              <w:bottom w:val="single" w:sz="4" w:space="0" w:color="auto"/>
              <w:right w:val="single" w:sz="4" w:space="0" w:color="auto"/>
            </w:tcBorders>
            <w:shd w:val="clear" w:color="auto" w:fill="auto"/>
            <w:noWrap/>
            <w:vAlign w:val="center"/>
          </w:tcPr>
          <w:p w14:paraId="73792F04" w14:textId="49AE3499"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+3</w:t>
            </w:r>
            <w:r w:rsidR="00A1629E">
              <w:rPr>
                <w:rFonts w:cs="Calibri"/>
                <w:color w:val="000000"/>
                <w:szCs w:val="19"/>
              </w:rPr>
              <w:t>.</w:t>
            </w:r>
            <w:r>
              <w:rPr>
                <w:rFonts w:cs="Calibri"/>
                <w:color w:val="000000"/>
                <w:szCs w:val="19"/>
              </w:rPr>
              <w:t>2</w:t>
            </w:r>
          </w:p>
        </w:tc>
        <w:tc>
          <w:tcPr>
            <w:tcW w:w="683" w:type="dxa"/>
            <w:tcBorders>
              <w:top w:val="nil"/>
              <w:left w:val="nil"/>
              <w:bottom w:val="single" w:sz="4" w:space="0" w:color="auto"/>
              <w:right w:val="single" w:sz="4" w:space="0" w:color="auto"/>
            </w:tcBorders>
            <w:shd w:val="clear" w:color="auto" w:fill="auto"/>
            <w:noWrap/>
            <w:vAlign w:val="center"/>
          </w:tcPr>
          <w:p w14:paraId="0B0D9249" w14:textId="097218AB"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+2</w:t>
            </w:r>
            <w:r w:rsidR="00A1629E">
              <w:rPr>
                <w:rFonts w:cs="Calibri"/>
                <w:color w:val="000000"/>
                <w:szCs w:val="19"/>
              </w:rPr>
              <w:t>.</w:t>
            </w:r>
            <w:r>
              <w:rPr>
                <w:rFonts w:cs="Calibri"/>
                <w:color w:val="000000"/>
                <w:szCs w:val="19"/>
              </w:rPr>
              <w:t>6</w:t>
            </w:r>
          </w:p>
        </w:tc>
        <w:tc>
          <w:tcPr>
            <w:tcW w:w="710" w:type="dxa"/>
            <w:tcBorders>
              <w:top w:val="nil"/>
              <w:left w:val="nil"/>
              <w:bottom w:val="single" w:sz="4" w:space="0" w:color="auto"/>
              <w:right w:val="single" w:sz="4" w:space="0" w:color="auto"/>
            </w:tcBorders>
            <w:shd w:val="clear" w:color="auto" w:fill="auto"/>
            <w:noWrap/>
            <w:vAlign w:val="center"/>
          </w:tcPr>
          <w:p w14:paraId="22B1A84E" w14:textId="36868011"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+2</w:t>
            </w:r>
            <w:r w:rsidR="00A1629E">
              <w:rPr>
                <w:rFonts w:cs="Calibri"/>
                <w:color w:val="000000"/>
                <w:szCs w:val="19"/>
              </w:rPr>
              <w:t>.</w:t>
            </w:r>
            <w:r>
              <w:rPr>
                <w:rFonts w:cs="Calibri"/>
                <w:color w:val="000000"/>
                <w:szCs w:val="19"/>
              </w:rPr>
              <w:t>7</w:t>
            </w:r>
          </w:p>
        </w:tc>
        <w:tc>
          <w:tcPr>
            <w:tcW w:w="660" w:type="dxa"/>
            <w:tcBorders>
              <w:top w:val="nil"/>
              <w:left w:val="nil"/>
              <w:bottom w:val="single" w:sz="4" w:space="0" w:color="auto"/>
              <w:right w:val="single" w:sz="4" w:space="0" w:color="auto"/>
            </w:tcBorders>
            <w:shd w:val="clear" w:color="auto" w:fill="auto"/>
            <w:noWrap/>
            <w:vAlign w:val="center"/>
          </w:tcPr>
          <w:p w14:paraId="14926B24" w14:textId="51F89AC0"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1</w:t>
            </w:r>
          </w:p>
        </w:tc>
        <w:tc>
          <w:tcPr>
            <w:tcW w:w="660" w:type="dxa"/>
            <w:tcBorders>
              <w:top w:val="nil"/>
              <w:left w:val="nil"/>
              <w:bottom w:val="single" w:sz="4" w:space="0" w:color="auto"/>
              <w:right w:val="single" w:sz="4" w:space="0" w:color="auto"/>
            </w:tcBorders>
            <w:shd w:val="clear" w:color="auto" w:fill="auto"/>
            <w:noWrap/>
            <w:vAlign w:val="center"/>
          </w:tcPr>
          <w:p w14:paraId="5024FD66" w14:textId="724664F5"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0</w:t>
            </w:r>
          </w:p>
        </w:tc>
        <w:tc>
          <w:tcPr>
            <w:tcW w:w="690" w:type="dxa"/>
            <w:tcBorders>
              <w:top w:val="nil"/>
              <w:left w:val="nil"/>
              <w:bottom w:val="single" w:sz="4" w:space="0" w:color="auto"/>
              <w:right w:val="single" w:sz="4" w:space="0" w:color="auto"/>
            </w:tcBorders>
            <w:shd w:val="clear" w:color="auto" w:fill="auto"/>
            <w:noWrap/>
            <w:vAlign w:val="center"/>
          </w:tcPr>
          <w:p w14:paraId="361A0A2C" w14:textId="2786E31C"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+4</w:t>
            </w:r>
            <w:r w:rsidR="00A1629E">
              <w:rPr>
                <w:rFonts w:cs="Calibri"/>
                <w:color w:val="000000"/>
                <w:szCs w:val="19"/>
              </w:rPr>
              <w:t>.</w:t>
            </w:r>
            <w:r>
              <w:rPr>
                <w:rFonts w:cs="Calibri"/>
                <w:color w:val="000000"/>
                <w:szCs w:val="19"/>
              </w:rPr>
              <w:t>9</w:t>
            </w:r>
          </w:p>
        </w:tc>
        <w:tc>
          <w:tcPr>
            <w:tcW w:w="691" w:type="dxa"/>
            <w:tcBorders>
              <w:top w:val="nil"/>
              <w:left w:val="nil"/>
              <w:bottom w:val="single" w:sz="4" w:space="0" w:color="auto"/>
              <w:right w:val="single" w:sz="4" w:space="0" w:color="auto"/>
            </w:tcBorders>
            <w:shd w:val="clear" w:color="auto" w:fill="auto"/>
            <w:noWrap/>
            <w:vAlign w:val="center"/>
            <w:hideMark/>
          </w:tcPr>
          <w:p w14:paraId="200504D7" w14:textId="71A0119D" w:rsidR="004D5717" w:rsidRPr="00185EB3" w:rsidRDefault="004D5717" w:rsidP="00A1629E">
            <w:pPr>
              <w:spacing w:before="0" w:after="0" w:line="240" w:lineRule="auto"/>
              <w:jc w:val="center"/>
              <w:rPr>
                <w:rFonts w:eastAsia="Times New Roman" w:cs="Arial"/>
                <w:color w:val="000000"/>
                <w:szCs w:val="19"/>
                <w:lang w:eastAsia="pl-PL"/>
              </w:rPr>
            </w:pPr>
            <w:r>
              <w:rPr>
                <w:rFonts w:cs="Calibri"/>
                <w:color w:val="000000"/>
                <w:szCs w:val="19"/>
              </w:rPr>
              <w:t>+5</w:t>
            </w:r>
            <w:r w:rsidR="00A1629E">
              <w:rPr>
                <w:rFonts w:cs="Calibri"/>
                <w:color w:val="000000"/>
                <w:szCs w:val="19"/>
              </w:rPr>
              <w:t>.</w:t>
            </w:r>
            <w:r>
              <w:rPr>
                <w:rFonts w:cs="Calibri"/>
                <w:color w:val="000000"/>
                <w:szCs w:val="19"/>
              </w:rPr>
              <w:t>1</w:t>
            </w:r>
          </w:p>
        </w:tc>
      </w:tr>
    </w:tbl>
    <w:p w14:paraId="110D75F0" w14:textId="6A49CC12" w:rsidR="00B119FA" w:rsidRPr="00A334DB" w:rsidRDefault="006D49AB" w:rsidP="00E25FC7">
      <w:pPr>
        <w:pStyle w:val="Nagwek1"/>
        <w:spacing w:before="0" w:after="0"/>
        <w:ind w:left="851" w:hanging="851"/>
      </w:pPr>
      <w:r>
        <w:rPr>
          <w:rFonts w:ascii="Fira Sans" w:hAnsi="Fira Sans"/>
          <w:b/>
          <w:noProof/>
          <w:spacing w:val="-2"/>
          <w:szCs w:val="19"/>
        </w:rPr>
        <w:t xml:space="preserve"> </w:t>
      </w:r>
    </w:p>
    <w:p w14:paraId="47E1EEFB" w14:textId="77777777" w:rsidR="004D5717" w:rsidRDefault="004D5717" w:rsidP="00E76D26">
      <w:pPr>
        <w:rPr>
          <w:sz w:val="18"/>
        </w:rPr>
      </w:pPr>
    </w:p>
    <w:p w14:paraId="25D0EFBA" w14:textId="77777777" w:rsidR="004D5717" w:rsidRDefault="004D5717" w:rsidP="00E76D26">
      <w:pPr>
        <w:rPr>
          <w:sz w:val="18"/>
        </w:rPr>
      </w:pPr>
    </w:p>
    <w:p w14:paraId="6A11ED86" w14:textId="77777777" w:rsidR="001B6DDA" w:rsidRDefault="001B6DDA" w:rsidP="009746D2">
      <w:pPr>
        <w:rPr>
          <w:rFonts w:cs="Arial"/>
          <w:szCs w:val="19"/>
          <w:lang w:val="en-US"/>
        </w:rPr>
      </w:pPr>
    </w:p>
    <w:p w14:paraId="525C0A96" w14:textId="5690C734" w:rsidR="009746D2" w:rsidRPr="009746D2" w:rsidRDefault="00384B65" w:rsidP="009746D2">
      <w:pPr>
        <w:rPr>
          <w:rFonts w:cs="Arial"/>
          <w:szCs w:val="19"/>
          <w:lang w:val="en-US"/>
        </w:rPr>
      </w:pPr>
      <w:r w:rsidRPr="008D5438">
        <w:rPr>
          <w:rFonts w:cs="Arial"/>
          <w:noProof/>
          <w:szCs w:val="19"/>
          <w:lang w:eastAsia="pl-PL"/>
        </w:rPr>
        <w:lastRenderedPageBreak/>
        <mc:AlternateContent>
          <mc:Choice Requires="wps">
            <w:drawing>
              <wp:anchor distT="45720" distB="45720" distL="114300" distR="114300" simplePos="0" relativeHeight="251774976" behindDoc="0" locked="0" layoutInCell="1" allowOverlap="1" wp14:anchorId="711190F2" wp14:editId="76C87E21">
                <wp:simplePos x="0" y="0"/>
                <wp:positionH relativeFrom="page">
                  <wp:posOffset>5698901</wp:posOffset>
                </wp:positionH>
                <wp:positionV relativeFrom="paragraph">
                  <wp:posOffset>359</wp:posOffset>
                </wp:positionV>
                <wp:extent cx="1704975" cy="952562"/>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952562"/>
                        </a:xfrm>
                        <a:prstGeom prst="rect">
                          <a:avLst/>
                        </a:prstGeom>
                        <a:noFill/>
                        <a:ln w="9525">
                          <a:noFill/>
                          <a:miter lim="800000"/>
                          <a:headEnd/>
                          <a:tailEnd/>
                        </a:ln>
                      </wps:spPr>
                      <wps:txbx>
                        <w:txbxContent>
                          <w:p w14:paraId="05069333" w14:textId="1A5ED11F" w:rsidR="008D5438" w:rsidRPr="00FD251F" w:rsidRDefault="008D5438" w:rsidP="00FD251F">
                            <w:pPr>
                              <w:spacing w:before="0" w:after="0"/>
                              <w:rPr>
                                <w:color w:val="001D77"/>
                                <w:sz w:val="18"/>
                                <w:szCs w:val="18"/>
                                <w:lang w:val="en-US"/>
                              </w:rPr>
                            </w:pPr>
                            <w:r w:rsidRPr="00FD251F">
                              <w:rPr>
                                <w:rFonts w:cs="Arial"/>
                                <w:color w:val="001D77"/>
                                <w:sz w:val="18"/>
                                <w:szCs w:val="18"/>
                                <w:lang w:val="en-US"/>
                              </w:rPr>
                              <w:t>In the 4</w:t>
                            </w:r>
                            <w:r w:rsidRPr="00FD251F">
                              <w:rPr>
                                <w:rFonts w:cs="Arial"/>
                                <w:color w:val="001D77"/>
                                <w:sz w:val="18"/>
                                <w:szCs w:val="18"/>
                                <w:vertAlign w:val="superscript"/>
                                <w:lang w:val="en-US"/>
                              </w:rPr>
                              <w:t>th</w:t>
                            </w:r>
                            <w:r w:rsidRPr="00FD251F">
                              <w:rPr>
                                <w:rFonts w:cs="Arial"/>
                                <w:color w:val="001D77"/>
                                <w:sz w:val="18"/>
                                <w:szCs w:val="18"/>
                                <w:lang w:val="en-US"/>
                              </w:rPr>
                              <w:t xml:space="preserve"> quarter of 2017 domestic uses was </w:t>
                            </w:r>
                            <w:r w:rsidR="00A236BB" w:rsidRPr="00FD251F">
                              <w:rPr>
                                <w:rFonts w:cs="Arial"/>
                                <w:color w:val="001D77"/>
                                <w:sz w:val="18"/>
                                <w:szCs w:val="18"/>
                                <w:lang w:val="en-US"/>
                              </w:rPr>
                              <w:t>a</w:t>
                            </w:r>
                            <w:r w:rsidRPr="00FD251F">
                              <w:rPr>
                                <w:rFonts w:cs="Arial"/>
                                <w:color w:val="001D77"/>
                                <w:sz w:val="18"/>
                                <w:szCs w:val="18"/>
                                <w:lang w:val="en-US"/>
                              </w:rPr>
                              <w:t xml:space="preserve"> </w:t>
                            </w:r>
                            <w:r w:rsidR="00E046E4" w:rsidRPr="00FD251F">
                              <w:rPr>
                                <w:rFonts w:cs="Arial"/>
                                <w:color w:val="001D77"/>
                                <w:sz w:val="18"/>
                                <w:szCs w:val="18"/>
                                <w:lang w:val="en-US"/>
                              </w:rPr>
                              <w:t>largest</w:t>
                            </w:r>
                            <w:r w:rsidRPr="00FD251F">
                              <w:rPr>
                                <w:rFonts w:cs="Arial"/>
                                <w:color w:val="001D77"/>
                                <w:sz w:val="18"/>
                                <w:szCs w:val="18"/>
                                <w:lang w:val="en-US"/>
                              </w:rPr>
                              <w:t xml:space="preserve"> contributor to economic growth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190F2" id="_x0000_t202" coordsize="21600,21600" o:spt="202" path="m,l,21600r21600,l21600,xe">
                <v:stroke joinstyle="miter"/>
                <v:path gradientshapeok="t" o:connecttype="rect"/>
              </v:shapetype>
              <v:shape id="_x0000_s1029" type="#_x0000_t202" style="position:absolute;margin-left:448.75pt;margin-top:.05pt;width:134.25pt;height:75pt;z-index:2517749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yyDwIAAP8DAAAOAAAAZHJzL2Uyb0RvYy54bWysU8Fu2zAMvQ/YPwi6L3aCpGmMOEXXrsOA&#10;bivQ7QMYWY6FSqImKbG7rx8lJ1mw3Yb5IIgm+cj3SK1vBqPZQfqg0NZ8Oik5k1Zgo+yu5t+/Pby7&#10;5ixEsA1otLLmrzLwm83bN+veVXKGHepGekYgNlS9q3kXo6uKIohOGggTdNKSs0VvIJLpd0XjoSd0&#10;o4tZWV4VPfrGeRQyBPp7Pzr5JuO3rRTxa9sGGZmuOfUW8+nzuU1nsVlDtfPgOiWObcA/dGFAWSp6&#10;hrqHCGzv1V9QRgmPAds4EWgKbFslZOZAbKblH2yeO3AycyFxgjvLFP4frPhyePJMNTS7GWcWDM3o&#10;CbVkUb6EiL1ks6RR70JFoc+OguPwHgeKz3yDe0TxEpjFuw7sTt56j30noaEepymzuEgdcUIC2faf&#10;saFasI+YgYbWmyQgScIInWb1ep6PHCITqeSynK+WC84E+VaL2eIqN1dAdcp2PsSPEg1Ll5p7mn9G&#10;h8NjiKkbqE4hqZjFB6V13gFtWT+C5oQLj1GRVlQrU/PrMn3j0iSSH2yTkyMoPd6pgLZH1onoSDkO&#10;2yGLvDiJucXmlWTwOG4kvSC6dOh/ctbTNtY8/NiDl5zpT5akXE3n87S+2ZgvljMy/KVne+kBKwiq&#10;5pGz8XoX88qPlG9J8lZlNdJsxk6OLdOWZZGOLyKt8aWdo36/280vAAAA//8DAFBLAwQUAAYACAAA&#10;ACEAuUAxitwAAAAJAQAADwAAAGRycy9kb3ducmV2LnhtbEyPzU7DMBCE70h9B2srcaN2EAltiFNV&#10;IK4gyo/EzY23SdR4HcVuE96ezQluO/pGszPFdnKduOAQWk8akpUCgVR521Kt4eP9+WYNIkRD1nSe&#10;UMMPBtiWi6vC5NaP9IaXfawFh1DIjYYmxj6XMlQNOhNWvkdidvSDM5HlUEs7mJHDXSdvlcqkMy3x&#10;h8b0+NhgddqfnYbPl+P31516rZ9c2o9+UpLcRmp9vZx2DyAiTvHPDHN9rg4ldzr4M9kgOg3rzX3K&#10;1hmIGSdZxtsOfKUqAVkW8v+C8hcAAP//AwBQSwECLQAUAAYACAAAACEAtoM4kv4AAADhAQAAEwAA&#10;AAAAAAAAAAAAAAAAAAAAW0NvbnRlbnRfVHlwZXNdLnhtbFBLAQItABQABgAIAAAAIQA4/SH/1gAA&#10;AJQBAAALAAAAAAAAAAAAAAAAAC8BAABfcmVscy8ucmVsc1BLAQItABQABgAIAAAAIQA3JyyyDwIA&#10;AP8DAAAOAAAAAAAAAAAAAAAAAC4CAABkcnMvZTJvRG9jLnhtbFBLAQItABQABgAIAAAAIQC5QDGK&#10;3AAAAAkBAAAPAAAAAAAAAAAAAAAAAGkEAABkcnMvZG93bnJldi54bWxQSwUGAAAAAAQABADzAAAA&#10;cgUAAAAA&#10;" filled="f" stroked="f">
                <v:textbox>
                  <w:txbxContent>
                    <w:p w14:paraId="05069333" w14:textId="1A5ED11F" w:rsidR="008D5438" w:rsidRPr="00FD251F" w:rsidRDefault="008D5438" w:rsidP="00FD251F">
                      <w:pPr>
                        <w:spacing w:before="0" w:after="0"/>
                        <w:rPr>
                          <w:color w:val="001D77"/>
                          <w:sz w:val="18"/>
                          <w:szCs w:val="18"/>
                          <w:lang w:val="en-US"/>
                        </w:rPr>
                      </w:pPr>
                      <w:r w:rsidRPr="00FD251F">
                        <w:rPr>
                          <w:rFonts w:cs="Arial"/>
                          <w:color w:val="001D77"/>
                          <w:sz w:val="18"/>
                          <w:szCs w:val="18"/>
                          <w:lang w:val="en-US"/>
                        </w:rPr>
                        <w:t>In the 4</w:t>
                      </w:r>
                      <w:r w:rsidRPr="00FD251F">
                        <w:rPr>
                          <w:rFonts w:cs="Arial"/>
                          <w:color w:val="001D77"/>
                          <w:sz w:val="18"/>
                          <w:szCs w:val="18"/>
                          <w:vertAlign w:val="superscript"/>
                          <w:lang w:val="en-US"/>
                        </w:rPr>
                        <w:t>th</w:t>
                      </w:r>
                      <w:r w:rsidRPr="00FD251F">
                        <w:rPr>
                          <w:rFonts w:cs="Arial"/>
                          <w:color w:val="001D77"/>
                          <w:sz w:val="18"/>
                          <w:szCs w:val="18"/>
                          <w:lang w:val="en-US"/>
                        </w:rPr>
                        <w:t xml:space="preserve"> quarter of 2017 domestic uses was </w:t>
                      </w:r>
                      <w:r w:rsidR="00A236BB" w:rsidRPr="00FD251F">
                        <w:rPr>
                          <w:rFonts w:cs="Arial"/>
                          <w:color w:val="001D77"/>
                          <w:sz w:val="18"/>
                          <w:szCs w:val="18"/>
                          <w:lang w:val="en-US"/>
                        </w:rPr>
                        <w:t>a</w:t>
                      </w:r>
                      <w:r w:rsidRPr="00FD251F">
                        <w:rPr>
                          <w:rFonts w:cs="Arial"/>
                          <w:color w:val="001D77"/>
                          <w:sz w:val="18"/>
                          <w:szCs w:val="18"/>
                          <w:lang w:val="en-US"/>
                        </w:rPr>
                        <w:t xml:space="preserve"> </w:t>
                      </w:r>
                      <w:r w:rsidR="00E046E4" w:rsidRPr="00FD251F">
                        <w:rPr>
                          <w:rFonts w:cs="Arial"/>
                          <w:color w:val="001D77"/>
                          <w:sz w:val="18"/>
                          <w:szCs w:val="18"/>
                          <w:lang w:val="en-US"/>
                        </w:rPr>
                        <w:t>largest</w:t>
                      </w:r>
                      <w:r w:rsidRPr="00FD251F">
                        <w:rPr>
                          <w:rFonts w:cs="Arial"/>
                          <w:color w:val="001D77"/>
                          <w:sz w:val="18"/>
                          <w:szCs w:val="18"/>
                          <w:lang w:val="en-US"/>
                        </w:rPr>
                        <w:t xml:space="preserve"> contributor to economic growth</w:t>
                      </w:r>
                    </w:p>
                  </w:txbxContent>
                </v:textbox>
                <w10:wrap type="square" anchorx="page"/>
              </v:shape>
            </w:pict>
          </mc:Fallback>
        </mc:AlternateContent>
      </w:r>
      <w:r w:rsidR="00FD251F" w:rsidRPr="00DA3172">
        <w:rPr>
          <w:rFonts w:cs="Arial"/>
          <w:noProof/>
          <w:szCs w:val="19"/>
          <w:lang w:eastAsia="pl-PL"/>
        </w:rPr>
        <mc:AlternateContent>
          <mc:Choice Requires="wps">
            <w:drawing>
              <wp:anchor distT="45720" distB="45720" distL="114300" distR="114300" simplePos="0" relativeHeight="251779072" behindDoc="0" locked="0" layoutInCell="1" allowOverlap="1" wp14:anchorId="54FFE162" wp14:editId="414D7660">
                <wp:simplePos x="0" y="0"/>
                <wp:positionH relativeFrom="page">
                  <wp:posOffset>5700395</wp:posOffset>
                </wp:positionH>
                <wp:positionV relativeFrom="paragraph">
                  <wp:posOffset>2482850</wp:posOffset>
                </wp:positionV>
                <wp:extent cx="1729740" cy="701675"/>
                <wp:effectExtent l="0" t="0" r="0" b="317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01675"/>
                        </a:xfrm>
                        <a:prstGeom prst="rect">
                          <a:avLst/>
                        </a:prstGeom>
                        <a:noFill/>
                        <a:ln w="9525">
                          <a:noFill/>
                          <a:miter lim="800000"/>
                          <a:headEnd/>
                          <a:tailEnd/>
                        </a:ln>
                      </wps:spPr>
                      <wps:txbx>
                        <w:txbxContent>
                          <w:p w14:paraId="6B6BE227" w14:textId="3B12B1B5" w:rsidR="00DA3172" w:rsidRPr="00FD251F" w:rsidRDefault="00DA3172" w:rsidP="00FD251F">
                            <w:pPr>
                              <w:spacing w:before="0" w:after="0"/>
                              <w:rPr>
                                <w:color w:val="001D77"/>
                                <w:lang w:val="en-US"/>
                              </w:rPr>
                            </w:pPr>
                            <w:r w:rsidRPr="00FD251F">
                              <w:rPr>
                                <w:rFonts w:cs="Arial"/>
                                <w:color w:val="001D77"/>
                                <w:sz w:val="18"/>
                                <w:szCs w:val="18"/>
                                <w:lang w:val="en-US"/>
                              </w:rPr>
                              <w:t>In the 4</w:t>
                            </w:r>
                            <w:r w:rsidRPr="00FD251F">
                              <w:rPr>
                                <w:rFonts w:cs="Arial"/>
                                <w:color w:val="001D77"/>
                                <w:sz w:val="18"/>
                                <w:szCs w:val="18"/>
                                <w:vertAlign w:val="superscript"/>
                                <w:lang w:val="en-US"/>
                              </w:rPr>
                              <w:t>th</w:t>
                            </w:r>
                            <w:r w:rsidRPr="00FD251F">
                              <w:rPr>
                                <w:rFonts w:cs="Arial"/>
                                <w:color w:val="001D77"/>
                                <w:sz w:val="18"/>
                                <w:szCs w:val="18"/>
                                <w:lang w:val="en-US"/>
                              </w:rPr>
                              <w:t xml:space="preserve"> quarter of 2017 imports grew faster than exports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FE162" id="_x0000_t202" coordsize="21600,21600" o:spt="202" path="m,l,21600r21600,l21600,xe">
                <v:stroke joinstyle="miter"/>
                <v:path gradientshapeok="t" o:connecttype="rect"/>
              </v:shapetype>
              <v:shape id="_x0000_s1029" type="#_x0000_t202" style="position:absolute;margin-left:448.85pt;margin-top:195.5pt;width:136.2pt;height:55.25pt;z-index:251779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qIEgIAAP8DAAAOAAAAZHJzL2Uyb0RvYy54bWysU9tu2zAMfR+wfxD0vtjxcmmMKEXXrsOA&#10;bivQ7QMUWY6FSqImKbG7ry8lJ1mwvQ3zgyCa5CHPIbW+HowmB+mDAsvodFJSIq2ARtkdoz++37+7&#10;oiREbhuuwUpGX2Sg15u3b9a9q2UFHehGeoIgNtS9Y7SL0dVFEUQnDQ8TcNKiswVveETT74rG8x7R&#10;jS6qslwUPfjGeRAyBPx7NzrpJuO3rRTxW9sGGYlmFHuL+fT53Kaz2Kx5vfPcdUoc2+D/0IXhymLR&#10;M9Qdj5zsvfoLyijhIUAbJwJMAW2rhMwckM20/IPNU8edzFxQnODOMoX/Byu+Hh49UQ2j1YISyw3O&#10;6BG0JFE+hwi9JFXSqHehxtAnh8Fx+AADzjrzDe4BxHMgFm47bnfyxnvoO8kb7HGaMouL1BEnJJBt&#10;/wUarMX3ETLQ0HqTBERJCKLjrF7O85FDJCKVXFar5QxdAn3LcrpYznMJXp+ynQ/xkwRD0oVRj/PP&#10;6PzwEGLqhtenkFTMwr3SOu+AtqRndDWv5jnhwmNUxBXVyjB6VaZvXJpE8qNtcnLkSo93LKDtkXUi&#10;OlKOw3bIIr8/ibmF5gVl8DBuJL4gvHTgf1HS4zYyGn7uuZeU6M8WpVxNZ4l3zMZsvqzQ8Jee7aWH&#10;W4FQjEZKxuttzCs/Ur5ByVuV1UizGTs5toxblkU6voi0xpd2jvr9bjevAAAA//8DAFBLAwQUAAYA&#10;CAAAACEAYD8UZ98AAAAMAQAADwAAAGRycy9kb3ducmV2LnhtbEyPwU7DMBBE70j8g7VI3KhtIKQJ&#10;2VQIxBXUQitxc5NtEhGvo9htwt/jnuC42qeZN8Vqtr040eg7xwh6oUAQV67uuEH4/Hi9WYLwwXBt&#10;eseE8EMeVuXlRWHy2k28ptMmNCKGsM8NQhvCkEvpq5as8Qs3EMffwY3WhHiOjaxHM8Vw28tbpR6k&#10;NR3HhtYM9NxS9b05WoTt2+Frd6/emxebDJOblWSbScTrq/npEUSgOfzBcNaP6lBGp707cu1Fj7DM&#10;0jSiCHeZjqPOhE6VBrFHSJROQJaF/D+i/AUAAP//AwBQSwECLQAUAAYACAAAACEAtoM4kv4AAADh&#10;AQAAEwAAAAAAAAAAAAAAAAAAAAAAW0NvbnRlbnRfVHlwZXNdLnhtbFBLAQItABQABgAIAAAAIQA4&#10;/SH/1gAAAJQBAAALAAAAAAAAAAAAAAAAAC8BAABfcmVscy8ucmVsc1BLAQItABQABgAIAAAAIQCn&#10;OlqIEgIAAP8DAAAOAAAAAAAAAAAAAAAAAC4CAABkcnMvZTJvRG9jLnhtbFBLAQItABQABgAIAAAA&#10;IQBgPxRn3wAAAAwBAAAPAAAAAAAAAAAAAAAAAGwEAABkcnMvZG93bnJldi54bWxQSwUGAAAAAAQA&#10;BADzAAAAeAUAAAAA&#10;" filled="f" stroked="f">
                <v:textbox>
                  <w:txbxContent>
                    <w:p w14:paraId="6B6BE227" w14:textId="3B12B1B5" w:rsidR="00DA3172" w:rsidRPr="00FD251F" w:rsidRDefault="00DA3172" w:rsidP="00FD251F">
                      <w:pPr>
                        <w:spacing w:before="0" w:after="0"/>
                        <w:rPr>
                          <w:color w:val="001D77"/>
                          <w:lang w:val="en-US"/>
                        </w:rPr>
                      </w:pPr>
                      <w:r w:rsidRPr="00FD251F">
                        <w:rPr>
                          <w:rFonts w:cs="Arial"/>
                          <w:color w:val="001D77"/>
                          <w:sz w:val="18"/>
                          <w:szCs w:val="18"/>
                          <w:lang w:val="en-US"/>
                        </w:rPr>
                        <w:t>In the 4</w:t>
                      </w:r>
                      <w:r w:rsidRPr="00FD251F">
                        <w:rPr>
                          <w:rFonts w:cs="Arial"/>
                          <w:color w:val="001D77"/>
                          <w:sz w:val="18"/>
                          <w:szCs w:val="18"/>
                          <w:vertAlign w:val="superscript"/>
                          <w:lang w:val="en-US"/>
                        </w:rPr>
                        <w:t>th</w:t>
                      </w:r>
                      <w:r w:rsidRPr="00FD251F">
                        <w:rPr>
                          <w:rFonts w:cs="Arial"/>
                          <w:color w:val="001D77"/>
                          <w:sz w:val="18"/>
                          <w:szCs w:val="18"/>
                          <w:lang w:val="en-US"/>
                        </w:rPr>
                        <w:t xml:space="preserve"> quarter of 2017 imports grew faster than exports</w:t>
                      </w:r>
                    </w:p>
                  </w:txbxContent>
                </v:textbox>
                <w10:wrap type="square" anchorx="page"/>
              </v:shape>
            </w:pict>
          </mc:Fallback>
        </mc:AlternateContent>
      </w:r>
      <w:r w:rsidR="00FD251F" w:rsidRPr="00F441B2">
        <w:rPr>
          <w:rFonts w:cs="Arial"/>
          <w:noProof/>
          <w:szCs w:val="19"/>
          <w:lang w:eastAsia="pl-PL"/>
        </w:rPr>
        <mc:AlternateContent>
          <mc:Choice Requires="wps">
            <w:drawing>
              <wp:anchor distT="45720" distB="45720" distL="114300" distR="114300" simplePos="0" relativeHeight="251777024" behindDoc="0" locked="0" layoutInCell="1" allowOverlap="1" wp14:anchorId="7DEC340C" wp14:editId="0B36FF51">
                <wp:simplePos x="0" y="0"/>
                <wp:positionH relativeFrom="page">
                  <wp:posOffset>5708650</wp:posOffset>
                </wp:positionH>
                <wp:positionV relativeFrom="paragraph">
                  <wp:posOffset>991870</wp:posOffset>
                </wp:positionV>
                <wp:extent cx="1713230" cy="611505"/>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611505"/>
                        </a:xfrm>
                        <a:prstGeom prst="rect">
                          <a:avLst/>
                        </a:prstGeom>
                        <a:noFill/>
                        <a:ln w="9525">
                          <a:noFill/>
                          <a:miter lim="800000"/>
                          <a:headEnd/>
                          <a:tailEnd/>
                        </a:ln>
                      </wps:spPr>
                      <wps:txbx>
                        <w:txbxContent>
                          <w:p w14:paraId="365DB02C" w14:textId="5DDD71D3" w:rsidR="00F441B2" w:rsidRPr="00FD251F" w:rsidRDefault="00F441B2" w:rsidP="00FD251F">
                            <w:pPr>
                              <w:spacing w:before="0" w:after="0"/>
                              <w:rPr>
                                <w:color w:val="001D77"/>
                                <w:sz w:val="18"/>
                                <w:szCs w:val="18"/>
                                <w:lang w:val="en-US"/>
                              </w:rPr>
                            </w:pPr>
                            <w:r w:rsidRPr="00FD251F">
                              <w:rPr>
                                <w:color w:val="001D77"/>
                                <w:sz w:val="18"/>
                                <w:szCs w:val="18"/>
                                <w:lang w:val="en-US"/>
                              </w:rPr>
                              <w:t xml:space="preserve">Investment growth rate of 11.3% was the highest since the 1 </w:t>
                            </w:r>
                            <w:proofErr w:type="spellStart"/>
                            <w:r w:rsidRPr="00FD251F">
                              <w:rPr>
                                <w:color w:val="001D77"/>
                                <w:sz w:val="18"/>
                                <w:szCs w:val="18"/>
                                <w:vertAlign w:val="superscript"/>
                                <w:lang w:val="en-US"/>
                              </w:rPr>
                              <w:t>st</w:t>
                            </w:r>
                            <w:proofErr w:type="spellEnd"/>
                            <w:r w:rsidRPr="00FD251F">
                              <w:rPr>
                                <w:color w:val="001D77"/>
                                <w:sz w:val="18"/>
                                <w:szCs w:val="18"/>
                                <w:lang w:val="en-US"/>
                              </w:rPr>
                              <w:t xml:space="preserve"> quarter of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C340C" id="_x0000_t202" coordsize="21600,21600" o:spt="202" path="m,l,21600r21600,l21600,xe">
                <v:stroke joinstyle="miter"/>
                <v:path gradientshapeok="t" o:connecttype="rect"/>
              </v:shapetype>
              <v:shape id="_x0000_s1031" type="#_x0000_t202" style="position:absolute;margin-left:449.5pt;margin-top:78.1pt;width:134.9pt;height:48.15pt;z-index:251777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fEAIAAP4DAAAOAAAAZHJzL2Uyb0RvYy54bWysU9tuGyEQfa/Uf0C813uJncvKOEqTpqqU&#10;tpHSfgBmWS8KMBSwd92vz8A6jtW+Vd0HBDvMmTlnDsvr0Wiykz4osIxWs5ISaQW0ym4Y/fnj/sMl&#10;JSFy23INVjK6l4Fer96/Ww6ukTX0oFvpCYLY0AyO0T5G1xRFEL00PMzASYvBDrzhEY9+U7SeD4hu&#10;dFGX5XkxgG+dByFDwL93U5CuMn7XSRG/d12QkWhGsbeYV5/XdVqL1ZI3G89dr8ShDf4PXRiuLBY9&#10;Qt3xyMnWq7+gjBIeAnRxJsAU0HVKyMwB2VTlH2yeeu5k5oLiBHeUKfw/WPFt9+iJahm9oMRygyN6&#10;BC1JlM8hwiBJnSQaXGjw5pPDu3H8CCOOOtMN7gHEcyAWbntuN/LGexh6yVtssUqZxUnqhBMSyHr4&#10;Ci3W4tsIGWjsvEn6oSIE0XFU++N45BiJSCUvqrP6DEMCY+dVtSgXuQRvXrOdD/GzBEPShlGP48/o&#10;fPcQYuqGN69XUjEL90rrbAFtycDo1aJe5ISTiFERHaqVYfSyTN/kmUTyk21zcuRKT3ssoO2BdSI6&#10;UY7jeswa536TImto9yiDh8mQ+IBw04P/TcmAZmQ0/NpyLynRXyxKeVXN58m9+TBfXNR48KeR9WmE&#10;W4FQjEZKpu1tzI6fKN+g5J3Karx1cmgZTZZFOjyI5OLTc7719mxXLwAAAP//AwBQSwMEFAAGAAgA&#10;AAAhADvop5PfAAAADAEAAA8AAABkcnMvZG93bnJldi54bWxMj8tOwzAQRfdI/IM1SOyo3YhESRqn&#10;QiC2IMpD6s6Np0lEPI5itwl/z3QFy9G9unNOtV3cIM44hd6ThvVKgUBqvO2p1fDx/nyXgwjRkDWD&#10;J9TwgwG29fVVZUrrZ3rD8y62gkcolEZDF+NYShmaDp0JKz8icXb0kzORz6mVdjIzj7tBJkpl0pme&#10;+ENnRnzssPnenZyGz5fj/utevbZPLh1nvyhJrpBa394sDxsQEZf4V4YLPqNDzUwHfyIbxKAhLwp2&#10;iRykWQLi0lhnOdscNCRpkoKsK/lfov4FAAD//wMAUEsBAi0AFAAGAAgAAAAhALaDOJL+AAAA4QEA&#10;ABMAAAAAAAAAAAAAAAAAAAAAAFtDb250ZW50X1R5cGVzXS54bWxQSwECLQAUAAYACAAAACEAOP0h&#10;/9YAAACUAQAACwAAAAAAAAAAAAAAAAAvAQAAX3JlbHMvLnJlbHNQSwECLQAUAAYACAAAACEAtNJb&#10;nxACAAD+AwAADgAAAAAAAAAAAAAAAAAuAgAAZHJzL2Uyb0RvYy54bWxQSwECLQAUAAYACAAAACEA&#10;O+ink98AAAAMAQAADwAAAAAAAAAAAAAAAABqBAAAZHJzL2Rvd25yZXYueG1sUEsFBgAAAAAEAAQA&#10;8wAAAHYFAAAAAA==&#10;" filled="f" stroked="f">
                <v:textbox>
                  <w:txbxContent>
                    <w:p w14:paraId="365DB02C" w14:textId="5DDD71D3" w:rsidR="00F441B2" w:rsidRPr="00FD251F" w:rsidRDefault="00F441B2" w:rsidP="00FD251F">
                      <w:pPr>
                        <w:spacing w:before="0" w:after="0"/>
                        <w:rPr>
                          <w:color w:val="001D77"/>
                          <w:sz w:val="18"/>
                          <w:szCs w:val="18"/>
                          <w:lang w:val="en-US"/>
                        </w:rPr>
                      </w:pPr>
                      <w:r w:rsidRPr="00FD251F">
                        <w:rPr>
                          <w:color w:val="001D77"/>
                          <w:sz w:val="18"/>
                          <w:szCs w:val="18"/>
                          <w:lang w:val="en-US"/>
                        </w:rPr>
                        <w:t xml:space="preserve">Investment growth rate of 11.3% was the highest since the 1 </w:t>
                      </w:r>
                      <w:proofErr w:type="spellStart"/>
                      <w:r w:rsidRPr="00FD251F">
                        <w:rPr>
                          <w:color w:val="001D77"/>
                          <w:sz w:val="18"/>
                          <w:szCs w:val="18"/>
                          <w:vertAlign w:val="superscript"/>
                          <w:lang w:val="en-US"/>
                        </w:rPr>
                        <w:t>s</w:t>
                      </w:r>
                      <w:bookmarkStart w:id="1" w:name="_GoBack"/>
                      <w:bookmarkEnd w:id="1"/>
                      <w:r w:rsidRPr="00FD251F">
                        <w:rPr>
                          <w:color w:val="001D77"/>
                          <w:sz w:val="18"/>
                          <w:szCs w:val="18"/>
                          <w:vertAlign w:val="superscript"/>
                          <w:lang w:val="en-US"/>
                        </w:rPr>
                        <w:t>t</w:t>
                      </w:r>
                      <w:proofErr w:type="spellEnd"/>
                      <w:r w:rsidRPr="00FD251F">
                        <w:rPr>
                          <w:color w:val="001D77"/>
                          <w:sz w:val="18"/>
                          <w:szCs w:val="18"/>
                          <w:lang w:val="en-US"/>
                        </w:rPr>
                        <w:t xml:space="preserve"> quarter of 2015</w:t>
                      </w:r>
                    </w:p>
                  </w:txbxContent>
                </v:textbox>
                <w10:wrap type="square" anchorx="page"/>
              </v:shape>
            </w:pict>
          </mc:Fallback>
        </mc:AlternateContent>
      </w:r>
      <w:r w:rsidR="009746D2" w:rsidRPr="001F66C7">
        <w:rPr>
          <w:rFonts w:cs="Arial"/>
          <w:szCs w:val="19"/>
          <w:lang w:val="en-US"/>
        </w:rPr>
        <w:t>In the 4</w:t>
      </w:r>
      <w:r w:rsidR="00933642" w:rsidRPr="001F66C7">
        <w:rPr>
          <w:rFonts w:cs="Arial"/>
          <w:szCs w:val="19"/>
          <w:vertAlign w:val="superscript"/>
          <w:lang w:val="en-US"/>
        </w:rPr>
        <w:t>th</w:t>
      </w:r>
      <w:r w:rsidR="009746D2" w:rsidRPr="001F66C7">
        <w:rPr>
          <w:rFonts w:cs="Arial"/>
          <w:szCs w:val="19"/>
          <w:lang w:val="en-US"/>
        </w:rPr>
        <w:t xml:space="preserve"> quarter of 2017 the growth of domestic uses was </w:t>
      </w:r>
      <w:r w:rsidR="00933642" w:rsidRPr="001F66C7">
        <w:rPr>
          <w:rFonts w:cs="Arial"/>
          <w:szCs w:val="19"/>
          <w:lang w:val="en-US"/>
        </w:rPr>
        <w:t>6.1</w:t>
      </w:r>
      <w:r w:rsidR="009746D2" w:rsidRPr="001F66C7">
        <w:rPr>
          <w:rFonts w:cs="Arial"/>
          <w:szCs w:val="19"/>
          <w:lang w:val="en-US"/>
        </w:rPr>
        <w:t xml:space="preserve">% compared with a year earlier and it was </w:t>
      </w:r>
      <w:r w:rsidR="00933642" w:rsidRPr="001F66C7">
        <w:rPr>
          <w:rFonts w:cs="Arial"/>
          <w:szCs w:val="19"/>
          <w:lang w:val="en-US"/>
        </w:rPr>
        <w:t>higher</w:t>
      </w:r>
      <w:r w:rsidR="009746D2" w:rsidRPr="001F66C7">
        <w:rPr>
          <w:rFonts w:cs="Arial"/>
          <w:szCs w:val="19"/>
          <w:lang w:val="en-US"/>
        </w:rPr>
        <w:t xml:space="preserve"> than in the 3</w:t>
      </w:r>
      <w:r w:rsidR="00933642" w:rsidRPr="001F66C7">
        <w:rPr>
          <w:rFonts w:cs="Arial"/>
          <w:szCs w:val="19"/>
          <w:vertAlign w:val="superscript"/>
          <w:lang w:val="en-US"/>
        </w:rPr>
        <w:t>r</w:t>
      </w:r>
      <w:r w:rsidR="009746D2" w:rsidRPr="001F66C7">
        <w:rPr>
          <w:rFonts w:cs="Arial"/>
          <w:szCs w:val="19"/>
          <w:vertAlign w:val="superscript"/>
          <w:lang w:val="en-US"/>
        </w:rPr>
        <w:t>d</w:t>
      </w:r>
      <w:r w:rsidR="009746D2" w:rsidRPr="001F66C7">
        <w:rPr>
          <w:rFonts w:cs="Arial"/>
          <w:szCs w:val="19"/>
          <w:lang w:val="en-US"/>
        </w:rPr>
        <w:t xml:space="preserve"> quarter of 2017 (the growth of </w:t>
      </w:r>
      <w:r w:rsidR="00933642" w:rsidRPr="001F66C7">
        <w:rPr>
          <w:rFonts w:cs="Arial"/>
          <w:szCs w:val="19"/>
          <w:lang w:val="en-US"/>
        </w:rPr>
        <w:t>3.9</w:t>
      </w:r>
      <w:r w:rsidR="009746D2" w:rsidRPr="001F66C7">
        <w:rPr>
          <w:rFonts w:cs="Arial"/>
          <w:szCs w:val="19"/>
          <w:lang w:val="en-US"/>
        </w:rPr>
        <w:t xml:space="preserve">%). It resulted from the </w:t>
      </w:r>
      <w:r w:rsidR="00E046E4">
        <w:rPr>
          <w:rFonts w:cs="Arial"/>
          <w:szCs w:val="19"/>
          <w:lang w:val="en-US"/>
        </w:rPr>
        <w:t xml:space="preserve">bigger, </w:t>
      </w:r>
      <w:r w:rsidR="009746D2" w:rsidRPr="001F66C7">
        <w:rPr>
          <w:rFonts w:cs="Arial"/>
          <w:szCs w:val="19"/>
          <w:lang w:val="en-US"/>
        </w:rPr>
        <w:t>than in the 3</w:t>
      </w:r>
      <w:r w:rsidR="00525B40" w:rsidRPr="001F66C7">
        <w:rPr>
          <w:rFonts w:cs="Arial"/>
          <w:szCs w:val="19"/>
          <w:vertAlign w:val="superscript"/>
          <w:lang w:val="en-US"/>
        </w:rPr>
        <w:t>r</w:t>
      </w:r>
      <w:r w:rsidR="009746D2" w:rsidRPr="001F66C7">
        <w:rPr>
          <w:rFonts w:cs="Arial"/>
          <w:szCs w:val="19"/>
          <w:vertAlign w:val="superscript"/>
          <w:lang w:val="en-US"/>
        </w:rPr>
        <w:t>d</w:t>
      </w:r>
      <w:r w:rsidR="009746D2" w:rsidRPr="001F66C7">
        <w:rPr>
          <w:rFonts w:cs="Arial"/>
          <w:szCs w:val="19"/>
          <w:lang w:val="en-US"/>
        </w:rPr>
        <w:t xml:space="preserve"> quarter 2017</w:t>
      </w:r>
      <w:r w:rsidR="00E046E4">
        <w:rPr>
          <w:rFonts w:cs="Arial"/>
          <w:szCs w:val="19"/>
          <w:lang w:val="en-US"/>
        </w:rPr>
        <w:t>,</w:t>
      </w:r>
      <w:r w:rsidR="009746D2" w:rsidRPr="001F66C7">
        <w:rPr>
          <w:rFonts w:cs="Arial"/>
          <w:szCs w:val="19"/>
          <w:lang w:val="en-US"/>
        </w:rPr>
        <w:t xml:space="preserve"> increase in gross capital formation by </w:t>
      </w:r>
      <w:r w:rsidR="00525B40" w:rsidRPr="001F66C7">
        <w:rPr>
          <w:rFonts w:cs="Arial"/>
          <w:szCs w:val="19"/>
          <w:lang w:val="en-US"/>
        </w:rPr>
        <w:t>8.8</w:t>
      </w:r>
      <w:r w:rsidR="009746D2" w:rsidRPr="001F66C7">
        <w:rPr>
          <w:rFonts w:cs="Arial"/>
          <w:szCs w:val="19"/>
          <w:lang w:val="en-US"/>
        </w:rPr>
        <w:t xml:space="preserve">% (against </w:t>
      </w:r>
      <w:r w:rsidR="00525B40" w:rsidRPr="001F66C7">
        <w:rPr>
          <w:rFonts w:cs="Arial"/>
          <w:szCs w:val="19"/>
          <w:lang w:val="en-US"/>
        </w:rPr>
        <w:t>3.3</w:t>
      </w:r>
      <w:r w:rsidR="009746D2" w:rsidRPr="001F66C7">
        <w:rPr>
          <w:rFonts w:cs="Arial"/>
          <w:szCs w:val="19"/>
          <w:lang w:val="en-US"/>
        </w:rPr>
        <w:t>% in the 3</w:t>
      </w:r>
      <w:r w:rsidR="00525B40" w:rsidRPr="001F66C7">
        <w:rPr>
          <w:rFonts w:cs="Arial"/>
          <w:szCs w:val="19"/>
          <w:vertAlign w:val="superscript"/>
          <w:lang w:val="en-US"/>
        </w:rPr>
        <w:t>r</w:t>
      </w:r>
      <w:r w:rsidR="009746D2" w:rsidRPr="001F66C7">
        <w:rPr>
          <w:rFonts w:cs="Arial"/>
          <w:szCs w:val="19"/>
          <w:vertAlign w:val="superscript"/>
          <w:lang w:val="en-US"/>
        </w:rPr>
        <w:t>d</w:t>
      </w:r>
      <w:r w:rsidR="00E046E4">
        <w:rPr>
          <w:rFonts w:cs="Arial"/>
          <w:szCs w:val="19"/>
          <w:lang w:val="en-US"/>
        </w:rPr>
        <w:t xml:space="preserve"> quarter) and </w:t>
      </w:r>
      <w:r w:rsidR="009746D2" w:rsidRPr="001F66C7">
        <w:rPr>
          <w:rFonts w:cs="Arial"/>
          <w:szCs w:val="19"/>
          <w:lang w:val="en-US"/>
        </w:rPr>
        <w:t>the growth of</w:t>
      </w:r>
      <w:r w:rsidR="00E046E4">
        <w:rPr>
          <w:rFonts w:cs="Arial"/>
          <w:szCs w:val="19"/>
          <w:lang w:val="en-US"/>
        </w:rPr>
        <w:t xml:space="preserve"> final consumption expenditure </w:t>
      </w:r>
      <w:r w:rsidR="009746D2" w:rsidRPr="001F66C7">
        <w:rPr>
          <w:rFonts w:cs="Arial"/>
          <w:szCs w:val="19"/>
          <w:lang w:val="en-US"/>
        </w:rPr>
        <w:t xml:space="preserve">which was </w:t>
      </w:r>
      <w:r w:rsidR="00525B40" w:rsidRPr="001F66C7">
        <w:rPr>
          <w:rFonts w:cs="Arial"/>
          <w:szCs w:val="19"/>
          <w:lang w:val="en-US"/>
        </w:rPr>
        <w:t>5.0</w:t>
      </w:r>
      <w:r w:rsidR="009746D2" w:rsidRPr="001F66C7">
        <w:rPr>
          <w:rFonts w:cs="Arial"/>
          <w:szCs w:val="19"/>
          <w:lang w:val="en-US"/>
        </w:rPr>
        <w:t xml:space="preserve">% (against </w:t>
      </w:r>
      <w:r w:rsidR="00525B40" w:rsidRPr="001F66C7">
        <w:rPr>
          <w:rFonts w:cs="Arial"/>
          <w:szCs w:val="19"/>
          <w:lang w:val="en-US"/>
        </w:rPr>
        <w:t>4.1</w:t>
      </w:r>
      <w:r w:rsidR="009746D2" w:rsidRPr="001F66C7">
        <w:rPr>
          <w:rFonts w:cs="Arial"/>
          <w:szCs w:val="19"/>
          <w:lang w:val="en-US"/>
        </w:rPr>
        <w:t>% in the 3</w:t>
      </w:r>
      <w:r w:rsidR="00525B40" w:rsidRPr="001F66C7">
        <w:rPr>
          <w:rFonts w:cs="Arial"/>
          <w:szCs w:val="19"/>
          <w:vertAlign w:val="superscript"/>
          <w:lang w:val="en-US"/>
        </w:rPr>
        <w:t>r</w:t>
      </w:r>
      <w:r w:rsidR="009746D2" w:rsidRPr="001F66C7">
        <w:rPr>
          <w:rFonts w:cs="Arial"/>
          <w:szCs w:val="19"/>
          <w:vertAlign w:val="superscript"/>
          <w:lang w:val="en-US"/>
        </w:rPr>
        <w:t>d</w:t>
      </w:r>
      <w:r w:rsidR="009746D2" w:rsidRPr="001F66C7">
        <w:rPr>
          <w:rFonts w:cs="Arial"/>
          <w:szCs w:val="19"/>
          <w:lang w:val="en-US"/>
        </w:rPr>
        <w:t xml:space="preserve"> quarter of 2017). Consumption expenditure in the households sector rose by </w:t>
      </w:r>
      <w:r w:rsidR="00525B40" w:rsidRPr="001F66C7">
        <w:rPr>
          <w:rFonts w:cs="Arial"/>
          <w:szCs w:val="19"/>
          <w:lang w:val="en-US"/>
        </w:rPr>
        <w:t>4.9</w:t>
      </w:r>
      <w:r w:rsidR="009746D2" w:rsidRPr="001F66C7">
        <w:rPr>
          <w:rFonts w:cs="Arial"/>
          <w:szCs w:val="19"/>
          <w:lang w:val="en-US"/>
        </w:rPr>
        <w:t xml:space="preserve">% than a year earlier and it was slightly </w:t>
      </w:r>
      <w:r w:rsidR="00525B40" w:rsidRPr="001F66C7">
        <w:rPr>
          <w:rFonts w:cs="Arial"/>
          <w:szCs w:val="19"/>
          <w:lang w:val="en-US"/>
        </w:rPr>
        <w:t>higher</w:t>
      </w:r>
      <w:r w:rsidR="009746D2" w:rsidRPr="001F66C7">
        <w:rPr>
          <w:rFonts w:cs="Arial"/>
          <w:szCs w:val="19"/>
          <w:lang w:val="en-US"/>
        </w:rPr>
        <w:t xml:space="preserve"> than in the 3</w:t>
      </w:r>
      <w:r w:rsidR="00525B40" w:rsidRPr="001F66C7">
        <w:rPr>
          <w:rFonts w:cs="Arial"/>
          <w:szCs w:val="19"/>
          <w:vertAlign w:val="superscript"/>
          <w:lang w:val="en-US"/>
        </w:rPr>
        <w:t>r</w:t>
      </w:r>
      <w:r w:rsidR="009746D2" w:rsidRPr="001F66C7">
        <w:rPr>
          <w:rFonts w:cs="Arial"/>
          <w:szCs w:val="19"/>
          <w:vertAlign w:val="superscript"/>
          <w:lang w:val="en-US"/>
        </w:rPr>
        <w:t>d</w:t>
      </w:r>
      <w:r w:rsidR="009746D2" w:rsidRPr="001F66C7">
        <w:rPr>
          <w:rFonts w:cs="Arial"/>
          <w:szCs w:val="19"/>
          <w:lang w:val="en-US"/>
        </w:rPr>
        <w:t xml:space="preserve"> quarter of 2017 (the growth of </w:t>
      </w:r>
      <w:r w:rsidR="00525B40" w:rsidRPr="001F66C7">
        <w:rPr>
          <w:rFonts w:cs="Arial"/>
          <w:szCs w:val="19"/>
          <w:lang w:val="en-US"/>
        </w:rPr>
        <w:t>4.8</w:t>
      </w:r>
      <w:r w:rsidR="009746D2" w:rsidRPr="001F66C7">
        <w:rPr>
          <w:rFonts w:cs="Arial"/>
          <w:szCs w:val="19"/>
          <w:lang w:val="en-US"/>
        </w:rPr>
        <w:t>%). The growth of gross capital formation in the 4</w:t>
      </w:r>
      <w:r w:rsidR="0004795C" w:rsidRPr="001F66C7">
        <w:rPr>
          <w:rFonts w:cs="Arial"/>
          <w:szCs w:val="19"/>
          <w:vertAlign w:val="superscript"/>
          <w:lang w:val="en-US"/>
        </w:rPr>
        <w:t>th</w:t>
      </w:r>
      <w:r w:rsidR="009746D2" w:rsidRPr="001F66C7">
        <w:rPr>
          <w:rFonts w:cs="Arial"/>
          <w:szCs w:val="19"/>
          <w:lang w:val="en-US"/>
        </w:rPr>
        <w:t xml:space="preserve"> quarter of 2017 resulted from the increase of gross fixed capital formation by </w:t>
      </w:r>
      <w:r w:rsidR="0004795C" w:rsidRPr="001F66C7">
        <w:rPr>
          <w:rFonts w:cs="Arial"/>
          <w:szCs w:val="19"/>
          <w:lang w:val="en-US"/>
        </w:rPr>
        <w:t>11.3</w:t>
      </w:r>
      <w:r w:rsidR="00E046E4">
        <w:rPr>
          <w:rFonts w:cs="Arial"/>
          <w:szCs w:val="19"/>
          <w:lang w:val="en-US"/>
        </w:rPr>
        <w:t>%.</w:t>
      </w:r>
      <w:r w:rsidR="009746D2" w:rsidRPr="001F66C7">
        <w:rPr>
          <w:rFonts w:cs="Arial"/>
          <w:szCs w:val="19"/>
          <w:lang w:val="en-US"/>
        </w:rPr>
        <w:t xml:space="preserve"> On the whole, the influence of domestic uses on economic growth was</w:t>
      </w:r>
      <w:r w:rsidR="00E046E4">
        <w:rPr>
          <w:rFonts w:cs="Arial"/>
          <w:szCs w:val="19"/>
          <w:lang w:val="en-US"/>
        </w:rPr>
        <w:t>+</w:t>
      </w:r>
      <w:r w:rsidR="009746D2" w:rsidRPr="001F66C7">
        <w:rPr>
          <w:rFonts w:cs="Arial"/>
          <w:szCs w:val="19"/>
          <w:lang w:val="en-US"/>
        </w:rPr>
        <w:t xml:space="preserve"> </w:t>
      </w:r>
      <w:r w:rsidR="0004795C" w:rsidRPr="001F66C7">
        <w:rPr>
          <w:rFonts w:cs="Arial"/>
          <w:szCs w:val="19"/>
          <w:lang w:val="en-US"/>
        </w:rPr>
        <w:t>5.9</w:t>
      </w:r>
      <w:r w:rsidR="009746D2" w:rsidRPr="001F66C7">
        <w:rPr>
          <w:rFonts w:cs="Arial"/>
          <w:szCs w:val="19"/>
          <w:lang w:val="en-US"/>
        </w:rPr>
        <w:t xml:space="preserve"> percentage points (against </w:t>
      </w:r>
      <w:r w:rsidR="00E046E4">
        <w:rPr>
          <w:rFonts w:cs="Arial"/>
          <w:szCs w:val="19"/>
          <w:lang w:val="en-US"/>
        </w:rPr>
        <w:t>+</w:t>
      </w:r>
      <w:r w:rsidR="0004795C" w:rsidRPr="001F66C7">
        <w:rPr>
          <w:rFonts w:cs="Arial"/>
          <w:szCs w:val="19"/>
          <w:lang w:val="en-US"/>
        </w:rPr>
        <w:t>3.8</w:t>
      </w:r>
      <w:r w:rsidR="009746D2" w:rsidRPr="001F66C7">
        <w:rPr>
          <w:rFonts w:cs="Arial"/>
          <w:szCs w:val="19"/>
          <w:lang w:val="en-US"/>
        </w:rPr>
        <w:t xml:space="preserve"> percentage points in the 3</w:t>
      </w:r>
      <w:r w:rsidR="0004795C" w:rsidRPr="001F66C7">
        <w:rPr>
          <w:rFonts w:cs="Arial"/>
          <w:szCs w:val="19"/>
          <w:vertAlign w:val="superscript"/>
          <w:lang w:val="en-US"/>
        </w:rPr>
        <w:t>r</w:t>
      </w:r>
      <w:r w:rsidR="009746D2" w:rsidRPr="001F66C7">
        <w:rPr>
          <w:rFonts w:cs="Arial"/>
          <w:szCs w:val="19"/>
          <w:vertAlign w:val="superscript"/>
          <w:lang w:val="en-US"/>
        </w:rPr>
        <w:t>d</w:t>
      </w:r>
      <w:r w:rsidR="009746D2" w:rsidRPr="001F66C7">
        <w:rPr>
          <w:rFonts w:cs="Arial"/>
          <w:szCs w:val="19"/>
          <w:lang w:val="en-US"/>
        </w:rPr>
        <w:t xml:space="preserve"> quarter of 2017). It was made by the positive contribution of final consumption expenditure which was </w:t>
      </w:r>
      <w:r w:rsidR="00E046E4">
        <w:rPr>
          <w:rFonts w:cs="Arial"/>
          <w:szCs w:val="19"/>
          <w:lang w:val="en-US"/>
        </w:rPr>
        <w:t>+</w:t>
      </w:r>
      <w:r w:rsidR="0004795C" w:rsidRPr="001F66C7">
        <w:rPr>
          <w:rFonts w:cs="Arial"/>
          <w:szCs w:val="19"/>
          <w:lang w:val="en-US"/>
        </w:rPr>
        <w:t>3.5</w:t>
      </w:r>
      <w:r w:rsidR="009746D2" w:rsidRPr="001F66C7">
        <w:rPr>
          <w:rFonts w:cs="Arial"/>
          <w:szCs w:val="19"/>
          <w:lang w:val="en-US"/>
        </w:rPr>
        <w:t xml:space="preserve"> percentage points (against </w:t>
      </w:r>
      <w:r w:rsidR="00E046E4">
        <w:rPr>
          <w:rFonts w:cs="Arial"/>
          <w:szCs w:val="19"/>
          <w:lang w:val="en-US"/>
        </w:rPr>
        <w:t>+</w:t>
      </w:r>
      <w:r w:rsidR="0004795C" w:rsidRPr="001F66C7">
        <w:rPr>
          <w:rFonts w:cs="Arial"/>
          <w:szCs w:val="19"/>
          <w:lang w:val="en-US"/>
        </w:rPr>
        <w:t>3.2</w:t>
      </w:r>
      <w:r w:rsidR="009746D2" w:rsidRPr="001F66C7">
        <w:rPr>
          <w:rFonts w:cs="Arial"/>
          <w:szCs w:val="19"/>
          <w:lang w:val="en-US"/>
        </w:rPr>
        <w:t xml:space="preserve"> percentage points in the 3</w:t>
      </w:r>
      <w:r w:rsidR="0004795C" w:rsidRPr="001F66C7">
        <w:rPr>
          <w:rFonts w:cs="Arial"/>
          <w:szCs w:val="19"/>
          <w:vertAlign w:val="superscript"/>
          <w:lang w:val="en-US"/>
        </w:rPr>
        <w:t>r</w:t>
      </w:r>
      <w:r w:rsidR="009746D2" w:rsidRPr="001F66C7">
        <w:rPr>
          <w:rFonts w:cs="Arial"/>
          <w:szCs w:val="19"/>
          <w:vertAlign w:val="superscript"/>
          <w:lang w:val="en-US"/>
        </w:rPr>
        <w:t xml:space="preserve">d </w:t>
      </w:r>
      <w:r w:rsidR="009746D2" w:rsidRPr="001F66C7">
        <w:rPr>
          <w:rFonts w:cs="Arial"/>
          <w:szCs w:val="19"/>
          <w:lang w:val="en-US"/>
        </w:rPr>
        <w:t xml:space="preserve">quarter of 2017), of which the impact of the consumption expenditure in households sector </w:t>
      </w:r>
      <w:r w:rsidR="00E046E4">
        <w:rPr>
          <w:rFonts w:cs="Arial"/>
          <w:szCs w:val="19"/>
          <w:lang w:val="en-US"/>
        </w:rPr>
        <w:t>+</w:t>
      </w:r>
      <w:r w:rsidR="0004795C" w:rsidRPr="001F66C7">
        <w:rPr>
          <w:rFonts w:cs="Arial"/>
          <w:szCs w:val="19"/>
          <w:lang w:val="en-US"/>
        </w:rPr>
        <w:t xml:space="preserve">2.5 </w:t>
      </w:r>
      <w:r w:rsidR="009746D2" w:rsidRPr="001F66C7">
        <w:rPr>
          <w:rFonts w:cs="Arial"/>
          <w:szCs w:val="19"/>
          <w:lang w:val="en-US"/>
        </w:rPr>
        <w:t xml:space="preserve">percentage points and public consumption expenditure </w:t>
      </w:r>
      <w:r w:rsidR="00E046E4">
        <w:rPr>
          <w:rFonts w:cs="Arial"/>
          <w:szCs w:val="19"/>
          <w:lang w:val="en-US"/>
        </w:rPr>
        <w:t>+</w:t>
      </w:r>
      <w:r w:rsidR="0004795C" w:rsidRPr="001F66C7">
        <w:rPr>
          <w:rFonts w:cs="Arial"/>
          <w:szCs w:val="19"/>
          <w:lang w:val="en-US"/>
        </w:rPr>
        <w:t>1.0</w:t>
      </w:r>
      <w:r w:rsidR="009746D2" w:rsidRPr="001F66C7">
        <w:rPr>
          <w:rFonts w:cs="Arial"/>
          <w:szCs w:val="19"/>
          <w:lang w:val="en-US"/>
        </w:rPr>
        <w:t xml:space="preserve"> percentage points (</w:t>
      </w:r>
      <w:r w:rsidR="00E046E4">
        <w:rPr>
          <w:rFonts w:cs="Arial"/>
          <w:szCs w:val="19"/>
          <w:lang w:val="en-US"/>
        </w:rPr>
        <w:t>+</w:t>
      </w:r>
      <w:r w:rsidR="00D54932" w:rsidRPr="001F66C7">
        <w:rPr>
          <w:rFonts w:cs="Arial"/>
          <w:szCs w:val="19"/>
          <w:lang w:val="en-US"/>
        </w:rPr>
        <w:t>2.</w:t>
      </w:r>
      <w:r w:rsidR="009746D2" w:rsidRPr="001F66C7">
        <w:rPr>
          <w:rFonts w:cs="Arial"/>
          <w:szCs w:val="19"/>
          <w:lang w:val="en-US"/>
        </w:rPr>
        <w:t xml:space="preserve">9 and </w:t>
      </w:r>
      <w:r w:rsidR="00E046E4">
        <w:rPr>
          <w:rFonts w:cs="Arial"/>
          <w:szCs w:val="19"/>
          <w:lang w:val="en-US"/>
        </w:rPr>
        <w:t>+</w:t>
      </w:r>
      <w:r w:rsidR="00D54932" w:rsidRPr="001F66C7">
        <w:rPr>
          <w:rFonts w:cs="Arial"/>
          <w:szCs w:val="19"/>
          <w:lang w:val="en-US"/>
        </w:rPr>
        <w:t>0.3</w:t>
      </w:r>
      <w:r w:rsidR="009746D2" w:rsidRPr="001F66C7">
        <w:rPr>
          <w:rFonts w:cs="Arial"/>
          <w:szCs w:val="19"/>
          <w:lang w:val="en-US"/>
        </w:rPr>
        <w:t xml:space="preserve"> percentage points in the 3</w:t>
      </w:r>
      <w:r w:rsidR="00D54932" w:rsidRPr="001F66C7">
        <w:rPr>
          <w:rFonts w:cs="Arial"/>
          <w:szCs w:val="19"/>
          <w:vertAlign w:val="superscript"/>
          <w:lang w:val="en-US"/>
        </w:rPr>
        <w:t>r</w:t>
      </w:r>
      <w:r w:rsidR="009746D2" w:rsidRPr="001F66C7">
        <w:rPr>
          <w:rFonts w:cs="Arial"/>
          <w:szCs w:val="19"/>
          <w:vertAlign w:val="superscript"/>
          <w:lang w:val="en-US"/>
        </w:rPr>
        <w:t xml:space="preserve">d </w:t>
      </w:r>
      <w:r w:rsidR="009746D2" w:rsidRPr="001F66C7">
        <w:rPr>
          <w:rFonts w:cs="Arial"/>
          <w:szCs w:val="19"/>
          <w:lang w:val="en-US"/>
        </w:rPr>
        <w:t xml:space="preserve"> quarter</w:t>
      </w:r>
      <w:r w:rsidR="009746D2" w:rsidRPr="001F66C7">
        <w:rPr>
          <w:rFonts w:cs="Arial"/>
          <w:szCs w:val="19"/>
          <w:vertAlign w:val="superscript"/>
          <w:lang w:val="en-US"/>
        </w:rPr>
        <w:t xml:space="preserve"> </w:t>
      </w:r>
      <w:r w:rsidR="009746D2" w:rsidRPr="001F66C7">
        <w:rPr>
          <w:rFonts w:cs="Arial"/>
          <w:szCs w:val="19"/>
          <w:lang w:val="en-US"/>
        </w:rPr>
        <w:t>of 2017 respectively). In the 4</w:t>
      </w:r>
      <w:r w:rsidR="00B94BE6" w:rsidRPr="001F66C7">
        <w:rPr>
          <w:rFonts w:cs="Arial"/>
          <w:szCs w:val="19"/>
          <w:vertAlign w:val="superscript"/>
          <w:lang w:val="en-US"/>
        </w:rPr>
        <w:t>th</w:t>
      </w:r>
      <w:r w:rsidR="009746D2" w:rsidRPr="001F66C7">
        <w:rPr>
          <w:rFonts w:cs="Arial"/>
          <w:szCs w:val="19"/>
          <w:lang w:val="en-US"/>
        </w:rPr>
        <w:t xml:space="preserve"> quarter of 2017 the impact of gross fixed capital formation was positive (</w:t>
      </w:r>
      <w:r w:rsidR="00E046E4">
        <w:rPr>
          <w:rFonts w:cs="Arial"/>
          <w:szCs w:val="19"/>
          <w:lang w:val="en-US"/>
        </w:rPr>
        <w:t>+</w:t>
      </w:r>
      <w:r w:rsidR="001F66C7" w:rsidRPr="001F66C7">
        <w:rPr>
          <w:rFonts w:cs="Arial"/>
          <w:szCs w:val="19"/>
          <w:lang w:val="en-US"/>
        </w:rPr>
        <w:t>2.8</w:t>
      </w:r>
      <w:r w:rsidR="009746D2" w:rsidRPr="001F66C7">
        <w:rPr>
          <w:rFonts w:cs="Arial"/>
          <w:szCs w:val="19"/>
          <w:lang w:val="en-US"/>
        </w:rPr>
        <w:t xml:space="preserve"> percentage points) which, </w:t>
      </w:r>
      <w:r w:rsidR="00E046E4">
        <w:rPr>
          <w:rFonts w:cs="Arial"/>
          <w:szCs w:val="19"/>
          <w:lang w:val="en-US"/>
        </w:rPr>
        <w:t xml:space="preserve">despite of </w:t>
      </w:r>
      <w:r w:rsidR="009746D2" w:rsidRPr="001F66C7">
        <w:rPr>
          <w:rFonts w:cs="Arial"/>
          <w:szCs w:val="19"/>
          <w:lang w:val="en-US"/>
        </w:rPr>
        <w:t xml:space="preserve">the </w:t>
      </w:r>
      <w:r w:rsidR="001F66C7" w:rsidRPr="001F66C7">
        <w:rPr>
          <w:rFonts w:cs="Arial"/>
          <w:szCs w:val="19"/>
          <w:lang w:val="en-US"/>
        </w:rPr>
        <w:t>negative</w:t>
      </w:r>
      <w:r w:rsidR="009746D2" w:rsidRPr="001F66C7">
        <w:rPr>
          <w:rFonts w:cs="Arial"/>
          <w:szCs w:val="19"/>
          <w:lang w:val="en-US"/>
        </w:rPr>
        <w:t xml:space="preserve"> effect of changes in inventories</w:t>
      </w:r>
      <w:r w:rsidR="001F66C7" w:rsidRPr="001F66C7">
        <w:rPr>
          <w:rFonts w:cs="Arial"/>
          <w:szCs w:val="19"/>
          <w:lang w:val="en-US"/>
        </w:rPr>
        <w:t xml:space="preserve"> (-0.4 percentage points)</w:t>
      </w:r>
      <w:r w:rsidR="009746D2" w:rsidRPr="001F66C7">
        <w:rPr>
          <w:rFonts w:cs="Arial"/>
          <w:szCs w:val="19"/>
          <w:lang w:val="en-US"/>
        </w:rPr>
        <w:t xml:space="preserve">, made positive influence of gross capital formation on economic growth of </w:t>
      </w:r>
      <w:r w:rsidR="005D7012">
        <w:rPr>
          <w:rFonts w:cs="Arial"/>
          <w:szCs w:val="19"/>
          <w:lang w:val="en-US"/>
        </w:rPr>
        <w:t>+</w:t>
      </w:r>
      <w:r w:rsidR="001F66C7" w:rsidRPr="001F66C7">
        <w:rPr>
          <w:rFonts w:cs="Arial"/>
          <w:szCs w:val="19"/>
          <w:lang w:val="en-US"/>
        </w:rPr>
        <w:t xml:space="preserve">2.4 </w:t>
      </w:r>
      <w:r w:rsidR="009746D2" w:rsidRPr="001F66C7">
        <w:rPr>
          <w:rFonts w:cs="Arial"/>
          <w:szCs w:val="19"/>
          <w:lang w:val="en-US"/>
        </w:rPr>
        <w:t xml:space="preserve">percentage points (against </w:t>
      </w:r>
      <w:r w:rsidR="005D7012">
        <w:rPr>
          <w:rFonts w:cs="Arial"/>
          <w:szCs w:val="19"/>
          <w:lang w:val="en-US"/>
        </w:rPr>
        <w:t>+</w:t>
      </w:r>
      <w:r w:rsidR="001F66C7" w:rsidRPr="001F66C7">
        <w:rPr>
          <w:rFonts w:cs="Arial"/>
          <w:szCs w:val="19"/>
          <w:lang w:val="en-US"/>
        </w:rPr>
        <w:t>0.6</w:t>
      </w:r>
      <w:r w:rsidR="009746D2" w:rsidRPr="001F66C7">
        <w:rPr>
          <w:rFonts w:cs="Arial"/>
          <w:szCs w:val="19"/>
          <w:lang w:val="en-US"/>
        </w:rPr>
        <w:t xml:space="preserve"> percentage points in the </w:t>
      </w:r>
      <w:r w:rsidR="001F66C7" w:rsidRPr="001F66C7">
        <w:rPr>
          <w:rFonts w:cs="Arial"/>
          <w:szCs w:val="19"/>
          <w:lang w:val="en-US"/>
        </w:rPr>
        <w:t>3</w:t>
      </w:r>
      <w:r w:rsidR="001F66C7" w:rsidRPr="001F66C7">
        <w:rPr>
          <w:rFonts w:cs="Arial"/>
          <w:szCs w:val="19"/>
          <w:vertAlign w:val="superscript"/>
          <w:lang w:val="en-US"/>
        </w:rPr>
        <w:t>r</w:t>
      </w:r>
      <w:r w:rsidR="009746D2" w:rsidRPr="001F66C7">
        <w:rPr>
          <w:rFonts w:cs="Arial"/>
          <w:szCs w:val="19"/>
          <w:vertAlign w:val="superscript"/>
          <w:lang w:val="en-US"/>
        </w:rPr>
        <w:t xml:space="preserve">d </w:t>
      </w:r>
      <w:r w:rsidR="009746D2" w:rsidRPr="001F66C7">
        <w:rPr>
          <w:rFonts w:cs="Arial"/>
          <w:szCs w:val="19"/>
          <w:lang w:val="en-US"/>
        </w:rPr>
        <w:t xml:space="preserve"> quarter</w:t>
      </w:r>
      <w:r w:rsidR="009746D2" w:rsidRPr="001F66C7">
        <w:rPr>
          <w:rFonts w:cs="Arial"/>
          <w:szCs w:val="19"/>
          <w:vertAlign w:val="superscript"/>
          <w:lang w:val="en-US"/>
        </w:rPr>
        <w:t xml:space="preserve"> </w:t>
      </w:r>
      <w:r w:rsidR="009746D2" w:rsidRPr="001F66C7">
        <w:rPr>
          <w:rFonts w:cs="Arial"/>
          <w:szCs w:val="19"/>
          <w:lang w:val="en-US"/>
        </w:rPr>
        <w:t xml:space="preserve">of 2017). </w:t>
      </w:r>
      <w:r w:rsidR="009746D2" w:rsidRPr="001F66C7">
        <w:rPr>
          <w:rFonts w:cs="Arial"/>
          <w:noProof/>
          <w:szCs w:val="19"/>
          <w:lang w:eastAsia="pl-PL"/>
        </w:rPr>
        <mc:AlternateContent>
          <mc:Choice Requires="wps">
            <w:drawing>
              <wp:anchor distT="0" distB="0" distL="114300" distR="114300" simplePos="0" relativeHeight="251759616" behindDoc="0" locked="0" layoutInCell="1" allowOverlap="1" wp14:anchorId="70556FA0" wp14:editId="18A84517">
                <wp:simplePos x="0" y="0"/>
                <wp:positionH relativeFrom="column">
                  <wp:posOffset>3538220</wp:posOffset>
                </wp:positionH>
                <wp:positionV relativeFrom="paragraph">
                  <wp:posOffset>1812925</wp:posOffset>
                </wp:positionV>
                <wp:extent cx="88265" cy="3175"/>
                <wp:effectExtent l="0" t="0" r="0" b="0"/>
                <wp:wrapNone/>
                <wp:docPr id="13" name="Auto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317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2BF9B07B" id="_x0000_t32" coordsize="21600,21600" o:spt="32" o:oned="t" path="m,l21600,21600e" filled="f">
                <v:path arrowok="t" fillok="f" o:connecttype="none"/>
                <o:lock v:ext="edit" shapetype="t"/>
              </v:shapetype>
              <v:shape id="AutoShape 594" o:spid="_x0000_s1026" type="#_x0000_t32" style="position:absolute;margin-left:278.6pt;margin-top:142.75pt;width:6.95pt;height:.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EgVAIAAOkEAAAOAAAAZHJzL2Uyb0RvYy54bWysVMlu2zAQvRfoPxC8K1oiO5IQOUgkq5c0&#10;NZD0A2iKsohKJEEylo2i/94hvTROL0VbHQguM2/ezJvR7d1uHNCWacOlKHF8FWHEBJUtF5sSf31p&#10;ggwjY4loySAFK/GeGXy3+PjhdlIFS2Qvh5ZpBCDCFJMqcW+tKsLQ0J6NxFxJxQQ8dlKPxMJRb8JW&#10;kwnQxyFMomgeTlK3SkvKjIHb+vCIFx6/6xi1X7rOMIuGEgM361ft17Vbw8UtKTaaqJ7TIw3yFyxG&#10;wgUEPUPVxBL0qvlvUCOnWhrZ2Ssqx1B2HafM5wDZxNG7bJ57opjPBYpj1LlM5v/B0qftSiPegnbX&#10;GAkygkb3r1b60GiWp65CkzIFGFZipV2OdCee1aOk3wwSsuqJ2DBv/rJX4B07j/DCxR2Mgjjr6bNs&#10;wYZABF+uXadHBwmFQDuvyv6sCttZROEyy5L5DCMKL9fxzczDk+LkqbSxn5gckduU2FhN+Ka3lRQC&#10;xJc69nHI9tFYx4sUJwcXVsiGD4PvgUFcXIDh4QZYgKt7c3y8pN/zKF9myywN0mS+DNKoroP7pkqD&#10;eQP86uu6qur4h4sbp0XP25YJF+bUXnH6Z/IdG/3QGOcGO1MOL9F9bkDxHdM4SaOHJA+aeXYTpE06&#10;C/KbKAuiOH/I51Gap3VzyfSRC/bvTNFU4nyWzHzxjRx46yrguBm9WVeDRlviJtJ/R0UvzLR8Fa0X&#10;pmekXR73lvDhsH+TvWP8K3sQ7iSZb0LXd4cOXst2v9Kn5oR58k7H2XcD+/YM+7d/qMVPAAAA//8D&#10;AFBLAwQUAAYACAAAACEAFSub1uAAAAALAQAADwAAAGRycy9kb3ducmV2LnhtbEyPPU/DMBCGdyT+&#10;g3VILIjaieSmhDhVVdGNpR8MbG58JKHxOYrdJv33uFMZ7+7Re89bLCfbsQsOvnWkIJkJYEiVMy3V&#10;Cg77zesCmA+ajO4coYIreliWjw+Fzo0baYuXXahZDCGfawVNCH3Oua8atNrPXI8Ubz9usDrEcai5&#10;GfQYw23HUyHm3OqW4odG97husDrtzlZB+3mojPv9eHvJwrcVm1O9/7qOSj0/Tat3YAGncIfhph/V&#10;oYxOR3cm41mnQMosjaiCdCElsEjILEmAHW+buQBeFvx/h/IPAAD//wMAUEsBAi0AFAAGAAgAAAAh&#10;ALaDOJL+AAAA4QEAABMAAAAAAAAAAAAAAAAAAAAAAFtDb250ZW50X1R5cGVzXS54bWxQSwECLQAU&#10;AAYACAAAACEAOP0h/9YAAACUAQAACwAAAAAAAAAAAAAAAAAvAQAAX3JlbHMvLnJlbHNQSwECLQAU&#10;AAYACAAAACEA5AcRIFQCAADpBAAADgAAAAAAAAAAAAAAAAAuAgAAZHJzL2Uyb0RvYy54bWxQSwEC&#10;LQAUAAYACAAAACEAFSub1uAAAAALAQAADwAAAAAAAAAAAAAAAACuBAAAZHJzL2Rvd25yZXYueG1s&#10;UEsFBgAAAAAEAAQA8wAAALsFAAAAAA==&#10;" stroked="f"/>
            </w:pict>
          </mc:Fallback>
        </mc:AlternateContent>
      </w:r>
      <w:r w:rsidR="009746D2" w:rsidRPr="001F66C7">
        <w:rPr>
          <w:rFonts w:cs="Arial"/>
          <w:szCs w:val="19"/>
          <w:lang w:val="en-US"/>
        </w:rPr>
        <w:t>In the 4</w:t>
      </w:r>
      <w:r w:rsidR="001F66C7" w:rsidRPr="001F66C7">
        <w:rPr>
          <w:rFonts w:cs="Arial"/>
          <w:szCs w:val="19"/>
          <w:vertAlign w:val="superscript"/>
          <w:lang w:val="en-US"/>
        </w:rPr>
        <w:t>th</w:t>
      </w:r>
      <w:r w:rsidR="009746D2" w:rsidRPr="001F66C7">
        <w:rPr>
          <w:rFonts w:cs="Arial"/>
          <w:szCs w:val="19"/>
          <w:lang w:val="en-US"/>
        </w:rPr>
        <w:t xml:space="preserve"> quarter of 2017 </w:t>
      </w:r>
      <w:r w:rsidR="001F66C7" w:rsidRPr="001F66C7">
        <w:rPr>
          <w:rFonts w:cs="Arial"/>
          <w:szCs w:val="19"/>
          <w:lang w:val="en-US"/>
        </w:rPr>
        <w:t>negative</w:t>
      </w:r>
      <w:r w:rsidR="009746D2" w:rsidRPr="001F66C7">
        <w:rPr>
          <w:rFonts w:cs="Arial"/>
          <w:szCs w:val="19"/>
          <w:lang w:val="en-US"/>
        </w:rPr>
        <w:t xml:space="preserve"> contribution to economic growth came from the net exports which amounted to </w:t>
      </w:r>
      <w:r w:rsidR="001F66C7" w:rsidRPr="001F66C7">
        <w:rPr>
          <w:rFonts w:cs="Arial"/>
          <w:szCs w:val="19"/>
          <w:lang w:val="en-US"/>
        </w:rPr>
        <w:t xml:space="preserve">-0.8 </w:t>
      </w:r>
      <w:r w:rsidR="009746D2" w:rsidRPr="001F66C7">
        <w:rPr>
          <w:rFonts w:cs="Arial"/>
          <w:szCs w:val="19"/>
          <w:lang w:val="en-US"/>
        </w:rPr>
        <w:t xml:space="preserve">percentage points against </w:t>
      </w:r>
      <w:r w:rsidR="005D7012">
        <w:rPr>
          <w:rFonts w:cs="Arial"/>
          <w:szCs w:val="19"/>
          <w:lang w:val="en-US"/>
        </w:rPr>
        <w:t>+</w:t>
      </w:r>
      <w:r w:rsidR="001F66C7" w:rsidRPr="001F66C7">
        <w:rPr>
          <w:rFonts w:cs="Arial"/>
          <w:szCs w:val="19"/>
          <w:lang w:val="en-US"/>
        </w:rPr>
        <w:t>1.1</w:t>
      </w:r>
      <w:r w:rsidR="009746D2" w:rsidRPr="001F66C7">
        <w:rPr>
          <w:rFonts w:cs="Arial"/>
          <w:szCs w:val="19"/>
          <w:lang w:val="en-US"/>
        </w:rPr>
        <w:t xml:space="preserve"> percentage points in the 3</w:t>
      </w:r>
      <w:r w:rsidR="001F66C7" w:rsidRPr="001F66C7">
        <w:rPr>
          <w:rFonts w:cs="Arial"/>
          <w:szCs w:val="19"/>
          <w:vertAlign w:val="superscript"/>
          <w:lang w:val="en-US"/>
        </w:rPr>
        <w:t>r</w:t>
      </w:r>
      <w:r w:rsidR="009746D2" w:rsidRPr="001F66C7">
        <w:rPr>
          <w:rFonts w:cs="Arial"/>
          <w:szCs w:val="19"/>
          <w:vertAlign w:val="superscript"/>
          <w:lang w:val="en-US"/>
        </w:rPr>
        <w:t xml:space="preserve">d </w:t>
      </w:r>
      <w:r w:rsidR="009746D2" w:rsidRPr="001F66C7">
        <w:rPr>
          <w:rFonts w:cs="Arial"/>
          <w:szCs w:val="19"/>
          <w:lang w:val="en-US"/>
        </w:rPr>
        <w:t xml:space="preserve"> quarter of 2017.</w:t>
      </w:r>
      <w:r w:rsidR="009746D2" w:rsidRPr="009746D2">
        <w:rPr>
          <w:rFonts w:cs="Arial"/>
          <w:szCs w:val="19"/>
          <w:lang w:val="en-US"/>
        </w:rPr>
        <w:t xml:space="preserve"> </w:t>
      </w:r>
    </w:p>
    <w:p w14:paraId="1447DBAD" w14:textId="0B1CE59C" w:rsidR="00861EE1" w:rsidRDefault="001B6DDA" w:rsidP="00861EE1">
      <w:pPr>
        <w:pStyle w:val="tytuwykresu"/>
        <w:spacing w:before="360"/>
        <w:ind w:left="709" w:hanging="709"/>
        <w:rPr>
          <w:bCs/>
          <w:shd w:val="clear" w:color="auto" w:fill="FFFFFF"/>
          <w:lang w:val="en-US"/>
        </w:rPr>
      </w:pPr>
      <w:r>
        <w:rPr>
          <w:noProof/>
          <w:lang w:eastAsia="pl-PL"/>
        </w:rPr>
        <w:drawing>
          <wp:anchor distT="0" distB="0" distL="114300" distR="114300" simplePos="0" relativeHeight="251769856" behindDoc="0" locked="0" layoutInCell="1" allowOverlap="1" wp14:anchorId="23CE52BB" wp14:editId="00026A7C">
            <wp:simplePos x="0" y="0"/>
            <wp:positionH relativeFrom="margin">
              <wp:posOffset>-119380</wp:posOffset>
            </wp:positionH>
            <wp:positionV relativeFrom="paragraph">
              <wp:posOffset>601980</wp:posOffset>
            </wp:positionV>
            <wp:extent cx="4860290" cy="2620645"/>
            <wp:effectExtent l="0" t="0" r="0" b="8255"/>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861EE1" w:rsidRPr="00120854">
        <w:rPr>
          <w:lang w:val="en-US"/>
        </w:rPr>
        <w:t>Graph 1</w:t>
      </w:r>
      <w:r w:rsidR="00861EE1" w:rsidRPr="00120854">
        <w:rPr>
          <w:shd w:val="clear" w:color="auto" w:fill="FFFFFF"/>
          <w:lang w:val="en-US"/>
        </w:rPr>
        <w:t xml:space="preserve"> </w:t>
      </w:r>
      <w:r w:rsidR="00861EE1" w:rsidRPr="00120854">
        <w:rPr>
          <w:bCs/>
          <w:shd w:val="clear" w:color="auto" w:fill="FFFFFF"/>
          <w:lang w:val="en-US"/>
        </w:rPr>
        <w:t>Gross domestic product</w:t>
      </w:r>
      <w:r w:rsidR="00861EE1">
        <w:rPr>
          <w:bCs/>
          <w:shd w:val="clear" w:color="auto" w:fill="FFFFFF"/>
          <w:lang w:val="en-US"/>
        </w:rPr>
        <w:t xml:space="preserve"> </w:t>
      </w:r>
      <w:r w:rsidR="00861EE1" w:rsidRPr="00120854">
        <w:rPr>
          <w:bCs/>
          <w:shd w:val="clear" w:color="auto" w:fill="FFFFFF"/>
          <w:lang w:val="en-US"/>
        </w:rPr>
        <w:t>volume growth rate</w:t>
      </w:r>
      <w:r w:rsidR="00AC7F1F">
        <w:rPr>
          <w:bCs/>
          <w:shd w:val="clear" w:color="auto" w:fill="FFFFFF"/>
          <w:lang w:val="en-US"/>
        </w:rPr>
        <w:t>,</w:t>
      </w:r>
      <w:r w:rsidR="00861EE1">
        <w:rPr>
          <w:bCs/>
          <w:shd w:val="clear" w:color="auto" w:fill="FFFFFF"/>
          <w:lang w:val="en-US"/>
        </w:rPr>
        <w:br/>
      </w:r>
      <w:r w:rsidR="00861EE1" w:rsidRPr="00120854">
        <w:rPr>
          <w:bCs/>
          <w:shd w:val="clear" w:color="auto" w:fill="FFFFFF"/>
          <w:lang w:val="en-US"/>
        </w:rPr>
        <w:t>corresponding period of the previous year = 100</w:t>
      </w:r>
    </w:p>
    <w:p w14:paraId="724F29D6" w14:textId="6FBEBD55" w:rsidR="00861EE1" w:rsidRDefault="00861EE1" w:rsidP="00861EE1">
      <w:pPr>
        <w:pStyle w:val="tytuwykresu"/>
        <w:spacing w:before="360"/>
        <w:ind w:left="709" w:hanging="709"/>
        <w:rPr>
          <w:bCs/>
          <w:shd w:val="clear" w:color="auto" w:fill="FFFFFF"/>
          <w:lang w:val="en-US"/>
        </w:rPr>
      </w:pPr>
      <w:r w:rsidRPr="00120854">
        <w:rPr>
          <w:lang w:val="en-US"/>
        </w:rPr>
        <w:t>Graph 2</w:t>
      </w:r>
      <w:r w:rsidRPr="00120854">
        <w:rPr>
          <w:shd w:val="clear" w:color="auto" w:fill="FFFFFF"/>
          <w:lang w:val="en-US"/>
        </w:rPr>
        <w:t xml:space="preserve"> </w:t>
      </w:r>
      <w:r w:rsidRPr="00120854">
        <w:rPr>
          <w:bCs/>
          <w:shd w:val="clear" w:color="auto" w:fill="FFFFFF"/>
          <w:lang w:val="en-US"/>
        </w:rPr>
        <w:t>Gross domestic product</w:t>
      </w:r>
      <w:r>
        <w:rPr>
          <w:bCs/>
          <w:shd w:val="clear" w:color="auto" w:fill="FFFFFF"/>
          <w:lang w:val="en-US"/>
        </w:rPr>
        <w:t>.</w:t>
      </w:r>
      <w:r w:rsidRPr="00120854">
        <w:rPr>
          <w:bCs/>
          <w:shd w:val="clear" w:color="auto" w:fill="FFFFFF"/>
          <w:lang w:val="en-US"/>
        </w:rPr>
        <w:t xml:space="preserve"> seasonally adjusted</w:t>
      </w:r>
      <w:r>
        <w:rPr>
          <w:shd w:val="clear" w:color="auto" w:fill="FFFFFF"/>
          <w:lang w:val="en-US"/>
        </w:rPr>
        <w:t xml:space="preserve"> </w:t>
      </w:r>
      <w:r w:rsidRPr="00120854">
        <w:rPr>
          <w:bCs/>
          <w:shd w:val="clear" w:color="auto" w:fill="FFFFFF"/>
          <w:lang w:val="en-US"/>
        </w:rPr>
        <w:t>volume growth rate</w:t>
      </w:r>
      <w:r w:rsidR="00AC7F1F">
        <w:rPr>
          <w:bCs/>
          <w:shd w:val="clear" w:color="auto" w:fill="FFFFFF"/>
          <w:lang w:val="en-US"/>
        </w:rPr>
        <w:t>,</w:t>
      </w:r>
      <w:r w:rsidRPr="00120854">
        <w:rPr>
          <w:bCs/>
          <w:shd w:val="clear" w:color="auto" w:fill="FFFFFF"/>
          <w:lang w:val="en-US"/>
        </w:rPr>
        <w:t xml:space="preserve"> </w:t>
      </w:r>
      <w:r>
        <w:rPr>
          <w:bCs/>
          <w:shd w:val="clear" w:color="auto" w:fill="FFFFFF"/>
          <w:lang w:val="en-US"/>
        </w:rPr>
        <w:br/>
      </w:r>
      <w:r w:rsidRPr="00120854">
        <w:rPr>
          <w:bCs/>
          <w:shd w:val="clear" w:color="auto" w:fill="FFFFFF"/>
          <w:lang w:val="en-US"/>
        </w:rPr>
        <w:t>the previous quarter = 100</w:t>
      </w:r>
    </w:p>
    <w:p w14:paraId="075F7EE9" w14:textId="03724B69" w:rsidR="00A804D3" w:rsidRPr="001B6DDA" w:rsidRDefault="001B6DDA" w:rsidP="00861EE1">
      <w:pPr>
        <w:pStyle w:val="tytuwykresu"/>
        <w:spacing w:before="360"/>
        <w:ind w:left="709" w:hanging="709"/>
        <w:rPr>
          <w:bCs/>
          <w:shd w:val="clear" w:color="auto" w:fill="FFFFFF"/>
          <w:lang w:val="en-US"/>
        </w:rPr>
      </w:pPr>
      <w:r>
        <w:rPr>
          <w:noProof/>
          <w:lang w:eastAsia="pl-PL"/>
        </w:rPr>
        <w:drawing>
          <wp:anchor distT="0" distB="0" distL="114300" distR="114300" simplePos="0" relativeHeight="251772928" behindDoc="0" locked="0" layoutInCell="1" allowOverlap="1" wp14:anchorId="6C3C75B8" wp14:editId="1D59487C">
            <wp:simplePos x="0" y="0"/>
            <wp:positionH relativeFrom="column">
              <wp:posOffset>127635</wp:posOffset>
            </wp:positionH>
            <wp:positionV relativeFrom="paragraph">
              <wp:posOffset>167640</wp:posOffset>
            </wp:positionV>
            <wp:extent cx="4563110" cy="2412365"/>
            <wp:effectExtent l="0" t="0" r="8890" b="6985"/>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551F209" w14:textId="707B88EB" w:rsidR="00861EE1" w:rsidRPr="00861EE1" w:rsidRDefault="00861EE1" w:rsidP="00861EE1">
      <w:pPr>
        <w:rPr>
          <w:lang w:val="en-US"/>
        </w:rPr>
      </w:pPr>
    </w:p>
    <w:p w14:paraId="30A80C5E" w14:textId="284292F1" w:rsidR="00861EE1" w:rsidRPr="00861EE1" w:rsidRDefault="00861EE1" w:rsidP="00861EE1">
      <w:pPr>
        <w:pStyle w:val="tytuwykresu"/>
        <w:spacing w:before="360"/>
        <w:rPr>
          <w:bCs/>
          <w:shd w:val="clear" w:color="auto" w:fill="FFFFFF"/>
          <w:lang w:val="en-US"/>
        </w:rPr>
      </w:pPr>
    </w:p>
    <w:p w14:paraId="690DAB17" w14:textId="77777777" w:rsidR="001B6DDA" w:rsidRDefault="001B6DDA" w:rsidP="008A2163">
      <w:pPr>
        <w:tabs>
          <w:tab w:val="left" w:pos="284"/>
        </w:tabs>
        <w:spacing w:before="360" w:line="264" w:lineRule="auto"/>
        <w:jc w:val="both"/>
        <w:rPr>
          <w:rFonts w:eastAsia="Times New Roman" w:cs="Times New Roman"/>
          <w:b/>
          <w:bCs/>
          <w:noProof/>
          <w:color w:val="001D77"/>
          <w:spacing w:val="-2"/>
          <w:szCs w:val="19"/>
          <w:lang w:val="en-US" w:eastAsia="pl-PL"/>
        </w:rPr>
      </w:pPr>
    </w:p>
    <w:p w14:paraId="5E15357E" w14:textId="77777777" w:rsidR="001B6DDA" w:rsidRDefault="001B6DDA" w:rsidP="008A2163">
      <w:pPr>
        <w:tabs>
          <w:tab w:val="left" w:pos="284"/>
        </w:tabs>
        <w:spacing w:before="360" w:line="264" w:lineRule="auto"/>
        <w:jc w:val="both"/>
        <w:rPr>
          <w:rFonts w:eastAsia="Times New Roman" w:cs="Times New Roman"/>
          <w:b/>
          <w:bCs/>
          <w:noProof/>
          <w:color w:val="001D77"/>
          <w:spacing w:val="-2"/>
          <w:szCs w:val="19"/>
          <w:lang w:val="en-US" w:eastAsia="pl-PL"/>
        </w:rPr>
      </w:pPr>
    </w:p>
    <w:p w14:paraId="388492DA" w14:textId="72C4E134" w:rsidR="008A2163" w:rsidRPr="008A2163" w:rsidRDefault="008A2163" w:rsidP="008A2163">
      <w:pPr>
        <w:tabs>
          <w:tab w:val="left" w:pos="284"/>
        </w:tabs>
        <w:spacing w:before="360" w:line="264" w:lineRule="auto"/>
        <w:jc w:val="both"/>
        <w:rPr>
          <w:rFonts w:eastAsia="Times New Roman" w:cs="Times New Roman"/>
          <w:b/>
          <w:bCs/>
          <w:noProof/>
          <w:color w:val="001D77"/>
          <w:spacing w:val="-2"/>
          <w:szCs w:val="19"/>
          <w:lang w:val="en-US" w:eastAsia="pl-PL"/>
        </w:rPr>
      </w:pPr>
      <w:r w:rsidRPr="008A2163">
        <w:rPr>
          <w:rFonts w:eastAsia="Times New Roman" w:cs="Times New Roman"/>
          <w:b/>
          <w:bCs/>
          <w:noProof/>
          <w:color w:val="001D77"/>
          <w:spacing w:val="-2"/>
          <w:szCs w:val="19"/>
          <w:lang w:val="en-US" w:eastAsia="pl-PL"/>
        </w:rPr>
        <w:lastRenderedPageBreak/>
        <w:t>Seasonally adjusted GDP (previous quarter = 100, constant prices, reference year 2010)</w:t>
      </w:r>
    </w:p>
    <w:p w14:paraId="3C8F44B3" w14:textId="42151D5D" w:rsidR="008A2163" w:rsidRPr="008A2163" w:rsidRDefault="008A2163" w:rsidP="008A2163">
      <w:pPr>
        <w:tabs>
          <w:tab w:val="left" w:pos="284"/>
        </w:tabs>
        <w:jc w:val="both"/>
        <w:rPr>
          <w:rFonts w:cs="Arial"/>
          <w:szCs w:val="19"/>
          <w:lang w:val="en-US"/>
        </w:rPr>
      </w:pPr>
      <w:r w:rsidRPr="008A2163">
        <w:rPr>
          <w:rFonts w:cs="Arial"/>
          <w:szCs w:val="19"/>
          <w:lang w:val="en-US"/>
        </w:rPr>
        <w:t xml:space="preserve">In the </w:t>
      </w:r>
      <w:r w:rsidR="008E539D">
        <w:rPr>
          <w:rFonts w:cs="Arial"/>
          <w:szCs w:val="19"/>
          <w:lang w:val="en-US"/>
        </w:rPr>
        <w:t>fourth</w:t>
      </w:r>
      <w:r w:rsidRPr="008A2163">
        <w:rPr>
          <w:rFonts w:cs="Arial"/>
          <w:szCs w:val="19"/>
          <w:lang w:val="en-US"/>
        </w:rPr>
        <w:t xml:space="preserve"> quarter of 2017 compared with the previous quarter seasonally adjusted GDP was </w:t>
      </w:r>
    </w:p>
    <w:p w14:paraId="5F4B680F" w14:textId="7F57CB0C" w:rsidR="008A2163" w:rsidRPr="008A2163" w:rsidRDefault="004D773C" w:rsidP="008A2163">
      <w:pPr>
        <w:tabs>
          <w:tab w:val="left" w:pos="284"/>
        </w:tabs>
        <w:jc w:val="both"/>
        <w:rPr>
          <w:rFonts w:cs="Arial"/>
          <w:i/>
          <w:szCs w:val="19"/>
          <w:lang w:val="en-US"/>
        </w:rPr>
      </w:pPr>
      <w:r>
        <w:rPr>
          <w:rFonts w:cs="Arial"/>
          <w:szCs w:val="19"/>
          <w:lang w:val="en-US"/>
        </w:rPr>
        <w:t>1.0</w:t>
      </w:r>
      <w:r w:rsidR="008A2163" w:rsidRPr="008A2163">
        <w:rPr>
          <w:rFonts w:cs="Arial"/>
          <w:szCs w:val="19"/>
          <w:lang w:val="en-US"/>
        </w:rPr>
        <w:t>% higher.</w:t>
      </w:r>
    </w:p>
    <w:p w14:paraId="6AE3E9E7" w14:textId="47F91600"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value added in national economy in the </w:t>
      </w:r>
      <w:r w:rsidR="008E539D">
        <w:rPr>
          <w:rFonts w:cs="Arial"/>
          <w:szCs w:val="19"/>
          <w:lang w:val="en-US"/>
        </w:rPr>
        <w:t>fourth</w:t>
      </w:r>
      <w:r w:rsidRPr="008A2163">
        <w:rPr>
          <w:rFonts w:cs="Arial"/>
          <w:szCs w:val="19"/>
          <w:lang w:val="en-US"/>
        </w:rPr>
        <w:t xml:space="preserve"> quarter of 2017 was </w:t>
      </w:r>
      <w:r w:rsidR="004D773C">
        <w:rPr>
          <w:rFonts w:cs="Arial"/>
          <w:szCs w:val="19"/>
          <w:lang w:val="en-US"/>
        </w:rPr>
        <w:t>0.9</w:t>
      </w:r>
      <w:r w:rsidRPr="008A2163">
        <w:rPr>
          <w:rFonts w:cs="Arial"/>
          <w:szCs w:val="19"/>
          <w:lang w:val="en-US"/>
        </w:rPr>
        <w:t>% higher.</w:t>
      </w:r>
    </w:p>
    <w:p w14:paraId="449136AF" w14:textId="78B75FB0"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value added in industry in the </w:t>
      </w:r>
      <w:r w:rsidR="008E539D">
        <w:rPr>
          <w:rFonts w:cs="Arial"/>
          <w:szCs w:val="19"/>
          <w:lang w:val="en-US"/>
        </w:rPr>
        <w:t>fourth</w:t>
      </w:r>
      <w:r w:rsidRPr="008A2163">
        <w:rPr>
          <w:rFonts w:cs="Arial"/>
          <w:szCs w:val="19"/>
          <w:lang w:val="en-US"/>
        </w:rPr>
        <w:t xml:space="preserve"> quarter of 2017 was </w:t>
      </w:r>
      <w:r w:rsidR="004D773C">
        <w:rPr>
          <w:rFonts w:cs="Arial"/>
          <w:szCs w:val="19"/>
          <w:lang w:val="en-US"/>
        </w:rPr>
        <w:t>1.3</w:t>
      </w:r>
      <w:r w:rsidRPr="008A2163">
        <w:rPr>
          <w:rFonts w:cs="Arial"/>
          <w:szCs w:val="19"/>
          <w:lang w:val="en-US"/>
        </w:rPr>
        <w:t>% higher.</w:t>
      </w:r>
    </w:p>
    <w:p w14:paraId="11EBA37B" w14:textId="2DD2EF95"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value added in construction in the </w:t>
      </w:r>
      <w:r w:rsidR="008E539D">
        <w:rPr>
          <w:rFonts w:cs="Arial"/>
          <w:szCs w:val="19"/>
          <w:lang w:val="en-US"/>
        </w:rPr>
        <w:t>fourth</w:t>
      </w:r>
      <w:r w:rsidRPr="008A2163">
        <w:rPr>
          <w:rFonts w:cs="Arial"/>
          <w:szCs w:val="19"/>
          <w:lang w:val="en-US"/>
        </w:rPr>
        <w:t xml:space="preserve"> quarter of 2017 was </w:t>
      </w:r>
      <w:r w:rsidR="004D773C">
        <w:rPr>
          <w:rFonts w:cs="Arial"/>
          <w:szCs w:val="19"/>
          <w:lang w:val="en-US"/>
        </w:rPr>
        <w:t>1.0</w:t>
      </w:r>
      <w:r w:rsidRPr="008A2163">
        <w:rPr>
          <w:rFonts w:cs="Arial"/>
          <w:szCs w:val="19"/>
          <w:lang w:val="en-US"/>
        </w:rPr>
        <w:t xml:space="preserve">% </w:t>
      </w:r>
      <w:r w:rsidR="004D773C">
        <w:rPr>
          <w:rFonts w:cs="Arial"/>
          <w:szCs w:val="19"/>
          <w:lang w:val="en-US"/>
        </w:rPr>
        <w:t>lower</w:t>
      </w:r>
      <w:r w:rsidRPr="008A2163">
        <w:rPr>
          <w:rFonts w:cs="Arial"/>
          <w:szCs w:val="19"/>
          <w:lang w:val="en-US"/>
        </w:rPr>
        <w:t xml:space="preserve">. </w:t>
      </w:r>
    </w:p>
    <w:p w14:paraId="17EB593D" w14:textId="75FB33C3"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value added in trade and repair was </w:t>
      </w:r>
      <w:r w:rsidR="00A4774F">
        <w:rPr>
          <w:rFonts w:cs="Arial"/>
          <w:szCs w:val="19"/>
          <w:lang w:val="en-US"/>
        </w:rPr>
        <w:t>1.3</w:t>
      </w:r>
      <w:r w:rsidRPr="008A2163">
        <w:rPr>
          <w:rFonts w:cs="Arial"/>
          <w:szCs w:val="19"/>
          <w:lang w:val="en-US"/>
        </w:rPr>
        <w:t xml:space="preserve">% higher, in transportation and storage was </w:t>
      </w:r>
      <w:r w:rsidR="00A4774F">
        <w:rPr>
          <w:rFonts w:cs="Arial"/>
          <w:szCs w:val="19"/>
          <w:lang w:val="en-US"/>
        </w:rPr>
        <w:t>1.2</w:t>
      </w:r>
      <w:r w:rsidRPr="008A2163">
        <w:rPr>
          <w:rFonts w:cs="Arial"/>
          <w:szCs w:val="19"/>
          <w:lang w:val="en-US"/>
        </w:rPr>
        <w:t xml:space="preserve">% higher, while in financial and insurance activities was </w:t>
      </w:r>
      <w:r w:rsidR="00A4774F">
        <w:rPr>
          <w:rFonts w:cs="Arial"/>
          <w:szCs w:val="19"/>
          <w:lang w:val="en-US"/>
        </w:rPr>
        <w:t>0.7</w:t>
      </w:r>
      <w:r w:rsidRPr="008A2163">
        <w:rPr>
          <w:rFonts w:cs="Arial"/>
          <w:szCs w:val="19"/>
          <w:lang w:val="en-US"/>
        </w:rPr>
        <w:t xml:space="preserve">% </w:t>
      </w:r>
      <w:r w:rsidR="00A4774F">
        <w:rPr>
          <w:rFonts w:cs="Arial"/>
          <w:szCs w:val="19"/>
          <w:lang w:val="en-US"/>
        </w:rPr>
        <w:t>higher</w:t>
      </w:r>
      <w:r w:rsidRPr="008A2163">
        <w:rPr>
          <w:rFonts w:cs="Arial"/>
          <w:szCs w:val="19"/>
          <w:lang w:val="en-US"/>
        </w:rPr>
        <w:t>.</w:t>
      </w:r>
    </w:p>
    <w:p w14:paraId="3ACB2B70" w14:textId="42E5E64C"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value added in public administration and defense, compulsory social security, education, human health and social work activities altogether in the </w:t>
      </w:r>
      <w:r w:rsidR="008E539D">
        <w:rPr>
          <w:rFonts w:cs="Arial"/>
          <w:szCs w:val="19"/>
          <w:lang w:val="en-US"/>
        </w:rPr>
        <w:t>fourth</w:t>
      </w:r>
      <w:r w:rsidRPr="008A2163">
        <w:rPr>
          <w:rFonts w:cs="Arial"/>
          <w:szCs w:val="19"/>
          <w:lang w:val="en-US"/>
        </w:rPr>
        <w:t xml:space="preserve"> quarter of 2017 was </w:t>
      </w:r>
      <w:r w:rsidR="00A4774F">
        <w:rPr>
          <w:rFonts w:cs="Arial"/>
          <w:szCs w:val="19"/>
          <w:lang w:val="en-US"/>
        </w:rPr>
        <w:t>0.4</w:t>
      </w:r>
      <w:r w:rsidRPr="008A2163">
        <w:rPr>
          <w:rFonts w:cs="Arial"/>
          <w:szCs w:val="19"/>
          <w:lang w:val="en-US"/>
        </w:rPr>
        <w:t>% higher.</w:t>
      </w:r>
    </w:p>
    <w:p w14:paraId="1F4E3CF5" w14:textId="4A42D663" w:rsidR="008A2163" w:rsidRPr="008A2163" w:rsidRDefault="008A2163" w:rsidP="008A2163">
      <w:pPr>
        <w:tabs>
          <w:tab w:val="left" w:pos="284"/>
        </w:tabs>
        <w:jc w:val="both"/>
        <w:rPr>
          <w:rFonts w:cs="Arial"/>
          <w:szCs w:val="19"/>
          <w:lang w:val="en-US"/>
        </w:rPr>
      </w:pPr>
      <w:r w:rsidRPr="008A2163">
        <w:rPr>
          <w:rFonts w:cs="Arial"/>
          <w:szCs w:val="19"/>
          <w:lang w:val="en-US"/>
        </w:rPr>
        <w:t xml:space="preserve">Domestic uses in the </w:t>
      </w:r>
      <w:r w:rsidR="008E539D">
        <w:rPr>
          <w:rFonts w:cs="Arial"/>
          <w:szCs w:val="19"/>
          <w:lang w:val="en-US"/>
        </w:rPr>
        <w:t>fourth</w:t>
      </w:r>
      <w:r w:rsidRPr="008A2163">
        <w:rPr>
          <w:rFonts w:cs="Arial"/>
          <w:szCs w:val="19"/>
          <w:lang w:val="en-US"/>
        </w:rPr>
        <w:t xml:space="preserve"> quarter of 2017 were </w:t>
      </w:r>
      <w:r w:rsidR="00A4774F">
        <w:rPr>
          <w:rFonts w:cs="Arial"/>
          <w:szCs w:val="19"/>
          <w:lang w:val="en-US"/>
        </w:rPr>
        <w:t>2.1</w:t>
      </w:r>
      <w:r w:rsidRPr="008A2163">
        <w:rPr>
          <w:rFonts w:cs="Arial"/>
          <w:szCs w:val="19"/>
          <w:lang w:val="en-US"/>
        </w:rPr>
        <w:t>% higher.</w:t>
      </w:r>
    </w:p>
    <w:p w14:paraId="1785519B" w14:textId="648D0848" w:rsidR="008A2163" w:rsidRPr="008A2163" w:rsidRDefault="008A2163" w:rsidP="008A2163">
      <w:pPr>
        <w:tabs>
          <w:tab w:val="left" w:pos="284"/>
        </w:tabs>
        <w:jc w:val="both"/>
        <w:rPr>
          <w:rFonts w:cs="Arial"/>
          <w:szCs w:val="19"/>
          <w:lang w:val="en-US"/>
        </w:rPr>
      </w:pPr>
      <w:r w:rsidRPr="008A2163">
        <w:rPr>
          <w:rFonts w:cs="Arial"/>
          <w:szCs w:val="19"/>
          <w:lang w:val="en-US"/>
        </w:rPr>
        <w:t xml:space="preserve">Total consumption expenditure was </w:t>
      </w:r>
      <w:r w:rsidR="00A4774F">
        <w:rPr>
          <w:rFonts w:cs="Arial"/>
          <w:szCs w:val="19"/>
          <w:lang w:val="en-US"/>
        </w:rPr>
        <w:t>1.2</w:t>
      </w:r>
      <w:r w:rsidRPr="008A2163">
        <w:rPr>
          <w:rFonts w:cs="Arial"/>
          <w:szCs w:val="19"/>
          <w:lang w:val="en-US"/>
        </w:rPr>
        <w:t xml:space="preserve">% higher, of which consumption expenditure in the households sector in the </w:t>
      </w:r>
      <w:r w:rsidR="008E539D">
        <w:rPr>
          <w:rFonts w:cs="Arial"/>
          <w:szCs w:val="19"/>
          <w:lang w:val="en-US"/>
        </w:rPr>
        <w:t>fourth</w:t>
      </w:r>
      <w:r w:rsidRPr="008A2163">
        <w:rPr>
          <w:rFonts w:cs="Arial"/>
          <w:szCs w:val="19"/>
          <w:lang w:val="en-US"/>
        </w:rPr>
        <w:t xml:space="preserve"> quarter of 2017 increased by </w:t>
      </w:r>
      <w:r w:rsidR="00A4774F">
        <w:rPr>
          <w:rFonts w:cs="Arial"/>
          <w:szCs w:val="19"/>
          <w:lang w:val="en-US"/>
        </w:rPr>
        <w:t>1.1</w:t>
      </w:r>
      <w:r w:rsidRPr="008A2163">
        <w:rPr>
          <w:rFonts w:cs="Arial"/>
          <w:szCs w:val="19"/>
          <w:lang w:val="en-US"/>
        </w:rPr>
        <w:t>%.</w:t>
      </w:r>
    </w:p>
    <w:p w14:paraId="70986F89" w14:textId="5D66E795"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capital formation in the </w:t>
      </w:r>
      <w:r w:rsidR="008E539D">
        <w:rPr>
          <w:rFonts w:cs="Arial"/>
          <w:szCs w:val="19"/>
          <w:lang w:val="en-US"/>
        </w:rPr>
        <w:t>fourth</w:t>
      </w:r>
      <w:r w:rsidRPr="008A2163">
        <w:rPr>
          <w:rFonts w:cs="Arial"/>
          <w:szCs w:val="19"/>
          <w:lang w:val="en-US"/>
        </w:rPr>
        <w:t xml:space="preserve"> quarter of 2017 was </w:t>
      </w:r>
      <w:r w:rsidR="00A4774F">
        <w:rPr>
          <w:rFonts w:cs="Arial"/>
          <w:szCs w:val="19"/>
          <w:lang w:val="en-US"/>
        </w:rPr>
        <w:t>2.5</w:t>
      </w:r>
      <w:r w:rsidRPr="008A2163">
        <w:rPr>
          <w:rFonts w:cs="Arial"/>
          <w:szCs w:val="19"/>
          <w:lang w:val="en-US"/>
        </w:rPr>
        <w:t xml:space="preserve">% </w:t>
      </w:r>
      <w:r w:rsidR="00A4774F">
        <w:rPr>
          <w:rFonts w:cs="Arial"/>
          <w:szCs w:val="19"/>
          <w:lang w:val="en-US"/>
        </w:rPr>
        <w:t>higher</w:t>
      </w:r>
      <w:r w:rsidRPr="008A2163">
        <w:rPr>
          <w:rFonts w:cs="Arial"/>
          <w:szCs w:val="19"/>
          <w:lang w:val="en-US"/>
        </w:rPr>
        <w:t>.</w:t>
      </w:r>
    </w:p>
    <w:p w14:paraId="22FBDEDF" w14:textId="575F6F5E" w:rsidR="008A2163" w:rsidRPr="008A2163" w:rsidRDefault="008A2163" w:rsidP="008A2163">
      <w:pPr>
        <w:tabs>
          <w:tab w:val="left" w:pos="284"/>
        </w:tabs>
        <w:jc w:val="both"/>
        <w:rPr>
          <w:rFonts w:cs="Arial"/>
          <w:szCs w:val="19"/>
          <w:lang w:val="en-US"/>
        </w:rPr>
      </w:pPr>
      <w:r w:rsidRPr="008A2163">
        <w:rPr>
          <w:rFonts w:cs="Arial"/>
          <w:szCs w:val="19"/>
          <w:lang w:val="en-US"/>
        </w:rPr>
        <w:t xml:space="preserve">Gross fixed capital formation in the </w:t>
      </w:r>
      <w:r w:rsidR="008E539D">
        <w:rPr>
          <w:rFonts w:cs="Arial"/>
          <w:szCs w:val="19"/>
          <w:lang w:val="en-US"/>
        </w:rPr>
        <w:t>fourth</w:t>
      </w:r>
      <w:r w:rsidRPr="008A2163">
        <w:rPr>
          <w:rFonts w:cs="Arial"/>
          <w:szCs w:val="19"/>
          <w:lang w:val="en-US"/>
        </w:rPr>
        <w:t xml:space="preserve"> quarter of 2017 was up by </w:t>
      </w:r>
      <w:r w:rsidR="00A4774F">
        <w:rPr>
          <w:rFonts w:cs="Arial"/>
          <w:szCs w:val="19"/>
          <w:lang w:val="en-US"/>
        </w:rPr>
        <w:t>3.5</w:t>
      </w:r>
      <w:r w:rsidRPr="008A2163">
        <w:rPr>
          <w:rFonts w:cs="Arial"/>
          <w:szCs w:val="19"/>
          <w:lang w:val="en-US"/>
        </w:rPr>
        <w:t>%.</w:t>
      </w:r>
    </w:p>
    <w:p w14:paraId="33A1CD7B" w14:textId="17FE8C3D" w:rsidR="008A2163" w:rsidRPr="008A2163" w:rsidRDefault="008A2163" w:rsidP="008A2163">
      <w:pPr>
        <w:tabs>
          <w:tab w:val="left" w:pos="284"/>
        </w:tabs>
        <w:jc w:val="both"/>
        <w:rPr>
          <w:rFonts w:cs="Arial"/>
          <w:szCs w:val="19"/>
          <w:lang w:val="en-US"/>
        </w:rPr>
      </w:pPr>
    </w:p>
    <w:p w14:paraId="6154B190" w14:textId="1666836D" w:rsidR="008A2163" w:rsidRPr="008E539D" w:rsidRDefault="008A2163" w:rsidP="008A2163">
      <w:pPr>
        <w:tabs>
          <w:tab w:val="left" w:pos="284"/>
        </w:tabs>
        <w:jc w:val="both"/>
        <w:rPr>
          <w:rFonts w:cs="Arial"/>
          <w:szCs w:val="19"/>
          <w:lang w:val="en-US"/>
        </w:rPr>
      </w:pPr>
      <w:r w:rsidRPr="008A2163">
        <w:rPr>
          <w:rFonts w:cs="Arial"/>
          <w:szCs w:val="19"/>
          <w:lang w:val="en-US"/>
        </w:rPr>
        <w:tab/>
      </w:r>
      <w:r w:rsidRPr="008E539D">
        <w:rPr>
          <w:rFonts w:cs="Arial"/>
          <w:szCs w:val="19"/>
          <w:lang w:val="en-US"/>
        </w:rPr>
        <w:t xml:space="preserve">Tables 1 and 2 present indices in constant prices with reference to the year 2010 for GDP time series and its main aggregates for seasonally unadjusted data, seasonally adjusted data as well as trend. Table 1 presents indices on the previous quarter and table 2 presents indices on the corresponding quarter of the previous year.  </w:t>
      </w:r>
    </w:p>
    <w:p w14:paraId="6CEB8B44" w14:textId="4FA5A257" w:rsidR="00BD4289" w:rsidRPr="008A2163" w:rsidRDefault="00BD4289" w:rsidP="00BD4289">
      <w:pPr>
        <w:tabs>
          <w:tab w:val="left" w:pos="284"/>
        </w:tabs>
        <w:jc w:val="both"/>
        <w:rPr>
          <w:rFonts w:cs="Arial"/>
          <w:szCs w:val="19"/>
          <w:lang w:val="en-US"/>
        </w:rPr>
      </w:pPr>
    </w:p>
    <w:p w14:paraId="2F51C757" w14:textId="26396DF6" w:rsidR="008A2163" w:rsidRPr="008A2163" w:rsidRDefault="008A2163" w:rsidP="008A2163">
      <w:pPr>
        <w:pStyle w:val="Nagwek1"/>
        <w:spacing w:before="0" w:after="0"/>
        <w:rPr>
          <w:b/>
          <w:noProof/>
          <w:spacing w:val="-2"/>
          <w:szCs w:val="19"/>
          <w:lang w:val="en-US"/>
        </w:rPr>
      </w:pPr>
      <w:r w:rsidRPr="008A2163">
        <w:rPr>
          <w:b/>
          <w:noProof/>
          <w:spacing w:val="-2"/>
          <w:szCs w:val="19"/>
          <w:lang w:val="en-US"/>
        </w:rPr>
        <w:t>Seasonally unadjusted GDP (constant average prices of the previous year)</w:t>
      </w:r>
    </w:p>
    <w:p w14:paraId="3C04EE97" w14:textId="26A387B8" w:rsidR="008A2163" w:rsidRPr="008A2163" w:rsidRDefault="008A2163" w:rsidP="008A2163">
      <w:pPr>
        <w:pStyle w:val="Nagwek1"/>
        <w:rPr>
          <w:rFonts w:ascii="Fira Sans" w:hAnsi="Fira Sans" w:cs="Arial"/>
          <w:color w:val="auto"/>
          <w:szCs w:val="19"/>
          <w:lang w:val="en-US"/>
        </w:rPr>
      </w:pPr>
      <w:r w:rsidRPr="008A2163">
        <w:rPr>
          <w:rFonts w:ascii="Fira Sans" w:hAnsi="Fira Sans" w:cs="Arial"/>
          <w:color w:val="auto"/>
          <w:szCs w:val="19"/>
          <w:lang w:val="en-US"/>
        </w:rPr>
        <w:t xml:space="preserve">According to the preliminary estimate gross domestic product (GDP) in the </w:t>
      </w:r>
      <w:r w:rsidR="008E539D">
        <w:rPr>
          <w:rFonts w:ascii="Fira Sans" w:hAnsi="Fira Sans" w:cs="Arial"/>
          <w:color w:val="auto"/>
          <w:szCs w:val="19"/>
          <w:lang w:val="en-US"/>
        </w:rPr>
        <w:t>fourth</w:t>
      </w:r>
      <w:r w:rsidRPr="008A2163">
        <w:rPr>
          <w:rFonts w:ascii="Fira Sans" w:hAnsi="Fira Sans" w:cs="Arial"/>
          <w:color w:val="auto"/>
          <w:szCs w:val="19"/>
          <w:lang w:val="en-US"/>
        </w:rPr>
        <w:t xml:space="preserve"> quarter of 2017 was </w:t>
      </w:r>
      <w:r w:rsidR="00B57782">
        <w:rPr>
          <w:rFonts w:ascii="Fira Sans" w:hAnsi="Fira Sans" w:cs="Arial"/>
          <w:color w:val="auto"/>
          <w:szCs w:val="19"/>
          <w:lang w:val="en-US"/>
        </w:rPr>
        <w:t>5.1</w:t>
      </w:r>
      <w:r w:rsidRPr="008A2163">
        <w:rPr>
          <w:rFonts w:ascii="Fira Sans" w:hAnsi="Fira Sans" w:cs="Arial"/>
          <w:color w:val="auto"/>
          <w:szCs w:val="19"/>
          <w:lang w:val="en-US"/>
        </w:rPr>
        <w:t xml:space="preserve">% higher than in the corresponding quarter of the previous year. </w:t>
      </w:r>
    </w:p>
    <w:p w14:paraId="7A14EF1C" w14:textId="7743DFFD" w:rsidR="00B865F4" w:rsidRPr="00B865F4" w:rsidRDefault="000A0E6A" w:rsidP="00B865F4">
      <w:pPr>
        <w:spacing w:before="360" w:after="360"/>
        <w:rPr>
          <w:b/>
          <w:shd w:val="clear" w:color="auto" w:fill="FFFFFF"/>
          <w:lang w:val="en-US"/>
        </w:rPr>
      </w:pPr>
      <w:r>
        <w:rPr>
          <w:noProof/>
          <w:lang w:eastAsia="pl-PL"/>
        </w:rPr>
        <w:drawing>
          <wp:anchor distT="0" distB="0" distL="114300" distR="114300" simplePos="0" relativeHeight="251771904" behindDoc="0" locked="0" layoutInCell="1" allowOverlap="1" wp14:anchorId="02A89349" wp14:editId="50801C80">
            <wp:simplePos x="0" y="0"/>
            <wp:positionH relativeFrom="column">
              <wp:posOffset>-152709</wp:posOffset>
            </wp:positionH>
            <wp:positionV relativeFrom="paragraph">
              <wp:posOffset>522639</wp:posOffset>
            </wp:positionV>
            <wp:extent cx="5122545" cy="3311525"/>
            <wp:effectExtent l="0" t="0" r="1905" b="3175"/>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E539D" w:rsidRPr="00B865F4">
        <w:rPr>
          <w:b/>
          <w:lang w:val="en-US"/>
        </w:rPr>
        <w:t>Graph</w:t>
      </w:r>
      <w:r w:rsidR="00BD4289" w:rsidRPr="00B865F4">
        <w:rPr>
          <w:b/>
          <w:lang w:val="en-US"/>
        </w:rPr>
        <w:t xml:space="preserve"> 3</w:t>
      </w:r>
      <w:r w:rsidR="00BD4289" w:rsidRPr="00B865F4">
        <w:rPr>
          <w:b/>
          <w:shd w:val="clear" w:color="auto" w:fill="FFFFFF"/>
          <w:lang w:val="en-US"/>
        </w:rPr>
        <w:t xml:space="preserve"> </w:t>
      </w:r>
      <w:r w:rsidR="00B865F4" w:rsidRPr="00B865F4">
        <w:rPr>
          <w:b/>
          <w:bCs/>
          <w:shd w:val="clear" w:color="auto" w:fill="FFFFFF"/>
          <w:lang w:val="en-US"/>
        </w:rPr>
        <w:t>GDP  volume growth rate</w:t>
      </w:r>
      <w:r w:rsidR="00B865F4" w:rsidRPr="00B865F4">
        <w:rPr>
          <w:b/>
          <w:shd w:val="clear" w:color="auto" w:fill="FFFFFF"/>
          <w:lang w:val="en-US"/>
        </w:rPr>
        <w:t xml:space="preserve"> (</w:t>
      </w:r>
      <w:r w:rsidR="00B865F4" w:rsidRPr="00B865F4">
        <w:rPr>
          <w:b/>
          <w:bCs/>
          <w:shd w:val="clear" w:color="auto" w:fill="FFFFFF"/>
          <w:lang w:val="en-US"/>
        </w:rPr>
        <w:t>corresponding  period of the previous year = 100,  constant prices of the previous  year</w:t>
      </w:r>
      <w:r w:rsidR="00B865F4" w:rsidRPr="00B865F4">
        <w:rPr>
          <w:b/>
          <w:shd w:val="clear" w:color="auto" w:fill="FFFFFF"/>
          <w:lang w:val="en-US"/>
        </w:rPr>
        <w:t>)</w:t>
      </w:r>
    </w:p>
    <w:p w14:paraId="114133CA" w14:textId="4190345C" w:rsidR="00BD4289" w:rsidRPr="00B865F4" w:rsidRDefault="00BD4289" w:rsidP="00BD4289">
      <w:pPr>
        <w:spacing w:before="360" w:after="360"/>
        <w:rPr>
          <w:b/>
          <w:szCs w:val="19"/>
          <w:lang w:val="en-US"/>
        </w:rPr>
      </w:pPr>
    </w:p>
    <w:p w14:paraId="4CE1456B" w14:textId="38DC0BE4" w:rsidR="008A2163" w:rsidRPr="00B865F4" w:rsidRDefault="008A2163" w:rsidP="00572E91">
      <w:pPr>
        <w:tabs>
          <w:tab w:val="left" w:pos="284"/>
        </w:tabs>
        <w:spacing w:before="240" w:line="288" w:lineRule="auto"/>
        <w:jc w:val="both"/>
        <w:rPr>
          <w:rFonts w:cs="Arial"/>
          <w:szCs w:val="19"/>
          <w:lang w:val="en-US"/>
        </w:rPr>
      </w:pPr>
    </w:p>
    <w:p w14:paraId="2CE9BCB0" w14:textId="3B479915" w:rsidR="00B865F4" w:rsidRPr="00B865F4" w:rsidRDefault="00384B65" w:rsidP="00B865F4">
      <w:pPr>
        <w:tabs>
          <w:tab w:val="left" w:pos="284"/>
        </w:tabs>
        <w:jc w:val="both"/>
        <w:rPr>
          <w:rFonts w:cs="Arial"/>
          <w:szCs w:val="19"/>
          <w:lang w:val="en-US"/>
        </w:rPr>
      </w:pPr>
      <w:r w:rsidRPr="00384B65">
        <w:rPr>
          <w:rFonts w:cs="Arial"/>
          <w:noProof/>
          <w:szCs w:val="19"/>
          <w:lang w:eastAsia="pl-PL"/>
        </w:rPr>
        <w:lastRenderedPageBreak/>
        <mc:AlternateContent>
          <mc:Choice Requires="wps">
            <w:drawing>
              <wp:anchor distT="45720" distB="45720" distL="114300" distR="114300" simplePos="0" relativeHeight="251781120" behindDoc="0" locked="0" layoutInCell="1" allowOverlap="1" wp14:anchorId="44C88003" wp14:editId="2DFEF4F1">
                <wp:simplePos x="0" y="0"/>
                <wp:positionH relativeFrom="page">
                  <wp:posOffset>5704840</wp:posOffset>
                </wp:positionH>
                <wp:positionV relativeFrom="paragraph">
                  <wp:posOffset>1905</wp:posOffset>
                </wp:positionV>
                <wp:extent cx="1718945" cy="1339215"/>
                <wp:effectExtent l="0" t="0" r="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339215"/>
                        </a:xfrm>
                        <a:prstGeom prst="rect">
                          <a:avLst/>
                        </a:prstGeom>
                        <a:noFill/>
                        <a:ln w="9525">
                          <a:noFill/>
                          <a:miter lim="800000"/>
                          <a:headEnd/>
                          <a:tailEnd/>
                        </a:ln>
                      </wps:spPr>
                      <wps:txbx>
                        <w:txbxContent>
                          <w:p w14:paraId="5A34957F" w14:textId="41579865" w:rsidR="00384B65" w:rsidRPr="00912AEB" w:rsidRDefault="00384B65" w:rsidP="00384B65">
                            <w:pPr>
                              <w:spacing w:before="0" w:after="0"/>
                              <w:rPr>
                                <w:rFonts w:eastAsia="Times New Roman" w:cs="Times New Roman"/>
                                <w:bCs/>
                                <w:color w:val="001D77"/>
                                <w:sz w:val="18"/>
                                <w:szCs w:val="18"/>
                                <w:lang w:val="en-US" w:eastAsia="pl-PL"/>
                              </w:rPr>
                            </w:pPr>
                            <w:r w:rsidRPr="00912AEB">
                              <w:rPr>
                                <w:rFonts w:eastAsia="Times New Roman" w:cs="Times New Roman"/>
                                <w:bCs/>
                                <w:color w:val="001D77"/>
                                <w:sz w:val="18"/>
                                <w:szCs w:val="18"/>
                                <w:lang w:val="en-US" w:eastAsia="pl-PL"/>
                              </w:rPr>
                              <w:t xml:space="preserve">A faster growth rate than </w:t>
                            </w:r>
                            <w:r>
                              <w:rPr>
                                <w:rFonts w:eastAsia="Times New Roman" w:cs="Times New Roman"/>
                                <w:bCs/>
                                <w:color w:val="001D77"/>
                                <w:sz w:val="18"/>
                                <w:szCs w:val="18"/>
                                <w:lang w:val="en-US" w:eastAsia="pl-PL"/>
                              </w:rPr>
                              <w:br/>
                              <w:t xml:space="preserve">the </w:t>
                            </w:r>
                            <w:r w:rsidRPr="00912AEB">
                              <w:rPr>
                                <w:rFonts w:eastAsia="Times New Roman" w:cs="Times New Roman"/>
                                <w:bCs/>
                                <w:color w:val="001D77"/>
                                <w:sz w:val="18"/>
                                <w:szCs w:val="18"/>
                                <w:lang w:val="en-US" w:eastAsia="pl-PL"/>
                              </w:rPr>
                              <w:t>average</w:t>
                            </w:r>
                            <w:r>
                              <w:rPr>
                                <w:rFonts w:eastAsia="Times New Roman" w:cs="Times New Roman"/>
                                <w:bCs/>
                                <w:color w:val="001D77"/>
                                <w:sz w:val="18"/>
                                <w:szCs w:val="18"/>
                                <w:lang w:val="en-US" w:eastAsia="pl-PL"/>
                              </w:rPr>
                              <w:t xml:space="preserve"> in the national economy was recorded in key segments of economy i.e. industry, construction, trade and repair and transportation and storage</w:t>
                            </w:r>
                          </w:p>
                          <w:p w14:paraId="6ECC8AAE" w14:textId="284C20F9" w:rsidR="00384B65" w:rsidRPr="00384B65" w:rsidRDefault="00384B65" w:rsidP="00384B65">
                            <w:pPr>
                              <w:spacing w:before="0"/>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88003" id="_x0000_s1032" type="#_x0000_t202" style="position:absolute;left:0;text-align:left;margin-left:449.2pt;margin-top:.15pt;width:135.35pt;height:105.45pt;z-index:251781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byEgIAAP8DAAAOAAAAZHJzL2Uyb0RvYy54bWysU9Fu2yAUfZ+0f0C8L47dZE2skKpr12lS&#10;t1Xq9gEE4xgVuAxI7Ozre8FJFm1v0/yAwJd77j3nHlY3g9FkL31QYBktJ1NKpBXQKLtl9Mf3h3cL&#10;SkLktuEarGT0IAO9Wb99s+pdLSvoQDfSEwSxoe4do12Mri6KIDppeJiAkxaDLXjDIx79tmg87xHd&#10;6KKaTt8XPfjGeRAyBPx7PwbpOuO3rRTxW9sGGYlmFHuLefV53aS1WK94vfXcdUoc2+D/0IXhymLR&#10;M9Q9j5zsvPoLyijhIUAbJwJMAW2rhMwckE05/YPNc8edzFxQnODOMoX/Byu+7p88UQ2jc0osNzii&#10;J9CSRPkSIvSSVEmi3oUabz47vBuHDzDgqDPd4B5BvARi4a7jditvvYe+k7zBFsuUWVykjjghgWz6&#10;L9BgLb6LkIGG1pukHypCEB1HdTiPRw6RiFTyulwsZ9inwFh5dbWsynmuwetTuvMhfpJgSNow6nH+&#10;GZ7vH0NM7fD6dCVVs/CgtM4e0Jb0jC7n1TwnXESMimhRrQyji2n6RtMklh9tk5MjV3rcYwFtj7QT&#10;05FzHDZDFvn6pOYGmgPq4GF0JL4g3HTgf1HSoxsZDT933EtK9GeLWi7L2SzZNx9m8+sKD/4ysrmM&#10;cCsQitFIybi9i9nyI+Vb1LxVWY00nLGTY8vosizS8UUkG1+e863f73b9CgAA//8DAFBLAwQUAAYA&#10;CAAAACEAiSQgEN4AAAAJAQAADwAAAGRycy9kb3ducmV2LnhtbEyPzU7DMBCE70i8g7VI3KidUKok&#10;zaZCIK4gyo/Umxtvk4h4HcVuE94e90SPoxnNfFNuZtuLE42+c4yQLBQI4tqZjhuEz4+XuwyED5qN&#10;7h0Twi952FTXV6UujJv4nU7b0IhYwr7QCG0IQyGlr1uy2i/cQBy9gxutDlGOjTSjnmK57WWq1Epa&#10;3XFcaPVATy3VP9ujRfh6Pey+l+qtebYPw+RmJdnmEvH2Zn5cgwg0h/8wnPEjOlSRae+ObLzoEbI8&#10;W8Yowj2Is52s8gTEHiFNkhRkVcrLB9UfAAAA//8DAFBLAQItABQABgAIAAAAIQC2gziS/gAAAOEB&#10;AAATAAAAAAAAAAAAAAAAAAAAAABbQ29udGVudF9UeXBlc10ueG1sUEsBAi0AFAAGAAgAAAAhADj9&#10;If/WAAAAlAEAAAsAAAAAAAAAAAAAAAAALwEAAF9yZWxzLy5yZWxzUEsBAi0AFAAGAAgAAAAhAI0G&#10;hvISAgAA/wMAAA4AAAAAAAAAAAAAAAAALgIAAGRycy9lMm9Eb2MueG1sUEsBAi0AFAAGAAgAAAAh&#10;AIkkIBDeAAAACQEAAA8AAAAAAAAAAAAAAAAAbAQAAGRycy9kb3ducmV2LnhtbFBLBQYAAAAABAAE&#10;APMAAAB3BQAAAAA=&#10;" filled="f" stroked="f">
                <v:textbox>
                  <w:txbxContent>
                    <w:p w14:paraId="5A34957F" w14:textId="41579865" w:rsidR="00384B65" w:rsidRPr="00912AEB" w:rsidRDefault="00384B65" w:rsidP="00384B65">
                      <w:pPr>
                        <w:spacing w:before="0" w:after="0"/>
                        <w:rPr>
                          <w:rFonts w:eastAsia="Times New Roman" w:cs="Times New Roman"/>
                          <w:bCs/>
                          <w:color w:val="001D77"/>
                          <w:sz w:val="18"/>
                          <w:szCs w:val="18"/>
                          <w:lang w:val="en-US" w:eastAsia="pl-PL"/>
                        </w:rPr>
                      </w:pPr>
                      <w:r w:rsidRPr="00912AEB">
                        <w:rPr>
                          <w:rFonts w:eastAsia="Times New Roman" w:cs="Times New Roman"/>
                          <w:bCs/>
                          <w:color w:val="001D77"/>
                          <w:sz w:val="18"/>
                          <w:szCs w:val="18"/>
                          <w:lang w:val="en-US" w:eastAsia="pl-PL"/>
                        </w:rPr>
                        <w:t xml:space="preserve">A faster growth rate than </w:t>
                      </w:r>
                      <w:r>
                        <w:rPr>
                          <w:rFonts w:eastAsia="Times New Roman" w:cs="Times New Roman"/>
                          <w:bCs/>
                          <w:color w:val="001D77"/>
                          <w:sz w:val="18"/>
                          <w:szCs w:val="18"/>
                          <w:lang w:val="en-US" w:eastAsia="pl-PL"/>
                        </w:rPr>
                        <w:br/>
                        <w:t xml:space="preserve">the </w:t>
                      </w:r>
                      <w:r w:rsidRPr="00912AEB">
                        <w:rPr>
                          <w:rFonts w:eastAsia="Times New Roman" w:cs="Times New Roman"/>
                          <w:bCs/>
                          <w:color w:val="001D77"/>
                          <w:sz w:val="18"/>
                          <w:szCs w:val="18"/>
                          <w:lang w:val="en-US" w:eastAsia="pl-PL"/>
                        </w:rPr>
                        <w:t>average</w:t>
                      </w:r>
                      <w:r>
                        <w:rPr>
                          <w:rFonts w:eastAsia="Times New Roman" w:cs="Times New Roman"/>
                          <w:bCs/>
                          <w:color w:val="001D77"/>
                          <w:sz w:val="18"/>
                          <w:szCs w:val="18"/>
                          <w:lang w:val="en-US" w:eastAsia="pl-PL"/>
                        </w:rPr>
                        <w:t xml:space="preserve"> in the national economy was recorded in key segments of economy</w:t>
                      </w:r>
                      <w:r>
                        <w:rPr>
                          <w:rFonts w:eastAsia="Times New Roman" w:cs="Times New Roman"/>
                          <w:bCs/>
                          <w:color w:val="001D77"/>
                          <w:sz w:val="18"/>
                          <w:szCs w:val="18"/>
                          <w:lang w:val="en-US" w:eastAsia="pl-PL"/>
                        </w:rPr>
                        <w:t xml:space="preserve"> i.e. industry, construction, trade and repair and transportation and storage</w:t>
                      </w:r>
                    </w:p>
                    <w:p w14:paraId="6ECC8AAE" w14:textId="284C20F9" w:rsidR="00384B65" w:rsidRPr="00384B65" w:rsidRDefault="00384B65" w:rsidP="00384B65">
                      <w:pPr>
                        <w:spacing w:before="0"/>
                        <w:rPr>
                          <w:lang w:val="en-US"/>
                        </w:rPr>
                      </w:pPr>
                    </w:p>
                  </w:txbxContent>
                </v:textbox>
                <w10:wrap type="square" anchorx="page"/>
              </v:shape>
            </w:pict>
          </mc:Fallback>
        </mc:AlternateContent>
      </w:r>
      <w:r w:rsidR="00B865F4" w:rsidRPr="00B865F4">
        <w:rPr>
          <w:rFonts w:cs="Arial"/>
          <w:szCs w:val="19"/>
          <w:lang w:val="en-US"/>
        </w:rPr>
        <w:t xml:space="preserve">Gross value added in national economy in the </w:t>
      </w:r>
      <w:r w:rsidR="00B865F4">
        <w:rPr>
          <w:rFonts w:cs="Arial"/>
          <w:szCs w:val="19"/>
          <w:lang w:val="en-US"/>
        </w:rPr>
        <w:t>fourth</w:t>
      </w:r>
      <w:r w:rsidR="00B865F4" w:rsidRPr="00B865F4">
        <w:rPr>
          <w:rFonts w:cs="Arial"/>
          <w:szCs w:val="19"/>
          <w:lang w:val="en-US"/>
        </w:rPr>
        <w:t xml:space="preserve"> quarter of 2017 was </w:t>
      </w:r>
      <w:r w:rsidR="00D20A6C">
        <w:rPr>
          <w:rFonts w:cs="Arial"/>
          <w:szCs w:val="19"/>
          <w:lang w:val="en-US"/>
        </w:rPr>
        <w:t>4.8</w:t>
      </w:r>
      <w:r w:rsidR="00B865F4" w:rsidRPr="00B865F4">
        <w:rPr>
          <w:rFonts w:cs="Arial"/>
          <w:szCs w:val="19"/>
          <w:lang w:val="en-US"/>
        </w:rPr>
        <w:t>% higher than in the corresponding quarter of 2016.</w:t>
      </w:r>
    </w:p>
    <w:p w14:paraId="1DF872BF" w14:textId="4F2C7766" w:rsidR="00B865F4" w:rsidRPr="00B865F4" w:rsidRDefault="00B865F4" w:rsidP="00B865F4">
      <w:pPr>
        <w:tabs>
          <w:tab w:val="left" w:pos="284"/>
        </w:tabs>
        <w:jc w:val="both"/>
        <w:rPr>
          <w:rFonts w:cs="Arial"/>
          <w:szCs w:val="19"/>
          <w:lang w:val="en-US"/>
        </w:rPr>
      </w:pPr>
      <w:r w:rsidRPr="00B865F4">
        <w:rPr>
          <w:rFonts w:cs="Arial"/>
          <w:szCs w:val="19"/>
          <w:lang w:val="en-US"/>
        </w:rPr>
        <w:t xml:space="preserve">Gross value added in industry was </w:t>
      </w:r>
      <w:r w:rsidR="00D20A6C">
        <w:rPr>
          <w:rFonts w:cs="Arial"/>
          <w:szCs w:val="19"/>
          <w:lang w:val="en-US"/>
        </w:rPr>
        <w:t>7.8</w:t>
      </w:r>
      <w:r w:rsidRPr="00B865F4">
        <w:rPr>
          <w:rFonts w:cs="Arial"/>
          <w:szCs w:val="19"/>
          <w:lang w:val="en-US"/>
        </w:rPr>
        <w:t xml:space="preserve">% higher than in the corresponding quarter of 2016, while in construction was </w:t>
      </w:r>
      <w:r w:rsidR="00D20A6C">
        <w:rPr>
          <w:rFonts w:cs="Arial"/>
          <w:szCs w:val="19"/>
          <w:lang w:val="en-US"/>
        </w:rPr>
        <w:t>9.8</w:t>
      </w:r>
      <w:r w:rsidRPr="00B865F4">
        <w:rPr>
          <w:rFonts w:cs="Arial"/>
          <w:szCs w:val="19"/>
          <w:lang w:val="en-US"/>
        </w:rPr>
        <w:t>% higher respectively.</w:t>
      </w:r>
    </w:p>
    <w:p w14:paraId="272A7485" w14:textId="77777777" w:rsidR="00D20A6C" w:rsidRDefault="00B865F4" w:rsidP="00B865F4">
      <w:pPr>
        <w:tabs>
          <w:tab w:val="left" w:pos="284"/>
        </w:tabs>
        <w:jc w:val="both"/>
        <w:rPr>
          <w:rFonts w:cs="Arial"/>
          <w:szCs w:val="19"/>
          <w:lang w:val="en-US"/>
        </w:rPr>
      </w:pPr>
      <w:r w:rsidRPr="00B865F4">
        <w:rPr>
          <w:rFonts w:cs="Arial"/>
          <w:szCs w:val="19"/>
          <w:lang w:val="en-US"/>
        </w:rPr>
        <w:t xml:space="preserve">Gross value added in trade and repair rose by </w:t>
      </w:r>
      <w:r w:rsidR="00D20A6C">
        <w:rPr>
          <w:rFonts w:cs="Arial"/>
          <w:szCs w:val="19"/>
          <w:lang w:val="en-US"/>
        </w:rPr>
        <w:t>6.3</w:t>
      </w:r>
      <w:r w:rsidRPr="00B865F4">
        <w:rPr>
          <w:rFonts w:cs="Arial"/>
          <w:szCs w:val="19"/>
          <w:lang w:val="en-US"/>
        </w:rPr>
        <w:t xml:space="preserve">% and in transportation and storage increased by </w:t>
      </w:r>
      <w:r w:rsidR="00D20A6C">
        <w:rPr>
          <w:rFonts w:cs="Arial"/>
          <w:szCs w:val="19"/>
          <w:lang w:val="en-US"/>
        </w:rPr>
        <w:t>11.5</w:t>
      </w:r>
      <w:r w:rsidRPr="00B865F4">
        <w:rPr>
          <w:rFonts w:cs="Arial"/>
          <w:szCs w:val="19"/>
          <w:lang w:val="en-US"/>
        </w:rPr>
        <w:t xml:space="preserve">%. </w:t>
      </w:r>
    </w:p>
    <w:p w14:paraId="5F56D5D0" w14:textId="13C13C12" w:rsidR="00B865F4" w:rsidRPr="00B865F4" w:rsidRDefault="00B865F4" w:rsidP="00B865F4">
      <w:pPr>
        <w:tabs>
          <w:tab w:val="left" w:pos="284"/>
        </w:tabs>
        <w:jc w:val="both"/>
        <w:rPr>
          <w:rFonts w:cs="Arial"/>
          <w:szCs w:val="19"/>
          <w:lang w:val="en-US"/>
        </w:rPr>
      </w:pPr>
      <w:r w:rsidRPr="00B865F4">
        <w:rPr>
          <w:rFonts w:cs="Arial"/>
          <w:szCs w:val="19"/>
          <w:lang w:val="en-US"/>
        </w:rPr>
        <w:t xml:space="preserve">Gross value added in financial and insurance activities in the </w:t>
      </w:r>
      <w:r>
        <w:rPr>
          <w:rFonts w:cs="Arial"/>
          <w:szCs w:val="19"/>
          <w:lang w:val="en-US"/>
        </w:rPr>
        <w:t>fourth</w:t>
      </w:r>
      <w:r w:rsidRPr="00B865F4">
        <w:rPr>
          <w:rFonts w:cs="Arial"/>
          <w:szCs w:val="19"/>
          <w:lang w:val="en-US"/>
        </w:rPr>
        <w:t xml:space="preserve"> quarter of 2017 decreased by </w:t>
      </w:r>
      <w:r w:rsidR="00D20A6C">
        <w:rPr>
          <w:rFonts w:cs="Arial"/>
          <w:szCs w:val="19"/>
          <w:lang w:val="en-US"/>
        </w:rPr>
        <w:t>9.6</w:t>
      </w:r>
      <w:r w:rsidRPr="00B865F4">
        <w:rPr>
          <w:rFonts w:cs="Arial"/>
          <w:szCs w:val="19"/>
          <w:lang w:val="en-US"/>
        </w:rPr>
        <w:t>% compared with the corresponding quarter of 2016.</w:t>
      </w:r>
    </w:p>
    <w:p w14:paraId="215570E5" w14:textId="48EC0AAE" w:rsidR="00B865F4" w:rsidRPr="00B865F4" w:rsidRDefault="00B865F4" w:rsidP="00B865F4">
      <w:pPr>
        <w:tabs>
          <w:tab w:val="left" w:pos="284"/>
        </w:tabs>
        <w:jc w:val="both"/>
        <w:rPr>
          <w:rFonts w:cs="Arial"/>
          <w:szCs w:val="19"/>
          <w:lang w:val="en-US"/>
        </w:rPr>
      </w:pPr>
      <w:r w:rsidRPr="00B865F4">
        <w:rPr>
          <w:rFonts w:cs="Arial"/>
          <w:szCs w:val="19"/>
          <w:lang w:val="en-US"/>
        </w:rPr>
        <w:t xml:space="preserve">Gross value added in public administration and defense, compulsory social security, education, human health and social work activities altogether in the </w:t>
      </w:r>
      <w:r>
        <w:rPr>
          <w:rFonts w:cs="Arial"/>
          <w:szCs w:val="19"/>
          <w:lang w:val="en-US"/>
        </w:rPr>
        <w:t>fourth</w:t>
      </w:r>
      <w:r w:rsidRPr="00B865F4">
        <w:rPr>
          <w:rFonts w:cs="Arial"/>
          <w:szCs w:val="19"/>
          <w:lang w:val="en-US"/>
        </w:rPr>
        <w:t xml:space="preserve"> quarter of 2017 was </w:t>
      </w:r>
      <w:r w:rsidRPr="00B865F4">
        <w:rPr>
          <w:rFonts w:cs="Arial"/>
          <w:szCs w:val="19"/>
          <w:lang w:val="en-US"/>
        </w:rPr>
        <w:br/>
      </w:r>
      <w:r w:rsidR="00D20A6C">
        <w:rPr>
          <w:rFonts w:cs="Arial"/>
          <w:szCs w:val="19"/>
          <w:lang w:val="en-US"/>
        </w:rPr>
        <w:t>0.7</w:t>
      </w:r>
      <w:r w:rsidRPr="00B865F4">
        <w:rPr>
          <w:rFonts w:cs="Arial"/>
          <w:szCs w:val="19"/>
          <w:lang w:val="en-US"/>
        </w:rPr>
        <w:t xml:space="preserve">% </w:t>
      </w:r>
      <w:r w:rsidR="00D20A6C">
        <w:rPr>
          <w:rFonts w:cs="Arial"/>
          <w:szCs w:val="19"/>
          <w:lang w:val="en-US"/>
        </w:rPr>
        <w:t>higher</w:t>
      </w:r>
      <w:r w:rsidRPr="00B865F4">
        <w:rPr>
          <w:rFonts w:cs="Arial"/>
          <w:szCs w:val="19"/>
          <w:lang w:val="en-US"/>
        </w:rPr>
        <w:t>.</w:t>
      </w:r>
    </w:p>
    <w:p w14:paraId="65D8BCFB" w14:textId="2E2DBDD7" w:rsidR="00B865F4" w:rsidRPr="00B865F4" w:rsidRDefault="00B865F4" w:rsidP="00B865F4">
      <w:pPr>
        <w:tabs>
          <w:tab w:val="left" w:pos="284"/>
        </w:tabs>
        <w:jc w:val="both"/>
        <w:rPr>
          <w:rFonts w:cs="Arial"/>
          <w:szCs w:val="19"/>
          <w:lang w:val="en-US"/>
        </w:rPr>
      </w:pPr>
      <w:r w:rsidRPr="00B865F4">
        <w:rPr>
          <w:rFonts w:cs="Arial"/>
          <w:szCs w:val="19"/>
          <w:lang w:val="en-US"/>
        </w:rPr>
        <w:t xml:space="preserve">Domestic uses in the </w:t>
      </w:r>
      <w:r>
        <w:rPr>
          <w:rFonts w:cs="Arial"/>
          <w:szCs w:val="19"/>
          <w:lang w:val="en-US"/>
        </w:rPr>
        <w:t>fourth</w:t>
      </w:r>
      <w:r w:rsidRPr="00B865F4">
        <w:rPr>
          <w:rFonts w:cs="Arial"/>
          <w:szCs w:val="19"/>
          <w:lang w:val="en-US"/>
        </w:rPr>
        <w:t xml:space="preserve"> quarter of 2017 were </w:t>
      </w:r>
      <w:r w:rsidR="00292715">
        <w:rPr>
          <w:rFonts w:cs="Arial"/>
          <w:szCs w:val="19"/>
          <w:lang w:val="en-US"/>
        </w:rPr>
        <w:t>6.1</w:t>
      </w:r>
      <w:r w:rsidRPr="00B865F4">
        <w:rPr>
          <w:rFonts w:cs="Arial"/>
          <w:szCs w:val="19"/>
          <w:lang w:val="en-US"/>
        </w:rPr>
        <w:t>% higher than in the corresponding quarter of the previous year.</w:t>
      </w:r>
    </w:p>
    <w:p w14:paraId="46D6E770" w14:textId="093D8587" w:rsidR="00B865F4" w:rsidRPr="00B865F4" w:rsidRDefault="00B865F4" w:rsidP="00B865F4">
      <w:pPr>
        <w:tabs>
          <w:tab w:val="left" w:pos="284"/>
        </w:tabs>
        <w:jc w:val="both"/>
        <w:rPr>
          <w:rFonts w:cs="Arial"/>
          <w:szCs w:val="19"/>
          <w:lang w:val="en-US"/>
        </w:rPr>
      </w:pPr>
      <w:r w:rsidRPr="00B865F4">
        <w:rPr>
          <w:rFonts w:cs="Arial"/>
          <w:szCs w:val="19"/>
          <w:lang w:val="en-US"/>
        </w:rPr>
        <w:t xml:space="preserve">Final consumption expenditure in the </w:t>
      </w:r>
      <w:r>
        <w:rPr>
          <w:rFonts w:cs="Arial"/>
          <w:szCs w:val="19"/>
          <w:lang w:val="en-US"/>
        </w:rPr>
        <w:t>fourth</w:t>
      </w:r>
      <w:r w:rsidRPr="00B865F4">
        <w:rPr>
          <w:rFonts w:cs="Arial"/>
          <w:szCs w:val="19"/>
          <w:lang w:val="en-US"/>
        </w:rPr>
        <w:t xml:space="preserve"> quarter of 2017 in comparison with the same quarter of the previous year was </w:t>
      </w:r>
      <w:r w:rsidR="00292715">
        <w:rPr>
          <w:rFonts w:cs="Arial"/>
          <w:szCs w:val="19"/>
          <w:lang w:val="en-US"/>
        </w:rPr>
        <w:t>5.0</w:t>
      </w:r>
      <w:r w:rsidRPr="00B865F4">
        <w:rPr>
          <w:rFonts w:cs="Arial"/>
          <w:szCs w:val="19"/>
          <w:lang w:val="en-US"/>
        </w:rPr>
        <w:t xml:space="preserve">% higher, of which consumption expenditure in the households sector grew by </w:t>
      </w:r>
      <w:r w:rsidR="00292715">
        <w:rPr>
          <w:rFonts w:cs="Arial"/>
          <w:szCs w:val="19"/>
          <w:lang w:val="en-US"/>
        </w:rPr>
        <w:t>4.9</w:t>
      </w:r>
      <w:r w:rsidRPr="00B865F4">
        <w:rPr>
          <w:rFonts w:cs="Arial"/>
          <w:szCs w:val="19"/>
          <w:lang w:val="en-US"/>
        </w:rPr>
        <w:t xml:space="preserve">% and the growth of public consumption expenditure amounted to </w:t>
      </w:r>
      <w:r w:rsidR="00292715">
        <w:rPr>
          <w:rFonts w:cs="Arial"/>
          <w:szCs w:val="19"/>
          <w:lang w:val="en-US"/>
        </w:rPr>
        <w:t>5.4</w:t>
      </w:r>
      <w:r w:rsidRPr="00B865F4">
        <w:rPr>
          <w:rFonts w:cs="Arial"/>
          <w:szCs w:val="19"/>
          <w:lang w:val="en-US"/>
        </w:rPr>
        <w:t xml:space="preserve">%. </w:t>
      </w:r>
    </w:p>
    <w:p w14:paraId="3D799000" w14:textId="40E911CB" w:rsidR="00B865F4" w:rsidRPr="00B865F4" w:rsidRDefault="00B865F4" w:rsidP="00B865F4">
      <w:pPr>
        <w:tabs>
          <w:tab w:val="left" w:pos="284"/>
        </w:tabs>
        <w:jc w:val="both"/>
        <w:rPr>
          <w:rFonts w:cs="Arial"/>
          <w:szCs w:val="19"/>
          <w:lang w:val="en-US"/>
        </w:rPr>
      </w:pPr>
      <w:r w:rsidRPr="00B865F4">
        <w:rPr>
          <w:rFonts w:cs="Arial"/>
          <w:szCs w:val="19"/>
          <w:lang w:val="en-US"/>
        </w:rPr>
        <w:t xml:space="preserve">Gross capital formation in the </w:t>
      </w:r>
      <w:r>
        <w:rPr>
          <w:rFonts w:cs="Arial"/>
          <w:szCs w:val="19"/>
          <w:lang w:val="en-US"/>
        </w:rPr>
        <w:t>fourth</w:t>
      </w:r>
      <w:r w:rsidRPr="00B865F4">
        <w:rPr>
          <w:rFonts w:cs="Arial"/>
          <w:szCs w:val="19"/>
          <w:lang w:val="en-US"/>
        </w:rPr>
        <w:t xml:space="preserve"> quarter of 2017 was higher by </w:t>
      </w:r>
      <w:r w:rsidR="00292715">
        <w:rPr>
          <w:rFonts w:cs="Arial"/>
          <w:szCs w:val="19"/>
          <w:lang w:val="en-US"/>
        </w:rPr>
        <w:t>8.8</w:t>
      </w:r>
      <w:r w:rsidRPr="00B865F4">
        <w:rPr>
          <w:rFonts w:cs="Arial"/>
          <w:szCs w:val="19"/>
          <w:lang w:val="en-US"/>
        </w:rPr>
        <w:t xml:space="preserve">% compared with </w:t>
      </w:r>
      <w:r w:rsidRPr="00B865F4">
        <w:rPr>
          <w:rFonts w:cs="Arial"/>
          <w:szCs w:val="19"/>
          <w:lang w:val="en-US"/>
        </w:rPr>
        <w:br/>
        <w:t xml:space="preserve">the third quarter of 2016 of which gross fixed capital formation grew by </w:t>
      </w:r>
      <w:r w:rsidR="00292715">
        <w:rPr>
          <w:rFonts w:cs="Arial"/>
          <w:szCs w:val="19"/>
          <w:lang w:val="en-US"/>
        </w:rPr>
        <w:t>11.3</w:t>
      </w:r>
      <w:r w:rsidRPr="00B865F4">
        <w:rPr>
          <w:rFonts w:cs="Arial"/>
          <w:szCs w:val="19"/>
          <w:lang w:val="en-US"/>
        </w:rPr>
        <w:t xml:space="preserve">%. Investment ratio (relation of gross fixed capital formation to gross domestic product at current prices) was equal to </w:t>
      </w:r>
      <w:r w:rsidR="00292715">
        <w:rPr>
          <w:rFonts w:cs="Arial"/>
          <w:szCs w:val="19"/>
          <w:lang w:val="en-US"/>
        </w:rPr>
        <w:t>25.6</w:t>
      </w:r>
      <w:r w:rsidRPr="00B865F4">
        <w:rPr>
          <w:rFonts w:cs="Arial"/>
          <w:szCs w:val="19"/>
          <w:lang w:val="en-US"/>
        </w:rPr>
        <w:t xml:space="preserve">% against </w:t>
      </w:r>
      <w:r w:rsidR="00292715">
        <w:rPr>
          <w:rFonts w:cs="Arial"/>
          <w:szCs w:val="19"/>
          <w:lang w:val="en-US"/>
        </w:rPr>
        <w:t>24.4</w:t>
      </w:r>
      <w:r w:rsidRPr="00B865F4">
        <w:rPr>
          <w:rFonts w:cs="Arial"/>
          <w:szCs w:val="19"/>
          <w:lang w:val="en-US"/>
        </w:rPr>
        <w:t>% in previous year.</w:t>
      </w:r>
    </w:p>
    <w:p w14:paraId="7B962172" w14:textId="2D6F5592" w:rsidR="00B865F4" w:rsidRPr="00B865F4" w:rsidRDefault="00B865F4" w:rsidP="00B865F4">
      <w:pPr>
        <w:tabs>
          <w:tab w:val="left" w:pos="284"/>
        </w:tabs>
        <w:jc w:val="both"/>
        <w:rPr>
          <w:rFonts w:cs="Arial"/>
          <w:szCs w:val="19"/>
          <w:lang w:val="en-US"/>
        </w:rPr>
      </w:pPr>
    </w:p>
    <w:p w14:paraId="6C723A3F" w14:textId="6D6CDF00" w:rsidR="00572E91" w:rsidRPr="007B484A" w:rsidRDefault="00B865F4" w:rsidP="00B865F4">
      <w:pPr>
        <w:tabs>
          <w:tab w:val="left" w:pos="284"/>
        </w:tabs>
        <w:jc w:val="both"/>
        <w:rPr>
          <w:rFonts w:cs="Arial"/>
          <w:szCs w:val="19"/>
          <w:lang w:val="en-US"/>
        </w:rPr>
      </w:pPr>
      <w:r w:rsidRPr="007B484A">
        <w:rPr>
          <w:rFonts w:cs="Arial"/>
          <w:szCs w:val="19"/>
          <w:lang w:val="en-US"/>
        </w:rPr>
        <w:t>Detailed data for GDP time series and its aggregates at current prices as well as volume growth rate (corresponding quarter of the previous year = 100, constant average prices of the previous year) is presented in tables 3 and 4. Table 5 includes information on contribution to GDP volume growth rate.</w:t>
      </w:r>
    </w:p>
    <w:p w14:paraId="64907A1B" w14:textId="4CE5CFD3" w:rsidR="00B865F4" w:rsidRPr="00B865F4" w:rsidRDefault="00B865F4" w:rsidP="00B865F4">
      <w:pPr>
        <w:tabs>
          <w:tab w:val="left" w:pos="284"/>
        </w:tabs>
        <w:jc w:val="both"/>
        <w:rPr>
          <w:rFonts w:cs="Arial"/>
          <w:bCs/>
          <w:szCs w:val="19"/>
          <w:lang w:val="en-US"/>
        </w:rPr>
      </w:pPr>
      <w:r w:rsidRPr="00B865F4">
        <w:rPr>
          <w:rFonts w:cs="Arial"/>
          <w:bCs/>
          <w:szCs w:val="19"/>
          <w:lang w:val="en-US"/>
        </w:rPr>
        <w:t>Seasonal adjustment procedure can cause revisions to historical GDP growth rates and GDP components when later quarterly observations become available or the past unadjusted data are revised.</w:t>
      </w:r>
    </w:p>
    <w:p w14:paraId="07A7194C" w14:textId="52357030" w:rsidR="00572E91" w:rsidRPr="00B865F4" w:rsidRDefault="00572E91" w:rsidP="00572E91">
      <w:pPr>
        <w:tabs>
          <w:tab w:val="left" w:pos="284"/>
        </w:tabs>
        <w:jc w:val="both"/>
        <w:rPr>
          <w:rFonts w:cs="Arial"/>
          <w:szCs w:val="19"/>
          <w:lang w:val="en-US"/>
        </w:rPr>
      </w:pPr>
    </w:p>
    <w:p w14:paraId="30821F59" w14:textId="725BCDB1" w:rsidR="00572E91" w:rsidRPr="00B865F4" w:rsidRDefault="00572E91" w:rsidP="00572E91">
      <w:pPr>
        <w:tabs>
          <w:tab w:val="left" w:pos="170"/>
        </w:tabs>
        <w:ind w:left="142" w:right="238"/>
        <w:jc w:val="both"/>
        <w:rPr>
          <w:rFonts w:ascii="Arial" w:hAnsi="Arial" w:cs="Arial"/>
          <w:noProof/>
          <w:sz w:val="22"/>
          <w:lang w:val="en-US"/>
        </w:rPr>
      </w:pPr>
    </w:p>
    <w:p w14:paraId="793F63E2" w14:textId="66CA6188" w:rsidR="00572E91" w:rsidRPr="00B865F4" w:rsidRDefault="00572E91" w:rsidP="00BD4289">
      <w:pPr>
        <w:spacing w:before="360" w:after="360"/>
        <w:rPr>
          <w:i/>
          <w:szCs w:val="19"/>
          <w:lang w:val="en-US"/>
        </w:rPr>
      </w:pPr>
    </w:p>
    <w:p w14:paraId="0FE7DE26" w14:textId="77777777" w:rsidR="00572E91" w:rsidRPr="00B865F4" w:rsidRDefault="00572E91" w:rsidP="00BD4289">
      <w:pPr>
        <w:spacing w:before="360" w:after="360"/>
        <w:rPr>
          <w:szCs w:val="19"/>
          <w:lang w:val="en-US"/>
        </w:rPr>
        <w:sectPr w:rsidR="00572E91" w:rsidRPr="00B865F4" w:rsidSect="00FF1FB2">
          <w:headerReference w:type="even" r:id="rId16"/>
          <w:headerReference w:type="default" r:id="rId17"/>
          <w:footerReference w:type="even" r:id="rId18"/>
          <w:footerReference w:type="default" r:id="rId19"/>
          <w:headerReference w:type="first" r:id="rId20"/>
          <w:footerReference w:type="first" r:id="rId21"/>
          <w:pgSz w:w="11906" w:h="16838"/>
          <w:pgMar w:top="720" w:right="3119" w:bottom="720" w:left="720" w:header="284" w:footer="397" w:gutter="0"/>
          <w:cols w:space="708"/>
          <w:titlePg/>
          <w:docGrid w:linePitch="360"/>
        </w:sectPr>
      </w:pPr>
    </w:p>
    <w:p w14:paraId="3A2B0022" w14:textId="6875171D" w:rsidR="00FD37CD" w:rsidRPr="00B865F4" w:rsidRDefault="00FD37CD"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2"/>
        <w:gridCol w:w="3825"/>
      </w:tblGrid>
      <w:tr w:rsidR="00B865F4" w:rsidRPr="0049634C" w14:paraId="22073818" w14:textId="77777777" w:rsidTr="00AC0511">
        <w:trPr>
          <w:trHeight w:val="1912"/>
        </w:trPr>
        <w:tc>
          <w:tcPr>
            <w:tcW w:w="4379" w:type="dxa"/>
          </w:tcPr>
          <w:p w14:paraId="28B9B093" w14:textId="77777777" w:rsidR="00B865F4" w:rsidRPr="006C7AC8" w:rsidRDefault="00B865F4" w:rsidP="00B865F4">
            <w:pPr>
              <w:spacing w:before="0" w:after="0" w:line="276" w:lineRule="auto"/>
              <w:rPr>
                <w:rFonts w:cs="Arial"/>
                <w:color w:val="000000" w:themeColor="text1"/>
                <w:sz w:val="18"/>
                <w:szCs w:val="18"/>
                <w:lang w:val="en-US"/>
              </w:rPr>
            </w:pPr>
            <w:r w:rsidRPr="006C7AC8">
              <w:rPr>
                <w:rFonts w:cs="Arial"/>
                <w:color w:val="000000" w:themeColor="text1"/>
                <w:sz w:val="18"/>
                <w:szCs w:val="18"/>
                <w:lang w:val="en-US"/>
              </w:rPr>
              <w:t>Prepared by :</w:t>
            </w:r>
          </w:p>
          <w:p w14:paraId="76B7D283" w14:textId="77777777" w:rsidR="00B865F4" w:rsidRPr="006C7AC8" w:rsidRDefault="00B865F4" w:rsidP="00B865F4">
            <w:pPr>
              <w:spacing w:before="0" w:after="0" w:line="240" w:lineRule="auto"/>
              <w:rPr>
                <w:rFonts w:cs="Arial"/>
                <w:b/>
                <w:color w:val="000000" w:themeColor="text1"/>
                <w:sz w:val="18"/>
                <w:szCs w:val="18"/>
                <w:lang w:val="en-US"/>
              </w:rPr>
            </w:pPr>
            <w:r w:rsidRPr="006C7AC8">
              <w:rPr>
                <w:rFonts w:cs="Arial"/>
                <w:b/>
                <w:color w:val="000000" w:themeColor="text1"/>
                <w:sz w:val="18"/>
                <w:szCs w:val="18"/>
                <w:lang w:val="en-US"/>
              </w:rPr>
              <w:t>National Accounts Department</w:t>
            </w:r>
          </w:p>
          <w:p w14:paraId="0513E700" w14:textId="0675E5AB" w:rsidR="00B865F4" w:rsidRPr="008F3638" w:rsidRDefault="00B865F4" w:rsidP="00B865F4">
            <w:pPr>
              <w:pStyle w:val="Nagwek3"/>
              <w:spacing w:before="0" w:line="240" w:lineRule="auto"/>
              <w:rPr>
                <w:rFonts w:ascii="Fira Sans" w:hAnsi="Fira Sans" w:cs="Arial"/>
                <w:color w:val="000000" w:themeColor="text1"/>
                <w:sz w:val="20"/>
                <w:lang w:val="fi-FI"/>
              </w:rPr>
            </w:pPr>
            <w:proofErr w:type="spellStart"/>
            <w:r w:rsidRPr="006C7AC8">
              <w:rPr>
                <w:rFonts w:ascii="Fira Sans" w:hAnsi="Fira Sans" w:cs="Arial"/>
                <w:b/>
                <w:color w:val="000000" w:themeColor="text1"/>
                <w:sz w:val="18"/>
                <w:szCs w:val="18"/>
                <w:lang w:val="en-US"/>
              </w:rPr>
              <w:t>Ms</w:t>
            </w:r>
            <w:proofErr w:type="spellEnd"/>
            <w:r w:rsidRPr="006C7AC8">
              <w:rPr>
                <w:rFonts w:ascii="Fira Sans" w:hAnsi="Fira Sans" w:cs="Arial"/>
                <w:b/>
                <w:color w:val="000000" w:themeColor="text1"/>
                <w:sz w:val="18"/>
                <w:szCs w:val="18"/>
                <w:lang w:val="en-US"/>
              </w:rPr>
              <w:t xml:space="preserve"> Irmina Cerling</w:t>
            </w:r>
            <w:r w:rsidRPr="008F3638">
              <w:rPr>
                <w:rFonts w:ascii="Fira Sans" w:hAnsi="Fira Sans" w:cs="Arial"/>
                <w:color w:val="000000" w:themeColor="text1"/>
                <w:sz w:val="20"/>
                <w:lang w:val="fi-FI"/>
              </w:rPr>
              <w:t xml:space="preserve"> Tel: 22 </w:t>
            </w:r>
            <w:r>
              <w:rPr>
                <w:rFonts w:ascii="Fira Sans" w:hAnsi="Fira Sans" w:cs="Arial"/>
                <w:color w:val="000000" w:themeColor="text1"/>
                <w:sz w:val="20"/>
                <w:lang w:val="fi-FI"/>
              </w:rPr>
              <w:t>608 38 32</w:t>
            </w:r>
          </w:p>
          <w:p w14:paraId="6791A4C5" w14:textId="77777777" w:rsidR="00B865F4" w:rsidRPr="008F3638" w:rsidRDefault="00B865F4" w:rsidP="00B865F4">
            <w:pPr>
              <w:pStyle w:val="Nagwek3"/>
              <w:spacing w:before="0" w:line="240" w:lineRule="auto"/>
              <w:rPr>
                <w:rFonts w:ascii="Fira Sans" w:hAnsi="Fira Sans"/>
                <w:color w:val="000000" w:themeColor="text1"/>
                <w:lang w:val="fi-FI"/>
              </w:rPr>
            </w:pPr>
            <w:r w:rsidRPr="00FD0C1E">
              <w:rPr>
                <w:rFonts w:ascii="Fira Sans" w:hAnsi="Fira Sans" w:cs="Arial"/>
                <w:b/>
                <w:color w:val="000000" w:themeColor="text1"/>
                <w:sz w:val="20"/>
                <w:szCs w:val="20"/>
                <w:lang w:val="en-US"/>
              </w:rPr>
              <w:t xml:space="preserve">e-mail: </w:t>
            </w:r>
            <w:r w:rsidR="001D56DC">
              <w:fldChar w:fldCharType="begin"/>
            </w:r>
            <w:r w:rsidR="001D56DC" w:rsidRPr="00D77050">
              <w:rPr>
                <w:lang w:val="en-US"/>
              </w:rPr>
              <w:instrText xml:space="preserve"> HYPERLINK "mailto:i.cerling@stat.gov.pl" </w:instrText>
            </w:r>
            <w:r w:rsidR="001D56DC">
              <w:fldChar w:fldCharType="separate"/>
            </w:r>
            <w:r w:rsidRPr="00037937">
              <w:rPr>
                <w:rStyle w:val="Hipercze"/>
                <w:rFonts w:ascii="Fira Sans" w:hAnsi="Fira Sans" w:cs="Arial"/>
                <w:b/>
                <w:sz w:val="20"/>
                <w:szCs w:val="20"/>
                <w:lang w:val="en-US"/>
              </w:rPr>
              <w:t>i.cerling@stat.gov.pl</w:t>
            </w:r>
            <w:r w:rsidR="001D56DC">
              <w:rPr>
                <w:rStyle w:val="Hipercze"/>
                <w:rFonts w:ascii="Fira Sans" w:hAnsi="Fira Sans" w:cs="Arial"/>
                <w:b/>
                <w:sz w:val="20"/>
                <w:szCs w:val="20"/>
                <w:lang w:val="en-US"/>
              </w:rPr>
              <w:fldChar w:fldCharType="end"/>
            </w:r>
          </w:p>
        </w:tc>
        <w:tc>
          <w:tcPr>
            <w:tcW w:w="3942" w:type="dxa"/>
          </w:tcPr>
          <w:p w14:paraId="596AF521" w14:textId="77777777" w:rsidR="00B865F4" w:rsidRPr="006C7AC8" w:rsidRDefault="00B865F4" w:rsidP="00B865F4">
            <w:pPr>
              <w:pStyle w:val="Nagwek3"/>
              <w:spacing w:before="0" w:line="240" w:lineRule="auto"/>
              <w:rPr>
                <w:rFonts w:ascii="Fira Sans" w:hAnsi="Fira Sans" w:cs="Arial"/>
                <w:b/>
                <w:color w:val="000000" w:themeColor="text1"/>
                <w:sz w:val="18"/>
                <w:szCs w:val="18"/>
                <w:lang w:val="en-US"/>
              </w:rPr>
            </w:pPr>
            <w:r w:rsidRPr="006C7AC8">
              <w:rPr>
                <w:rFonts w:cs="Arial"/>
                <w:color w:val="000000" w:themeColor="text1"/>
                <w:sz w:val="18"/>
                <w:szCs w:val="18"/>
                <w:lang w:val="en-US"/>
              </w:rPr>
              <w:t>Dissemination :</w:t>
            </w:r>
            <w:r w:rsidRPr="006C7AC8">
              <w:rPr>
                <w:rFonts w:cs="Arial"/>
                <w:color w:val="000000" w:themeColor="text1"/>
                <w:sz w:val="18"/>
                <w:szCs w:val="18"/>
                <w:lang w:val="en-US"/>
              </w:rPr>
              <w:br/>
            </w:r>
            <w:r w:rsidRPr="006C7AC8">
              <w:rPr>
                <w:rStyle w:val="Pogrubienie"/>
                <w:sz w:val="18"/>
                <w:szCs w:val="18"/>
                <w:lang w:val="en-US"/>
              </w:rPr>
              <w:t>The Spokesperson for the President of the Statistics Poland</w:t>
            </w:r>
            <w:r w:rsidRPr="006C7AC8">
              <w:rPr>
                <w:rFonts w:ascii="Fira Sans" w:hAnsi="Fira Sans" w:cs="Arial"/>
                <w:b/>
                <w:color w:val="000000" w:themeColor="text1"/>
                <w:sz w:val="18"/>
                <w:szCs w:val="18"/>
                <w:lang w:val="en-US"/>
              </w:rPr>
              <w:t xml:space="preserve"> </w:t>
            </w:r>
          </w:p>
          <w:p w14:paraId="774ACB7A" w14:textId="73F8777B" w:rsidR="00B865F4" w:rsidRPr="00EA38C0" w:rsidRDefault="00300B5C" w:rsidP="00B865F4">
            <w:pPr>
              <w:pStyle w:val="Nagwek3"/>
              <w:spacing w:before="0" w:line="240" w:lineRule="auto"/>
              <w:rPr>
                <w:rFonts w:ascii="Fira Sans" w:hAnsi="Fira Sans" w:cs="Arial"/>
                <w:b/>
                <w:color w:val="000000" w:themeColor="text1"/>
                <w:sz w:val="18"/>
                <w:szCs w:val="18"/>
              </w:rPr>
            </w:pPr>
            <w:r w:rsidRPr="00EA38C0">
              <w:rPr>
                <w:rFonts w:ascii="Fira Sans" w:hAnsi="Fira Sans" w:cs="Arial"/>
                <w:b/>
                <w:color w:val="000000" w:themeColor="text1"/>
                <w:sz w:val="18"/>
                <w:szCs w:val="18"/>
              </w:rPr>
              <w:t xml:space="preserve">Ms </w:t>
            </w:r>
            <w:r w:rsidR="00B865F4" w:rsidRPr="00EA38C0">
              <w:rPr>
                <w:rFonts w:ascii="Fira Sans" w:hAnsi="Fira Sans" w:cs="Arial"/>
                <w:b/>
                <w:color w:val="000000" w:themeColor="text1"/>
                <w:sz w:val="18"/>
                <w:szCs w:val="18"/>
              </w:rPr>
              <w:t>Karolina Dawidziuk</w:t>
            </w:r>
          </w:p>
          <w:p w14:paraId="0B6CF505" w14:textId="77777777" w:rsidR="00B865F4" w:rsidRPr="008F3638" w:rsidRDefault="00B865F4" w:rsidP="00B865F4">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xml:space="preserve"> 22 608 3009</w:t>
            </w:r>
          </w:p>
          <w:p w14:paraId="6E00714B" w14:textId="77777777" w:rsidR="00B865F4" w:rsidRPr="00E14C3C" w:rsidRDefault="00B865F4" w:rsidP="00B865F4">
            <w:pPr>
              <w:pStyle w:val="Nagwek3"/>
              <w:spacing w:before="0" w:line="240" w:lineRule="auto"/>
              <w:rPr>
                <w:rFonts w:ascii="Fira Sans" w:hAnsi="Fira Sans" w:cs="Arial"/>
                <w:color w:val="000000" w:themeColor="text1"/>
                <w:sz w:val="20"/>
                <w:szCs w:val="20"/>
              </w:rPr>
            </w:pPr>
            <w:r w:rsidRPr="00E14C3C">
              <w:rPr>
                <w:rFonts w:ascii="Fira Sans" w:hAnsi="Fira Sans" w:cs="Arial"/>
                <w:b/>
                <w:color w:val="000000" w:themeColor="text1"/>
                <w:sz w:val="20"/>
                <w:szCs w:val="20"/>
              </w:rPr>
              <w:t xml:space="preserve">e-mail: </w:t>
            </w:r>
            <w:hyperlink r:id="rId22" w:history="1">
              <w:r w:rsidRPr="00E14C3C">
                <w:rPr>
                  <w:rStyle w:val="Hipercze"/>
                  <w:rFonts w:ascii="Fira Sans" w:hAnsi="Fira Sans" w:cs="Arial"/>
                  <w:b/>
                  <w:color w:val="000000" w:themeColor="text1"/>
                  <w:sz w:val="20"/>
                  <w:szCs w:val="20"/>
                </w:rPr>
                <w:t>rzecznik@stat.gov.pl</w:t>
              </w:r>
            </w:hyperlink>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B865F4" w14:paraId="237228F4" w14:textId="77777777" w:rsidTr="00AC0511">
        <w:trPr>
          <w:trHeight w:val="610"/>
        </w:trPr>
        <w:tc>
          <w:tcPr>
            <w:tcW w:w="2721" w:type="pct"/>
            <w:vMerge w:val="restart"/>
            <w:vAlign w:val="center"/>
          </w:tcPr>
          <w:p w14:paraId="27C899F4"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b/>
                <w:bCs/>
                <w:color w:val="000000" w:themeColor="text1"/>
                <w:sz w:val="18"/>
                <w:szCs w:val="18"/>
                <w:lang w:val="en-US"/>
              </w:rPr>
              <w:t>Press Office</w:t>
            </w:r>
            <w:r w:rsidRPr="006C7AC8">
              <w:rPr>
                <w:rFonts w:cs="Arial"/>
                <w:color w:val="000000" w:themeColor="text1"/>
                <w:sz w:val="18"/>
                <w:szCs w:val="18"/>
                <w:lang w:val="en-US"/>
              </w:rPr>
              <w:t xml:space="preserve"> </w:t>
            </w:r>
          </w:p>
          <w:p w14:paraId="55C6DE96"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tel.: +48 22 608 34 91</w:t>
            </w:r>
            <w:r>
              <w:rPr>
                <w:rFonts w:cs="Arial"/>
                <w:color w:val="000000" w:themeColor="text1"/>
                <w:sz w:val="18"/>
                <w:szCs w:val="18"/>
                <w:lang w:val="en-US"/>
              </w:rPr>
              <w:t>.</w:t>
            </w:r>
            <w:r w:rsidRPr="006C7AC8">
              <w:rPr>
                <w:rFonts w:cs="Arial"/>
                <w:color w:val="000000" w:themeColor="text1"/>
                <w:sz w:val="18"/>
                <w:szCs w:val="18"/>
                <w:lang w:val="en-US"/>
              </w:rPr>
              <w:t xml:space="preserve"> +48 22 608 38 04 </w:t>
            </w:r>
          </w:p>
          <w:p w14:paraId="4955FC21" w14:textId="77777777" w:rsidR="00B865F4" w:rsidRPr="006C7AC8" w:rsidRDefault="00B865F4" w:rsidP="00B865F4">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 xml:space="preserve">fax: +48 22 608 38 86 </w:t>
            </w:r>
          </w:p>
          <w:p w14:paraId="02B65D73" w14:textId="77777777" w:rsidR="00B865F4" w:rsidRPr="0038292F" w:rsidRDefault="00B865F4" w:rsidP="00B865F4">
            <w:pPr>
              <w:rPr>
                <w:sz w:val="18"/>
                <w:lang w:val="en-US"/>
              </w:rPr>
            </w:pPr>
            <w:r w:rsidRPr="006C7AC8">
              <w:rPr>
                <w:rFonts w:cs="Arial"/>
                <w:color w:val="000000" w:themeColor="text1"/>
                <w:sz w:val="18"/>
                <w:szCs w:val="18"/>
                <w:lang w:val="en-US"/>
              </w:rPr>
              <w:t xml:space="preserve">e-mail: </w:t>
            </w:r>
            <w:r w:rsidR="001D56DC">
              <w:fldChar w:fldCharType="begin"/>
            </w:r>
            <w:r w:rsidR="001D56DC" w:rsidRPr="00D77050">
              <w:rPr>
                <w:lang w:val="en-US"/>
              </w:rPr>
              <w:instrText xml:space="preserve"> HYPERLINK "mailto:obslugaprasowa@stat.gov.pl" </w:instrText>
            </w:r>
            <w:r w:rsidR="001D56DC">
              <w:fldChar w:fldCharType="separate"/>
            </w:r>
            <w:r w:rsidRPr="0049634C">
              <w:rPr>
                <w:rStyle w:val="Hipercze"/>
                <w:rFonts w:cs="Arial"/>
                <w:sz w:val="18"/>
                <w:szCs w:val="18"/>
                <w:lang w:val="en-US"/>
              </w:rPr>
              <w:t>obslugaprasowa@stat.gov.p</w:t>
            </w:r>
            <w:r w:rsidR="001D56DC">
              <w:rPr>
                <w:rStyle w:val="Hipercze"/>
                <w:rFonts w:cs="Arial"/>
                <w:sz w:val="18"/>
                <w:szCs w:val="18"/>
                <w:lang w:val="en-US"/>
              </w:rPr>
              <w:fldChar w:fldCharType="end"/>
            </w:r>
            <w:r w:rsidRPr="003E3C51">
              <w:rPr>
                <w:rFonts w:cs="Arial"/>
                <w:color w:val="000000" w:themeColor="text1"/>
                <w:sz w:val="18"/>
                <w:szCs w:val="18"/>
                <w:lang w:val="en-US"/>
              </w:rPr>
              <w:t>l</w:t>
            </w:r>
          </w:p>
        </w:tc>
        <w:tc>
          <w:tcPr>
            <w:tcW w:w="369" w:type="pct"/>
            <w:vAlign w:val="center"/>
          </w:tcPr>
          <w:p w14:paraId="292BC7FD" w14:textId="77777777" w:rsidR="00B865F4" w:rsidRPr="0038292F" w:rsidRDefault="00B865F4" w:rsidP="00B865F4">
            <w:pPr>
              <w:rPr>
                <w:sz w:val="18"/>
                <w:lang w:val="en-US"/>
              </w:rPr>
            </w:pPr>
            <w:r>
              <w:rPr>
                <w:noProof/>
                <w:sz w:val="20"/>
                <w:lang w:eastAsia="pl-PL"/>
              </w:rPr>
              <w:drawing>
                <wp:anchor distT="0" distB="0" distL="114300" distR="114300" simplePos="0" relativeHeight="251766784" behindDoc="0" locked="0" layoutInCell="1" allowOverlap="1" wp14:anchorId="402613F5" wp14:editId="0FD874A0">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FA40C22" w14:textId="77777777" w:rsidR="00B865F4" w:rsidRDefault="00B865F4" w:rsidP="00B865F4">
            <w:pPr>
              <w:rPr>
                <w:sz w:val="18"/>
              </w:rPr>
            </w:pPr>
            <w:r w:rsidRPr="003D5F42">
              <w:rPr>
                <w:sz w:val="20"/>
              </w:rPr>
              <w:t>www.stat.gov.pl</w:t>
            </w:r>
          </w:p>
        </w:tc>
      </w:tr>
      <w:tr w:rsidR="00B865F4" w14:paraId="2679BD50" w14:textId="77777777" w:rsidTr="00AC0511">
        <w:trPr>
          <w:trHeight w:val="436"/>
        </w:trPr>
        <w:tc>
          <w:tcPr>
            <w:tcW w:w="2721" w:type="pct"/>
            <w:vMerge/>
            <w:vAlign w:val="center"/>
          </w:tcPr>
          <w:p w14:paraId="6D99DFBF" w14:textId="77777777" w:rsidR="00B865F4" w:rsidRDefault="00B865F4" w:rsidP="00B865F4">
            <w:pPr>
              <w:rPr>
                <w:sz w:val="18"/>
              </w:rPr>
            </w:pPr>
          </w:p>
        </w:tc>
        <w:tc>
          <w:tcPr>
            <w:tcW w:w="369" w:type="pct"/>
            <w:vAlign w:val="center"/>
          </w:tcPr>
          <w:p w14:paraId="43298AB0" w14:textId="77777777" w:rsidR="00B865F4" w:rsidRDefault="00B865F4" w:rsidP="00B865F4">
            <w:pPr>
              <w:rPr>
                <w:sz w:val="18"/>
              </w:rPr>
            </w:pPr>
            <w:r>
              <w:rPr>
                <w:noProof/>
                <w:sz w:val="20"/>
                <w:lang w:eastAsia="pl-PL"/>
              </w:rPr>
              <w:drawing>
                <wp:anchor distT="0" distB="0" distL="114300" distR="114300" simplePos="0" relativeHeight="251768832" behindDoc="0" locked="0" layoutInCell="1" allowOverlap="1" wp14:anchorId="7DFED0B3" wp14:editId="3399542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BBA55C9" w14:textId="77777777" w:rsidR="00B865F4" w:rsidRDefault="00B865F4" w:rsidP="00B865F4">
            <w:pPr>
              <w:rPr>
                <w:sz w:val="18"/>
              </w:rPr>
            </w:pPr>
            <w:r w:rsidRPr="003D5F42">
              <w:rPr>
                <w:sz w:val="20"/>
              </w:rPr>
              <w:t>@GUS_STAT</w:t>
            </w:r>
          </w:p>
        </w:tc>
      </w:tr>
      <w:tr w:rsidR="00B865F4" w14:paraId="7C9627B7" w14:textId="77777777" w:rsidTr="00AC0511">
        <w:trPr>
          <w:trHeight w:val="436"/>
        </w:trPr>
        <w:tc>
          <w:tcPr>
            <w:tcW w:w="2721" w:type="pct"/>
            <w:vMerge/>
            <w:vAlign w:val="center"/>
          </w:tcPr>
          <w:p w14:paraId="27606FDE" w14:textId="77777777" w:rsidR="00B865F4" w:rsidRDefault="00B865F4" w:rsidP="00B865F4">
            <w:pPr>
              <w:rPr>
                <w:sz w:val="18"/>
              </w:rPr>
            </w:pPr>
          </w:p>
        </w:tc>
        <w:tc>
          <w:tcPr>
            <w:tcW w:w="369" w:type="pct"/>
            <w:vAlign w:val="center"/>
          </w:tcPr>
          <w:p w14:paraId="39B06E44" w14:textId="77777777" w:rsidR="00B865F4" w:rsidRDefault="00B865F4" w:rsidP="00B865F4">
            <w:pPr>
              <w:rPr>
                <w:sz w:val="18"/>
              </w:rPr>
            </w:pPr>
            <w:r>
              <w:rPr>
                <w:noProof/>
                <w:sz w:val="20"/>
                <w:lang w:eastAsia="pl-PL"/>
              </w:rPr>
              <w:drawing>
                <wp:anchor distT="0" distB="0" distL="114300" distR="114300" simplePos="0" relativeHeight="251767808" behindDoc="0" locked="0" layoutInCell="1" allowOverlap="1" wp14:anchorId="1C3EDA41" wp14:editId="3247A0EB">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082FFA5" w14:textId="77777777" w:rsidR="00B865F4" w:rsidRDefault="00B865F4" w:rsidP="00B865F4">
            <w:pPr>
              <w:rPr>
                <w:sz w:val="20"/>
              </w:rPr>
            </w:pPr>
            <w:r w:rsidRPr="003D5F42">
              <w:rPr>
                <w:sz w:val="20"/>
              </w:rPr>
              <w:t>@</w:t>
            </w:r>
            <w:proofErr w:type="spellStart"/>
            <w:r w:rsidRPr="003D5F42">
              <w:rPr>
                <w:sz w:val="20"/>
              </w:rPr>
              <w:t>GlownyUrzadStatystyczny</w:t>
            </w:r>
            <w:proofErr w:type="spellEnd"/>
          </w:p>
        </w:tc>
      </w:tr>
    </w:tbl>
    <w:p w14:paraId="277EA253" w14:textId="77777777" w:rsidR="00B865F4" w:rsidRPr="00001C5B" w:rsidRDefault="00B865F4" w:rsidP="00B865F4">
      <w:pPr>
        <w:rPr>
          <w:sz w:val="18"/>
        </w:rPr>
      </w:pPr>
      <w:r w:rsidRPr="00001C5B">
        <w:rPr>
          <w:noProof/>
          <w:sz w:val="18"/>
          <w:lang w:eastAsia="pl-PL"/>
        </w:rPr>
        <mc:AlternateContent>
          <mc:Choice Requires="wps">
            <w:drawing>
              <wp:anchor distT="45720" distB="45720" distL="114300" distR="114300" simplePos="0" relativeHeight="251765760" behindDoc="0" locked="0" layoutInCell="1" allowOverlap="1" wp14:anchorId="00F51EC8" wp14:editId="56AA961A">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AE1F245" w14:textId="77777777" w:rsidR="00B865F4" w:rsidRDefault="00B865F4" w:rsidP="00B865F4">
                            <w:pPr>
                              <w:rPr>
                                <w:b/>
                              </w:rPr>
                            </w:pPr>
                          </w:p>
                          <w:p w14:paraId="3917F930" w14:textId="77777777" w:rsidR="00B865F4" w:rsidRPr="00E118FF" w:rsidRDefault="00B865F4" w:rsidP="00B865F4">
                            <w:pPr>
                              <w:rPr>
                                <w:b/>
                                <w:lang w:val="en-US"/>
                              </w:rPr>
                            </w:pPr>
                            <w:r w:rsidRPr="00E118FF">
                              <w:rPr>
                                <w:b/>
                                <w:lang w:val="en-US"/>
                              </w:rPr>
                              <w:t>Related studies</w:t>
                            </w:r>
                          </w:p>
                          <w:p w14:paraId="67BF8226" w14:textId="77777777" w:rsidR="00B865F4" w:rsidRPr="00912AEB" w:rsidRDefault="001D56DC" w:rsidP="00B865F4">
                            <w:pPr>
                              <w:rPr>
                                <w:rStyle w:val="Hipercze"/>
                                <w:rFonts w:cs="Arial"/>
                                <w:color w:val="001D77"/>
                                <w:sz w:val="18"/>
                                <w:szCs w:val="30"/>
                                <w:shd w:val="clear" w:color="auto" w:fill="F0F0F0"/>
                                <w:lang w:val="en-US"/>
                              </w:rPr>
                            </w:pPr>
                            <w:r>
                              <w:fldChar w:fldCharType="begin"/>
                            </w:r>
                            <w:r w:rsidRPr="00D77050">
                              <w:rPr>
                                <w:lang w:val="en-US"/>
                              </w:rPr>
                              <w:instrText xml:space="preserve"> HYPERLINK "http://stat.gov.pl/en/topics/national-accounts/quarterly-national-accounts/the-cso-information-on-the-updated-2015-2016-quarterly-gdp-estimate,5,4.html" </w:instrText>
                            </w:r>
                            <w:r>
                              <w:fldChar w:fldCharType="separate"/>
                            </w:r>
                            <w:r w:rsidR="00B865F4" w:rsidRPr="0011419B">
                              <w:rPr>
                                <w:rStyle w:val="Hipercze"/>
                                <w:rFonts w:cs="Arial"/>
                                <w:sz w:val="18"/>
                                <w:szCs w:val="30"/>
                                <w:shd w:val="clear" w:color="auto" w:fill="F0F0F0"/>
                                <w:lang w:val="en-US"/>
                              </w:rPr>
                              <w:t>The Statistics Poland information on the update 2015 – 2016 quarterly GDP estimate</w:t>
                            </w:r>
                            <w:r>
                              <w:rPr>
                                <w:rStyle w:val="Hipercze"/>
                                <w:rFonts w:cs="Arial"/>
                                <w:sz w:val="18"/>
                                <w:szCs w:val="30"/>
                                <w:shd w:val="clear" w:color="auto" w:fill="F0F0F0"/>
                                <w:lang w:val="en-US"/>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B865F4" w:rsidRPr="00D77050" w14:paraId="5A1B0A0E" w14:textId="77777777" w:rsidTr="002A586E">
                              <w:trPr>
                                <w:tblCellSpacing w:w="15" w:type="dxa"/>
                              </w:trPr>
                              <w:tc>
                                <w:tcPr>
                                  <w:tcW w:w="0" w:type="auto"/>
                                  <w:vAlign w:val="center"/>
                                  <w:hideMark/>
                                </w:tcPr>
                                <w:p w14:paraId="38F0D23B" w14:textId="77777777" w:rsidR="00B865F4" w:rsidRPr="00912AEB" w:rsidRDefault="00B865F4" w:rsidP="0049634C">
                                  <w:pPr>
                                    <w:spacing w:before="0" w:after="0" w:line="240" w:lineRule="auto"/>
                                    <w:rPr>
                                      <w:rFonts w:ascii="Times New Roman" w:hAnsi="Times New Roman"/>
                                      <w:sz w:val="20"/>
                                      <w:lang w:val="en-US"/>
                                    </w:rPr>
                                  </w:pPr>
                                </w:p>
                              </w:tc>
                              <w:tc>
                                <w:tcPr>
                                  <w:tcW w:w="0" w:type="auto"/>
                                  <w:vAlign w:val="center"/>
                                </w:tcPr>
                                <w:p w14:paraId="09BE06E4" w14:textId="77777777" w:rsidR="00B865F4" w:rsidRPr="00912AEB" w:rsidRDefault="00B865F4" w:rsidP="0049634C">
                                  <w:pPr>
                                    <w:rPr>
                                      <w:sz w:val="24"/>
                                      <w:szCs w:val="24"/>
                                      <w:lang w:val="en-US"/>
                                    </w:rPr>
                                  </w:pPr>
                                </w:p>
                              </w:tc>
                            </w:tr>
                          </w:tbl>
                          <w:p w14:paraId="5A5DA1E3" w14:textId="77777777" w:rsidR="00B865F4" w:rsidRPr="00912AEB" w:rsidRDefault="00B865F4" w:rsidP="00B865F4">
                            <w:pPr>
                              <w:rPr>
                                <w:rStyle w:val="shorttext"/>
                                <w:b/>
                                <w:lang w:val="en-US"/>
                              </w:rPr>
                            </w:pPr>
                            <w:r w:rsidRPr="00912AEB">
                              <w:rPr>
                                <w:rStyle w:val="shorttext"/>
                                <w:b/>
                                <w:lang w:val="en-US"/>
                              </w:rPr>
                              <w:t>Subject available in databases</w:t>
                            </w:r>
                          </w:p>
                          <w:p w14:paraId="55186365" w14:textId="77777777" w:rsidR="00B865F4" w:rsidRPr="00912AEB" w:rsidRDefault="001D56DC" w:rsidP="00B865F4">
                            <w:pPr>
                              <w:rPr>
                                <w:rStyle w:val="Hipercze"/>
                                <w:rFonts w:cs="Arial"/>
                                <w:color w:val="001D77"/>
                                <w:sz w:val="18"/>
                                <w:szCs w:val="30"/>
                                <w:shd w:val="clear" w:color="auto" w:fill="F0F0F0"/>
                                <w:lang w:val="en-US"/>
                              </w:rPr>
                            </w:pPr>
                            <w:hyperlink r:id="rId26" w:history="1">
                              <w:r w:rsidR="00B865F4" w:rsidRPr="0011419B">
                                <w:rPr>
                                  <w:rStyle w:val="Hipercze"/>
                                  <w:rFonts w:cs="Arial"/>
                                  <w:sz w:val="18"/>
                                  <w:szCs w:val="30"/>
                                  <w:shd w:val="clear" w:color="auto" w:fill="F0F0F0"/>
                                  <w:lang w:val="en-US"/>
                                </w:rPr>
                                <w:t>Knowledge Databases – National Accounts</w:t>
                              </w:r>
                            </w:hyperlink>
                          </w:p>
                          <w:p w14:paraId="23AA030B" w14:textId="77777777" w:rsidR="00B865F4" w:rsidRPr="00912AEB" w:rsidRDefault="00B865F4" w:rsidP="00B865F4">
                            <w:pPr>
                              <w:rPr>
                                <w:b/>
                                <w:color w:val="000000" w:themeColor="text1"/>
                                <w:szCs w:val="24"/>
                                <w:lang w:val="en-US"/>
                              </w:rPr>
                            </w:pPr>
                          </w:p>
                          <w:p w14:paraId="4C437F4F" w14:textId="77777777" w:rsidR="00B865F4" w:rsidRPr="00DC467F" w:rsidRDefault="00B865F4" w:rsidP="00B865F4">
                            <w:pPr>
                              <w:rPr>
                                <w:b/>
                                <w:color w:val="000000" w:themeColor="text1"/>
                                <w:szCs w:val="24"/>
                                <w:lang w:val="en-US"/>
                              </w:rPr>
                            </w:pPr>
                            <w:r w:rsidRPr="00DC467F">
                              <w:rPr>
                                <w:rStyle w:val="shorttext"/>
                                <w:b/>
                                <w:lang w:val="en"/>
                              </w:rPr>
                              <w:t>Important concepts available in the dictionary</w:t>
                            </w:r>
                          </w:p>
                          <w:p w14:paraId="5477CA05" w14:textId="77777777" w:rsidR="00B865F4" w:rsidRPr="00912AEB" w:rsidRDefault="001D56DC" w:rsidP="00B865F4">
                            <w:pPr>
                              <w:rPr>
                                <w:rStyle w:val="Hipercze"/>
                                <w:rFonts w:cs="Arial"/>
                                <w:color w:val="001D77"/>
                                <w:sz w:val="18"/>
                                <w:szCs w:val="30"/>
                                <w:shd w:val="clear" w:color="auto" w:fill="F0F0F0"/>
                                <w:lang w:val="en-US"/>
                              </w:rPr>
                            </w:pPr>
                            <w:hyperlink r:id="rId27" w:history="1">
                              <w:r w:rsidR="00B865F4" w:rsidRPr="0011419B">
                                <w:rPr>
                                  <w:rStyle w:val="Hipercze"/>
                                  <w:rFonts w:cs="Arial"/>
                                  <w:sz w:val="18"/>
                                  <w:szCs w:val="30"/>
                                  <w:shd w:val="clear" w:color="auto" w:fill="F0F0F0"/>
                                  <w:lang w:val="en-US"/>
                                </w:rPr>
                                <w:t>Gross domestic product</w:t>
                              </w:r>
                            </w:hyperlink>
                          </w:p>
                          <w:p w14:paraId="128E173B" w14:textId="77777777" w:rsidR="00B865F4" w:rsidRDefault="001D56DC" w:rsidP="00B865F4">
                            <w:pPr>
                              <w:rPr>
                                <w:rStyle w:val="Hipercze"/>
                                <w:rFonts w:cs="Arial"/>
                                <w:color w:val="001D77"/>
                                <w:sz w:val="18"/>
                                <w:szCs w:val="30"/>
                                <w:shd w:val="clear" w:color="auto" w:fill="F0F0F0"/>
                                <w:lang w:val="en-US"/>
                              </w:rPr>
                            </w:pPr>
                            <w:hyperlink r:id="rId28" w:history="1">
                              <w:r w:rsidR="00B865F4" w:rsidRPr="0011419B">
                                <w:rPr>
                                  <w:rStyle w:val="Hipercze"/>
                                  <w:rFonts w:cs="Arial"/>
                                  <w:sz w:val="18"/>
                                  <w:szCs w:val="30"/>
                                  <w:shd w:val="clear" w:color="auto" w:fill="F0F0F0"/>
                                  <w:lang w:val="en-US"/>
                                </w:rPr>
                                <w:t>Gross value added</w:t>
                              </w:r>
                            </w:hyperlink>
                          </w:p>
                          <w:p w14:paraId="701DFE1C" w14:textId="77777777" w:rsidR="00B865F4" w:rsidRPr="00685457" w:rsidRDefault="001D56DC" w:rsidP="00B865F4">
                            <w:pPr>
                              <w:rPr>
                                <w:rStyle w:val="Hipercze"/>
                                <w:rFonts w:cs="Arial"/>
                                <w:color w:val="001D77"/>
                                <w:sz w:val="18"/>
                                <w:szCs w:val="30"/>
                                <w:shd w:val="clear" w:color="auto" w:fill="F0F0F0"/>
                                <w:lang w:val="en-US"/>
                              </w:rPr>
                            </w:pPr>
                            <w:hyperlink r:id="rId29" w:history="1">
                              <w:r w:rsidR="00B865F4" w:rsidRPr="0011419B">
                                <w:rPr>
                                  <w:rStyle w:val="Hipercze"/>
                                  <w:rFonts w:cs="Arial"/>
                                  <w:sz w:val="18"/>
                                  <w:szCs w:val="30"/>
                                  <w:shd w:val="clear" w:color="auto" w:fill="F0F0F0"/>
                                  <w:lang w:val="en-US"/>
                                </w:rPr>
                                <w:t>Gross capital formation</w:t>
                              </w:r>
                            </w:hyperlink>
                          </w:p>
                          <w:p w14:paraId="49AA638B" w14:textId="77777777" w:rsidR="00B865F4" w:rsidRPr="0038292F" w:rsidRDefault="00B865F4" w:rsidP="00B865F4">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51EC8" id="_x0000_t202" coordsize="21600,21600" o:spt="202" path="m,l,21600r21600,l21600,xe">
                <v:stroke joinstyle="miter"/>
                <v:path gradientshapeok="t" o:connecttype="rect"/>
              </v:shapetype>
              <v:shape id="_x0000_s1033" type="#_x0000_t202" style="position:absolute;margin-left:1.5pt;margin-top:33.5pt;width:516.5pt;height:349.8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2AE1F245" w14:textId="77777777" w:rsidR="00B865F4" w:rsidRDefault="00B865F4" w:rsidP="00B865F4">
                      <w:pPr>
                        <w:rPr>
                          <w:b/>
                        </w:rPr>
                      </w:pPr>
                    </w:p>
                    <w:p w14:paraId="3917F930" w14:textId="77777777" w:rsidR="00B865F4" w:rsidRPr="00E118FF" w:rsidRDefault="00B865F4" w:rsidP="00B865F4">
                      <w:pPr>
                        <w:rPr>
                          <w:b/>
                          <w:lang w:val="en-US"/>
                        </w:rPr>
                      </w:pPr>
                      <w:r w:rsidRPr="00E118FF">
                        <w:rPr>
                          <w:b/>
                          <w:lang w:val="en-US"/>
                        </w:rPr>
                        <w:t>Related studies</w:t>
                      </w:r>
                    </w:p>
                    <w:p w14:paraId="67BF8226" w14:textId="77777777" w:rsidR="00B865F4" w:rsidRPr="00912AEB" w:rsidRDefault="001D56DC" w:rsidP="00B865F4">
                      <w:pPr>
                        <w:rPr>
                          <w:rStyle w:val="Hipercze"/>
                          <w:rFonts w:cs="Arial"/>
                          <w:color w:val="001D77"/>
                          <w:sz w:val="18"/>
                          <w:szCs w:val="30"/>
                          <w:shd w:val="clear" w:color="auto" w:fill="F0F0F0"/>
                          <w:lang w:val="en-US"/>
                        </w:rPr>
                      </w:pPr>
                      <w:r>
                        <w:fldChar w:fldCharType="begin"/>
                      </w:r>
                      <w:r w:rsidRPr="00D77050">
                        <w:rPr>
                          <w:lang w:val="en-US"/>
                        </w:rPr>
                        <w:instrText xml:space="preserve"> HYPERLINK "http://stat.gov.pl/en/topics/national-accounts/quarterly-national-accounts/the-cso-information-on-the-updated-2015-2016-quarterly-gdp-estimate,5,4.html" </w:instrText>
                      </w:r>
                      <w:r>
                        <w:fldChar w:fldCharType="separate"/>
                      </w:r>
                      <w:r w:rsidR="00B865F4" w:rsidRPr="0011419B">
                        <w:rPr>
                          <w:rStyle w:val="Hipercze"/>
                          <w:rFonts w:cs="Arial"/>
                          <w:sz w:val="18"/>
                          <w:szCs w:val="30"/>
                          <w:shd w:val="clear" w:color="auto" w:fill="F0F0F0"/>
                          <w:lang w:val="en-US"/>
                        </w:rPr>
                        <w:t>The Statistics Poland information on the update 2015 – 2016 quarterly GDP estimate</w:t>
                      </w:r>
                      <w:r>
                        <w:rPr>
                          <w:rStyle w:val="Hipercze"/>
                          <w:rFonts w:cs="Arial"/>
                          <w:sz w:val="18"/>
                          <w:szCs w:val="30"/>
                          <w:shd w:val="clear" w:color="auto" w:fill="F0F0F0"/>
                          <w:lang w:val="en-US"/>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B865F4" w:rsidRPr="00D77050" w14:paraId="5A1B0A0E" w14:textId="77777777" w:rsidTr="002A586E">
                        <w:trPr>
                          <w:tblCellSpacing w:w="15" w:type="dxa"/>
                        </w:trPr>
                        <w:tc>
                          <w:tcPr>
                            <w:tcW w:w="0" w:type="auto"/>
                            <w:vAlign w:val="center"/>
                            <w:hideMark/>
                          </w:tcPr>
                          <w:p w14:paraId="38F0D23B" w14:textId="77777777" w:rsidR="00B865F4" w:rsidRPr="00912AEB" w:rsidRDefault="00B865F4" w:rsidP="0049634C">
                            <w:pPr>
                              <w:spacing w:before="0" w:after="0" w:line="240" w:lineRule="auto"/>
                              <w:rPr>
                                <w:rFonts w:ascii="Times New Roman" w:hAnsi="Times New Roman"/>
                                <w:sz w:val="20"/>
                                <w:lang w:val="en-US"/>
                              </w:rPr>
                            </w:pPr>
                          </w:p>
                        </w:tc>
                        <w:tc>
                          <w:tcPr>
                            <w:tcW w:w="0" w:type="auto"/>
                            <w:vAlign w:val="center"/>
                          </w:tcPr>
                          <w:p w14:paraId="09BE06E4" w14:textId="77777777" w:rsidR="00B865F4" w:rsidRPr="00912AEB" w:rsidRDefault="00B865F4" w:rsidP="0049634C">
                            <w:pPr>
                              <w:rPr>
                                <w:sz w:val="24"/>
                                <w:szCs w:val="24"/>
                                <w:lang w:val="en-US"/>
                              </w:rPr>
                            </w:pPr>
                          </w:p>
                        </w:tc>
                      </w:tr>
                    </w:tbl>
                    <w:p w14:paraId="5A5DA1E3" w14:textId="77777777" w:rsidR="00B865F4" w:rsidRPr="00912AEB" w:rsidRDefault="00B865F4" w:rsidP="00B865F4">
                      <w:pPr>
                        <w:rPr>
                          <w:rStyle w:val="shorttext"/>
                          <w:b/>
                          <w:lang w:val="en-US"/>
                        </w:rPr>
                      </w:pPr>
                      <w:r w:rsidRPr="00912AEB">
                        <w:rPr>
                          <w:rStyle w:val="shorttext"/>
                          <w:b/>
                          <w:lang w:val="en-US"/>
                        </w:rPr>
                        <w:t>Subject available in databases</w:t>
                      </w:r>
                    </w:p>
                    <w:p w14:paraId="55186365" w14:textId="77777777" w:rsidR="00B865F4" w:rsidRPr="00912AEB" w:rsidRDefault="001D56DC" w:rsidP="00B865F4">
                      <w:pPr>
                        <w:rPr>
                          <w:rStyle w:val="Hipercze"/>
                          <w:rFonts w:cs="Arial"/>
                          <w:color w:val="001D77"/>
                          <w:sz w:val="18"/>
                          <w:szCs w:val="30"/>
                          <w:shd w:val="clear" w:color="auto" w:fill="F0F0F0"/>
                          <w:lang w:val="en-US"/>
                        </w:rPr>
                      </w:pPr>
                      <w:hyperlink r:id="rId30" w:history="1">
                        <w:r w:rsidR="00B865F4" w:rsidRPr="0011419B">
                          <w:rPr>
                            <w:rStyle w:val="Hipercze"/>
                            <w:rFonts w:cs="Arial"/>
                            <w:sz w:val="18"/>
                            <w:szCs w:val="30"/>
                            <w:shd w:val="clear" w:color="auto" w:fill="F0F0F0"/>
                            <w:lang w:val="en-US"/>
                          </w:rPr>
                          <w:t>Knowledge Databases – National Accounts</w:t>
                        </w:r>
                      </w:hyperlink>
                    </w:p>
                    <w:p w14:paraId="23AA030B" w14:textId="77777777" w:rsidR="00B865F4" w:rsidRPr="00912AEB" w:rsidRDefault="00B865F4" w:rsidP="00B865F4">
                      <w:pPr>
                        <w:rPr>
                          <w:b/>
                          <w:color w:val="000000" w:themeColor="text1"/>
                          <w:szCs w:val="24"/>
                          <w:lang w:val="en-US"/>
                        </w:rPr>
                      </w:pPr>
                    </w:p>
                    <w:p w14:paraId="4C437F4F" w14:textId="77777777" w:rsidR="00B865F4" w:rsidRPr="00DC467F" w:rsidRDefault="00B865F4" w:rsidP="00B865F4">
                      <w:pPr>
                        <w:rPr>
                          <w:b/>
                          <w:color w:val="000000" w:themeColor="text1"/>
                          <w:szCs w:val="24"/>
                          <w:lang w:val="en-US"/>
                        </w:rPr>
                      </w:pPr>
                      <w:r w:rsidRPr="00DC467F">
                        <w:rPr>
                          <w:rStyle w:val="shorttext"/>
                          <w:b/>
                          <w:lang w:val="en"/>
                        </w:rPr>
                        <w:t>Important concepts available in the dictionary</w:t>
                      </w:r>
                    </w:p>
                    <w:p w14:paraId="5477CA05" w14:textId="77777777" w:rsidR="00B865F4" w:rsidRPr="00912AEB" w:rsidRDefault="001D56DC" w:rsidP="00B865F4">
                      <w:pPr>
                        <w:rPr>
                          <w:rStyle w:val="Hipercze"/>
                          <w:rFonts w:cs="Arial"/>
                          <w:color w:val="001D77"/>
                          <w:sz w:val="18"/>
                          <w:szCs w:val="30"/>
                          <w:shd w:val="clear" w:color="auto" w:fill="F0F0F0"/>
                          <w:lang w:val="en-US"/>
                        </w:rPr>
                      </w:pPr>
                      <w:hyperlink r:id="rId31" w:history="1">
                        <w:r w:rsidR="00B865F4" w:rsidRPr="0011419B">
                          <w:rPr>
                            <w:rStyle w:val="Hipercze"/>
                            <w:rFonts w:cs="Arial"/>
                            <w:sz w:val="18"/>
                            <w:szCs w:val="30"/>
                            <w:shd w:val="clear" w:color="auto" w:fill="F0F0F0"/>
                            <w:lang w:val="en-US"/>
                          </w:rPr>
                          <w:t>Gross domestic product</w:t>
                        </w:r>
                      </w:hyperlink>
                    </w:p>
                    <w:p w14:paraId="128E173B" w14:textId="77777777" w:rsidR="00B865F4" w:rsidRDefault="001D56DC" w:rsidP="00B865F4">
                      <w:pPr>
                        <w:rPr>
                          <w:rStyle w:val="Hipercze"/>
                          <w:rFonts w:cs="Arial"/>
                          <w:color w:val="001D77"/>
                          <w:sz w:val="18"/>
                          <w:szCs w:val="30"/>
                          <w:shd w:val="clear" w:color="auto" w:fill="F0F0F0"/>
                          <w:lang w:val="en-US"/>
                        </w:rPr>
                      </w:pPr>
                      <w:hyperlink r:id="rId32" w:history="1">
                        <w:r w:rsidR="00B865F4" w:rsidRPr="0011419B">
                          <w:rPr>
                            <w:rStyle w:val="Hipercze"/>
                            <w:rFonts w:cs="Arial"/>
                            <w:sz w:val="18"/>
                            <w:szCs w:val="30"/>
                            <w:shd w:val="clear" w:color="auto" w:fill="F0F0F0"/>
                            <w:lang w:val="en-US"/>
                          </w:rPr>
                          <w:t>Gross value added</w:t>
                        </w:r>
                      </w:hyperlink>
                    </w:p>
                    <w:p w14:paraId="701DFE1C" w14:textId="77777777" w:rsidR="00B865F4" w:rsidRPr="00685457" w:rsidRDefault="001D56DC" w:rsidP="00B865F4">
                      <w:pPr>
                        <w:rPr>
                          <w:rStyle w:val="Hipercze"/>
                          <w:rFonts w:cs="Arial"/>
                          <w:color w:val="001D77"/>
                          <w:sz w:val="18"/>
                          <w:szCs w:val="30"/>
                          <w:shd w:val="clear" w:color="auto" w:fill="F0F0F0"/>
                          <w:lang w:val="en-US"/>
                        </w:rPr>
                      </w:pPr>
                      <w:hyperlink r:id="rId33" w:history="1">
                        <w:r w:rsidR="00B865F4" w:rsidRPr="0011419B">
                          <w:rPr>
                            <w:rStyle w:val="Hipercze"/>
                            <w:rFonts w:cs="Arial"/>
                            <w:sz w:val="18"/>
                            <w:szCs w:val="30"/>
                            <w:shd w:val="clear" w:color="auto" w:fill="F0F0F0"/>
                            <w:lang w:val="en-US"/>
                          </w:rPr>
                          <w:t>Gross capital formation</w:t>
                        </w:r>
                      </w:hyperlink>
                    </w:p>
                    <w:p w14:paraId="49AA638B" w14:textId="77777777" w:rsidR="00B865F4" w:rsidRPr="0038292F" w:rsidRDefault="00B865F4" w:rsidP="00B865F4">
                      <w:pPr>
                        <w:rPr>
                          <w:b/>
                          <w:color w:val="000000" w:themeColor="text1"/>
                          <w:szCs w:val="24"/>
                          <w:lang w:val="en-US"/>
                        </w:rPr>
                      </w:pPr>
                    </w:p>
                  </w:txbxContent>
                </v:textbox>
                <w10:wrap type="square" anchorx="margin"/>
              </v:shape>
            </w:pict>
          </mc:Fallback>
        </mc:AlternateContent>
      </w:r>
    </w:p>
    <w:p w14:paraId="5F87F1F3" w14:textId="40684486" w:rsidR="00D261A2" w:rsidRPr="00001C5B" w:rsidRDefault="00D261A2" w:rsidP="00E76D26">
      <w:pPr>
        <w:rPr>
          <w:sz w:val="18"/>
        </w:rPr>
      </w:pPr>
    </w:p>
    <w:sectPr w:rsidR="00D261A2" w:rsidRPr="00001C5B" w:rsidSect="00FF1FB2">
      <w:headerReference w:type="default" r:id="rId34"/>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7DD99" w14:textId="77777777" w:rsidR="001D56DC" w:rsidRDefault="001D56DC" w:rsidP="000662E2">
      <w:pPr>
        <w:spacing w:after="0" w:line="240" w:lineRule="auto"/>
      </w:pPr>
      <w:r>
        <w:separator/>
      </w:r>
    </w:p>
  </w:endnote>
  <w:endnote w:type="continuationSeparator" w:id="0">
    <w:p w14:paraId="61375ACA" w14:textId="77777777" w:rsidR="001D56DC" w:rsidRDefault="001D56D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3EB6B892-0A3C-4C76-A6E5-80666C8965E2}"/>
    <w:embedBold r:id="rId2" w:fontKey="{D6CF40AB-6D4F-4617-8819-B1127B48F70A}"/>
    <w:embedItalic r:id="rId3" w:fontKey="{78F39FE8-9C93-40DD-BFE6-120482BDDD64}"/>
  </w:font>
  <w:font w:name="Fira Sans">
    <w:panose1 w:val="020B0503050000020004"/>
    <w:charset w:val="EE"/>
    <w:family w:val="swiss"/>
    <w:pitch w:val="variable"/>
    <w:sig w:usb0="600002FF" w:usb1="02000001" w:usb2="00000000" w:usb3="00000000" w:csb0="0000019F" w:csb1="00000000"/>
    <w:embedRegular r:id="rId4" w:fontKey="{428D7C28-BF0B-4A54-B845-A2144DFEB3E5}"/>
    <w:embedBold r:id="rId5" w:fontKey="{29F78926-4D37-4C76-9E78-7D8D9930696E}"/>
    <w:embedItalic r:id="rId6" w:fontKey="{26A201C9-5B08-46AD-9152-1D077431A4CE}"/>
  </w:font>
  <w:font w:name="Fira Sans SemiBold">
    <w:panose1 w:val="020B0603050000020004"/>
    <w:charset w:val="EE"/>
    <w:family w:val="swiss"/>
    <w:pitch w:val="variable"/>
    <w:sig w:usb0="600002FF" w:usb1="02000001" w:usb2="00000000" w:usb3="00000000" w:csb0="0000019F" w:csb1="00000000"/>
    <w:embedRegular r:id="rId7" w:fontKey="{7CBA72D6-BEF6-4A39-B686-A57ACB886AB7}"/>
    <w:embedBold r:id="rId8" w:fontKey="{B97533C5-78F4-4920-9FE0-50373D84701E}"/>
  </w:font>
  <w:font w:name="Fira Sans Medium">
    <w:panose1 w:val="020B0603050000020004"/>
    <w:charset w:val="EE"/>
    <w:family w:val="swiss"/>
    <w:pitch w:val="variable"/>
    <w:sig w:usb0="600002FF" w:usb1="02000001" w:usb2="00000000" w:usb3="00000000" w:csb0="0000019F" w:csb1="00000000"/>
    <w:embedRegular r:id="rId9" w:fontKey="{9DC4AF33-4678-474A-AD6A-F1D7E1CB7EC0}"/>
    <w:embedBold r:id="rId10" w:fontKey="{AED84F05-4FA7-420F-9DB3-BA927329E8C7}"/>
    <w:embedItalic r:id="rId11" w:fontKey="{7C4C76D7-1DF0-4D27-BAFD-109798EBCF2A}"/>
  </w:font>
  <w:font w:name="Segoe UI">
    <w:panose1 w:val="020B0502040204020203"/>
    <w:charset w:val="EE"/>
    <w:family w:val="swiss"/>
    <w:pitch w:val="variable"/>
    <w:sig w:usb0="E4002EFF" w:usb1="C000E47F" w:usb2="00000009" w:usb3="00000000" w:csb0="000001FF" w:csb1="00000000"/>
    <w:embedRegular r:id="rId12" w:fontKey="{39DB4C50-9E17-4D12-A786-C3DD698852B1}"/>
  </w:font>
  <w:font w:name="Fira Sans Extra Condensed SemiB">
    <w:panose1 w:val="020B0603050000020004"/>
    <w:charset w:val="EE"/>
    <w:family w:val="swiss"/>
    <w:pitch w:val="variable"/>
    <w:sig w:usb0="600002FF" w:usb1="00000001" w:usb2="00000000" w:usb3="00000000" w:csb0="0000019F" w:csb1="00000000"/>
    <w:embedRegular r:id="rId13" w:fontKey="{605684B4-6D4F-4823-8DD4-E8227A045891}"/>
    <w:embedBold r:id="rId14" w:fontKey="{96FE5433-520D-4976-A6E7-36FFA5BE98ED}"/>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embedRegular r:id="rId15" w:fontKey="{5219EF85-05E2-4426-9199-0E0B768926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46E77" w14:textId="77777777" w:rsidR="008D2931" w:rsidRDefault="008D293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B265A" w14:textId="77777777" w:rsidR="008D2931" w:rsidRDefault="008D293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B77F9" w14:textId="77777777" w:rsidR="008D2931" w:rsidRDefault="008D293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F2CB4" w14:textId="77777777" w:rsidR="001D56DC" w:rsidRDefault="001D56DC" w:rsidP="000662E2">
      <w:pPr>
        <w:spacing w:after="0" w:line="240" w:lineRule="auto"/>
      </w:pPr>
      <w:r>
        <w:separator/>
      </w:r>
    </w:p>
  </w:footnote>
  <w:footnote w:type="continuationSeparator" w:id="0">
    <w:p w14:paraId="7B37F623" w14:textId="77777777" w:rsidR="001D56DC" w:rsidRDefault="001D56D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F7F74" w14:textId="77777777" w:rsidR="008D2931" w:rsidRDefault="008D293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2D7CC78D">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FC02A"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uQpwIAAK0FAAAOAAAAZHJzL2Uyb0RvYy54bWysVM1u2zAMvg/YOwi6r3aMpE2DOkXQosOA&#10;rg2WDj0rshwbk0RNUuJk973ZHmyU5Lg/K3YYdrEl/nwkP5G8uNwrSXbCuhZ0SUcnOSVCc6havSnp&#10;14ebD1NKnGe6YhK0KOlBOHo5f//uojMzUUADshKWIIh2s86UtPHezLLM8UYo5k7ACI3KGqxiHq92&#10;k1WWdYiuZFbk+WnWga2MBS6cQ+l1UtJ5xK9rwf19XTvhiSwp5ubj18bvOnyz+QWbbSwzTcv7NNg/&#10;ZKFYqzHoAHXNPCNb2/4BpVpuwUHtTzioDOq65SLWgNWM8lfVrBpmRKwFyXFmoMn9P1h+t1ta0lYl&#10;LcaUaKbwjZaYoYdvv356gkJkqDNuhoYrs7T9zeExlLuvrQp/LITsI6uHgVWx94SjcDQ9G08KJJ+j&#10;rihOp3lxPgmw2ZO/sc5/FKBIOJTU4rtFOtnu1vlkejQJ4RzItrpppYyX0CviSlqyY/jK680ousqt&#10;+gxVkk0neR7fGkPG1grmMYEXSFIHPA0BOQUNkiyUnwqOJ3+QIthJ/UXUSB2WWMSIA3IKyjgX2qdk&#10;XMMqkcQhlbdziYABucb4A3YP8LLII3bKsrcPriL2/OCc/y2x5Dx4xMig/eCsWg32LQCJVfWRk/2R&#10;pERNYGkN1QEby0KaOGf4TYtPe8ucXzKLI4b9gGvD3+OnltCVFPoTJQ3YH2/Jgz12Pmop6XBkS+q+&#10;b5kVlMhPGmfifDQehxmPl/HkLPScfa5ZP9forboC7JcRLijD4zHYe3k81hbUI26XRYiKKqY5xi4p&#10;9/Z4ufJpleB+4mKxiGY414b5W70yPIAHVkPrPuwfmTV9f3ucjTs4jjebvWrzZBs8NSy2Huo2zsAT&#10;rz3fuBNiE/f7Kyyd5/do9bRl578BAAD//wMAUEsDBBQABgAIAAAAIQBK0psN3wAAAAkBAAAPAAAA&#10;ZHJzL2Rvd25yZXYueG1sTI/BTsMwEETvSPyDtUjcWqcprULIpgIkuCAq0XKgt21sEovYjuxNG/4e&#10;c4LjaEYzb6rNZHtx0iEa7xAW8wyEdo1XxrUI7/unWQEiMjlFvXca4VtH2NSXFxWVyp/dmz7tuBWp&#10;xMWSEDrmoZQyNp22FOd+0C55nz5Y4iRDK1Wgcyq3vcyzbC0tGZcWOhr0Y6ebr91oEcxr+1xswws/&#10;kBn3dODDh+cB8fpqur8DwXrivzD84id0qBPT0Y9ORdEjpCOMMMuLBYhk57erHMQRYbm6Wa5B1pX8&#10;/6D+AQAA//8DAFBLAQItABQABgAIAAAAIQC2gziS/gAAAOEBAAATAAAAAAAAAAAAAAAAAAAAAABb&#10;Q29udGVudF9UeXBlc10ueG1sUEsBAi0AFAAGAAgAAAAhADj9If/WAAAAlAEAAAsAAAAAAAAAAAAA&#10;AAAALwEAAF9yZWxzLy5yZWxzUEsBAi0AFAAGAAgAAAAhAAcA+5CnAgAArQUAAA4AAAAAAAAAAAAA&#10;AAAALgIAAGRycy9lMm9Eb2MueG1sUEsBAi0AFAAGAAgAAAAhAErSmw3fAAAACQEAAA8AAAAAAAAA&#10;AAAAAAAAAQUAAGRycy9kb3ducmV2LnhtbFBLBQYAAAAABAAEAPMAAAANBgAAAAA=&#10;" fillcolor="#d8d8d8 [2732]" stroked="f" strokeweight="1pt">
              <w10:wrap anchorx="page"/>
            </v:rect>
          </w:pict>
        </mc:Fallback>
      </mc:AlternateContent>
    </w:r>
  </w:p>
  <w:p w14:paraId="5F87F20B" w14:textId="77777777" w:rsidR="000662E2" w:rsidRDefault="000662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C" w14:textId="41731944"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46FBC16F" w:rsidR="00F37172" w:rsidRPr="003C6C8D" w:rsidRDefault="008D2931" w:rsidP="00074DD8">
                          <w:pPr>
                            <w:spacing w:before="0" w:after="0" w:line="240" w:lineRule="auto"/>
                            <w:ind w:left="227"/>
                            <w:jc w:val="both"/>
                            <w:rPr>
                              <w:rFonts w:ascii="Fira Sans SemiBold" w:hAnsi="Fira Sans SemiBold"/>
                            </w:rPr>
                          </w:pPr>
                          <w:proofErr w:type="spellStart"/>
                          <w:r>
                            <w:rPr>
                              <w:rFonts w:ascii="Fira Sans SemiBold" w:hAnsi="Fira Sans SemiBold"/>
                            </w:rPr>
                            <w:t>S</w:t>
                          </w:r>
                          <w:r w:rsidR="0082102F">
                            <w:rPr>
                              <w:rFonts w:ascii="Fira Sans SemiBold" w:hAnsi="Fira Sans SemiBold"/>
                            </w:rPr>
                            <w:t>ignal</w:t>
                          </w:r>
                          <w:proofErr w:type="spellEnd"/>
                          <w:r w:rsidR="0082102F">
                            <w:rPr>
                              <w:rFonts w:ascii="Fira Sans SemiBold" w:hAnsi="Fira Sans SemiBold"/>
                            </w:rPr>
                            <w:t xml:space="preserve"> </w:t>
                          </w:r>
                          <w:proofErr w:type="spellStart"/>
                          <w:r w:rsidR="0082102F">
                            <w:rPr>
                              <w:rFonts w:ascii="Fira Sans SemiBold" w:hAnsi="Fira Sans SemiBold"/>
                            </w:rPr>
                            <w:t>information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46FBC16F" w:rsidR="00F37172" w:rsidRPr="003C6C8D" w:rsidRDefault="008D2931" w:rsidP="00074DD8">
                    <w:pPr>
                      <w:spacing w:before="0" w:after="0" w:line="240" w:lineRule="auto"/>
                      <w:ind w:left="227"/>
                      <w:jc w:val="both"/>
                      <w:rPr>
                        <w:rFonts w:ascii="Fira Sans SemiBold" w:hAnsi="Fira Sans SemiBold"/>
                      </w:rPr>
                    </w:pPr>
                    <w:proofErr w:type="spellStart"/>
                    <w:r>
                      <w:rPr>
                        <w:rFonts w:ascii="Fira Sans SemiBold" w:hAnsi="Fira Sans SemiBold"/>
                      </w:rPr>
                      <w:t>S</w:t>
                    </w:r>
                    <w:r w:rsidR="0082102F">
                      <w:rPr>
                        <w:rFonts w:ascii="Fira Sans SemiBold" w:hAnsi="Fira Sans SemiBold"/>
                      </w:rPr>
                      <w:t>ignal</w:t>
                    </w:r>
                    <w:proofErr w:type="spellEnd"/>
                    <w:r w:rsidR="0082102F">
                      <w:rPr>
                        <w:rFonts w:ascii="Fira Sans SemiBold" w:hAnsi="Fira Sans SemiBold"/>
                      </w:rPr>
                      <w:t xml:space="preserve"> </w:t>
                    </w:r>
                    <w:proofErr w:type="spellStart"/>
                    <w:r w:rsidR="0082102F">
                      <w:rPr>
                        <w:rFonts w:ascii="Fira Sans SemiBold" w:hAnsi="Fira Sans SemiBold"/>
                      </w:rPr>
                      <w:t>information</w:t>
                    </w:r>
                    <w:proofErr w:type="spellEnd"/>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F87F214" wp14:editId="7FE3106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0056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MEpgIAAK0FAAAOAAAAZHJzL2Uyb0RvYy54bWysVM1u2zAMvg/YOwi6r7aDZk2DOkXQosOA&#10;rg3WDj0rspQYk0RNUuJk971ZH2yU5Lg/K3YYdrFFivxIfiJ5dr7TimyF8y2YmlZHJSXCcGhas6rp&#10;t/urDxNKfGCmYQqMqOleeHo+e//urLNTMYI1qEY4giDGTztb03UIdloUnq+FZv4IrDB4KcFpFlB0&#10;q6JxrEN0rYpRWX4sOnCNdcCF96i9zJd0lvClFDzcSulFIKqmmFtIX5e+y/gtZmdsunLMrlvep8H+&#10;IQvNWoNBB6hLFhjZuPYPKN1yBx5kOOKgC5Cy5SLVgNVU5atq7tbMilQLkuPtQJP/f7D8ZrtwpG3w&#10;7ZAewzS+0QIzDPD98VcgqESGOuunaHhnF66XPB5juTvpdPxjIWSXWN0PrIpdIByV1eSkOp0gOse7&#10;0ei0HJeTcYQtnvyt8+GTAE3ioaYO3y3RybbXPmTTg0kM50G1zVWrVBJir4gL5ciW4SsvV1VyVRv9&#10;BZqsm4zLMlWCIVNrRfOUwAskZSKegYicg0ZNEcvPBadT2CsR7ZT5KiRShyWOUsQBOQdlnAsTcjJ+&#10;zRqR1TGVt3NJgBFZYvwBuwd4WeQBO2fZ20dXkXp+cC7/llh2HjxSZDBhcNatAfcWgMKq+sjZ/kBS&#10;piaytIRmj43lIE+ct/yqxae9Zj4smMMRw37AtRFu8SMVdDWF/kTJGtzPt/TRHjsfbynpcGRr6n9s&#10;mBOUqM8GZ+K0Oj6OM56E4/HJCAX3/Gb5/MZs9AVgv1S4oCxPx2gf1OEoHegH3C7zGBWvmOEYu6Y8&#10;uINwEfIqwf3ExXyezHCuLQvX5s7yCB5Zja17v3tgzvb9HXA2buAw3mz6qs2zbfQ0MN8EkG2agSde&#10;e75xJ6Qm7vdXXDrP5WT1tGVnvwEAAP//AwBQSwMEFAAGAAgAAAAhAFWssJjhAAAADAEAAA8AAABk&#10;cnMvZG93bnJldi54bWxMj8FOwzAMhu9IvENkJG4s7ZDa0jWdAAkuCCQ2DuzmNV4b0SRV427l7clO&#10;7GbLn35/f7WebS+ONAbjnYJ0kYAg13htXKvga/tyV4AIjE5j7x0p+KUA6/r6qsJS+5P7pOOGWxFD&#10;XChRQcc8lFKGpiOLYeEHcvF28KNFjuvYSj3iKYbbXi6TJJMWjYsfOhzouaPmZzNZBea9fS0+xjd+&#10;QjNtcce7b8+DUrc38+MKBNPM/zCc9aM61NFp7yeng+gVFMv0IaJxSDIQZyBNsxzEXsF9VuQ5yLqS&#10;lyXqPwAAAP//AwBQSwECLQAUAAYACAAAACEAtoM4kv4AAADhAQAAEwAAAAAAAAAAAAAAAAAAAAAA&#10;W0NvbnRlbnRfVHlwZXNdLnhtbFBLAQItABQABgAIAAAAIQA4/SH/1gAAAJQBAAALAAAAAAAAAAAA&#10;AAAAAC8BAABfcmVscy8ucmVsc1BLAQItABQABgAIAAAAIQBzvCMEpgIAAK0FAAAOAAAAAAAAAAAA&#10;AAAAAC4CAABkcnMvZTJvRG9jLnhtbFBLAQItABQABgAIAAAAIQBVrLCY4QAAAAwBAAAPAAAAAAAA&#10;AAAAAAAAAAAFAABkcnMvZG93bnJldi54bWxQSwUGAAAAAAQABADzAAAADgYAAAAA&#10;" fillcolor="#d8d8d8 [2732]" stroked="f" strokeweight="1pt">
              <w10:wrap type="tight"/>
            </v:rect>
          </w:pict>
        </mc:Fallback>
      </mc:AlternateContent>
    </w:r>
    <w:r w:rsidR="00D2431F" w:rsidRPr="0048305B">
      <w:rPr>
        <w:noProof/>
        <w:lang w:eastAsia="pl-PL"/>
      </w:rPr>
      <mc:AlternateContent>
        <mc:Choice Requires="wpg">
          <w:drawing>
            <wp:anchor distT="0" distB="0" distL="114300" distR="114300" simplePos="0" relativeHeight="251671552" behindDoc="0" locked="0" layoutInCell="1" allowOverlap="1" wp14:anchorId="779D16C6" wp14:editId="56AED29A">
              <wp:simplePos x="0" y="0"/>
              <wp:positionH relativeFrom="page">
                <wp:align>left</wp:align>
              </wp:positionH>
              <wp:positionV relativeFrom="paragraph">
                <wp:posOffset>90170</wp:posOffset>
              </wp:positionV>
              <wp:extent cx="2473970" cy="647790"/>
              <wp:effectExtent l="0" t="0" r="0" b="0"/>
              <wp:wrapNone/>
              <wp:docPr id="19" name="Grupa 5"/>
              <wp:cNvGraphicFramePr/>
              <a:graphic xmlns:a="http://schemas.openxmlformats.org/drawingml/2006/main">
                <a:graphicData uri="http://schemas.microsoft.com/office/word/2010/wordprocessingGroup">
                  <wpg:wgp>
                    <wpg:cNvGrpSpPr/>
                    <wpg:grpSpPr>
                      <a:xfrm>
                        <a:off x="0" y="0"/>
                        <a:ext cx="2473970" cy="647790"/>
                        <a:chOff x="0" y="0"/>
                        <a:chExt cx="2473970" cy="647790"/>
                      </a:xfrm>
                    </wpg:grpSpPr>
                    <pic:pic xmlns:pic="http://schemas.openxmlformats.org/drawingml/2006/picture">
                      <pic:nvPicPr>
                        <pic:cNvPr id="20" name="Obraz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7790" cy="647790"/>
                        </a:xfrm>
                        <a:prstGeom prst="rect">
                          <a:avLst/>
                        </a:prstGeom>
                      </pic:spPr>
                    </pic:pic>
                    <wps:wsp>
                      <wps:cNvPr id="25" name="pole tekstowe 4"/>
                      <wps:cNvSpPr txBox="1"/>
                      <wps:spPr>
                        <a:xfrm>
                          <a:off x="323895" y="123840"/>
                          <a:ext cx="2150075" cy="400110"/>
                        </a:xfrm>
                        <a:prstGeom prst="rect">
                          <a:avLst/>
                        </a:prstGeom>
                        <a:noFill/>
                      </wps:spPr>
                      <wps:txbx>
                        <w:txbxContent>
                          <w:p w14:paraId="244B8AD1" w14:textId="77777777" w:rsidR="00D2431F" w:rsidRDefault="00D2431F" w:rsidP="00D2431F">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wps:txbx>
                      <wps:bodyPr wrap="square" rtlCol="0">
                        <a:spAutoFit/>
                      </wps:bodyPr>
                    </wps:wsp>
                  </wpg:wgp>
                </a:graphicData>
              </a:graphic>
            </wp:anchor>
          </w:drawing>
        </mc:Choice>
        <mc:Fallback>
          <w:pict>
            <v:group w14:anchorId="779D16C6" id="Grupa 5" o:spid="_x0000_s1034" style="position:absolute;margin-left:0;margin-top:7.1pt;width:194.8pt;height:51pt;z-index:251671552;mso-position-horizontal:left;mso-position-horizontal-relative:page" coordsize="24739,6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I/7HAMAAFQHAAAOAAAAZHJzL2Uyb0RvYy54bWycVW1v2jAQ/j5p/8HK&#10;d5qEhgaiQkWhRZOmFa3bDzDGSawmsWc7BDbtv+/OCdBCt1X9kORs352fe+4l1zfbsiAbro2Q1dgL&#10;LwKP8IrJtaiysff9231v6BFjabWmhaz42Ntx491MPn64blTC+zKXxZprAk4qkzRq7OXWqsT3Dct5&#10;Sc2FVLyCw1TqklpY6sxfa9qA97Lw+0Fw5TdSr5WWjBsDu/P20Js4/2nKmX1IU8MtKcYeYLPurd17&#10;hW9/ck2TTFOVC9bBoO9AUVJRwaUHV3NqKam1OHNVCqalkam9YLL0ZZoKxl0MEE0YnESz0LJWLpYs&#10;aTJ1oAmoPeHp3W7Zl81SE7GG3I08UtEScrTQtaJkgNw0KktAZaHVo1rqbiNrVxjuNtUlfiEQsnWs&#10;7g6s8q0lDDb7UXw5ioF8BmdXURyPOtpZDrk5M2P53b8N/f21PqI7gFGCJfB0JIF0RtL/iwmsbK25&#10;1zkp3+SjpPqpVj3Ip6JWrEQh7M7VJmQOQVWbpWBL3S6OfPeBkZbvh5WmPwmsgV80QJ3WgmJEnyV7&#10;MqSSs5xWGZ8aBUUN6UJt/6W6W764blUIdS+KAnOEchcYNMBJAb3CTVucc8nqkle27TbNC4hRViYX&#10;ynhEJ7xccSge/WkduvqHpH82Fq/D9LsO+NUfToNg1L/tzQbBrBcF8V1vOoriXhzcxVEQDcNZOPuN&#10;1mGU1IZDvLSYK9Fhhd0ztK+WezcY2kZyDUk21LU9MuUA7b8OImwhJYjVWM0ty1FMga2vwHBrczhw&#10;1B7ZRN4NdARavKUHurI/aYFDJUOetbELLkuCAvAJCByfdANYWyx7lS7t7fUOF6DBVoUJavYZhtXb&#10;WMP5+drsecyp4gAB3T4r2sG+aJUsOLH8yVjZcBK1w8Kp4qQgdnsrofddlaKLv5B12b8cjsAnTIYQ&#10;xKibDIfREQ6CIIZzHB1REIShU3gvbzSpJHYD8nkEhZLdrrbtFNwHspLrHcTRwK9h7JkfNcWxoG0x&#10;k66kXNWoaW3BocsPemltOueQCye50Q3Si3/D87XTOv4MJ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tobQv3gAAAAcBAAAPAAAAZHJzL2Rvd25yZXYueG1sTI9BS8NAEIXvgv9h&#10;GcGb3STV0KbZlFLUUxFsBfG2zU6T0OxsyG6T9N87nuzxvTe8902+nmwrBux940hBPItAIJXONFQp&#10;+Dq8PS1A+KDJ6NYRKriih3Vxf5frzLiRPnHYh0pwCflMK6hD6DIpfVmj1X7mOiTOTq63OrDsK2l6&#10;PXK5bWUSRam0uiFeqHWH2xrL8/5iFbyPetzM49dhdz5trz+Hl4/vXYxKPT5MmxWIgFP4P4Y/fEaH&#10;gpmO7kLGi1YBPxLYfU5AcDpfLFMQRzbiNAFZ5PKWv/gFAAD//wMAUEsDBAoAAAAAAAAAIQD955+J&#10;BAgAAAQIAAAUAAAAZHJzL21lZGlhL2ltYWdlMS5wbmeJUE5HDQoaCgAAAA1JSERSAAAARAAAAEQI&#10;AgAAALdxBOUAAAABc1JHQgCuzhzpAAAABGdBTUEAALGPC/xhBQAAAAlwSFlzAAAOwwAADsMBx2+o&#10;ZAAAACF0RVh0Q3JlYXRpb24gVGltZQAyMDE4OjAyOjA5IDEyOjI4OjU2qYpLhwAAB2xJREFUaEPt&#10;mntsHMUdgGd2dm/vbn0PbMd2SIKdB6EGHJRAHiQhJLwa2vBPGpBoUjWiUiIXgcSrRKpSEAjRAq0Q&#10;CKRSQhDiKdEEaKWgmEBKAo5aJaG1WuQoFnkYv+LL3dm+5+7O9De3g2Vis3dnZsMp8qeJfTM3Nzvf&#10;/ua1F2PGGLpQUMTvC4IpmUplSqZSmZKpVC4oGQmbpk1HKMswRokSIEpYlP4QTFLGshNnU21nUx+N&#10;ZL/IWd3gwxADGR+52NCbLzJurDF+rGszRe3zRdkyeav31Nln+xKvp/M98EkFI4x5OfzgDTFEC+3p&#10;anhaeENjzX2GfiXPnxfKk+lJ7Oga+G06108I13ABWrUo0og+u/bhpmm/w4iIN7ykVBnG7M6+rSdj&#10;O4hSRGMs0LZpo7rwDS0z39bINFHqGSXJMGZ1dN/ek3jPp4qSsgCfaKBlYWObT60XRd5Q0tLc2bdl&#10;0iaAj6BEuqOjez1lOVHkDcVlehM7TsZ2TtoEgNBrKjoz/HnXwG9EkTcUGWZ5q+9QV3PeTpQ+T74L&#10;uAyjaPGczyOBa0WRbIpE5lTs6UxeggkAbcCq/dWZ7SLvAW4yNk31Jl+FVVgW0NTgyL7h7BGRl42b&#10;TCJ9MJM/KyUsDtCSTdHA0DsiLxs3mXiqraQ9qBzguBBPfSIysnGTSWYOEnlhcYA4Z8xjpj0o8lJx&#10;k0nl/qu4vc+BzqkqUrVCUlHR+hAZ007mzB6Rl4rbxU06Il6NA/odCqNIFGs+nE6RRIyn4SGVwDNA&#10;FIciSPOJmucAkYa9gLK0yEvFbZ/5+MtzBxnU1XUUNNBAHznaTr44hLv+x870KrkM9JKpGq5poI2X&#10;4gVL2dUr7FlNdi6Hshnx2VFggV4yuz0cWCby8nCT+bQzbNFhkSmMkHAU9Z0mu15T9+5C3T0U7EAX&#10;zgaONDRkQ18LdWujyvXr0IbN9vwrreEksizxpAB14PeSOf+u0hfwvFTcZA6fuDaeOgTTAKrAsAkE&#10;8d/f0l56Gvf1UxUxHTrF++eIjCJaMynKI1QVIBtb0S/uNrFCM2nuA0351Oiyucc1UuPUlIjbnIkE&#10;V9rwAAlDyw8zW/n9g77HHkSD/bahMB0mPr/V55gATiHWFGwoOJ+x//wn+tBmXzJOjBBvChoM+uZ7&#10;YQK4yVQbt8BPH5/K+NFWbddbNICoLj4BESieNAUZmLUfsO67U4v1k2AVohRFgzc4TUjHNTKB5YZe&#10;rfnRMw/r+/ZS6JbCjwNlJoyrFNTZaW3fqsFiEPDDs9od4gKycZMhitHctOWvO9H779IgZrxv4+59&#10;KQn+GQo6esR+4THU2LA25F/otC+dIo8A/bHTV8xtTiZTuqKJoknCbErziP7jUNvKpTeJMtm4RQZ4&#10;buepWHKpn78sLLnfAw3mi9Ly1F+GRN4D3GQyWfPlN/aj+mVm1UJMYQtxYigGTzkJYWpZ/kY0/ad/&#10;2/Ovjs6+QjvycZNpP3xqoKsf6ShX/RMr+CPoUCE+357fJSRMTdtXn61dz3erxMg7H/xHXEA2bjJ7&#10;Dxwr3FYKXYKumKFFPD7MHHfjvzsxm5sE5mbrNjESQjSHdHXfweNO+9Jxkzn4zxPIX5j3DMYYxOe2&#10;bM1tiIQgRJhBlIBzgzCaMNeAM4yaj67O1N3JSBDxr2YwyBz7ajCeHHdik4GbTEcnjLHRb2Uo3Fcr&#10;dE26/lf5yEpGIlyJmpB4rMBNJF4CiSkBs2pRpuGufHQN/yyPJ0jy9T4eT3X3JgttSsZtacaztk3w&#10;7SVW4bCCrSGSPUFyJxRzANsjYuxhjSlBqtXaeqPtb2Jq9TcaY4Azc95u33PPskWXiBJ5lC8jUKDr&#10;hZOjie1s4bgMDRGk6AhDgk4XwuUclcfCZaz2Pfd6IeM2zAzDx689MXDLc4hmEaOM6IwYjFQhEuDv&#10;sCwvB73xJgAoayTgTEXZuMlcPq8OZb89SCYAliwQg1WukPgi5orNIpHAjAZP/k/KTWbl4sYSZMok&#10;b81rqqmtNkRWKm4yN6+aL15JJGeuWT5XvJaNa2SWNEUvqUY5Z0uRAczAoO+OdS0iKxs3mZChb/rZ&#10;IiRrg4PlIJlZtfqyxVfNEiWycZMBtrVeH5oVlTNzLIpU5fEHbhZZDygiM2N65A/b16FhWIKLLVPu&#10;QFhiqS1bV61aOluUeECRhzOHjfe+/eZLB1D9ZNdT2HAGR66+bt6nu1uD3uwwDkUi4/DKMxtuWb8Q&#10;DQxNMj6DI5cumPHeK7/01AQoSUb3qR+8uvnnd62AbvHFbaKdfQKgmmmj/qEVay7bv7t15vSIKPeM&#10;kobZKM/v/OyRJz+MdydQ2D/mQD0RMN2TGSWk3//r1U9sW+vTKunvAEY5+XXijy/uf3P30djpOJ8M&#10;oKTCofObYFk2ytnwtK/XVK1fe/n9d6++puX8/dFJ2TIOA4PDe/Z1th04Dg/0X/cPZfN8Y9VU0lBj&#10;NM+rW7N8zq03NsOxxal83pikzFjiiXQ6Y8J5069rF0UChJQ0D71Agkzl8IPdRS+YkqlUpmQqlSmZ&#10;SmVKplKZkqlMEPo/MiwnurfjsKMAAAAASUVORK5CYIJQSwECLQAUAAYACAAAACEAsYJntgoBAAAT&#10;AgAAEwAAAAAAAAAAAAAAAAAAAAAAW0NvbnRlbnRfVHlwZXNdLnhtbFBLAQItABQABgAIAAAAIQA4&#10;/SH/1gAAAJQBAAALAAAAAAAAAAAAAAAAADsBAABfcmVscy8ucmVsc1BLAQItABQABgAIAAAAIQDi&#10;MI/7HAMAAFQHAAAOAAAAAAAAAAAAAAAAADoCAABkcnMvZTJvRG9jLnhtbFBLAQItABQABgAIAAAA&#10;IQCqJg6+vAAAACEBAAAZAAAAAAAAAAAAAAAAAIIFAABkcnMvX3JlbHMvZTJvRG9jLnhtbC5yZWxz&#10;UEsBAi0AFAAGAAgAAAAhAO2htC/eAAAABwEAAA8AAAAAAAAAAAAAAAAAdQYAAGRycy9kb3ducmV2&#10;LnhtbFBLAQItAAoAAAAAAAAAIQD955+JBAgAAAQIAAAUAAAAAAAAAAAAAAAAAIAHAABkcnMvbWVk&#10;aWEvaW1hZ2UxLnBuZ1BLBQYAAAAABgAGAHwBAAC2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0" o:spid="_x0000_s1035" type="#_x0000_t75" style="position:absolute;width:6477;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rRbjBAAAA2wAAAA8AAABkcnMvZG93bnJldi54bWxET89rwjAUvgv+D+ENdpGZKuhGNYoMBgrC&#10;sO7Q46N5NpnNS2myWv97cxh4/Ph+r7eDa0RPXbCeFcymGQjiymvLtYKf89fbB4gQkTU2nknBnQJs&#10;N+PRGnPtb3yivoi1SCEcclRgYmxzKUNlyGGY+pY4cRffOYwJdrXUHd5SuGvkPMuW0qHl1GCwpU9D&#10;1bX4cwqOh2HSz2xhf3u5XJj3slx8X/dKvb4MuxWISEN8iv/de61gntanL+k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rRbjBAAAA2w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_x0000_s1036" type="#_x0000_t202" style="position:absolute;left:3238;top:1238;width:2150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14:paraId="244B8AD1" w14:textId="77777777" w:rsidR="00D2431F" w:rsidRDefault="00D2431F" w:rsidP="00D2431F">
                      <w:pPr>
                        <w:pStyle w:val="NormalnyWeb"/>
                        <w:spacing w:before="0" w:beforeAutospacing="0" w:after="0" w:afterAutospacing="0"/>
                      </w:pPr>
                      <w:proofErr w:type="spellStart"/>
                      <w:r>
                        <w:rPr>
                          <w:rFonts w:ascii="Fira Sans SemiBold" w:eastAsia="Fira Sans SemiBold" w:hAnsi="Fira Sans SemiBold" w:cstheme="minorBidi"/>
                          <w:color w:val="000000" w:themeColor="text1"/>
                          <w:kern w:val="24"/>
                          <w:sz w:val="40"/>
                          <w:szCs w:val="40"/>
                        </w:rPr>
                        <w:t>Statistics</w:t>
                      </w:r>
                      <w:proofErr w:type="spellEnd"/>
                      <w:r>
                        <w:rPr>
                          <w:rFonts w:ascii="Fira Sans SemiBold" w:eastAsia="Fira Sans SemiBold" w:hAnsi="Fira Sans SemiBold" w:cstheme="minorBidi"/>
                          <w:color w:val="000000" w:themeColor="text1"/>
                          <w:kern w:val="24"/>
                          <w:sz w:val="40"/>
                          <w:szCs w:val="40"/>
                        </w:rPr>
                        <w:t xml:space="preserve"> Poland</w:t>
                      </w:r>
                    </w:p>
                  </w:txbxContent>
                </v:textbox>
              </v:shape>
              <w10:wrap anchorx="page"/>
            </v:group>
          </w:pict>
        </mc:Fallback>
      </mc:AlternateContent>
    </w:r>
  </w:p>
  <w:p w14:paraId="0BD250D0" w14:textId="77777777" w:rsidR="00D2431F" w:rsidRDefault="00D2431F">
    <w:pPr>
      <w:pStyle w:val="Nagwek"/>
      <w:rPr>
        <w:noProof/>
        <w:lang w:eastAsia="pl-PL"/>
      </w:rPr>
    </w:pPr>
  </w:p>
  <w:p w14:paraId="1FAF49D8" w14:textId="77777777" w:rsidR="00D2431F" w:rsidRDefault="00D2431F">
    <w:pPr>
      <w:pStyle w:val="Nagwek"/>
      <w:rPr>
        <w:noProof/>
        <w:lang w:eastAsia="pl-PL"/>
      </w:rPr>
    </w:pPr>
  </w:p>
  <w:p w14:paraId="5F87F20D"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5F87F219">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F87F232" w14:textId="41E541C5" w:rsidR="00F37172" w:rsidRDefault="00885D71" w:rsidP="00F37172">
                          <w:pPr>
                            <w:jc w:val="both"/>
                            <w:rPr>
                              <w:rFonts w:ascii="Fira Sans SemiBold" w:hAnsi="Fira Sans SemiBold"/>
                              <w:color w:val="001D77"/>
                            </w:rPr>
                          </w:pPr>
                          <w:r>
                            <w:rPr>
                              <w:rFonts w:ascii="Fira Sans SemiBold" w:hAnsi="Fira Sans SemiBold"/>
                              <w:color w:val="001D77"/>
                            </w:rPr>
                            <w:t>28.</w:t>
                          </w:r>
                          <w:r w:rsidR="007C5AEF">
                            <w:rPr>
                              <w:rFonts w:ascii="Fira Sans SemiBold" w:hAnsi="Fira Sans SemiBold"/>
                              <w:color w:val="001D77"/>
                            </w:rPr>
                            <w:t>0</w:t>
                          </w:r>
                          <w:r>
                            <w:rPr>
                              <w:rFonts w:ascii="Fira Sans SemiBold" w:hAnsi="Fira Sans SemiBold"/>
                              <w:color w:val="001D77"/>
                            </w:rPr>
                            <w:t>2</w:t>
                          </w:r>
                          <w:r w:rsidR="00A810F9">
                            <w:rPr>
                              <w:rFonts w:ascii="Fira Sans SemiBold" w:hAnsi="Fira Sans SemiBold"/>
                              <w:color w:val="001D77"/>
                            </w:rPr>
                            <w:t>.</w:t>
                          </w:r>
                          <w:r w:rsidR="007C5AEF">
                            <w:rPr>
                              <w:rFonts w:ascii="Fira Sans SemiBold" w:hAnsi="Fira Sans SemiBold"/>
                              <w:color w:val="001D77"/>
                            </w:rPr>
                            <w:t>2018</w:t>
                          </w:r>
                        </w:p>
                        <w:p w14:paraId="13190AA5" w14:textId="77777777" w:rsidR="00D2431F" w:rsidRPr="00C97596" w:rsidRDefault="00D2431F"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18" id="_x0000_s1037"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2x3kM&#10;EAIAAP4DAAAOAAAAAAAAAAAAAAAAAC4CAABkcnMvZTJvRG9jLnhtbFBLAQItABQABgAIAAAAIQBr&#10;Z3Ed3gAAAAoBAAAPAAAAAAAAAAAAAAAAAGoEAABkcnMvZG93bnJldi54bWxQSwUGAAAAAAQABADz&#10;AAAAdQUAAAAA&#10;" filled="f" stroked="f">
              <v:textbox>
                <w:txbxContent>
                  <w:p w14:paraId="5F87F232" w14:textId="41E541C5" w:rsidR="00F37172" w:rsidRDefault="00885D71" w:rsidP="00F37172">
                    <w:pPr>
                      <w:jc w:val="both"/>
                      <w:rPr>
                        <w:rFonts w:ascii="Fira Sans SemiBold" w:hAnsi="Fira Sans SemiBold"/>
                        <w:color w:val="001D77"/>
                      </w:rPr>
                    </w:pPr>
                    <w:r>
                      <w:rPr>
                        <w:rFonts w:ascii="Fira Sans SemiBold" w:hAnsi="Fira Sans SemiBold"/>
                        <w:color w:val="001D77"/>
                      </w:rPr>
                      <w:t>28.</w:t>
                    </w:r>
                    <w:r w:rsidR="007C5AEF">
                      <w:rPr>
                        <w:rFonts w:ascii="Fira Sans SemiBold" w:hAnsi="Fira Sans SemiBold"/>
                        <w:color w:val="001D77"/>
                      </w:rPr>
                      <w:t>0</w:t>
                    </w:r>
                    <w:r>
                      <w:rPr>
                        <w:rFonts w:ascii="Fira Sans SemiBold" w:hAnsi="Fira Sans SemiBold"/>
                        <w:color w:val="001D77"/>
                      </w:rPr>
                      <w:t>2</w:t>
                    </w:r>
                    <w:r w:rsidR="00A810F9">
                      <w:rPr>
                        <w:rFonts w:ascii="Fira Sans SemiBold" w:hAnsi="Fira Sans SemiBold"/>
                        <w:color w:val="001D77"/>
                      </w:rPr>
                      <w:t>.</w:t>
                    </w:r>
                    <w:r w:rsidR="007C5AEF">
                      <w:rPr>
                        <w:rFonts w:ascii="Fira Sans SemiBold" w:hAnsi="Fira Sans SemiBold"/>
                        <w:color w:val="001D77"/>
                      </w:rPr>
                      <w:t>2018</w:t>
                    </w:r>
                  </w:p>
                  <w:p w14:paraId="13190AA5" w14:textId="77777777" w:rsidR="00D2431F" w:rsidRPr="00C97596" w:rsidRDefault="00D2431F" w:rsidP="00F37172">
                    <w:pPr>
                      <w:jc w:val="both"/>
                      <w:rPr>
                        <w:rFonts w:ascii="Fira Sans SemiBold" w:hAnsi="Fira Sans SemiBold"/>
                        <w:color w:val="001D77"/>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607CC5" w:rsidRDefault="00607CC5">
    <w:pPr>
      <w:pStyle w:val="Nagwek"/>
    </w:pPr>
  </w:p>
  <w:p w14:paraId="5F87F20F"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4pt;height:122.4pt;visibility:visible" o:bullet="t">
        <v:imagedata r:id="rId1" o:title=""/>
      </v:shape>
    </w:pict>
  </w:numPicBullet>
  <w:numPicBullet w:numPicBulletId="1">
    <w:pict>
      <v:shape id="_x0000_i1029" type="#_x0000_t75" style="width:122.4pt;height:122.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4795C"/>
    <w:rsid w:val="00057CA1"/>
    <w:rsid w:val="00062FB3"/>
    <w:rsid w:val="000662E2"/>
    <w:rsid w:val="00066883"/>
    <w:rsid w:val="00074DD8"/>
    <w:rsid w:val="000806F7"/>
    <w:rsid w:val="0009213C"/>
    <w:rsid w:val="00094689"/>
    <w:rsid w:val="000A0E6A"/>
    <w:rsid w:val="000B0727"/>
    <w:rsid w:val="000C135D"/>
    <w:rsid w:val="000D1D43"/>
    <w:rsid w:val="000D225C"/>
    <w:rsid w:val="000D2A5C"/>
    <w:rsid w:val="000E0918"/>
    <w:rsid w:val="000E6618"/>
    <w:rsid w:val="001011C3"/>
    <w:rsid w:val="001036E7"/>
    <w:rsid w:val="00110D87"/>
    <w:rsid w:val="00114DB9"/>
    <w:rsid w:val="00116087"/>
    <w:rsid w:val="0011642E"/>
    <w:rsid w:val="00130296"/>
    <w:rsid w:val="00131434"/>
    <w:rsid w:val="001423B6"/>
    <w:rsid w:val="00142CA9"/>
    <w:rsid w:val="001448A7"/>
    <w:rsid w:val="00146621"/>
    <w:rsid w:val="00152273"/>
    <w:rsid w:val="001542BB"/>
    <w:rsid w:val="00162325"/>
    <w:rsid w:val="00167FE5"/>
    <w:rsid w:val="001951DA"/>
    <w:rsid w:val="00195ACC"/>
    <w:rsid w:val="001B6DDA"/>
    <w:rsid w:val="001B6F2F"/>
    <w:rsid w:val="001C3269"/>
    <w:rsid w:val="001C5D71"/>
    <w:rsid w:val="001D1DB4"/>
    <w:rsid w:val="001D56DC"/>
    <w:rsid w:val="001F0374"/>
    <w:rsid w:val="001F66C7"/>
    <w:rsid w:val="00257081"/>
    <w:rsid w:val="002574F9"/>
    <w:rsid w:val="00262883"/>
    <w:rsid w:val="00276811"/>
    <w:rsid w:val="00282699"/>
    <w:rsid w:val="002926DF"/>
    <w:rsid w:val="00292715"/>
    <w:rsid w:val="0029469C"/>
    <w:rsid w:val="00296697"/>
    <w:rsid w:val="002B0472"/>
    <w:rsid w:val="002B6B12"/>
    <w:rsid w:val="002E0C25"/>
    <w:rsid w:val="002E6140"/>
    <w:rsid w:val="002E6985"/>
    <w:rsid w:val="002E71B6"/>
    <w:rsid w:val="002F77C8"/>
    <w:rsid w:val="00300B5C"/>
    <w:rsid w:val="00304F22"/>
    <w:rsid w:val="00306C7C"/>
    <w:rsid w:val="00322EDD"/>
    <w:rsid w:val="00332320"/>
    <w:rsid w:val="003344B0"/>
    <w:rsid w:val="00347D72"/>
    <w:rsid w:val="00357611"/>
    <w:rsid w:val="00367237"/>
    <w:rsid w:val="0037077F"/>
    <w:rsid w:val="00373882"/>
    <w:rsid w:val="0038292F"/>
    <w:rsid w:val="003843DB"/>
    <w:rsid w:val="00384B65"/>
    <w:rsid w:val="00393761"/>
    <w:rsid w:val="00395700"/>
    <w:rsid w:val="00397D18"/>
    <w:rsid w:val="003A1B36"/>
    <w:rsid w:val="003B1454"/>
    <w:rsid w:val="003B3E1C"/>
    <w:rsid w:val="003C59E0"/>
    <w:rsid w:val="003C6C8D"/>
    <w:rsid w:val="003D4F95"/>
    <w:rsid w:val="003D5F42"/>
    <w:rsid w:val="003D60A9"/>
    <w:rsid w:val="003F4C97"/>
    <w:rsid w:val="003F7FE6"/>
    <w:rsid w:val="00400193"/>
    <w:rsid w:val="00417F49"/>
    <w:rsid w:val="004212E7"/>
    <w:rsid w:val="0042446D"/>
    <w:rsid w:val="00427BF8"/>
    <w:rsid w:val="00431C02"/>
    <w:rsid w:val="00437395"/>
    <w:rsid w:val="00445047"/>
    <w:rsid w:val="00463E39"/>
    <w:rsid w:val="004657FC"/>
    <w:rsid w:val="004733F6"/>
    <w:rsid w:val="00474E69"/>
    <w:rsid w:val="0049158F"/>
    <w:rsid w:val="004916D2"/>
    <w:rsid w:val="00492DF3"/>
    <w:rsid w:val="0049621B"/>
    <w:rsid w:val="004C078F"/>
    <w:rsid w:val="004C1895"/>
    <w:rsid w:val="004C6D40"/>
    <w:rsid w:val="004D37DF"/>
    <w:rsid w:val="004D5717"/>
    <w:rsid w:val="004D773C"/>
    <w:rsid w:val="004F0C3C"/>
    <w:rsid w:val="004F63FC"/>
    <w:rsid w:val="005026F8"/>
    <w:rsid w:val="00505A92"/>
    <w:rsid w:val="005203F1"/>
    <w:rsid w:val="00521BC3"/>
    <w:rsid w:val="00525B40"/>
    <w:rsid w:val="00533632"/>
    <w:rsid w:val="0054251F"/>
    <w:rsid w:val="00550618"/>
    <w:rsid w:val="005520D8"/>
    <w:rsid w:val="00556CF1"/>
    <w:rsid w:val="00572E91"/>
    <w:rsid w:val="005762A7"/>
    <w:rsid w:val="005916D7"/>
    <w:rsid w:val="005A698C"/>
    <w:rsid w:val="005C49AF"/>
    <w:rsid w:val="005D2A63"/>
    <w:rsid w:val="005D7012"/>
    <w:rsid w:val="005E0799"/>
    <w:rsid w:val="005F5A80"/>
    <w:rsid w:val="006044FF"/>
    <w:rsid w:val="00607CC5"/>
    <w:rsid w:val="00616189"/>
    <w:rsid w:val="00633014"/>
    <w:rsid w:val="0063437B"/>
    <w:rsid w:val="0065389A"/>
    <w:rsid w:val="006673CA"/>
    <w:rsid w:val="00673C26"/>
    <w:rsid w:val="006812AF"/>
    <w:rsid w:val="0068327D"/>
    <w:rsid w:val="00690893"/>
    <w:rsid w:val="00694AF0"/>
    <w:rsid w:val="00695E23"/>
    <w:rsid w:val="006B0E9E"/>
    <w:rsid w:val="006B5AE4"/>
    <w:rsid w:val="006D4054"/>
    <w:rsid w:val="006D49AB"/>
    <w:rsid w:val="006E02EC"/>
    <w:rsid w:val="00703612"/>
    <w:rsid w:val="007211B1"/>
    <w:rsid w:val="00746187"/>
    <w:rsid w:val="00747BF9"/>
    <w:rsid w:val="0076254F"/>
    <w:rsid w:val="007801F5"/>
    <w:rsid w:val="00783CA4"/>
    <w:rsid w:val="007842FB"/>
    <w:rsid w:val="00786124"/>
    <w:rsid w:val="0079514B"/>
    <w:rsid w:val="007A2DC1"/>
    <w:rsid w:val="007A4EF4"/>
    <w:rsid w:val="007B484A"/>
    <w:rsid w:val="007C2125"/>
    <w:rsid w:val="007C5AEF"/>
    <w:rsid w:val="007D3319"/>
    <w:rsid w:val="007D335D"/>
    <w:rsid w:val="007D544C"/>
    <w:rsid w:val="007E3314"/>
    <w:rsid w:val="007E4B03"/>
    <w:rsid w:val="007F324B"/>
    <w:rsid w:val="0080553C"/>
    <w:rsid w:val="00805B46"/>
    <w:rsid w:val="0082102F"/>
    <w:rsid w:val="00825DC2"/>
    <w:rsid w:val="00834AD3"/>
    <w:rsid w:val="00843795"/>
    <w:rsid w:val="00847F0F"/>
    <w:rsid w:val="00852448"/>
    <w:rsid w:val="00861EE1"/>
    <w:rsid w:val="0088258A"/>
    <w:rsid w:val="00885D71"/>
    <w:rsid w:val="00886332"/>
    <w:rsid w:val="008A2163"/>
    <w:rsid w:val="008A26D9"/>
    <w:rsid w:val="008B1E16"/>
    <w:rsid w:val="008B5A4B"/>
    <w:rsid w:val="008C0C29"/>
    <w:rsid w:val="008D2931"/>
    <w:rsid w:val="008D5438"/>
    <w:rsid w:val="008E539D"/>
    <w:rsid w:val="008F3638"/>
    <w:rsid w:val="008F6F31"/>
    <w:rsid w:val="008F74DF"/>
    <w:rsid w:val="009127BA"/>
    <w:rsid w:val="009227A6"/>
    <w:rsid w:val="00933642"/>
    <w:rsid w:val="00933EC1"/>
    <w:rsid w:val="009530DB"/>
    <w:rsid w:val="00953676"/>
    <w:rsid w:val="009705EE"/>
    <w:rsid w:val="009746D2"/>
    <w:rsid w:val="00977927"/>
    <w:rsid w:val="0098135C"/>
    <w:rsid w:val="0098156A"/>
    <w:rsid w:val="00991BAC"/>
    <w:rsid w:val="00996CD1"/>
    <w:rsid w:val="009A6EA0"/>
    <w:rsid w:val="009C1335"/>
    <w:rsid w:val="009C1AB2"/>
    <w:rsid w:val="009C7251"/>
    <w:rsid w:val="009E2E91"/>
    <w:rsid w:val="00A139F5"/>
    <w:rsid w:val="00A1629E"/>
    <w:rsid w:val="00A236BB"/>
    <w:rsid w:val="00A32A01"/>
    <w:rsid w:val="00A32D05"/>
    <w:rsid w:val="00A334DB"/>
    <w:rsid w:val="00A365F4"/>
    <w:rsid w:val="00A4774F"/>
    <w:rsid w:val="00A47D80"/>
    <w:rsid w:val="00A53132"/>
    <w:rsid w:val="00A563F2"/>
    <w:rsid w:val="00A566E8"/>
    <w:rsid w:val="00A67688"/>
    <w:rsid w:val="00A804D3"/>
    <w:rsid w:val="00A810F9"/>
    <w:rsid w:val="00A86ECC"/>
    <w:rsid w:val="00A86FCC"/>
    <w:rsid w:val="00AA710D"/>
    <w:rsid w:val="00AB317B"/>
    <w:rsid w:val="00AB6D25"/>
    <w:rsid w:val="00AC6A4B"/>
    <w:rsid w:val="00AC7F1F"/>
    <w:rsid w:val="00AE2D4B"/>
    <w:rsid w:val="00AE4F99"/>
    <w:rsid w:val="00B119FA"/>
    <w:rsid w:val="00B14952"/>
    <w:rsid w:val="00B31E5A"/>
    <w:rsid w:val="00B57782"/>
    <w:rsid w:val="00B653AB"/>
    <w:rsid w:val="00B65F9E"/>
    <w:rsid w:val="00B66B19"/>
    <w:rsid w:val="00B865F4"/>
    <w:rsid w:val="00B914E9"/>
    <w:rsid w:val="00B94BE6"/>
    <w:rsid w:val="00B956EE"/>
    <w:rsid w:val="00BA2BA1"/>
    <w:rsid w:val="00BB18E8"/>
    <w:rsid w:val="00BB4F09"/>
    <w:rsid w:val="00BC6DC1"/>
    <w:rsid w:val="00BD3D40"/>
    <w:rsid w:val="00BD4289"/>
    <w:rsid w:val="00BD4E33"/>
    <w:rsid w:val="00C030DE"/>
    <w:rsid w:val="00C04CF9"/>
    <w:rsid w:val="00C10066"/>
    <w:rsid w:val="00C22105"/>
    <w:rsid w:val="00C244B6"/>
    <w:rsid w:val="00C3702F"/>
    <w:rsid w:val="00C6453E"/>
    <w:rsid w:val="00C64A37"/>
    <w:rsid w:val="00C7158E"/>
    <w:rsid w:val="00C7250B"/>
    <w:rsid w:val="00C7346B"/>
    <w:rsid w:val="00C77C0E"/>
    <w:rsid w:val="00C91687"/>
    <w:rsid w:val="00C924A8"/>
    <w:rsid w:val="00C945FE"/>
    <w:rsid w:val="00C96FAA"/>
    <w:rsid w:val="00C97A04"/>
    <w:rsid w:val="00CA107B"/>
    <w:rsid w:val="00CA484D"/>
    <w:rsid w:val="00CC5264"/>
    <w:rsid w:val="00CC739E"/>
    <w:rsid w:val="00CD493A"/>
    <w:rsid w:val="00CD58B7"/>
    <w:rsid w:val="00CF4099"/>
    <w:rsid w:val="00D00796"/>
    <w:rsid w:val="00D04E17"/>
    <w:rsid w:val="00D20A6C"/>
    <w:rsid w:val="00D2431F"/>
    <w:rsid w:val="00D261A2"/>
    <w:rsid w:val="00D54932"/>
    <w:rsid w:val="00D54A72"/>
    <w:rsid w:val="00D616D2"/>
    <w:rsid w:val="00D63B5F"/>
    <w:rsid w:val="00D70EF7"/>
    <w:rsid w:val="00D77050"/>
    <w:rsid w:val="00D8397C"/>
    <w:rsid w:val="00D85057"/>
    <w:rsid w:val="00D9375F"/>
    <w:rsid w:val="00D94EED"/>
    <w:rsid w:val="00D96026"/>
    <w:rsid w:val="00DA3172"/>
    <w:rsid w:val="00DA7C1C"/>
    <w:rsid w:val="00DB147A"/>
    <w:rsid w:val="00DB1B7A"/>
    <w:rsid w:val="00DB24F1"/>
    <w:rsid w:val="00DB42D7"/>
    <w:rsid w:val="00DB562E"/>
    <w:rsid w:val="00DC6708"/>
    <w:rsid w:val="00E01436"/>
    <w:rsid w:val="00E045BD"/>
    <w:rsid w:val="00E046E4"/>
    <w:rsid w:val="00E17B77"/>
    <w:rsid w:val="00E23337"/>
    <w:rsid w:val="00E259EA"/>
    <w:rsid w:val="00E25FC7"/>
    <w:rsid w:val="00E32061"/>
    <w:rsid w:val="00E42FF9"/>
    <w:rsid w:val="00E4714C"/>
    <w:rsid w:val="00E51AEB"/>
    <w:rsid w:val="00E522A7"/>
    <w:rsid w:val="00E54452"/>
    <w:rsid w:val="00E664C5"/>
    <w:rsid w:val="00E671A2"/>
    <w:rsid w:val="00E76D26"/>
    <w:rsid w:val="00E82CD8"/>
    <w:rsid w:val="00EA38C0"/>
    <w:rsid w:val="00EB1390"/>
    <w:rsid w:val="00EB2C71"/>
    <w:rsid w:val="00EB4340"/>
    <w:rsid w:val="00EB556D"/>
    <w:rsid w:val="00EB5A7D"/>
    <w:rsid w:val="00EC3CAC"/>
    <w:rsid w:val="00ED3432"/>
    <w:rsid w:val="00ED55C0"/>
    <w:rsid w:val="00ED682B"/>
    <w:rsid w:val="00EE41D5"/>
    <w:rsid w:val="00F037A4"/>
    <w:rsid w:val="00F06B8D"/>
    <w:rsid w:val="00F24D98"/>
    <w:rsid w:val="00F27C8F"/>
    <w:rsid w:val="00F32749"/>
    <w:rsid w:val="00F37172"/>
    <w:rsid w:val="00F441B2"/>
    <w:rsid w:val="00F4477E"/>
    <w:rsid w:val="00F67D8F"/>
    <w:rsid w:val="00F728FF"/>
    <w:rsid w:val="00F75026"/>
    <w:rsid w:val="00F802BE"/>
    <w:rsid w:val="00F86024"/>
    <w:rsid w:val="00F8611A"/>
    <w:rsid w:val="00F92945"/>
    <w:rsid w:val="00FA5128"/>
    <w:rsid w:val="00FB42D4"/>
    <w:rsid w:val="00FB5906"/>
    <w:rsid w:val="00FB762F"/>
    <w:rsid w:val="00FC2AED"/>
    <w:rsid w:val="00FD0C1E"/>
    <w:rsid w:val="00FD251F"/>
    <w:rsid w:val="00FD37CD"/>
    <w:rsid w:val="00FD5EA7"/>
    <w:rsid w:val="00FF1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EEC7C93A-3615-45F4-BDD3-F4FB6EE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paragraph" w:styleId="NormalnyWeb">
    <w:name w:val="Normal (Web)"/>
    <w:basedOn w:val="Normalny"/>
    <w:uiPriority w:val="99"/>
    <w:semiHidden/>
    <w:unhideWhenUsed/>
    <w:rsid w:val="00D2431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shorttext">
    <w:name w:val="short_text"/>
    <w:basedOn w:val="Domylnaczcionkaakapitu"/>
    <w:rsid w:val="00B865F4"/>
  </w:style>
  <w:style w:type="paragraph" w:styleId="Bezodstpw">
    <w:name w:val="No Spacing"/>
    <w:link w:val="BezodstpwZnak"/>
    <w:uiPriority w:val="1"/>
    <w:qFormat/>
    <w:rsid w:val="00DA317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DA3172"/>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23384631">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1.xml"/><Relationship Id="rId26" Type="http://schemas.openxmlformats.org/officeDocument/2006/relationships/hyperlink" Target="http://swaid.stat.gov.pl/EN/SitePagesDBW/RachunkiNarodowe.aspx"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0.emf"/><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hyperlink" Target="http://stat.gov.pl/en/metainformations/glossary/terms-used-in-official-statistics/6,term.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tat.gov.pl/en/metainformations/glossary/terms-used-in-official-statistics/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6.png"/><Relationship Id="rId32" Type="http://schemas.openxmlformats.org/officeDocument/2006/relationships/hyperlink" Target="http://stat.gov.pl/en/metainformations/glossary/terms-used-in-official-statistics/563,term.html"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hyperlink" Target="http://stat.gov.pl/en/metainformations/glossary/terms-used-in-official-statistics/563,term.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tat.gov.pl/en/metainformations/glossary/terms-used-in-official-statistics/36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mailto:rzecznik@stat.gov.pl" TargetMode="External"/><Relationship Id="rId27" Type="http://schemas.openxmlformats.org/officeDocument/2006/relationships/hyperlink" Target="http://stat.gov.pl/en/metainformations/glossary/terms-used-in-official-statistics/364,term.html" TargetMode="External"/><Relationship Id="rId30" Type="http://schemas.openxmlformats.org/officeDocument/2006/relationships/hyperlink" Target="http://swaid.stat.gov.pl/EN/SitePagesDBW/RachunkiNarodowe.aspx"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fgus01a\d09\W6\Rok%202017\IV%20kwarta&#322;%202017\wykres%20i%20dane1_%20IV%20kw%202017_english%2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mfgus01a\d09\W6\Rok%202017\IV%20kwarta&#322;%202017\wykres%20i%20dane1_%20IV%20kw%202017_english%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mfgus01a\d09\W6\Rok%202017\IV%20kwarta&#322;%202017\wykres%20i%20dane2_%20IV%20kw%2020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1024076891343E-2"/>
          <c:y val="0.15005853699174515"/>
          <c:w val="0.85185957586519334"/>
          <c:h val="0.53148959288209086"/>
        </c:manualLayout>
      </c:layout>
      <c:lineChart>
        <c:grouping val="standard"/>
        <c:varyColors val="0"/>
        <c:ser>
          <c:idx val="0"/>
          <c:order val="0"/>
          <c:tx>
            <c:strRef>
              <c:f>'PKB1'!$A$3</c:f>
              <c:strCache>
                <c:ptCount val="1"/>
                <c:pt idx="0">
                  <c:v>Seasonally adjusted GDP</c:v>
                </c:pt>
              </c:strCache>
            </c:strRef>
          </c:tx>
          <c:spPr>
            <a:ln w="38100">
              <a:solidFill>
                <a:srgbClr val="009AA6"/>
              </a:solidFill>
            </a:ln>
          </c:spPr>
          <c:marker>
            <c:symbol val="none"/>
          </c:marker>
          <c:cat>
            <c:strRef>
              <c:f>'PKB1'!$B$2:$M$2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'PKB1'!$B$3:$M$3</c:f>
              <c:numCache>
                <c:formatCode>0.0</c:formatCode>
                <c:ptCount val="12"/>
                <c:pt idx="0">
                  <c:v>103.9</c:v>
                </c:pt>
                <c:pt idx="1">
                  <c:v>103.4</c:v>
                </c:pt>
                <c:pt idx="2">
                  <c:v>103.8</c:v>
                </c:pt>
                <c:pt idx="3">
                  <c:v>104.2</c:v>
                </c:pt>
                <c:pt idx="4">
                  <c:v>102.7</c:v>
                </c:pt>
                <c:pt idx="5">
                  <c:v>103.2</c:v>
                </c:pt>
                <c:pt idx="6">
                  <c:v>102.3</c:v>
                </c:pt>
                <c:pt idx="7">
                  <c:v>103.2</c:v>
                </c:pt>
                <c:pt idx="8">
                  <c:v>104.4</c:v>
                </c:pt>
                <c:pt idx="9">
                  <c:v>104.3</c:v>
                </c:pt>
                <c:pt idx="10">
                  <c:v>105.2</c:v>
                </c:pt>
                <c:pt idx="11">
                  <c:v>104.3</c:v>
                </c:pt>
              </c:numCache>
            </c:numRef>
          </c:val>
          <c:smooth val="0"/>
        </c:ser>
        <c:ser>
          <c:idx val="1"/>
          <c:order val="1"/>
          <c:tx>
            <c:strRef>
              <c:f>'PKB1'!$A$4</c:f>
              <c:strCache>
                <c:ptCount val="1"/>
                <c:pt idx="0">
                  <c:v>Seasonally unadjusted</c:v>
                </c:pt>
              </c:strCache>
            </c:strRef>
          </c:tx>
          <c:spPr>
            <a:ln w="38100">
              <a:solidFill>
                <a:srgbClr val="001D77"/>
              </a:solidFill>
            </a:ln>
          </c:spPr>
          <c:marker>
            <c:symbol val="none"/>
          </c:marker>
          <c:cat>
            <c:strRef>
              <c:f>'PKB1'!$B$2:$M$2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'PKB1'!$B$4:$M$4</c:f>
              <c:numCache>
                <c:formatCode>0.0</c:formatCode>
                <c:ptCount val="12"/>
                <c:pt idx="0">
                  <c:v>103.8</c:v>
                </c:pt>
                <c:pt idx="1">
                  <c:v>103.3</c:v>
                </c:pt>
                <c:pt idx="2">
                  <c:v>103.6</c:v>
                </c:pt>
                <c:pt idx="3">
                  <c:v>104.6</c:v>
                </c:pt>
                <c:pt idx="4">
                  <c:v>103</c:v>
                </c:pt>
                <c:pt idx="5">
                  <c:v>103.2</c:v>
                </c:pt>
                <c:pt idx="6">
                  <c:v>102.6</c:v>
                </c:pt>
                <c:pt idx="7">
                  <c:v>102.7</c:v>
                </c:pt>
                <c:pt idx="8">
                  <c:v>104.1</c:v>
                </c:pt>
                <c:pt idx="9">
                  <c:v>104</c:v>
                </c:pt>
                <c:pt idx="10">
                  <c:v>104.9</c:v>
                </c:pt>
                <c:pt idx="11">
                  <c:v>105.1</c:v>
                </c:pt>
              </c:numCache>
            </c:numRef>
          </c:val>
          <c:smooth val="0"/>
        </c:ser>
        <c:dLbls>
          <c:showLegendKey val="0"/>
          <c:showVal val="0"/>
          <c:showCatName val="0"/>
          <c:showSerName val="0"/>
          <c:showPercent val="0"/>
          <c:showBubbleSize val="0"/>
        </c:dLbls>
        <c:smooth val="0"/>
        <c:axId val="1045676112"/>
        <c:axId val="1045678832"/>
      </c:lineChart>
      <c:dateAx>
        <c:axId val="1045676112"/>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045678832"/>
        <c:crosses val="autoZero"/>
        <c:auto val="0"/>
        <c:lblOffset val="100"/>
        <c:baseTimeUnit val="days"/>
      </c:dateAx>
      <c:valAx>
        <c:axId val="1045678832"/>
        <c:scaling>
          <c:orientation val="minMax"/>
          <c:max val="106"/>
          <c:min val="100"/>
        </c:scaling>
        <c:delete val="0"/>
        <c:axPos val="l"/>
        <c:majorGridlines/>
        <c:numFmt formatCode="#,##0.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045676112"/>
        <c:crosses val="autoZero"/>
        <c:crossBetween val="midCat"/>
        <c:majorUnit val="1"/>
      </c:valAx>
    </c:plotArea>
    <c:legend>
      <c:legendPos val="b"/>
      <c:legendEntry>
        <c:idx val="0"/>
        <c:txPr>
          <a:bodyPr/>
          <a:lstStyle/>
          <a:p>
            <a:pPr>
              <a:defRPr sz="845" b="0" i="0" u="none" strike="noStrike" baseline="0">
                <a:solidFill>
                  <a:srgbClr val="000000"/>
                </a:solidFill>
                <a:latin typeface="Calibri"/>
                <a:ea typeface="Calibri"/>
                <a:cs typeface="Calibri"/>
              </a:defRPr>
            </a:pPr>
            <a:endParaRPr lang="pl-PL"/>
          </a:p>
        </c:txPr>
      </c:legendEntry>
      <c:legendEntry>
        <c:idx val="1"/>
        <c:txPr>
          <a:bodyPr/>
          <a:lstStyle/>
          <a:p>
            <a:pPr>
              <a:defRPr sz="845" b="0" i="0" u="none" strike="noStrike" baseline="0">
                <a:solidFill>
                  <a:srgbClr val="000000"/>
                </a:solidFill>
                <a:latin typeface="Calibri"/>
                <a:ea typeface="Calibri"/>
                <a:cs typeface="Calibri"/>
              </a:defRPr>
            </a:pPr>
            <a:endParaRPr lang="pl-PL"/>
          </a:p>
        </c:txPr>
      </c:legendEntry>
      <c:layout>
        <c:manualLayout>
          <c:xMode val="edge"/>
          <c:yMode val="edge"/>
          <c:x val="2.3543095760372949E-2"/>
          <c:y val="0.82042891697361364"/>
          <c:w val="0.97028431911127389"/>
          <c:h val="5.3576050518437612E-2"/>
        </c:manualLayout>
      </c:layout>
      <c:overlay val="0"/>
      <c:txPr>
        <a:bodyPr/>
        <a:lstStyle/>
        <a:p>
          <a:pPr>
            <a:defRPr sz="775" b="0" i="0" u="none" strike="noStrike" baseline="0">
              <a:solidFill>
                <a:srgbClr val="000000"/>
              </a:solidFill>
              <a:latin typeface="Calibri"/>
              <a:ea typeface="Calibri"/>
              <a:cs typeface="Calibri"/>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78083157152924E-2"/>
          <c:y val="0.1416745716389495"/>
          <c:w val="0.91723609630408542"/>
          <c:h val="0.59517401432956996"/>
        </c:manualLayout>
      </c:layout>
      <c:barChart>
        <c:barDir val="col"/>
        <c:grouping val="clustered"/>
        <c:varyColors val="0"/>
        <c:ser>
          <c:idx val="0"/>
          <c:order val="0"/>
          <c:tx>
            <c:strRef>
              <c:f>'PKB1'!$A$5</c:f>
              <c:strCache>
                <c:ptCount val="1"/>
                <c:pt idx="0">
                  <c:v>Seasonally adjusted GDP</c:v>
                </c:pt>
              </c:strCache>
            </c:strRef>
          </c:tx>
          <c:spPr>
            <a:solidFill>
              <a:srgbClr val="009AA6"/>
            </a:solidFill>
            <a:ln w="15875" cmpd="sng">
              <a:noFill/>
            </a:ln>
          </c:spPr>
          <c:invertIfNegative val="0"/>
          <c:dPt>
            <c:idx val="1"/>
            <c:invertIfNegative val="0"/>
            <c:bubble3D val="0"/>
            <c:spPr>
              <a:solidFill>
                <a:srgbClr val="009AA6"/>
              </a:solidFill>
              <a:ln w="15875" cap="sq" cmpd="sng">
                <a:noFill/>
              </a:ln>
            </c:spPr>
          </c:dPt>
          <c:cat>
            <c:strRef>
              <c:f>'PKB1'!$B$2:$M$2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'PKB1'!$B$5:$M$5</c:f>
              <c:numCache>
                <c:formatCode>0.0</c:formatCode>
                <c:ptCount val="12"/>
                <c:pt idx="0">
                  <c:v>101.4</c:v>
                </c:pt>
                <c:pt idx="1">
                  <c:v>100.6</c:v>
                </c:pt>
                <c:pt idx="2">
                  <c:v>101.2</c:v>
                </c:pt>
                <c:pt idx="3">
                  <c:v>100.9</c:v>
                </c:pt>
                <c:pt idx="4">
                  <c:v>100</c:v>
                </c:pt>
                <c:pt idx="5">
                  <c:v>101.1</c:v>
                </c:pt>
                <c:pt idx="6">
                  <c:v>100.3</c:v>
                </c:pt>
                <c:pt idx="7">
                  <c:v>101.8</c:v>
                </c:pt>
                <c:pt idx="8">
                  <c:v>101.1</c:v>
                </c:pt>
                <c:pt idx="9">
                  <c:v>101</c:v>
                </c:pt>
                <c:pt idx="10">
                  <c:v>101.2</c:v>
                </c:pt>
                <c:pt idx="11">
                  <c:v>101</c:v>
                </c:pt>
              </c:numCache>
            </c:numRef>
          </c:val>
        </c:ser>
        <c:dLbls>
          <c:showLegendKey val="0"/>
          <c:showVal val="0"/>
          <c:showCatName val="0"/>
          <c:showSerName val="0"/>
          <c:showPercent val="0"/>
          <c:showBubbleSize val="0"/>
        </c:dLbls>
        <c:gapWidth val="150"/>
        <c:axId val="1045673936"/>
        <c:axId val="1045684272"/>
      </c:barChart>
      <c:catAx>
        <c:axId val="1045673936"/>
        <c:scaling>
          <c:orientation val="minMax"/>
        </c:scaling>
        <c:delete val="0"/>
        <c:axPos val="b"/>
        <c:numFmt formatCode="General" sourceLinked="1"/>
        <c:majorTickMark val="out"/>
        <c:minorTickMark val="none"/>
        <c:tickLblPos val="low"/>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045684272"/>
        <c:crossesAt val="100"/>
        <c:auto val="1"/>
        <c:lblAlgn val="ctr"/>
        <c:lblOffset val="200"/>
        <c:noMultiLvlLbl val="0"/>
      </c:catAx>
      <c:valAx>
        <c:axId val="1045684272"/>
        <c:scaling>
          <c:orientation val="minMax"/>
          <c:max val="102"/>
          <c:min val="100"/>
        </c:scaling>
        <c:delete val="0"/>
        <c:axPos val="l"/>
        <c:majorGridlines/>
        <c:numFmt formatCode="#,##0.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045673936"/>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44600785848513E-2"/>
          <c:y val="5.1318161888802803E-2"/>
          <c:w val="0.86408113187035041"/>
          <c:h val="0.72453990161984905"/>
        </c:manualLayout>
      </c:layout>
      <c:barChart>
        <c:barDir val="col"/>
        <c:grouping val="clustered"/>
        <c:varyColors val="0"/>
        <c:ser>
          <c:idx val="0"/>
          <c:order val="0"/>
          <c:tx>
            <c:strRef>
              <c:f>'DANE DO WYKRESU'!$A$3</c:f>
              <c:strCache>
                <c:ptCount val="1"/>
                <c:pt idx="0">
                  <c:v>Consumption expenditure of the households sector</c:v>
                </c:pt>
              </c:strCache>
            </c:strRef>
          </c:tx>
          <c:spPr>
            <a:solidFill>
              <a:srgbClr val="522398"/>
            </a:solidFill>
            <a:ln w="25400">
              <a:noFill/>
            </a:ln>
          </c:spPr>
          <c:invertIfNegative val="0"/>
          <c:cat>
            <c:strRef>
              <c:f>'DANE DO WYKRESU'!$B$2:$M$2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'DANE DO WYKRESU'!$B$3:$M$3</c:f>
              <c:numCache>
                <c:formatCode>#\ ##0.0</c:formatCode>
                <c:ptCount val="12"/>
                <c:pt idx="0">
                  <c:v>102.95163643975754</c:v>
                </c:pt>
                <c:pt idx="1">
                  <c:v>103.06006013115221</c:v>
                </c:pt>
                <c:pt idx="2">
                  <c:v>103.19542052014343</c:v>
                </c:pt>
                <c:pt idx="3">
                  <c:v>102.86562045931093</c:v>
                </c:pt>
                <c:pt idx="4">
                  <c:v>103.3505364414326</c:v>
                </c:pt>
                <c:pt idx="5">
                  <c:v>103.35135514034917</c:v>
                </c:pt>
                <c:pt idx="6">
                  <c:v>104.0651011158713</c:v>
                </c:pt>
                <c:pt idx="7">
                  <c:v>104.7</c:v>
                </c:pt>
                <c:pt idx="8">
                  <c:v>104.7</c:v>
                </c:pt>
                <c:pt idx="9">
                  <c:v>104.9</c:v>
                </c:pt>
                <c:pt idx="10">
                  <c:v>104.8</c:v>
                </c:pt>
                <c:pt idx="11" formatCode="0.0">
                  <c:v>104.9</c:v>
                </c:pt>
              </c:numCache>
            </c:numRef>
          </c:val>
        </c:ser>
        <c:ser>
          <c:idx val="1"/>
          <c:order val="1"/>
          <c:tx>
            <c:strRef>
              <c:f>'DANE DO WYKRESU'!$A$4</c:f>
              <c:strCache>
                <c:ptCount val="1"/>
                <c:pt idx="0">
                  <c:v>Gross fixed capital formation</c:v>
                </c:pt>
              </c:strCache>
            </c:strRef>
          </c:tx>
          <c:spPr>
            <a:solidFill>
              <a:srgbClr val="008542"/>
            </a:solidFill>
            <a:ln w="25400">
              <a:noFill/>
            </a:ln>
          </c:spPr>
          <c:invertIfNegative val="0"/>
          <c:cat>
            <c:strRef>
              <c:f>'DANE DO WYKRESU'!$B$2:$M$2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'DANE DO WYKRESU'!$B$4:$M$4</c:f>
              <c:numCache>
                <c:formatCode>0.0</c:formatCode>
                <c:ptCount val="12"/>
                <c:pt idx="0">
                  <c:v>112.7</c:v>
                </c:pt>
                <c:pt idx="1">
                  <c:v>106.4</c:v>
                </c:pt>
                <c:pt idx="2">
                  <c:v>104.3</c:v>
                </c:pt>
                <c:pt idx="3">
                  <c:v>104.5</c:v>
                </c:pt>
                <c:pt idx="4" formatCode="General">
                  <c:v>90.3</c:v>
                </c:pt>
                <c:pt idx="5" formatCode="General">
                  <c:v>95.4</c:v>
                </c:pt>
                <c:pt idx="6" formatCode="General">
                  <c:v>93.1</c:v>
                </c:pt>
                <c:pt idx="7" formatCode="General">
                  <c:v>90.3</c:v>
                </c:pt>
                <c:pt idx="8">
                  <c:v>99.5</c:v>
                </c:pt>
                <c:pt idx="9">
                  <c:v>100.9</c:v>
                </c:pt>
                <c:pt idx="10">
                  <c:v>103.3</c:v>
                </c:pt>
                <c:pt idx="11">
                  <c:v>111.3</c:v>
                </c:pt>
              </c:numCache>
            </c:numRef>
          </c:val>
        </c:ser>
        <c:dLbls>
          <c:showLegendKey val="0"/>
          <c:showVal val="0"/>
          <c:showCatName val="0"/>
          <c:showSerName val="0"/>
          <c:showPercent val="0"/>
          <c:showBubbleSize val="0"/>
        </c:dLbls>
        <c:gapWidth val="94"/>
        <c:axId val="1045687536"/>
        <c:axId val="1045675024"/>
      </c:barChart>
      <c:lineChart>
        <c:grouping val="standard"/>
        <c:varyColors val="0"/>
        <c:ser>
          <c:idx val="2"/>
          <c:order val="2"/>
          <c:tx>
            <c:strRef>
              <c:f>'DANE DO WYKRESU'!$A$5</c:f>
              <c:strCache>
                <c:ptCount val="1"/>
                <c:pt idx="0">
                  <c:v>Gross domestic product</c:v>
                </c:pt>
              </c:strCache>
            </c:strRef>
          </c:tx>
          <c:spPr>
            <a:ln w="44450" cap="rnd">
              <a:solidFill>
                <a:srgbClr val="001D77"/>
              </a:solidFill>
              <a:round/>
            </a:ln>
            <a:effectLst/>
          </c:spPr>
          <c:marker>
            <c:symbol val="none"/>
          </c:marker>
          <c:cat>
            <c:strRef>
              <c:f>'DANE DO WYKRESU'!$B$2:$M$2</c:f>
              <c:strCache>
                <c:ptCount val="12"/>
                <c:pt idx="0">
                  <c:v>Q1
2015</c:v>
                </c:pt>
                <c:pt idx="1">
                  <c:v>Q2
2015</c:v>
                </c:pt>
                <c:pt idx="2">
                  <c:v>Q3
2015</c:v>
                </c:pt>
                <c:pt idx="3">
                  <c:v>Q4
2015</c:v>
                </c:pt>
                <c:pt idx="4">
                  <c:v>Q1
2016</c:v>
                </c:pt>
                <c:pt idx="5">
                  <c:v>Q2
2016</c:v>
                </c:pt>
                <c:pt idx="6">
                  <c:v>Q3
2016</c:v>
                </c:pt>
                <c:pt idx="7">
                  <c:v>Q4
2016</c:v>
                </c:pt>
                <c:pt idx="8">
                  <c:v>Q1
2017</c:v>
                </c:pt>
                <c:pt idx="9">
                  <c:v>Q2
2017</c:v>
                </c:pt>
                <c:pt idx="10">
                  <c:v>Q3
2017</c:v>
                </c:pt>
                <c:pt idx="11">
                  <c:v>Q4
2017</c:v>
                </c:pt>
              </c:strCache>
            </c:strRef>
          </c:cat>
          <c:val>
            <c:numRef>
              <c:f>'DANE DO WYKRESU'!$B$5:$M$5</c:f>
              <c:numCache>
                <c:formatCode>0.0</c:formatCode>
                <c:ptCount val="12"/>
                <c:pt idx="0">
                  <c:v>103.8</c:v>
                </c:pt>
                <c:pt idx="1">
                  <c:v>103.3</c:v>
                </c:pt>
                <c:pt idx="2">
                  <c:v>103.6</c:v>
                </c:pt>
                <c:pt idx="3">
                  <c:v>104.6</c:v>
                </c:pt>
                <c:pt idx="4" formatCode="General">
                  <c:v>103</c:v>
                </c:pt>
                <c:pt idx="5" formatCode="General">
                  <c:v>103.2</c:v>
                </c:pt>
                <c:pt idx="6" formatCode="General">
                  <c:v>102.6</c:v>
                </c:pt>
                <c:pt idx="7" formatCode="General">
                  <c:v>102.7</c:v>
                </c:pt>
                <c:pt idx="8">
                  <c:v>104.1</c:v>
                </c:pt>
                <c:pt idx="9">
                  <c:v>104</c:v>
                </c:pt>
                <c:pt idx="10">
                  <c:v>104.9</c:v>
                </c:pt>
                <c:pt idx="11">
                  <c:v>105.05397740521347</c:v>
                </c:pt>
              </c:numCache>
            </c:numRef>
          </c:val>
          <c:smooth val="0"/>
        </c:ser>
        <c:dLbls>
          <c:showLegendKey val="0"/>
          <c:showVal val="0"/>
          <c:showCatName val="0"/>
          <c:showSerName val="0"/>
          <c:showPercent val="0"/>
          <c:showBubbleSize val="0"/>
        </c:dLbls>
        <c:marker val="1"/>
        <c:smooth val="0"/>
        <c:axId val="1045687536"/>
        <c:axId val="1045675024"/>
      </c:lineChart>
      <c:catAx>
        <c:axId val="1045687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pl-PL"/>
          </a:p>
        </c:txPr>
        <c:crossAx val="1045675024"/>
        <c:crossesAt val="100"/>
        <c:auto val="1"/>
        <c:lblAlgn val="ctr"/>
        <c:lblOffset val="100"/>
        <c:noMultiLvlLbl val="0"/>
      </c:catAx>
      <c:valAx>
        <c:axId val="1045675024"/>
        <c:scaling>
          <c:orientation val="minMax"/>
          <c:max val="114"/>
          <c:min val="9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pl-PL"/>
          </a:p>
        </c:txPr>
        <c:crossAx val="1045687536"/>
        <c:crosses val="autoZero"/>
        <c:crossBetween val="between"/>
        <c:majorUnit val="2"/>
        <c:minorUnit val="0.4"/>
      </c:valAx>
      <c:spPr>
        <a:noFill/>
        <a:ln w="25400">
          <a:noFill/>
        </a:ln>
      </c:spPr>
    </c:plotArea>
    <c:legend>
      <c:legendPos val="b"/>
      <c:layout>
        <c:manualLayout>
          <c:xMode val="edge"/>
          <c:yMode val="edge"/>
          <c:x val="0.19313427212450063"/>
          <c:y val="0.89289013369973047"/>
          <c:w val="0.67168995099115758"/>
          <c:h val="0.10347501756788413"/>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0.15143</cdr:x>
      <cdr:y>0.91369</cdr:y>
    </cdr:to>
    <cdr:sp macro="" textlink="">
      <cdr:nvSpPr>
        <cdr:cNvPr id="4" name="pole tekstowe 3"/>
        <cdr:cNvSpPr txBox="1"/>
      </cdr:nvSpPr>
      <cdr:spPr>
        <a:xfrm xmlns:a="http://schemas.openxmlformats.org/drawingml/2006/main">
          <a:off x="745245"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3"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5"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3"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0.15139</cdr:x>
      <cdr:y>0.91369</cdr:y>
    </cdr:to>
    <cdr:sp macro="" textlink="">
      <cdr:nvSpPr>
        <cdr:cNvPr id="4" name="pole tekstowe 3"/>
        <cdr:cNvSpPr txBox="1"/>
      </cdr:nvSpPr>
      <cdr:spPr>
        <a:xfrm xmlns:a="http://schemas.openxmlformats.org/drawingml/2006/main">
          <a:off x="746259"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5"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7"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8"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9"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10"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11"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5AF7CF77-049D-4D59-B18F-A9AE2372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1119</Words>
  <Characters>6717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Gross Domestic Product in the 4th quarter of 2017 Preliminary estimate</dc:title>
  <dc:subject/>
  <dc:creator>Koniecki Krzysztof</dc:creator>
  <cp:keywords/>
  <dc:description/>
  <cp:lastModifiedBy>Koszela Alicja</cp:lastModifiedBy>
  <cp:revision>37</cp:revision>
  <cp:lastPrinted>2018-02-27T14:21:00Z</cp:lastPrinted>
  <dcterms:created xsi:type="dcterms:W3CDTF">2018-02-26T14:14:00Z</dcterms:created>
  <dcterms:modified xsi:type="dcterms:W3CDTF">2018-02-28T08:56:00Z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