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rawings/drawing5.xml" ContentType="application/vnd.openxmlformats-officedocument.drawingml.chartshapes+xml"/>
  <Override PartName="/word/charts/chart9.xml" ContentType="application/vnd.openxmlformats-officedocument.drawingml.chart+xml"/>
  <Override PartName="/word/drawings/drawing6.xml" ContentType="application/vnd.openxmlformats-officedocument.drawingml.chartshapes+xml"/>
  <Override PartName="/word/charts/chart10.xml" ContentType="application/vnd.openxmlformats-officedocument.drawingml.chart+xml"/>
  <Override PartName="/word/drawings/drawing7.xml" ContentType="application/vnd.openxmlformats-officedocument.drawingml.chartshapes+xml"/>
  <Override PartName="/word/charts/chart11.xml" ContentType="application/vnd.openxmlformats-officedocument.drawingml.chart+xml"/>
  <Override PartName="/word/drawings/drawing8.xml" ContentType="application/vnd.openxmlformats-officedocument.drawingml.chartshapes+xml"/>
  <Override PartName="/word/charts/chart12.xml" ContentType="application/vnd.openxmlformats-officedocument.drawingml.chart+xml"/>
  <Override PartName="/word/drawings/drawing9.xml" ContentType="application/vnd.openxmlformats-officedocument.drawingml.chartshapes+xml"/>
  <Override PartName="/word/charts/chart13.xml" ContentType="application/vnd.openxmlformats-officedocument.drawingml.chart+xml"/>
  <Override PartName="/word/drawings/drawing10.xml" ContentType="application/vnd.openxmlformats-officedocument.drawingml.chartshapes+xml"/>
  <Override PartName="/word/charts/chart14.xml" ContentType="application/vnd.openxmlformats-officedocument.drawingml.chart+xml"/>
  <Override PartName="/word/drawings/drawing11.xml" ContentType="application/vnd.openxmlformats-officedocument.drawingml.chartshapes+xml"/>
  <Override PartName="/word/charts/chart15.xml" ContentType="application/vnd.openxmlformats-officedocument.drawingml.chart+xml"/>
  <Override PartName="/word/drawings/drawing12.xml" ContentType="application/vnd.openxmlformats-officedocument.drawingml.chartshapes+xml"/>
  <Override PartName="/word/charts/chart16.xml" ContentType="application/vnd.openxmlformats-officedocument.drawingml.chart+xml"/>
  <Override PartName="/word/drawings/drawing13.xml" ContentType="application/vnd.openxmlformats-officedocument.drawingml.chartshapes+xml"/>
  <Override PartName="/word/charts/chart17.xml" ContentType="application/vnd.openxmlformats-officedocument.drawingml.chart+xml"/>
  <Override PartName="/word/drawings/drawing14.xml" ContentType="application/vnd.openxmlformats-officedocument.drawingml.chartshapes+xml"/>
  <Override PartName="/word/charts/chart18.xml" ContentType="application/vnd.openxmlformats-officedocument.drawingml.chart+xml"/>
  <Override PartName="/word/drawings/drawing15.xml" ContentType="application/vnd.openxmlformats-officedocument.drawingml.chartshapes+xml"/>
  <Override PartName="/word/charts/chart19.xml" ContentType="application/vnd.openxmlformats-officedocument.drawingml.chart+xml"/>
  <Override PartName="/word/drawings/drawing16.xml" ContentType="application/vnd.openxmlformats-officedocument.drawingml.chartshapes+xml"/>
  <Override PartName="/word/charts/chart20.xml" ContentType="application/vnd.openxmlformats-officedocument.drawingml.chart+xml"/>
  <Override PartName="/word/drawings/drawing17.xml" ContentType="application/vnd.openxmlformats-officedocument.drawingml.chartshapes+xml"/>
  <Override PartName="/word/charts/chart21.xml" ContentType="application/vnd.openxmlformats-officedocument.drawingml.chart+xml"/>
  <Override PartName="/word/drawings/drawing18.xml" ContentType="application/vnd.openxmlformats-officedocument.drawingml.chartshapes+xml"/>
  <Override PartName="/word/charts/chart22.xml" ContentType="application/vnd.openxmlformats-officedocument.drawingml.chart+xml"/>
  <Override PartName="/word/drawings/drawing19.xml" ContentType="application/vnd.openxmlformats-officedocument.drawingml.chartshapes+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C01" w:rsidRDefault="00257C01">
      <w:pPr>
        <w:rPr>
          <w:b/>
          <w:sz w:val="28"/>
          <w:szCs w:val="28"/>
        </w:rPr>
      </w:pPr>
    </w:p>
    <w:p w:rsidR="00C23C4A" w:rsidRPr="00C23C4A" w:rsidRDefault="00E93113">
      <w:pPr>
        <w:rPr>
          <w:b/>
          <w:sz w:val="28"/>
          <w:szCs w:val="28"/>
        </w:rPr>
      </w:pPr>
      <w:r w:rsidRPr="00C23C4A">
        <w:rPr>
          <w:b/>
          <w:noProof/>
          <w:sz w:val="28"/>
          <w:szCs w:val="28"/>
        </w:rPr>
        <w:drawing>
          <wp:anchor distT="0" distB="0" distL="114300" distR="114300" simplePos="0" relativeHeight="251654656" behindDoc="0" locked="0" layoutInCell="1" allowOverlap="1">
            <wp:simplePos x="0" y="0"/>
            <wp:positionH relativeFrom="column">
              <wp:posOffset>3810</wp:posOffset>
            </wp:positionH>
            <wp:positionV relativeFrom="paragraph">
              <wp:posOffset>-3810</wp:posOffset>
            </wp:positionV>
            <wp:extent cx="647700" cy="546100"/>
            <wp:effectExtent l="0" t="0" r="0" b="0"/>
            <wp:wrapSquare wrapText="bothSides"/>
            <wp:docPr id="2" name="Obraz 2" descr="G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U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7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sidR="00C23C4A">
        <w:rPr>
          <w:b/>
          <w:sz w:val="28"/>
          <w:szCs w:val="28"/>
        </w:rPr>
        <w:t xml:space="preserve">  </w:t>
      </w:r>
      <w:r w:rsidR="00C23C4A" w:rsidRPr="00C23C4A">
        <w:rPr>
          <w:b/>
          <w:sz w:val="28"/>
          <w:szCs w:val="28"/>
        </w:rPr>
        <w:t>GŁÓWNY URZĄD STATYSTYCZNY</w:t>
      </w:r>
    </w:p>
    <w:p w:rsidR="00C23C4A" w:rsidRPr="00C23C4A" w:rsidRDefault="00C23C4A">
      <w:pPr>
        <w:rPr>
          <w:b/>
          <w:sz w:val="28"/>
          <w:szCs w:val="28"/>
        </w:rPr>
      </w:pPr>
      <w:r w:rsidRPr="00C23C4A">
        <w:rPr>
          <w:b/>
          <w:sz w:val="28"/>
          <w:szCs w:val="28"/>
        </w:rPr>
        <w:t xml:space="preserve">  </w:t>
      </w:r>
      <w:r>
        <w:rPr>
          <w:b/>
          <w:sz w:val="28"/>
          <w:szCs w:val="28"/>
        </w:rPr>
        <w:t xml:space="preserve">  </w:t>
      </w:r>
      <w:r w:rsidRPr="00C23C4A">
        <w:rPr>
          <w:b/>
          <w:sz w:val="28"/>
          <w:szCs w:val="28"/>
        </w:rPr>
        <w:t>CENTRAL STATISTICAL OFFICE</w:t>
      </w:r>
    </w:p>
    <w:p w:rsidR="00C23C4A" w:rsidRDefault="00C23C4A"/>
    <w:p w:rsidR="00C23C4A" w:rsidRDefault="00C23C4A"/>
    <w:p w:rsidR="00F952D4" w:rsidRDefault="00F952D4"/>
    <w:p w:rsidR="00C23C4A" w:rsidRDefault="00C23C4A"/>
    <w:p w:rsidR="00C23C4A" w:rsidRDefault="00C23C4A"/>
    <w:p w:rsidR="00C23C4A" w:rsidRDefault="00C23C4A"/>
    <w:p w:rsidR="00C23C4A" w:rsidRDefault="00C23C4A"/>
    <w:p w:rsidR="00C23C4A" w:rsidRDefault="00C23C4A"/>
    <w:p w:rsidR="00C23C4A" w:rsidRDefault="00C23C4A"/>
    <w:p w:rsidR="00C23C4A" w:rsidRPr="00C23C4A" w:rsidRDefault="00C23C4A">
      <w:pPr>
        <w:rPr>
          <w:b/>
          <w:sz w:val="36"/>
          <w:szCs w:val="36"/>
        </w:rPr>
      </w:pPr>
    </w:p>
    <w:p w:rsidR="00C23C4A" w:rsidRPr="009C7B81" w:rsidRDefault="00C23C4A" w:rsidP="009C7B81">
      <w:pPr>
        <w:tabs>
          <w:tab w:val="right" w:pos="7920"/>
        </w:tabs>
        <w:rPr>
          <w:b/>
          <w:sz w:val="40"/>
          <w:szCs w:val="40"/>
        </w:rPr>
      </w:pPr>
      <w:r w:rsidRPr="00C23C4A">
        <w:rPr>
          <w:b/>
          <w:sz w:val="36"/>
          <w:szCs w:val="36"/>
        </w:rPr>
        <w:tab/>
      </w:r>
      <w:r w:rsidRPr="009C7B81">
        <w:rPr>
          <w:b/>
          <w:sz w:val="40"/>
          <w:szCs w:val="40"/>
        </w:rPr>
        <w:t>NAKŁADY I WYNIKI</w:t>
      </w:r>
    </w:p>
    <w:p w:rsidR="00C23C4A" w:rsidRPr="009C7B81" w:rsidRDefault="00C23C4A" w:rsidP="009C7B81">
      <w:pPr>
        <w:tabs>
          <w:tab w:val="right" w:pos="7920"/>
        </w:tabs>
        <w:rPr>
          <w:b/>
          <w:sz w:val="40"/>
          <w:szCs w:val="40"/>
        </w:rPr>
      </w:pPr>
      <w:r w:rsidRPr="009C7B81">
        <w:rPr>
          <w:b/>
          <w:sz w:val="40"/>
          <w:szCs w:val="40"/>
        </w:rPr>
        <w:tab/>
        <w:t>PRZEMYSŁU</w:t>
      </w:r>
    </w:p>
    <w:p w:rsidR="00C23C4A" w:rsidRPr="009C7B81" w:rsidRDefault="00C23C4A" w:rsidP="009C7B81">
      <w:pPr>
        <w:tabs>
          <w:tab w:val="right" w:pos="7920"/>
        </w:tabs>
        <w:rPr>
          <w:b/>
          <w:sz w:val="36"/>
          <w:szCs w:val="36"/>
        </w:rPr>
      </w:pPr>
      <w:r w:rsidRPr="009C7B81">
        <w:rPr>
          <w:b/>
          <w:sz w:val="40"/>
          <w:szCs w:val="40"/>
        </w:rPr>
        <w:tab/>
      </w:r>
      <w:r w:rsidR="00E8753D">
        <w:rPr>
          <w:b/>
          <w:sz w:val="40"/>
          <w:szCs w:val="40"/>
        </w:rPr>
        <w:t>W</w:t>
      </w:r>
      <w:r w:rsidR="002443EF">
        <w:rPr>
          <w:b/>
          <w:sz w:val="40"/>
          <w:szCs w:val="40"/>
        </w:rPr>
        <w:t xml:space="preserve"> </w:t>
      </w:r>
      <w:r w:rsidR="007C39F3">
        <w:rPr>
          <w:b/>
          <w:sz w:val="40"/>
          <w:szCs w:val="40"/>
        </w:rPr>
        <w:t>I</w:t>
      </w:r>
      <w:r w:rsidR="00760958">
        <w:rPr>
          <w:b/>
          <w:sz w:val="40"/>
          <w:szCs w:val="40"/>
        </w:rPr>
        <w:t>-II</w:t>
      </w:r>
      <w:r w:rsidR="007C39F3">
        <w:rPr>
          <w:b/>
          <w:sz w:val="40"/>
          <w:szCs w:val="40"/>
        </w:rPr>
        <w:t xml:space="preserve"> KWARTALE </w:t>
      </w:r>
      <w:r w:rsidR="00194A01">
        <w:rPr>
          <w:b/>
          <w:sz w:val="40"/>
          <w:szCs w:val="40"/>
        </w:rPr>
        <w:t>20</w:t>
      </w:r>
      <w:r w:rsidR="000561F9">
        <w:rPr>
          <w:b/>
          <w:sz w:val="40"/>
          <w:szCs w:val="40"/>
        </w:rPr>
        <w:t>1</w:t>
      </w:r>
      <w:r w:rsidR="007C39F3">
        <w:rPr>
          <w:b/>
          <w:sz w:val="40"/>
          <w:szCs w:val="40"/>
        </w:rPr>
        <w:t>7</w:t>
      </w:r>
      <w:r w:rsidR="009C7B81" w:rsidRPr="009C7B81">
        <w:rPr>
          <w:b/>
          <w:sz w:val="40"/>
          <w:szCs w:val="40"/>
        </w:rPr>
        <w:t xml:space="preserve"> R.</w:t>
      </w:r>
    </w:p>
    <w:p w:rsidR="00F952D4" w:rsidRPr="009C7B81" w:rsidRDefault="00F952D4"/>
    <w:p w:rsidR="00F952D4" w:rsidRDefault="00F952D4"/>
    <w:p w:rsidR="00F952D4" w:rsidRDefault="00F952D4"/>
    <w:p w:rsidR="00C23C4A" w:rsidRDefault="00C23C4A"/>
    <w:p w:rsidR="00C23C4A" w:rsidRDefault="00C23C4A"/>
    <w:p w:rsidR="00C23C4A" w:rsidRDefault="00C23C4A"/>
    <w:p w:rsidR="00C23C4A" w:rsidRPr="009C7B81" w:rsidRDefault="00C23C4A">
      <w:pPr>
        <w:rPr>
          <w:b/>
          <w:sz w:val="40"/>
          <w:szCs w:val="40"/>
        </w:rPr>
      </w:pPr>
    </w:p>
    <w:p w:rsidR="00C23C4A" w:rsidRPr="009C7B81" w:rsidRDefault="00C23C4A">
      <w:pPr>
        <w:rPr>
          <w:b/>
          <w:sz w:val="40"/>
          <w:szCs w:val="40"/>
          <w:lang w:val="en-US"/>
        </w:rPr>
      </w:pPr>
      <w:r w:rsidRPr="009C7B81">
        <w:rPr>
          <w:b/>
          <w:sz w:val="40"/>
          <w:szCs w:val="40"/>
          <w:lang w:val="en-US"/>
        </w:rPr>
        <w:t>OUTLAYS AND RESULTS</w:t>
      </w:r>
    </w:p>
    <w:p w:rsidR="00C23C4A" w:rsidRPr="009C7B81" w:rsidRDefault="00C23C4A">
      <w:pPr>
        <w:rPr>
          <w:b/>
          <w:sz w:val="40"/>
          <w:szCs w:val="40"/>
          <w:lang w:val="en-US"/>
        </w:rPr>
      </w:pPr>
      <w:r w:rsidRPr="009C7B81">
        <w:rPr>
          <w:b/>
          <w:sz w:val="40"/>
          <w:szCs w:val="40"/>
          <w:lang w:val="en-US"/>
        </w:rPr>
        <w:t>IN INDUSTRY</w:t>
      </w:r>
    </w:p>
    <w:p w:rsidR="00C23C4A" w:rsidRPr="00A76D6B" w:rsidRDefault="000B7F5E">
      <w:pPr>
        <w:rPr>
          <w:b/>
          <w:sz w:val="36"/>
          <w:szCs w:val="36"/>
          <w:lang w:val="en-US"/>
        </w:rPr>
      </w:pPr>
      <w:r w:rsidRPr="00A76D6B">
        <w:rPr>
          <w:b/>
          <w:sz w:val="40"/>
          <w:szCs w:val="40"/>
          <w:lang w:val="en-US"/>
        </w:rPr>
        <w:t>IN</w:t>
      </w:r>
      <w:r w:rsidR="000561F9" w:rsidRPr="00A76D6B">
        <w:rPr>
          <w:b/>
          <w:sz w:val="40"/>
          <w:szCs w:val="40"/>
          <w:lang w:val="en-US"/>
        </w:rPr>
        <w:t xml:space="preserve"> </w:t>
      </w:r>
      <w:r w:rsidR="007C39F3" w:rsidRPr="00A76D6B">
        <w:rPr>
          <w:b/>
          <w:sz w:val="40"/>
          <w:szCs w:val="40"/>
          <w:lang w:val="en-US"/>
        </w:rPr>
        <w:t>I</w:t>
      </w:r>
      <w:r w:rsidR="00760958" w:rsidRPr="00A76D6B">
        <w:rPr>
          <w:b/>
          <w:sz w:val="40"/>
          <w:szCs w:val="40"/>
          <w:lang w:val="en-US"/>
        </w:rPr>
        <w:t>-II</w:t>
      </w:r>
      <w:r w:rsidR="007C39F3" w:rsidRPr="00A76D6B">
        <w:rPr>
          <w:b/>
          <w:sz w:val="40"/>
          <w:szCs w:val="40"/>
          <w:lang w:val="en-US"/>
        </w:rPr>
        <w:t xml:space="preserve"> QUARTER </w:t>
      </w:r>
      <w:r w:rsidR="00C23C4A" w:rsidRPr="00A76D6B">
        <w:rPr>
          <w:b/>
          <w:sz w:val="40"/>
          <w:szCs w:val="40"/>
          <w:lang w:val="en-US"/>
        </w:rPr>
        <w:t>20</w:t>
      </w:r>
      <w:r w:rsidR="000561F9" w:rsidRPr="00A76D6B">
        <w:rPr>
          <w:b/>
          <w:sz w:val="40"/>
          <w:szCs w:val="40"/>
          <w:lang w:val="en-US"/>
        </w:rPr>
        <w:t>1</w:t>
      </w:r>
      <w:r w:rsidR="007C39F3" w:rsidRPr="00A76D6B">
        <w:rPr>
          <w:b/>
          <w:sz w:val="40"/>
          <w:szCs w:val="40"/>
          <w:lang w:val="en-US"/>
        </w:rPr>
        <w:t>7</w:t>
      </w:r>
    </w:p>
    <w:p w:rsidR="00F952D4" w:rsidRPr="00A76D6B" w:rsidRDefault="00F952D4">
      <w:pPr>
        <w:rPr>
          <w:lang w:val="en-US"/>
        </w:rPr>
      </w:pPr>
    </w:p>
    <w:p w:rsidR="0030545E" w:rsidRPr="00A76D6B" w:rsidRDefault="0030545E">
      <w:pPr>
        <w:rPr>
          <w:lang w:val="en-US"/>
        </w:rPr>
      </w:pPr>
    </w:p>
    <w:p w:rsidR="0030545E" w:rsidRPr="00A76D6B" w:rsidRDefault="0030545E">
      <w:pPr>
        <w:rPr>
          <w:lang w:val="en-US"/>
        </w:rPr>
      </w:pPr>
    </w:p>
    <w:p w:rsidR="0030545E" w:rsidRPr="00A76D6B" w:rsidRDefault="0030545E">
      <w:pPr>
        <w:rPr>
          <w:lang w:val="en-US"/>
        </w:rPr>
      </w:pPr>
    </w:p>
    <w:p w:rsidR="0030545E" w:rsidRPr="00A76D6B" w:rsidRDefault="0030545E">
      <w:pPr>
        <w:rPr>
          <w:lang w:val="en-US"/>
        </w:rPr>
      </w:pPr>
    </w:p>
    <w:p w:rsidR="0030545E" w:rsidRPr="00A76D6B" w:rsidRDefault="0030545E">
      <w:pPr>
        <w:rPr>
          <w:lang w:val="en-US"/>
        </w:rPr>
      </w:pPr>
    </w:p>
    <w:p w:rsidR="0030545E" w:rsidRPr="00A76D6B" w:rsidRDefault="0030545E">
      <w:pPr>
        <w:rPr>
          <w:lang w:val="en-US"/>
        </w:rPr>
      </w:pPr>
    </w:p>
    <w:p w:rsidR="0030545E" w:rsidRPr="00A76D6B" w:rsidRDefault="0030545E">
      <w:pPr>
        <w:rPr>
          <w:lang w:val="en-US"/>
        </w:rPr>
      </w:pPr>
    </w:p>
    <w:p w:rsidR="0030545E" w:rsidRPr="00A76D6B" w:rsidRDefault="0030545E">
      <w:pPr>
        <w:rPr>
          <w:lang w:val="en-US"/>
        </w:rPr>
      </w:pPr>
    </w:p>
    <w:p w:rsidR="0030545E" w:rsidRPr="00A76D6B" w:rsidRDefault="0030545E">
      <w:pPr>
        <w:rPr>
          <w:lang w:val="en-US"/>
        </w:rPr>
      </w:pPr>
    </w:p>
    <w:p w:rsidR="0030545E" w:rsidRPr="00A76D6B" w:rsidRDefault="0030545E">
      <w:pPr>
        <w:rPr>
          <w:lang w:val="en-US"/>
        </w:rPr>
      </w:pPr>
    </w:p>
    <w:p w:rsidR="0030545E" w:rsidRPr="00A76D6B" w:rsidRDefault="0030545E">
      <w:pPr>
        <w:rPr>
          <w:lang w:val="en-US"/>
        </w:rPr>
      </w:pPr>
    </w:p>
    <w:p w:rsidR="0030545E" w:rsidRPr="00A76D6B" w:rsidRDefault="0030545E">
      <w:pPr>
        <w:rPr>
          <w:lang w:val="en-US"/>
        </w:rPr>
      </w:pPr>
    </w:p>
    <w:p w:rsidR="0030545E" w:rsidRPr="00A76D6B" w:rsidRDefault="0030545E">
      <w:pPr>
        <w:rPr>
          <w:lang w:val="en-US"/>
        </w:rPr>
      </w:pPr>
    </w:p>
    <w:p w:rsidR="0030545E" w:rsidRPr="00A76D6B" w:rsidRDefault="0030545E">
      <w:pPr>
        <w:rPr>
          <w:lang w:val="en-US"/>
        </w:rPr>
      </w:pPr>
    </w:p>
    <w:p w:rsidR="0030545E" w:rsidRPr="00A76D6B" w:rsidRDefault="0030545E">
      <w:pPr>
        <w:rPr>
          <w:lang w:val="en-US"/>
        </w:rPr>
      </w:pPr>
    </w:p>
    <w:p w:rsidR="0030545E" w:rsidRPr="00A76D6B" w:rsidRDefault="0030545E">
      <w:pPr>
        <w:rPr>
          <w:lang w:val="en-US"/>
        </w:rPr>
      </w:pPr>
    </w:p>
    <w:p w:rsidR="0030545E" w:rsidRPr="00A76D6B" w:rsidRDefault="0030545E">
      <w:pPr>
        <w:rPr>
          <w:lang w:val="en-US"/>
        </w:rPr>
      </w:pPr>
    </w:p>
    <w:p w:rsidR="00255428" w:rsidRPr="00A76D6B" w:rsidRDefault="00255428">
      <w:pPr>
        <w:rPr>
          <w:lang w:val="en-US"/>
        </w:rPr>
      </w:pPr>
    </w:p>
    <w:p w:rsidR="0030545E" w:rsidRPr="00A76D6B" w:rsidRDefault="0030545E">
      <w:pPr>
        <w:rPr>
          <w:lang w:val="en-US"/>
        </w:rPr>
      </w:pPr>
    </w:p>
    <w:p w:rsidR="0030545E" w:rsidRPr="00A76D6B" w:rsidRDefault="0030545E">
      <w:pPr>
        <w:rPr>
          <w:lang w:val="en-US"/>
        </w:rPr>
      </w:pPr>
    </w:p>
    <w:p w:rsidR="0030545E" w:rsidRPr="00A76D6B" w:rsidRDefault="0030545E" w:rsidP="0030545E">
      <w:pPr>
        <w:spacing w:line="360" w:lineRule="auto"/>
        <w:jc w:val="both"/>
        <w:rPr>
          <w:sz w:val="22"/>
          <w:lang w:val="en-US"/>
        </w:rPr>
      </w:pPr>
      <w:r w:rsidRPr="00A76D6B">
        <w:rPr>
          <w:sz w:val="22"/>
          <w:lang w:val="en-US"/>
        </w:rPr>
        <w:lastRenderedPageBreak/>
        <w:t>Opracowanie publikacji:</w:t>
      </w:r>
      <w:r w:rsidRPr="00A76D6B">
        <w:rPr>
          <w:sz w:val="22"/>
          <w:lang w:val="en-US"/>
        </w:rPr>
        <w:tab/>
      </w:r>
      <w:r w:rsidRPr="00A76D6B">
        <w:rPr>
          <w:sz w:val="22"/>
          <w:lang w:val="en-US"/>
        </w:rPr>
        <w:tab/>
        <w:t>GUS, Departament Produkcji</w:t>
      </w:r>
    </w:p>
    <w:p w:rsidR="0030545E" w:rsidRPr="0030545E" w:rsidRDefault="0030545E" w:rsidP="0030545E">
      <w:pPr>
        <w:spacing w:line="360" w:lineRule="auto"/>
        <w:rPr>
          <w:rFonts w:ascii="Arial" w:hAnsi="Arial"/>
          <w:i/>
          <w:sz w:val="22"/>
          <w:lang w:val="en-US"/>
        </w:rPr>
      </w:pPr>
      <w:r w:rsidRPr="0030545E">
        <w:rPr>
          <w:i/>
          <w:sz w:val="22"/>
          <w:lang w:val="en-US"/>
        </w:rPr>
        <w:t>Preparation of the publication</w:t>
      </w:r>
      <w:r w:rsidRPr="0030545E">
        <w:rPr>
          <w:sz w:val="22"/>
          <w:lang w:val="en-US"/>
        </w:rPr>
        <w:t>:</w:t>
      </w:r>
      <w:r w:rsidRPr="0030545E">
        <w:rPr>
          <w:sz w:val="22"/>
          <w:lang w:val="en-US"/>
        </w:rPr>
        <w:tab/>
        <w:t xml:space="preserve">             </w:t>
      </w:r>
      <w:r w:rsidRPr="0030545E">
        <w:rPr>
          <w:i/>
          <w:sz w:val="22"/>
          <w:szCs w:val="22"/>
          <w:lang w:val="en-US"/>
        </w:rPr>
        <w:t>CSO, Production Department</w:t>
      </w:r>
    </w:p>
    <w:p w:rsidR="0030545E" w:rsidRPr="0030545E" w:rsidRDefault="0030545E" w:rsidP="0030545E">
      <w:pPr>
        <w:spacing w:line="360" w:lineRule="auto"/>
        <w:rPr>
          <w:rFonts w:ascii="Arial" w:hAnsi="Arial"/>
          <w:i/>
          <w:sz w:val="22"/>
          <w:lang w:val="en-US"/>
        </w:rPr>
      </w:pPr>
    </w:p>
    <w:p w:rsidR="0030545E" w:rsidRPr="0030545E" w:rsidRDefault="0030545E" w:rsidP="0030545E">
      <w:pPr>
        <w:spacing w:line="360" w:lineRule="auto"/>
        <w:rPr>
          <w:rFonts w:ascii="Arial" w:hAnsi="Arial"/>
          <w:i/>
          <w:sz w:val="22"/>
          <w:lang w:val="en-US"/>
        </w:rPr>
      </w:pPr>
    </w:p>
    <w:p w:rsidR="0030545E" w:rsidRPr="00C258EF" w:rsidRDefault="0030545E" w:rsidP="0030545E">
      <w:pPr>
        <w:spacing w:line="360" w:lineRule="auto"/>
        <w:ind w:left="1440"/>
        <w:rPr>
          <w:sz w:val="22"/>
        </w:rPr>
      </w:pPr>
      <w:r w:rsidRPr="00C258EF">
        <w:rPr>
          <w:sz w:val="22"/>
        </w:rPr>
        <w:t>kierujący</w:t>
      </w:r>
      <w:r w:rsidRPr="00C258EF">
        <w:rPr>
          <w:sz w:val="22"/>
        </w:rPr>
        <w:tab/>
      </w:r>
      <w:r w:rsidRPr="00C258EF">
        <w:rPr>
          <w:sz w:val="22"/>
        </w:rPr>
        <w:tab/>
      </w:r>
      <w:r>
        <w:rPr>
          <w:sz w:val="22"/>
        </w:rPr>
        <w:t>Wanda Tkaczyk</w:t>
      </w:r>
    </w:p>
    <w:p w:rsidR="0030545E" w:rsidRPr="00790589" w:rsidRDefault="0030545E" w:rsidP="0030545E">
      <w:pPr>
        <w:spacing w:line="360" w:lineRule="auto"/>
        <w:ind w:left="3600" w:hanging="2160"/>
        <w:rPr>
          <w:i/>
          <w:sz w:val="22"/>
        </w:rPr>
      </w:pPr>
      <w:r w:rsidRPr="00790589">
        <w:rPr>
          <w:i/>
          <w:sz w:val="22"/>
        </w:rPr>
        <w:t>supervisor</w:t>
      </w:r>
      <w:r w:rsidRPr="00790589">
        <w:rPr>
          <w:sz w:val="22"/>
        </w:rPr>
        <w:t xml:space="preserve"> </w:t>
      </w:r>
      <w:r w:rsidRPr="00790589">
        <w:rPr>
          <w:sz w:val="22"/>
        </w:rPr>
        <w:tab/>
        <w:t xml:space="preserve">Zastępca </w:t>
      </w:r>
      <w:r w:rsidRPr="00790589">
        <w:rPr>
          <w:sz w:val="22"/>
          <w:szCs w:val="22"/>
        </w:rPr>
        <w:t>Dyrektora Departamentu Produkcji</w:t>
      </w:r>
      <w:r w:rsidRPr="00790589">
        <w:rPr>
          <w:i/>
          <w:sz w:val="22"/>
        </w:rPr>
        <w:tab/>
      </w:r>
    </w:p>
    <w:p w:rsidR="0030545E" w:rsidRPr="0030545E" w:rsidRDefault="0030545E" w:rsidP="0030545E">
      <w:pPr>
        <w:spacing w:line="360" w:lineRule="auto"/>
        <w:ind w:left="2880" w:firstLine="720"/>
        <w:rPr>
          <w:lang w:val="en-US"/>
        </w:rPr>
      </w:pPr>
      <w:r w:rsidRPr="0030545E">
        <w:rPr>
          <w:i/>
          <w:sz w:val="22"/>
          <w:szCs w:val="22"/>
          <w:lang w:val="en-US"/>
        </w:rPr>
        <w:t>Deputy Director of the Production Department</w:t>
      </w:r>
    </w:p>
    <w:p w:rsidR="0030545E" w:rsidRPr="0030545E" w:rsidRDefault="0030545E" w:rsidP="0030545E">
      <w:pPr>
        <w:spacing w:line="360" w:lineRule="auto"/>
        <w:rPr>
          <w:lang w:val="en-US"/>
        </w:rPr>
      </w:pPr>
    </w:p>
    <w:p w:rsidR="0030545E" w:rsidRPr="0030545E" w:rsidRDefault="0030545E" w:rsidP="0030545E">
      <w:pPr>
        <w:spacing w:line="360" w:lineRule="auto"/>
        <w:rPr>
          <w:lang w:val="en-US"/>
        </w:rPr>
      </w:pPr>
    </w:p>
    <w:p w:rsidR="00A3413D" w:rsidRDefault="0030545E" w:rsidP="00AA47EE">
      <w:pPr>
        <w:spacing w:line="360" w:lineRule="auto"/>
        <w:ind w:left="2268" w:hanging="828"/>
        <w:rPr>
          <w:sz w:val="22"/>
        </w:rPr>
      </w:pPr>
      <w:r w:rsidRPr="00C258EF">
        <w:rPr>
          <w:sz w:val="22"/>
        </w:rPr>
        <w:t xml:space="preserve">zespół </w:t>
      </w:r>
      <w:r w:rsidRPr="00C258EF">
        <w:rPr>
          <w:sz w:val="22"/>
        </w:rPr>
        <w:tab/>
      </w:r>
      <w:r w:rsidRPr="00C258EF">
        <w:rPr>
          <w:sz w:val="22"/>
        </w:rPr>
        <w:tab/>
      </w:r>
      <w:r>
        <w:rPr>
          <w:sz w:val="22"/>
        </w:rPr>
        <w:t xml:space="preserve">      </w:t>
      </w:r>
      <w:r>
        <w:rPr>
          <w:sz w:val="22"/>
        </w:rPr>
        <w:tab/>
      </w:r>
      <w:r w:rsidR="007150FD">
        <w:rPr>
          <w:sz w:val="22"/>
        </w:rPr>
        <w:t>Barbara Cudziło,</w:t>
      </w:r>
      <w:r w:rsidR="00D975F4" w:rsidRPr="00D975F4">
        <w:rPr>
          <w:sz w:val="22"/>
        </w:rPr>
        <w:t xml:space="preserve"> </w:t>
      </w:r>
      <w:r w:rsidR="00D975F4">
        <w:rPr>
          <w:sz w:val="22"/>
        </w:rPr>
        <w:t>Magdalena Grzybowska,</w:t>
      </w:r>
    </w:p>
    <w:p w:rsidR="00A3413D" w:rsidRDefault="00AA47EE" w:rsidP="00A3413D">
      <w:pPr>
        <w:spacing w:line="360" w:lineRule="auto"/>
        <w:ind w:left="2268" w:hanging="828"/>
        <w:rPr>
          <w:sz w:val="22"/>
          <w:szCs w:val="22"/>
        </w:rPr>
      </w:pPr>
      <w:r w:rsidRPr="00C258EF">
        <w:rPr>
          <w:i/>
          <w:sz w:val="22"/>
          <w:szCs w:val="22"/>
        </w:rPr>
        <w:t>team</w:t>
      </w:r>
      <w:r>
        <w:rPr>
          <w:sz w:val="22"/>
          <w:szCs w:val="22"/>
        </w:rPr>
        <w:t xml:space="preserve"> </w:t>
      </w:r>
      <w:r>
        <w:rPr>
          <w:sz w:val="22"/>
          <w:szCs w:val="22"/>
        </w:rPr>
        <w:tab/>
      </w:r>
      <w:r w:rsidRPr="00C258EF">
        <w:rPr>
          <w:sz w:val="22"/>
          <w:szCs w:val="22"/>
        </w:rPr>
        <w:t xml:space="preserve"> </w:t>
      </w:r>
      <w:r>
        <w:rPr>
          <w:sz w:val="22"/>
          <w:szCs w:val="22"/>
        </w:rPr>
        <w:t xml:space="preserve">                      </w:t>
      </w:r>
      <w:r w:rsidR="00D85A28" w:rsidRPr="00C258EF">
        <w:rPr>
          <w:sz w:val="22"/>
          <w:szCs w:val="22"/>
        </w:rPr>
        <w:t>Beata Kaczorowska</w:t>
      </w:r>
      <w:r w:rsidR="00D85A28">
        <w:rPr>
          <w:sz w:val="22"/>
          <w:szCs w:val="22"/>
        </w:rPr>
        <w:t xml:space="preserve">, </w:t>
      </w:r>
      <w:r w:rsidR="00773438">
        <w:rPr>
          <w:sz w:val="22"/>
          <w:szCs w:val="22"/>
        </w:rPr>
        <w:t>Konrad Libera</w:t>
      </w:r>
      <w:r w:rsidR="001467B9">
        <w:rPr>
          <w:sz w:val="22"/>
          <w:szCs w:val="22"/>
        </w:rPr>
        <w:t>,</w:t>
      </w:r>
      <w:r w:rsidR="001467B9" w:rsidRPr="001467B9">
        <w:rPr>
          <w:sz w:val="22"/>
          <w:szCs w:val="22"/>
        </w:rPr>
        <w:t xml:space="preserve"> </w:t>
      </w:r>
    </w:p>
    <w:p w:rsidR="0030545E" w:rsidRDefault="00A3413D" w:rsidP="00A3413D">
      <w:pPr>
        <w:spacing w:line="360" w:lineRule="auto"/>
        <w:ind w:left="2268" w:hanging="828"/>
        <w:rPr>
          <w:sz w:val="22"/>
          <w:szCs w:val="22"/>
        </w:rPr>
      </w:pPr>
      <w:r>
        <w:rPr>
          <w:sz w:val="22"/>
          <w:szCs w:val="22"/>
        </w:rPr>
        <w:t xml:space="preserve">                                      </w:t>
      </w:r>
      <w:r w:rsidR="00C14CDE">
        <w:rPr>
          <w:sz w:val="22"/>
          <w:szCs w:val="22"/>
        </w:rPr>
        <w:t xml:space="preserve">Grażyna Więckowska, </w:t>
      </w:r>
      <w:r w:rsidR="00506738">
        <w:rPr>
          <w:sz w:val="22"/>
          <w:szCs w:val="22"/>
        </w:rPr>
        <w:t>Wiesław Śmierzyński</w:t>
      </w:r>
    </w:p>
    <w:p w:rsidR="0030545E" w:rsidRPr="00C258EF" w:rsidRDefault="0030545E" w:rsidP="0030545E">
      <w:pPr>
        <w:spacing w:line="360" w:lineRule="auto"/>
        <w:ind w:left="2160" w:hanging="720"/>
        <w:rPr>
          <w:sz w:val="22"/>
          <w:szCs w:val="22"/>
        </w:rPr>
      </w:pPr>
    </w:p>
    <w:p w:rsidR="0030545E" w:rsidRPr="00C258EF" w:rsidRDefault="0030545E" w:rsidP="0030545E">
      <w:pPr>
        <w:spacing w:line="360" w:lineRule="auto"/>
        <w:ind w:left="2160" w:hanging="720"/>
        <w:jc w:val="both"/>
        <w:rPr>
          <w:sz w:val="22"/>
          <w:szCs w:val="22"/>
        </w:rPr>
      </w:pPr>
    </w:p>
    <w:p w:rsidR="0030545E" w:rsidRPr="00C258EF" w:rsidRDefault="0030545E" w:rsidP="0030545E">
      <w:pPr>
        <w:spacing w:line="360" w:lineRule="auto"/>
        <w:jc w:val="both"/>
        <w:rPr>
          <w:sz w:val="22"/>
        </w:rPr>
      </w:pPr>
    </w:p>
    <w:p w:rsidR="0030545E" w:rsidRDefault="0030545E" w:rsidP="0030545E">
      <w:pPr>
        <w:spacing w:line="360" w:lineRule="auto"/>
      </w:pPr>
    </w:p>
    <w:p w:rsidR="0030545E" w:rsidRPr="00B41957" w:rsidRDefault="0030545E" w:rsidP="0030545E">
      <w:pPr>
        <w:spacing w:line="360" w:lineRule="auto"/>
      </w:pPr>
    </w:p>
    <w:p w:rsidR="0030545E" w:rsidRPr="00C258EF" w:rsidRDefault="0030545E" w:rsidP="0030545E">
      <w:pPr>
        <w:spacing w:line="360" w:lineRule="auto"/>
        <w:ind w:left="720" w:firstLine="720"/>
      </w:pPr>
      <w:r w:rsidRPr="00C258EF">
        <w:rPr>
          <w:sz w:val="22"/>
        </w:rPr>
        <w:t>wykresy</w:t>
      </w:r>
      <w:r w:rsidRPr="00C258EF">
        <w:rPr>
          <w:sz w:val="22"/>
        </w:rPr>
        <w:tab/>
      </w:r>
      <w:r w:rsidRPr="00C258EF">
        <w:rPr>
          <w:sz w:val="22"/>
        </w:rPr>
        <w:tab/>
        <w:t>Joanna Ślepowrońska</w:t>
      </w:r>
    </w:p>
    <w:p w:rsidR="0030545E" w:rsidRPr="00C258EF" w:rsidRDefault="0030545E" w:rsidP="0030545E">
      <w:pPr>
        <w:spacing w:line="360" w:lineRule="auto"/>
        <w:ind w:left="720" w:firstLine="720"/>
        <w:rPr>
          <w:i/>
          <w:sz w:val="22"/>
        </w:rPr>
      </w:pPr>
      <w:r w:rsidRPr="00C258EF">
        <w:rPr>
          <w:i/>
          <w:sz w:val="22"/>
        </w:rPr>
        <w:t xml:space="preserve">graphs         </w:t>
      </w:r>
    </w:p>
    <w:p w:rsidR="0030545E" w:rsidRPr="001807C5" w:rsidRDefault="0030545E" w:rsidP="0030545E">
      <w:pPr>
        <w:spacing w:line="360" w:lineRule="auto"/>
        <w:ind w:left="720" w:firstLine="720"/>
        <w:rPr>
          <w:rFonts w:ascii="Arial" w:hAnsi="Arial"/>
          <w:i/>
          <w:sz w:val="22"/>
        </w:rPr>
      </w:pPr>
    </w:p>
    <w:p w:rsidR="0030545E" w:rsidRPr="001807C5" w:rsidRDefault="0030545E" w:rsidP="0030545E">
      <w:pPr>
        <w:spacing w:line="360" w:lineRule="auto"/>
        <w:ind w:left="720" w:firstLine="720"/>
        <w:rPr>
          <w:rFonts w:ascii="Arial" w:hAnsi="Arial"/>
          <w:i/>
          <w:sz w:val="22"/>
        </w:rPr>
      </w:pPr>
    </w:p>
    <w:p w:rsidR="0030545E" w:rsidRPr="001807C5" w:rsidRDefault="0030545E" w:rsidP="0030545E">
      <w:pPr>
        <w:spacing w:line="360" w:lineRule="auto"/>
        <w:ind w:left="720" w:firstLine="720"/>
        <w:rPr>
          <w:rFonts w:ascii="Arial" w:hAnsi="Arial"/>
          <w:i/>
          <w:sz w:val="22"/>
        </w:rPr>
      </w:pPr>
    </w:p>
    <w:p w:rsidR="0030545E" w:rsidRPr="006861EB" w:rsidRDefault="0030545E" w:rsidP="0030545E">
      <w:pPr>
        <w:spacing w:line="360" w:lineRule="auto"/>
        <w:jc w:val="center"/>
        <w:rPr>
          <w:rFonts w:ascii="Arial" w:hAnsi="Arial"/>
          <w:i/>
          <w:sz w:val="22"/>
        </w:rPr>
      </w:pPr>
    </w:p>
    <w:p w:rsidR="0030545E" w:rsidRPr="006E6AEE" w:rsidRDefault="0030545E" w:rsidP="0030545E">
      <w:pPr>
        <w:spacing w:line="360" w:lineRule="auto"/>
        <w:jc w:val="center"/>
        <w:rPr>
          <w:rFonts w:ascii="Arial" w:hAnsi="Arial"/>
          <w:sz w:val="22"/>
        </w:rPr>
      </w:pPr>
    </w:p>
    <w:p w:rsidR="0030545E" w:rsidRDefault="0030545E" w:rsidP="0030545E">
      <w:pPr>
        <w:spacing w:line="360" w:lineRule="auto"/>
        <w:jc w:val="center"/>
        <w:rPr>
          <w:rFonts w:ascii="Arial" w:hAnsi="Arial"/>
          <w:sz w:val="22"/>
        </w:rPr>
      </w:pPr>
    </w:p>
    <w:p w:rsidR="0030545E" w:rsidRDefault="0030545E" w:rsidP="0030545E">
      <w:pPr>
        <w:spacing w:line="360" w:lineRule="auto"/>
        <w:jc w:val="center"/>
        <w:rPr>
          <w:rFonts w:ascii="Arial" w:hAnsi="Arial"/>
          <w:sz w:val="22"/>
        </w:rPr>
      </w:pPr>
    </w:p>
    <w:p w:rsidR="0030545E" w:rsidRDefault="0030545E" w:rsidP="0030545E">
      <w:pPr>
        <w:spacing w:line="360" w:lineRule="auto"/>
        <w:jc w:val="center"/>
        <w:rPr>
          <w:rFonts w:ascii="Arial" w:hAnsi="Arial"/>
          <w:sz w:val="22"/>
        </w:rPr>
      </w:pPr>
    </w:p>
    <w:p w:rsidR="0030545E" w:rsidRDefault="0030545E" w:rsidP="0030545E">
      <w:pPr>
        <w:spacing w:line="360" w:lineRule="auto"/>
        <w:jc w:val="center"/>
        <w:rPr>
          <w:rFonts w:ascii="Arial" w:hAnsi="Arial"/>
          <w:sz w:val="22"/>
        </w:rPr>
      </w:pPr>
    </w:p>
    <w:p w:rsidR="0030545E" w:rsidRDefault="0030545E" w:rsidP="0030545E">
      <w:pPr>
        <w:spacing w:line="360" w:lineRule="auto"/>
        <w:jc w:val="center"/>
        <w:rPr>
          <w:rFonts w:ascii="Arial" w:hAnsi="Arial"/>
          <w:sz w:val="22"/>
        </w:rPr>
      </w:pPr>
    </w:p>
    <w:p w:rsidR="0030545E" w:rsidRDefault="0030545E" w:rsidP="0030545E">
      <w:pPr>
        <w:spacing w:line="360" w:lineRule="auto"/>
        <w:jc w:val="center"/>
        <w:rPr>
          <w:rFonts w:ascii="Arial" w:hAnsi="Arial"/>
          <w:sz w:val="22"/>
        </w:rPr>
      </w:pPr>
    </w:p>
    <w:p w:rsidR="0030545E" w:rsidRDefault="0030545E" w:rsidP="0030545E">
      <w:pPr>
        <w:spacing w:line="360" w:lineRule="auto"/>
        <w:jc w:val="center"/>
        <w:rPr>
          <w:rFonts w:ascii="Arial" w:hAnsi="Arial"/>
          <w:sz w:val="22"/>
        </w:rPr>
      </w:pPr>
    </w:p>
    <w:p w:rsidR="00AA47EE" w:rsidRPr="00C258EF" w:rsidRDefault="00AA47EE" w:rsidP="00AA47EE">
      <w:pPr>
        <w:spacing w:line="360" w:lineRule="auto"/>
        <w:jc w:val="center"/>
        <w:rPr>
          <w:sz w:val="22"/>
        </w:rPr>
      </w:pPr>
      <w:r w:rsidRPr="00C258EF">
        <w:rPr>
          <w:sz w:val="22"/>
        </w:rPr>
        <w:t>ISSN 1425-8757</w:t>
      </w:r>
    </w:p>
    <w:p w:rsidR="0030545E" w:rsidRDefault="0030545E" w:rsidP="0030545E">
      <w:pPr>
        <w:spacing w:line="360" w:lineRule="auto"/>
        <w:jc w:val="center"/>
        <w:rPr>
          <w:rFonts w:ascii="Arial" w:hAnsi="Arial"/>
          <w:sz w:val="22"/>
        </w:rPr>
      </w:pPr>
    </w:p>
    <w:p w:rsidR="0030545E" w:rsidRDefault="0030545E" w:rsidP="0030545E">
      <w:pPr>
        <w:spacing w:line="360" w:lineRule="auto"/>
        <w:jc w:val="center"/>
        <w:rPr>
          <w:rFonts w:ascii="Arial" w:hAnsi="Arial"/>
          <w:sz w:val="22"/>
        </w:rPr>
      </w:pPr>
    </w:p>
    <w:p w:rsidR="0030545E" w:rsidRPr="006E6AEE" w:rsidRDefault="0030545E" w:rsidP="0030545E">
      <w:pPr>
        <w:spacing w:line="360" w:lineRule="auto"/>
        <w:jc w:val="center"/>
        <w:rPr>
          <w:rFonts w:ascii="Arial" w:hAnsi="Arial"/>
          <w:sz w:val="22"/>
        </w:rPr>
      </w:pPr>
    </w:p>
    <w:p w:rsidR="00103529" w:rsidRPr="00160332" w:rsidRDefault="0030545E" w:rsidP="00103529">
      <w:pPr>
        <w:rPr>
          <w:rStyle w:val="Hipercze"/>
          <w:color w:val="0066FF"/>
          <w:sz w:val="22"/>
          <w:szCs w:val="22"/>
        </w:rPr>
      </w:pPr>
      <w:r w:rsidRPr="00C258EF">
        <w:rPr>
          <w:sz w:val="22"/>
        </w:rPr>
        <w:t xml:space="preserve">Publikacja dostępna na  </w:t>
      </w:r>
      <w:hyperlink r:id="rId9" w:history="1">
        <w:r w:rsidR="00160332" w:rsidRPr="00160332">
          <w:rPr>
            <w:rStyle w:val="Hipercze"/>
            <w:color w:val="0066FF"/>
            <w:sz w:val="22"/>
            <w:szCs w:val="22"/>
          </w:rPr>
          <w:t>http://stat.gov.pl/obszary-tematyczne/przemysl-budownictwo-srodki-trwale/przemysl</w:t>
        </w:r>
      </w:hyperlink>
      <w:r w:rsidR="00103529" w:rsidRPr="00160332">
        <w:rPr>
          <w:color w:val="0066FF"/>
          <w:sz w:val="22"/>
          <w:szCs w:val="22"/>
        </w:rPr>
        <w:fldChar w:fldCharType="begin"/>
      </w:r>
      <w:r w:rsidR="00103529" w:rsidRPr="00160332">
        <w:rPr>
          <w:color w:val="0066FF"/>
          <w:sz w:val="22"/>
          <w:szCs w:val="22"/>
        </w:rPr>
        <w:instrText>HYPERLINK "http://stat.gov.pl/obszary-tematyczne/przemysl-budownictwo-srodki-trwale/przemysl/sytuacja-gospodarcza-w-przemysle-w-i-polroczu-2017-r-,7,1.html" \o "http://stat.gov.pl/obszary-tematyczne/przemysl-budownictwo-srodki-trwale/przemysl"</w:instrText>
      </w:r>
      <w:r w:rsidR="00103529" w:rsidRPr="00160332">
        <w:rPr>
          <w:color w:val="0066FF"/>
          <w:sz w:val="22"/>
          <w:szCs w:val="22"/>
        </w:rPr>
        <w:fldChar w:fldCharType="separate"/>
      </w:r>
    </w:p>
    <w:p w:rsidR="00103529" w:rsidRPr="00982C0C" w:rsidRDefault="00103529" w:rsidP="00982C0C">
      <w:pPr>
        <w:rPr>
          <w:color w:val="1F497D"/>
          <w:lang w:val="en-US"/>
        </w:rPr>
      </w:pPr>
      <w:r w:rsidRPr="00160332">
        <w:rPr>
          <w:color w:val="0066FF"/>
          <w:sz w:val="22"/>
          <w:szCs w:val="22"/>
        </w:rPr>
        <w:fldChar w:fldCharType="end"/>
      </w:r>
      <w:r w:rsidR="0030545E" w:rsidRPr="00982C0C">
        <w:rPr>
          <w:i/>
          <w:sz w:val="22"/>
          <w:lang w:val="en-US"/>
        </w:rPr>
        <w:t xml:space="preserve">Publication available on </w:t>
      </w:r>
      <w:r w:rsidR="0030545E" w:rsidRPr="00982C0C">
        <w:rPr>
          <w:sz w:val="22"/>
          <w:lang w:val="en-US"/>
        </w:rPr>
        <w:t xml:space="preserve"> </w:t>
      </w:r>
      <w:hyperlink r:id="rId10" w:history="1">
        <w:r w:rsidR="00982C0C" w:rsidRPr="00982C0C">
          <w:rPr>
            <w:rStyle w:val="Hipercze"/>
            <w:color w:val="0066FF"/>
            <w:sz w:val="22"/>
            <w:szCs w:val="22"/>
            <w:lang w:val="en-US"/>
          </w:rPr>
          <w:t>http://stat.gov.pl/en/topics/industry-construction-fixed-assets/industry</w:t>
        </w:r>
      </w:hyperlink>
    </w:p>
    <w:p w:rsidR="00982C0C" w:rsidRPr="00982C0C" w:rsidRDefault="00982C0C" w:rsidP="00982C0C">
      <w:pPr>
        <w:rPr>
          <w:color w:val="1F497D"/>
          <w:sz w:val="22"/>
          <w:szCs w:val="22"/>
          <w:lang w:val="en-US"/>
        </w:rPr>
      </w:pPr>
    </w:p>
    <w:p w:rsidR="009554BF" w:rsidRPr="00982C0C" w:rsidRDefault="009554BF" w:rsidP="008350D8">
      <w:pPr>
        <w:spacing w:line="360" w:lineRule="auto"/>
        <w:rPr>
          <w:sz w:val="22"/>
          <w:lang w:val="en-US"/>
        </w:rPr>
      </w:pPr>
    </w:p>
    <w:p w:rsidR="0030545E" w:rsidRPr="0030545E" w:rsidRDefault="0030545E" w:rsidP="008350D8">
      <w:pPr>
        <w:pStyle w:val="Nagwek1"/>
        <w:spacing w:before="120" w:line="240" w:lineRule="exact"/>
        <w:rPr>
          <w:rFonts w:ascii="Times New Roman" w:hAnsi="Times New Roman"/>
          <w:b/>
          <w:i w:val="0"/>
          <w:szCs w:val="22"/>
          <w:lang w:val="pl-PL"/>
        </w:rPr>
      </w:pPr>
      <w:r w:rsidRPr="0030545E">
        <w:rPr>
          <w:rFonts w:ascii="Times New Roman" w:hAnsi="Times New Roman"/>
          <w:b/>
          <w:i w:val="0"/>
          <w:szCs w:val="22"/>
          <w:lang w:val="pl-PL"/>
        </w:rPr>
        <w:lastRenderedPageBreak/>
        <w:t>PRZEDMOWA</w:t>
      </w:r>
    </w:p>
    <w:p w:rsidR="0030545E" w:rsidRPr="00530139" w:rsidRDefault="0030545E" w:rsidP="008350D8">
      <w:pPr>
        <w:spacing w:before="240"/>
        <w:jc w:val="both"/>
        <w:rPr>
          <w:sz w:val="22"/>
          <w:szCs w:val="22"/>
        </w:rPr>
      </w:pPr>
      <w:r w:rsidRPr="00801D6E">
        <w:rPr>
          <w:sz w:val="22"/>
          <w:szCs w:val="22"/>
        </w:rPr>
        <w:tab/>
      </w:r>
      <w:r w:rsidRPr="00530139">
        <w:rPr>
          <w:sz w:val="22"/>
          <w:szCs w:val="22"/>
        </w:rPr>
        <w:t>Niniejsza publikacja jest kolejną edycją „Nakładów i wyników przemysłu” wydawanych kwartalnie przez GUS w serii „Informacje i opracowania statystyczne”.</w:t>
      </w:r>
    </w:p>
    <w:p w:rsidR="0030545E" w:rsidRPr="00530139" w:rsidRDefault="0030545E" w:rsidP="009554BF">
      <w:pPr>
        <w:jc w:val="both"/>
        <w:rPr>
          <w:sz w:val="22"/>
          <w:szCs w:val="22"/>
        </w:rPr>
      </w:pPr>
      <w:r w:rsidRPr="00530139">
        <w:rPr>
          <w:sz w:val="22"/>
          <w:szCs w:val="22"/>
        </w:rPr>
        <w:tab/>
        <w:t>Celem publikacji jest zaprezentowanie podstawowych danych o przemyśle</w:t>
      </w:r>
      <w:r w:rsidR="00320824" w:rsidRPr="00530139">
        <w:rPr>
          <w:sz w:val="22"/>
          <w:szCs w:val="22"/>
        </w:rPr>
        <w:t xml:space="preserve"> według sekcji, działów i grup, </w:t>
      </w:r>
      <w:r w:rsidRPr="00530139">
        <w:rPr>
          <w:sz w:val="22"/>
          <w:szCs w:val="22"/>
        </w:rPr>
        <w:t xml:space="preserve">umożliwiających przeprowadzanie analizy porównawczej oraz wskazanie zmian zachodzących w przemyśle. </w:t>
      </w:r>
    </w:p>
    <w:p w:rsidR="0030545E" w:rsidRPr="00530139" w:rsidRDefault="0030545E" w:rsidP="009554BF">
      <w:pPr>
        <w:jc w:val="both"/>
        <w:rPr>
          <w:sz w:val="22"/>
          <w:szCs w:val="22"/>
        </w:rPr>
      </w:pPr>
      <w:r w:rsidRPr="00530139">
        <w:rPr>
          <w:sz w:val="22"/>
          <w:szCs w:val="22"/>
        </w:rPr>
        <w:tab/>
        <w:t>Informacje zawarte w publikacji dotyczą w głównej mierze: wartości i dynamiki produkcji sprzedanej, ilości produkcji ważniejszych wyrobów, zatrudnienia, przeciętnych wynagrodzeń brutto, wskaźników cen produkcji sprzedanej, nowych zamówień i obrotu, czasu przepracowanego</w:t>
      </w:r>
      <w:r w:rsidR="00760958" w:rsidRPr="00530139">
        <w:rPr>
          <w:sz w:val="22"/>
          <w:szCs w:val="22"/>
        </w:rPr>
        <w:t>, nakładów inwestycyjnych</w:t>
      </w:r>
      <w:r w:rsidR="007C39F3" w:rsidRPr="00530139">
        <w:rPr>
          <w:sz w:val="22"/>
          <w:szCs w:val="22"/>
        </w:rPr>
        <w:t xml:space="preserve"> </w:t>
      </w:r>
      <w:r w:rsidRPr="00530139">
        <w:rPr>
          <w:sz w:val="22"/>
          <w:szCs w:val="22"/>
        </w:rPr>
        <w:t xml:space="preserve">oraz wyników i relacji finansowych w przemyśle. </w:t>
      </w:r>
    </w:p>
    <w:p w:rsidR="0030545E" w:rsidRPr="00530139" w:rsidRDefault="0030545E" w:rsidP="009554BF">
      <w:pPr>
        <w:jc w:val="both"/>
        <w:rPr>
          <w:sz w:val="22"/>
          <w:szCs w:val="22"/>
        </w:rPr>
      </w:pPr>
      <w:r w:rsidRPr="00530139">
        <w:rPr>
          <w:sz w:val="22"/>
          <w:szCs w:val="22"/>
        </w:rPr>
        <w:tab/>
        <w:t>Znaczna część opracowania to zestaw danych liczbowych prezentowanych w układzie tabelarycznym, niektóre dane zostały zilustrowane w formie wykresów. Część A obejmuje informacje przeglądowe, część B - informacje według działów przemysłu, a część C - informacje według grup przemysłu.</w:t>
      </w:r>
    </w:p>
    <w:p w:rsidR="0030545E" w:rsidRPr="00530139" w:rsidRDefault="0030545E" w:rsidP="009554BF">
      <w:pPr>
        <w:jc w:val="both"/>
        <w:rPr>
          <w:sz w:val="22"/>
          <w:szCs w:val="22"/>
        </w:rPr>
      </w:pPr>
      <w:r w:rsidRPr="00530139">
        <w:rPr>
          <w:sz w:val="22"/>
          <w:szCs w:val="22"/>
        </w:rPr>
        <w:tab/>
        <w:t>Prezentowane dane zostały opracowane na podstawie miesięcznych meldunków o: działalności gospodarczej – na formularzach DG-1, produkcji i zapasach – P-02, miesięcznych sprawozdań o cenach producentów – C-01 oraz kwartalnych sprawozdań sporządzanych na formularzu F-01/I-01.</w:t>
      </w:r>
    </w:p>
    <w:p w:rsidR="0030545E" w:rsidRPr="00530139" w:rsidRDefault="0030545E" w:rsidP="009554BF">
      <w:pPr>
        <w:jc w:val="both"/>
        <w:rPr>
          <w:sz w:val="22"/>
          <w:szCs w:val="22"/>
        </w:rPr>
      </w:pPr>
      <w:r w:rsidRPr="00530139">
        <w:rPr>
          <w:sz w:val="22"/>
          <w:szCs w:val="22"/>
        </w:rPr>
        <w:tab/>
        <w:t>Prace związane z przygotowaniem i opracowaniem publikacji zostały wykonane przez pracowników Departamentu Produkcji, przy współpracy pracowników Departamentu Badań Demograficznych i Rynku Pracy, Departamentu Przedsiębiorstw oraz Centrum Informatyki Statystycznej.</w:t>
      </w:r>
    </w:p>
    <w:p w:rsidR="009554BF" w:rsidRDefault="009554BF" w:rsidP="009554BF">
      <w:pPr>
        <w:ind w:firstLine="708"/>
        <w:jc w:val="both"/>
      </w:pPr>
    </w:p>
    <w:p w:rsidR="001F7FE1" w:rsidRDefault="001F7FE1" w:rsidP="009554BF">
      <w:pPr>
        <w:ind w:firstLine="708"/>
        <w:jc w:val="both"/>
      </w:pPr>
    </w:p>
    <w:p w:rsidR="00A84C72" w:rsidRDefault="00A84C72" w:rsidP="009554BF">
      <w:pPr>
        <w:ind w:firstLine="708"/>
        <w:jc w:val="both"/>
      </w:pPr>
    </w:p>
    <w:p w:rsidR="00A84C72" w:rsidRDefault="00A84C72" w:rsidP="009554BF">
      <w:pPr>
        <w:ind w:firstLine="708"/>
        <w:jc w:val="both"/>
      </w:pPr>
    </w:p>
    <w:p w:rsidR="0030545E" w:rsidRPr="00A84C72" w:rsidRDefault="0030545E" w:rsidP="0030545E">
      <w:pPr>
        <w:spacing w:line="264" w:lineRule="auto"/>
        <w:ind w:left="4956"/>
        <w:jc w:val="both"/>
        <w:rPr>
          <w:sz w:val="22"/>
          <w:szCs w:val="22"/>
        </w:rPr>
      </w:pPr>
      <w:r w:rsidRPr="00A84C72">
        <w:rPr>
          <w:sz w:val="22"/>
          <w:szCs w:val="22"/>
        </w:rPr>
        <w:t xml:space="preserve">                     </w:t>
      </w:r>
      <w:r w:rsidR="004121D4" w:rsidRPr="00A84C72">
        <w:rPr>
          <w:sz w:val="22"/>
          <w:szCs w:val="22"/>
        </w:rPr>
        <w:t xml:space="preserve">  </w:t>
      </w:r>
      <w:r w:rsidRPr="00A84C72">
        <w:rPr>
          <w:sz w:val="22"/>
          <w:szCs w:val="22"/>
        </w:rPr>
        <w:t>Małgorzata Kowalska</w:t>
      </w:r>
    </w:p>
    <w:p w:rsidR="0030545E" w:rsidRDefault="0030545E" w:rsidP="0030545E">
      <w:pPr>
        <w:spacing w:line="264" w:lineRule="auto"/>
        <w:ind w:left="4248" w:firstLine="708"/>
        <w:jc w:val="both"/>
        <w:rPr>
          <w:sz w:val="22"/>
          <w:szCs w:val="22"/>
        </w:rPr>
      </w:pPr>
      <w:r w:rsidRPr="00A84C72">
        <w:rPr>
          <w:sz w:val="22"/>
          <w:szCs w:val="22"/>
        </w:rPr>
        <w:t xml:space="preserve">     </w:t>
      </w:r>
      <w:r w:rsidRPr="00A84C72">
        <w:rPr>
          <w:sz w:val="22"/>
          <w:szCs w:val="22"/>
        </w:rPr>
        <w:tab/>
        <w:t>Dyrektor Departamentu Produkcji</w:t>
      </w:r>
    </w:p>
    <w:p w:rsidR="0030545E" w:rsidRPr="00530139" w:rsidRDefault="0030545E" w:rsidP="0030545E">
      <w:pPr>
        <w:spacing w:line="264" w:lineRule="auto"/>
        <w:jc w:val="both"/>
        <w:rPr>
          <w:i/>
          <w:sz w:val="22"/>
          <w:szCs w:val="22"/>
        </w:rPr>
      </w:pPr>
      <w:r w:rsidRPr="00530139">
        <w:rPr>
          <w:sz w:val="22"/>
          <w:szCs w:val="22"/>
        </w:rPr>
        <w:t>Warszawa,</w:t>
      </w:r>
      <w:r w:rsidR="00A12C27" w:rsidRPr="00530139">
        <w:rPr>
          <w:sz w:val="22"/>
          <w:szCs w:val="22"/>
        </w:rPr>
        <w:t xml:space="preserve"> </w:t>
      </w:r>
      <w:r w:rsidR="00760958" w:rsidRPr="00530139">
        <w:rPr>
          <w:sz w:val="22"/>
          <w:szCs w:val="22"/>
        </w:rPr>
        <w:t>wrzesień</w:t>
      </w:r>
      <w:r w:rsidR="00E67ED9" w:rsidRPr="00530139">
        <w:rPr>
          <w:sz w:val="22"/>
          <w:szCs w:val="22"/>
        </w:rPr>
        <w:t xml:space="preserve"> </w:t>
      </w:r>
      <w:r w:rsidRPr="00530139">
        <w:rPr>
          <w:sz w:val="22"/>
          <w:szCs w:val="22"/>
        </w:rPr>
        <w:t>201</w:t>
      </w:r>
      <w:r w:rsidR="00246A21" w:rsidRPr="00530139">
        <w:rPr>
          <w:sz w:val="22"/>
          <w:szCs w:val="22"/>
        </w:rPr>
        <w:t>7</w:t>
      </w:r>
      <w:r w:rsidRPr="00530139">
        <w:rPr>
          <w:sz w:val="22"/>
          <w:szCs w:val="22"/>
        </w:rPr>
        <w:t xml:space="preserve"> r.</w:t>
      </w:r>
    </w:p>
    <w:p w:rsidR="0030545E" w:rsidRPr="00435307" w:rsidRDefault="0030545E" w:rsidP="0030545E">
      <w:pPr>
        <w:spacing w:line="264" w:lineRule="auto"/>
        <w:jc w:val="center"/>
        <w:rPr>
          <w:sz w:val="22"/>
          <w:szCs w:val="22"/>
          <w:lang w:val="en-US"/>
        </w:rPr>
      </w:pPr>
      <w:r w:rsidRPr="00801D6E">
        <w:rPr>
          <w:sz w:val="22"/>
          <w:szCs w:val="22"/>
        </w:rPr>
        <w:sym w:font="Symbol" w:char="F02A"/>
      </w:r>
      <w:r w:rsidRPr="00435307">
        <w:rPr>
          <w:sz w:val="22"/>
          <w:szCs w:val="22"/>
          <w:lang w:val="en-US"/>
        </w:rPr>
        <w:t xml:space="preserve"> </w:t>
      </w:r>
      <w:r w:rsidRPr="00801D6E">
        <w:rPr>
          <w:sz w:val="22"/>
          <w:szCs w:val="22"/>
        </w:rPr>
        <w:sym w:font="Symbol" w:char="F02A"/>
      </w:r>
      <w:r w:rsidRPr="00435307">
        <w:rPr>
          <w:sz w:val="22"/>
          <w:szCs w:val="22"/>
          <w:lang w:val="en-US"/>
        </w:rPr>
        <w:t xml:space="preserve"> </w:t>
      </w:r>
      <w:r w:rsidRPr="00801D6E">
        <w:rPr>
          <w:sz w:val="22"/>
          <w:szCs w:val="22"/>
        </w:rPr>
        <w:sym w:font="Symbol" w:char="F02A"/>
      </w:r>
      <w:r w:rsidRPr="00435307">
        <w:rPr>
          <w:sz w:val="22"/>
          <w:szCs w:val="22"/>
          <w:lang w:val="en-US"/>
        </w:rPr>
        <w:t xml:space="preserve"> </w:t>
      </w:r>
      <w:r w:rsidRPr="00801D6E">
        <w:rPr>
          <w:sz w:val="22"/>
          <w:szCs w:val="22"/>
        </w:rPr>
        <w:sym w:font="Symbol" w:char="F02A"/>
      </w:r>
      <w:r w:rsidRPr="00435307">
        <w:rPr>
          <w:sz w:val="22"/>
          <w:szCs w:val="22"/>
          <w:lang w:val="en-US"/>
        </w:rPr>
        <w:t xml:space="preserve"> </w:t>
      </w:r>
      <w:r w:rsidRPr="00801D6E">
        <w:rPr>
          <w:sz w:val="22"/>
          <w:szCs w:val="22"/>
        </w:rPr>
        <w:sym w:font="Symbol" w:char="F02A"/>
      </w:r>
    </w:p>
    <w:p w:rsidR="0030545E" w:rsidRPr="0030545E" w:rsidRDefault="0030545E" w:rsidP="009554BF">
      <w:pPr>
        <w:pStyle w:val="Nagwek1"/>
        <w:spacing w:line="240" w:lineRule="exact"/>
        <w:rPr>
          <w:rFonts w:ascii="Times New Roman" w:hAnsi="Times New Roman"/>
          <w:b/>
          <w:szCs w:val="22"/>
        </w:rPr>
      </w:pPr>
      <w:r w:rsidRPr="0030545E">
        <w:rPr>
          <w:rFonts w:ascii="Times New Roman" w:hAnsi="Times New Roman"/>
          <w:b/>
          <w:szCs w:val="22"/>
        </w:rPr>
        <w:t>PREFACE</w:t>
      </w:r>
    </w:p>
    <w:p w:rsidR="0030545E" w:rsidRPr="00801D6E" w:rsidRDefault="0030545E" w:rsidP="009554BF">
      <w:pPr>
        <w:spacing w:line="240" w:lineRule="exact"/>
        <w:rPr>
          <w:i/>
          <w:sz w:val="22"/>
          <w:szCs w:val="22"/>
          <w:lang w:val="en-GB"/>
        </w:rPr>
      </w:pPr>
    </w:p>
    <w:p w:rsidR="0030545E" w:rsidRPr="00530139" w:rsidRDefault="0030545E" w:rsidP="009554BF">
      <w:pPr>
        <w:jc w:val="both"/>
        <w:rPr>
          <w:i/>
          <w:sz w:val="22"/>
          <w:szCs w:val="22"/>
          <w:lang w:val="en-GB"/>
        </w:rPr>
      </w:pPr>
      <w:r w:rsidRPr="00801D6E">
        <w:rPr>
          <w:i/>
          <w:sz w:val="22"/>
          <w:szCs w:val="22"/>
          <w:lang w:val="en-GB"/>
        </w:rPr>
        <w:tab/>
      </w:r>
      <w:r w:rsidRPr="00530139">
        <w:rPr>
          <w:i/>
          <w:sz w:val="22"/>
          <w:szCs w:val="22"/>
          <w:lang w:val="en-GB"/>
        </w:rPr>
        <w:t>This publication is successive edition of the study published on a quarterly basis by the Central Statistical Office as part of the series titled “Information and statistical papers”.</w:t>
      </w:r>
    </w:p>
    <w:p w:rsidR="0030545E" w:rsidRPr="00530139" w:rsidRDefault="0030545E" w:rsidP="009554BF">
      <w:pPr>
        <w:jc w:val="both"/>
        <w:rPr>
          <w:i/>
          <w:sz w:val="22"/>
          <w:szCs w:val="22"/>
          <w:lang w:val="en-GB"/>
        </w:rPr>
      </w:pPr>
      <w:r w:rsidRPr="00530139">
        <w:rPr>
          <w:i/>
          <w:sz w:val="22"/>
          <w:szCs w:val="22"/>
          <w:lang w:val="en-GB"/>
        </w:rPr>
        <w:tab/>
        <w:t xml:space="preserve">The aim of this publication is presenting basic data about industry from the perspective of sections, divisions and groups which allows to perform a comparable analysis and demonstrate changes occurring in industry. </w:t>
      </w:r>
    </w:p>
    <w:p w:rsidR="0030545E" w:rsidRPr="00530139" w:rsidRDefault="0030545E" w:rsidP="009554BF">
      <w:pPr>
        <w:jc w:val="both"/>
        <w:rPr>
          <w:i/>
          <w:sz w:val="22"/>
          <w:szCs w:val="22"/>
          <w:lang w:val="en-GB"/>
        </w:rPr>
      </w:pPr>
      <w:r w:rsidRPr="00530139">
        <w:rPr>
          <w:i/>
          <w:sz w:val="22"/>
          <w:szCs w:val="22"/>
          <w:lang w:val="en-GB"/>
        </w:rPr>
        <w:tab/>
        <w:t>The information contained in the publication largely concerns the value and indices of the sold production and shows production quantity of major products, employment, wages and salaries, prices indices of sold production, new orders and turnover, worked tim</w:t>
      </w:r>
      <w:r w:rsidR="00F37B71" w:rsidRPr="00530139">
        <w:rPr>
          <w:i/>
          <w:sz w:val="22"/>
          <w:szCs w:val="22"/>
          <w:lang w:val="en-GB"/>
        </w:rPr>
        <w:t>e,</w:t>
      </w:r>
      <w:r w:rsidR="007C39F3" w:rsidRPr="00530139">
        <w:rPr>
          <w:i/>
          <w:sz w:val="22"/>
          <w:szCs w:val="22"/>
          <w:lang w:val="en-GB"/>
        </w:rPr>
        <w:t xml:space="preserve"> </w:t>
      </w:r>
      <w:r w:rsidR="00760958" w:rsidRPr="00530139">
        <w:rPr>
          <w:i/>
          <w:sz w:val="22"/>
          <w:szCs w:val="22"/>
          <w:lang w:val="en-GB"/>
        </w:rPr>
        <w:t xml:space="preserve">investment outlays, </w:t>
      </w:r>
      <w:r w:rsidRPr="00530139">
        <w:rPr>
          <w:i/>
          <w:sz w:val="22"/>
          <w:szCs w:val="22"/>
          <w:lang w:val="en-GB"/>
        </w:rPr>
        <w:t>financial results and relations in industry.</w:t>
      </w:r>
    </w:p>
    <w:p w:rsidR="0030545E" w:rsidRPr="00530139" w:rsidRDefault="0030545E" w:rsidP="009554BF">
      <w:pPr>
        <w:jc w:val="both"/>
        <w:rPr>
          <w:i/>
          <w:sz w:val="22"/>
          <w:szCs w:val="22"/>
          <w:lang w:val="en-GB"/>
        </w:rPr>
      </w:pPr>
      <w:r w:rsidRPr="00530139">
        <w:rPr>
          <w:i/>
          <w:sz w:val="22"/>
          <w:szCs w:val="22"/>
          <w:lang w:val="en-GB"/>
        </w:rPr>
        <w:tab/>
        <w:t>In the major part of the study, figures are presented in tables and partially in charts. Part A covers review data, part B presents information as per divisions of industry and part C focuses on the information concerning industry groups.</w:t>
      </w:r>
    </w:p>
    <w:p w:rsidR="0030545E" w:rsidRPr="00530139" w:rsidRDefault="0030545E" w:rsidP="009554BF">
      <w:pPr>
        <w:jc w:val="both"/>
        <w:rPr>
          <w:i/>
          <w:sz w:val="22"/>
          <w:szCs w:val="22"/>
          <w:lang w:val="en-GB"/>
        </w:rPr>
      </w:pPr>
      <w:r w:rsidRPr="00530139">
        <w:rPr>
          <w:i/>
          <w:sz w:val="22"/>
          <w:szCs w:val="22"/>
          <w:lang w:val="en-GB"/>
        </w:rPr>
        <w:tab/>
        <w:t xml:space="preserve">The data presented in the publication is a result of monthly statistical survey on economic activity – DG-1, monthly survey on production and inventories – P-02, monthly survey on producer </w:t>
      </w:r>
      <w:r w:rsidR="00A84C72">
        <w:rPr>
          <w:i/>
          <w:sz w:val="22"/>
          <w:szCs w:val="22"/>
          <w:lang w:val="en-GB"/>
        </w:rPr>
        <w:t xml:space="preserve">prices – C-01 </w:t>
      </w:r>
      <w:r w:rsidRPr="00530139">
        <w:rPr>
          <w:i/>
          <w:sz w:val="22"/>
          <w:szCs w:val="22"/>
          <w:lang w:val="en-GB"/>
        </w:rPr>
        <w:t>and quarterly financial survey – F-01/I-01.</w:t>
      </w:r>
    </w:p>
    <w:p w:rsidR="0030545E" w:rsidRPr="00530139" w:rsidRDefault="0030545E" w:rsidP="009554BF">
      <w:pPr>
        <w:jc w:val="both"/>
        <w:rPr>
          <w:i/>
          <w:sz w:val="22"/>
          <w:szCs w:val="22"/>
          <w:lang w:val="en-GB"/>
        </w:rPr>
      </w:pPr>
      <w:r w:rsidRPr="00530139">
        <w:rPr>
          <w:i/>
          <w:sz w:val="22"/>
          <w:szCs w:val="22"/>
          <w:lang w:val="en-GB"/>
        </w:rPr>
        <w:tab/>
        <w:t xml:space="preserve">The works related to preparing and developing this publication have been carried out by the employees of the Production Department in co-operation with the employees of the </w:t>
      </w:r>
      <w:r w:rsidRPr="00530139">
        <w:rPr>
          <w:i/>
          <w:sz w:val="22"/>
          <w:szCs w:val="22"/>
          <w:lang w:val="en-US"/>
        </w:rPr>
        <w:t>Demographic Surveys and Labour Market Department</w:t>
      </w:r>
      <w:r w:rsidRPr="00530139">
        <w:rPr>
          <w:i/>
          <w:sz w:val="22"/>
          <w:szCs w:val="22"/>
          <w:lang w:val="en-GB"/>
        </w:rPr>
        <w:t>, the Enterprises Department and the Statistical Computing Centre.</w:t>
      </w:r>
    </w:p>
    <w:p w:rsidR="00320824" w:rsidRPr="00530139" w:rsidRDefault="00320824" w:rsidP="00160332">
      <w:pPr>
        <w:jc w:val="both"/>
        <w:rPr>
          <w:i/>
          <w:sz w:val="22"/>
          <w:szCs w:val="22"/>
          <w:lang w:val="en-GB"/>
        </w:rPr>
      </w:pPr>
      <w:r w:rsidRPr="00530139">
        <w:rPr>
          <w:i/>
          <w:sz w:val="22"/>
          <w:szCs w:val="22"/>
          <w:lang w:val="en-GB"/>
        </w:rPr>
        <w:tab/>
      </w:r>
    </w:p>
    <w:p w:rsidR="009554BF" w:rsidRPr="00530139" w:rsidRDefault="009554BF" w:rsidP="009554BF">
      <w:pPr>
        <w:jc w:val="both"/>
        <w:rPr>
          <w:b/>
          <w:i/>
          <w:sz w:val="22"/>
          <w:szCs w:val="22"/>
          <w:lang w:val="en-GB"/>
        </w:rPr>
      </w:pPr>
    </w:p>
    <w:p w:rsidR="009554BF" w:rsidRDefault="009554BF" w:rsidP="009554BF">
      <w:pPr>
        <w:jc w:val="both"/>
        <w:rPr>
          <w:b/>
          <w:i/>
          <w:sz w:val="22"/>
          <w:szCs w:val="22"/>
          <w:lang w:val="en-GB"/>
        </w:rPr>
      </w:pPr>
    </w:p>
    <w:p w:rsidR="00A84C72" w:rsidRPr="008350D8" w:rsidRDefault="00A84C72" w:rsidP="009554BF">
      <w:pPr>
        <w:jc w:val="both"/>
        <w:rPr>
          <w:b/>
          <w:i/>
          <w:sz w:val="22"/>
          <w:szCs w:val="22"/>
          <w:lang w:val="en-GB"/>
        </w:rPr>
      </w:pPr>
    </w:p>
    <w:p w:rsidR="00320824" w:rsidRPr="00A84C72" w:rsidRDefault="00320824" w:rsidP="00320824">
      <w:pPr>
        <w:spacing w:line="264" w:lineRule="auto"/>
        <w:ind w:left="4956" w:firstLine="708"/>
        <w:jc w:val="both"/>
        <w:rPr>
          <w:i/>
          <w:sz w:val="22"/>
          <w:szCs w:val="22"/>
          <w:lang w:val="en-GB"/>
        </w:rPr>
      </w:pPr>
      <w:r w:rsidRPr="00685AAA">
        <w:rPr>
          <w:i/>
          <w:sz w:val="22"/>
          <w:szCs w:val="22"/>
          <w:lang w:val="en-GB"/>
        </w:rPr>
        <w:t xml:space="preserve">        </w:t>
      </w:r>
      <w:r w:rsidRPr="00A84C72">
        <w:rPr>
          <w:i/>
          <w:sz w:val="22"/>
          <w:szCs w:val="22"/>
          <w:lang w:val="en-GB"/>
        </w:rPr>
        <w:t>Małgorzata Kowalska</w:t>
      </w:r>
    </w:p>
    <w:p w:rsidR="00320824" w:rsidRDefault="00320824" w:rsidP="00320824">
      <w:pPr>
        <w:spacing w:line="264" w:lineRule="auto"/>
        <w:ind w:left="4956"/>
        <w:jc w:val="both"/>
        <w:rPr>
          <w:i/>
          <w:sz w:val="22"/>
          <w:szCs w:val="22"/>
          <w:lang w:val="en-GB"/>
        </w:rPr>
      </w:pPr>
      <w:r w:rsidRPr="00A84C72">
        <w:rPr>
          <w:i/>
          <w:sz w:val="22"/>
          <w:szCs w:val="22"/>
          <w:lang w:val="en-GB"/>
        </w:rPr>
        <w:t xml:space="preserve">       Director of the Production Department</w:t>
      </w:r>
    </w:p>
    <w:p w:rsidR="009554BF" w:rsidRDefault="0030545E" w:rsidP="0030545E">
      <w:pPr>
        <w:spacing w:line="264" w:lineRule="auto"/>
        <w:jc w:val="both"/>
        <w:rPr>
          <w:i/>
          <w:sz w:val="22"/>
          <w:szCs w:val="22"/>
          <w:lang w:val="en-US"/>
        </w:rPr>
      </w:pPr>
      <w:r w:rsidRPr="00530139">
        <w:rPr>
          <w:i/>
          <w:sz w:val="22"/>
          <w:szCs w:val="22"/>
          <w:lang w:val="en-US"/>
        </w:rPr>
        <w:t xml:space="preserve">Warsaw, </w:t>
      </w:r>
      <w:r w:rsidR="00760958" w:rsidRPr="00530139">
        <w:rPr>
          <w:i/>
          <w:sz w:val="22"/>
          <w:szCs w:val="22"/>
          <w:lang w:val="en-US"/>
        </w:rPr>
        <w:t>September</w:t>
      </w:r>
      <w:r w:rsidR="0018501B" w:rsidRPr="00530139">
        <w:rPr>
          <w:i/>
          <w:sz w:val="22"/>
          <w:szCs w:val="22"/>
          <w:lang w:val="en-US"/>
        </w:rPr>
        <w:t xml:space="preserve"> </w:t>
      </w:r>
      <w:r w:rsidRPr="00530139">
        <w:rPr>
          <w:i/>
          <w:sz w:val="22"/>
          <w:szCs w:val="22"/>
          <w:lang w:val="en-US"/>
        </w:rPr>
        <w:t>201</w:t>
      </w:r>
      <w:r w:rsidR="00246A21" w:rsidRPr="00530139">
        <w:rPr>
          <w:i/>
          <w:sz w:val="22"/>
          <w:szCs w:val="22"/>
          <w:lang w:val="en-US"/>
        </w:rPr>
        <w:t>7</w:t>
      </w:r>
    </w:p>
    <w:p w:rsidR="001F7FE1" w:rsidRDefault="001F7FE1" w:rsidP="0030545E">
      <w:pPr>
        <w:spacing w:line="264" w:lineRule="auto"/>
        <w:jc w:val="both"/>
        <w:rPr>
          <w:i/>
          <w:sz w:val="22"/>
          <w:szCs w:val="22"/>
          <w:lang w:val="en-US"/>
        </w:rPr>
      </w:pPr>
      <w:bookmarkStart w:id="0" w:name="_GoBack"/>
      <w:bookmarkEnd w:id="0"/>
    </w:p>
    <w:tbl>
      <w:tblPr>
        <w:tblpPr w:leftFromText="141" w:rightFromText="141" w:vertAnchor="text" w:tblpX="55" w:tblpY="1"/>
        <w:tblOverlap w:val="never"/>
        <w:tblW w:w="10119" w:type="dxa"/>
        <w:tblCellMar>
          <w:left w:w="70" w:type="dxa"/>
          <w:right w:w="70" w:type="dxa"/>
        </w:tblCellMar>
        <w:tblLook w:val="04A0" w:firstRow="1" w:lastRow="0" w:firstColumn="1" w:lastColumn="0" w:noHBand="0" w:noVBand="1"/>
      </w:tblPr>
      <w:tblGrid>
        <w:gridCol w:w="8379"/>
        <w:gridCol w:w="160"/>
        <w:gridCol w:w="832"/>
        <w:gridCol w:w="734"/>
        <w:gridCol w:w="14"/>
      </w:tblGrid>
      <w:tr w:rsidR="00106223" w:rsidRPr="00320824" w:rsidTr="00181DB5">
        <w:trPr>
          <w:trHeight w:val="288"/>
        </w:trPr>
        <w:tc>
          <w:tcPr>
            <w:tcW w:w="8379" w:type="dxa"/>
            <w:tcBorders>
              <w:top w:val="nil"/>
              <w:left w:val="nil"/>
              <w:bottom w:val="nil"/>
              <w:right w:val="nil"/>
            </w:tcBorders>
            <w:shd w:val="clear" w:color="auto" w:fill="auto"/>
            <w:noWrap/>
            <w:hideMark/>
          </w:tcPr>
          <w:p w:rsidR="0057720E" w:rsidRPr="00A76D6B" w:rsidRDefault="0057720E" w:rsidP="00726C31">
            <w:pPr>
              <w:rPr>
                <w:b/>
                <w:bCs/>
                <w:sz w:val="20"/>
                <w:szCs w:val="20"/>
              </w:rPr>
            </w:pPr>
            <w:bookmarkStart w:id="1" w:name="RANGE!A1:D125"/>
          </w:p>
          <w:p w:rsidR="00E67ED9" w:rsidRPr="00A76D6B" w:rsidRDefault="00106223" w:rsidP="00726C31">
            <w:pPr>
              <w:rPr>
                <w:b/>
                <w:bCs/>
                <w:sz w:val="20"/>
                <w:szCs w:val="20"/>
              </w:rPr>
            </w:pPr>
            <w:r w:rsidRPr="00A76D6B">
              <w:rPr>
                <w:b/>
                <w:bCs/>
                <w:sz w:val="20"/>
                <w:szCs w:val="20"/>
              </w:rPr>
              <w:t>S P I S    R Z E C Z Y</w:t>
            </w:r>
            <w:bookmarkEnd w:id="1"/>
          </w:p>
        </w:tc>
        <w:tc>
          <w:tcPr>
            <w:tcW w:w="160" w:type="dxa"/>
            <w:tcBorders>
              <w:top w:val="nil"/>
              <w:left w:val="nil"/>
              <w:bottom w:val="nil"/>
              <w:right w:val="nil"/>
            </w:tcBorders>
            <w:shd w:val="clear" w:color="auto" w:fill="auto"/>
            <w:noWrap/>
            <w:vAlign w:val="bottom"/>
            <w:hideMark/>
          </w:tcPr>
          <w:p w:rsidR="00106223" w:rsidRPr="00A76D6B" w:rsidRDefault="00106223" w:rsidP="00726C31">
            <w:pPr>
              <w:rPr>
                <w:sz w:val="20"/>
                <w:szCs w:val="20"/>
              </w:rPr>
            </w:pPr>
          </w:p>
        </w:tc>
        <w:tc>
          <w:tcPr>
            <w:tcW w:w="832" w:type="dxa"/>
            <w:tcBorders>
              <w:top w:val="nil"/>
              <w:left w:val="nil"/>
              <w:bottom w:val="nil"/>
              <w:right w:val="nil"/>
            </w:tcBorders>
            <w:shd w:val="clear" w:color="auto" w:fill="auto"/>
            <w:noWrap/>
            <w:vAlign w:val="bottom"/>
            <w:hideMark/>
          </w:tcPr>
          <w:p w:rsidR="00106223" w:rsidRPr="00A76D6B" w:rsidRDefault="00106223" w:rsidP="00726C31">
            <w:pPr>
              <w:rPr>
                <w:sz w:val="20"/>
                <w:szCs w:val="20"/>
              </w:rPr>
            </w:pPr>
          </w:p>
        </w:tc>
        <w:tc>
          <w:tcPr>
            <w:tcW w:w="748" w:type="dxa"/>
            <w:gridSpan w:val="2"/>
            <w:tcBorders>
              <w:top w:val="nil"/>
              <w:left w:val="nil"/>
              <w:bottom w:val="nil"/>
              <w:right w:val="nil"/>
            </w:tcBorders>
            <w:shd w:val="clear" w:color="auto" w:fill="auto"/>
            <w:noWrap/>
            <w:vAlign w:val="bottom"/>
            <w:hideMark/>
          </w:tcPr>
          <w:p w:rsidR="00106223" w:rsidRPr="00A76D6B" w:rsidRDefault="00106223" w:rsidP="00726C31">
            <w:pPr>
              <w:rPr>
                <w:sz w:val="20"/>
                <w:szCs w:val="20"/>
              </w:rPr>
            </w:pPr>
          </w:p>
        </w:tc>
      </w:tr>
      <w:tr w:rsidR="00106223" w:rsidRPr="00320824" w:rsidTr="00726C31">
        <w:trPr>
          <w:trHeight w:val="240"/>
        </w:trPr>
        <w:tc>
          <w:tcPr>
            <w:tcW w:w="8379" w:type="dxa"/>
            <w:tcBorders>
              <w:top w:val="nil"/>
              <w:left w:val="nil"/>
              <w:bottom w:val="nil"/>
              <w:right w:val="nil"/>
            </w:tcBorders>
            <w:shd w:val="clear" w:color="auto" w:fill="auto"/>
            <w:noWrap/>
            <w:vAlign w:val="center"/>
            <w:hideMark/>
          </w:tcPr>
          <w:p w:rsidR="00106223" w:rsidRPr="00320824" w:rsidRDefault="00106223" w:rsidP="00726C31">
            <w:pPr>
              <w:rPr>
                <w:b/>
                <w:bCs/>
                <w:i/>
                <w:iCs/>
                <w:sz w:val="20"/>
                <w:szCs w:val="20"/>
                <w:lang w:val="en-US"/>
              </w:rPr>
            </w:pPr>
            <w:r w:rsidRPr="00320824">
              <w:rPr>
                <w:b/>
                <w:bCs/>
                <w:i/>
                <w:iCs/>
                <w:sz w:val="20"/>
                <w:szCs w:val="20"/>
                <w:lang w:val="en-US"/>
              </w:rPr>
              <w:t>C O N T E N T S</w:t>
            </w:r>
          </w:p>
        </w:tc>
        <w:tc>
          <w:tcPr>
            <w:tcW w:w="160" w:type="dxa"/>
            <w:tcBorders>
              <w:top w:val="nil"/>
              <w:left w:val="nil"/>
              <w:bottom w:val="nil"/>
              <w:right w:val="nil"/>
            </w:tcBorders>
            <w:shd w:val="clear" w:color="auto" w:fill="auto"/>
            <w:noWrap/>
            <w:vAlign w:val="bottom"/>
            <w:hideMark/>
          </w:tcPr>
          <w:p w:rsidR="00106223" w:rsidRPr="00320824" w:rsidRDefault="00106223" w:rsidP="00726C31">
            <w:pPr>
              <w:rPr>
                <w:sz w:val="20"/>
                <w:szCs w:val="20"/>
                <w:lang w:val="en-US"/>
              </w:rPr>
            </w:pPr>
          </w:p>
        </w:tc>
        <w:tc>
          <w:tcPr>
            <w:tcW w:w="832" w:type="dxa"/>
            <w:tcBorders>
              <w:top w:val="nil"/>
              <w:left w:val="nil"/>
              <w:bottom w:val="nil"/>
              <w:right w:val="nil"/>
            </w:tcBorders>
            <w:shd w:val="clear" w:color="auto" w:fill="auto"/>
            <w:noWrap/>
            <w:vAlign w:val="bottom"/>
            <w:hideMark/>
          </w:tcPr>
          <w:p w:rsidR="00106223" w:rsidRPr="00320824" w:rsidRDefault="00106223" w:rsidP="00726C31">
            <w:pPr>
              <w:rPr>
                <w:sz w:val="20"/>
                <w:szCs w:val="20"/>
                <w:lang w:val="en-US"/>
              </w:rPr>
            </w:pPr>
          </w:p>
        </w:tc>
        <w:tc>
          <w:tcPr>
            <w:tcW w:w="748" w:type="dxa"/>
            <w:gridSpan w:val="2"/>
            <w:tcBorders>
              <w:top w:val="nil"/>
              <w:left w:val="nil"/>
              <w:bottom w:val="nil"/>
              <w:right w:val="nil"/>
            </w:tcBorders>
            <w:shd w:val="clear" w:color="auto" w:fill="auto"/>
            <w:noWrap/>
            <w:vAlign w:val="bottom"/>
            <w:hideMark/>
          </w:tcPr>
          <w:p w:rsidR="00106223" w:rsidRPr="00320824" w:rsidRDefault="00106223" w:rsidP="00726C31">
            <w:pPr>
              <w:rPr>
                <w:sz w:val="20"/>
                <w:szCs w:val="20"/>
                <w:lang w:val="en-US"/>
              </w:rPr>
            </w:pPr>
          </w:p>
        </w:tc>
      </w:tr>
      <w:tr w:rsidR="00106223" w:rsidRPr="00320824" w:rsidTr="0057720E">
        <w:trPr>
          <w:trHeight w:val="516"/>
        </w:trPr>
        <w:tc>
          <w:tcPr>
            <w:tcW w:w="8379" w:type="dxa"/>
            <w:tcBorders>
              <w:top w:val="nil"/>
              <w:left w:val="nil"/>
              <w:bottom w:val="nil"/>
              <w:right w:val="nil"/>
            </w:tcBorders>
            <w:shd w:val="clear" w:color="auto" w:fill="auto"/>
            <w:noWrap/>
            <w:vAlign w:val="center"/>
            <w:hideMark/>
          </w:tcPr>
          <w:p w:rsidR="00106223" w:rsidRPr="00320824" w:rsidRDefault="00106223" w:rsidP="0057720E">
            <w:pPr>
              <w:rPr>
                <w:sz w:val="20"/>
                <w:szCs w:val="20"/>
                <w:lang w:val="en-US"/>
              </w:rPr>
            </w:pPr>
          </w:p>
        </w:tc>
        <w:tc>
          <w:tcPr>
            <w:tcW w:w="160" w:type="dxa"/>
            <w:tcBorders>
              <w:top w:val="nil"/>
              <w:left w:val="nil"/>
              <w:bottom w:val="nil"/>
              <w:right w:val="nil"/>
            </w:tcBorders>
            <w:shd w:val="clear" w:color="auto" w:fill="auto"/>
            <w:noWrap/>
            <w:vAlign w:val="bottom"/>
            <w:hideMark/>
          </w:tcPr>
          <w:p w:rsidR="00106223" w:rsidRPr="00320824" w:rsidRDefault="00106223" w:rsidP="00726C31">
            <w:pPr>
              <w:rPr>
                <w:sz w:val="20"/>
                <w:szCs w:val="20"/>
                <w:lang w:val="en-US"/>
              </w:rPr>
            </w:pPr>
          </w:p>
        </w:tc>
        <w:tc>
          <w:tcPr>
            <w:tcW w:w="832" w:type="dxa"/>
            <w:tcBorders>
              <w:top w:val="nil"/>
              <w:left w:val="nil"/>
              <w:bottom w:val="nil"/>
              <w:right w:val="nil"/>
            </w:tcBorders>
            <w:shd w:val="clear" w:color="auto" w:fill="auto"/>
            <w:noWrap/>
            <w:vAlign w:val="bottom"/>
            <w:hideMark/>
          </w:tcPr>
          <w:p w:rsidR="00106223" w:rsidRPr="00320824" w:rsidRDefault="00106223" w:rsidP="00726C31">
            <w:pPr>
              <w:rPr>
                <w:sz w:val="20"/>
                <w:szCs w:val="20"/>
                <w:lang w:val="en-US"/>
              </w:rPr>
            </w:pPr>
          </w:p>
        </w:tc>
        <w:tc>
          <w:tcPr>
            <w:tcW w:w="748" w:type="dxa"/>
            <w:gridSpan w:val="2"/>
            <w:tcBorders>
              <w:top w:val="nil"/>
              <w:left w:val="nil"/>
              <w:right w:val="nil"/>
            </w:tcBorders>
            <w:shd w:val="clear" w:color="auto" w:fill="auto"/>
            <w:noWrap/>
            <w:vAlign w:val="center"/>
            <w:hideMark/>
          </w:tcPr>
          <w:p w:rsidR="00106223" w:rsidRPr="00320824" w:rsidRDefault="0057720E" w:rsidP="0057720E">
            <w:pPr>
              <w:jc w:val="center"/>
              <w:rPr>
                <w:iCs/>
                <w:sz w:val="20"/>
                <w:szCs w:val="20"/>
                <w:lang w:val="en-US"/>
              </w:rPr>
            </w:pPr>
            <w:r w:rsidRPr="00320824">
              <w:rPr>
                <w:iCs/>
                <w:sz w:val="20"/>
                <w:szCs w:val="20"/>
                <w:u w:val="single"/>
                <w:lang w:val="en-US"/>
              </w:rPr>
              <w:t>Str.</w:t>
            </w:r>
          </w:p>
        </w:tc>
      </w:tr>
      <w:tr w:rsidR="0057720E" w:rsidRPr="00223651" w:rsidTr="0057720E">
        <w:trPr>
          <w:trHeight w:hRule="exact" w:val="288"/>
        </w:trPr>
        <w:tc>
          <w:tcPr>
            <w:tcW w:w="8379" w:type="dxa"/>
            <w:tcBorders>
              <w:top w:val="nil"/>
              <w:left w:val="nil"/>
              <w:bottom w:val="nil"/>
              <w:right w:val="nil"/>
            </w:tcBorders>
            <w:shd w:val="clear" w:color="auto" w:fill="auto"/>
            <w:noWrap/>
          </w:tcPr>
          <w:p w:rsidR="0057720E" w:rsidRPr="00320824" w:rsidRDefault="0057720E" w:rsidP="00726C31">
            <w:pPr>
              <w:rPr>
                <w:b/>
                <w:bCs/>
                <w:sz w:val="20"/>
                <w:szCs w:val="20"/>
                <w:lang w:val="en-US"/>
              </w:rPr>
            </w:pPr>
          </w:p>
        </w:tc>
        <w:tc>
          <w:tcPr>
            <w:tcW w:w="160" w:type="dxa"/>
            <w:tcBorders>
              <w:top w:val="nil"/>
              <w:left w:val="nil"/>
              <w:bottom w:val="nil"/>
              <w:right w:val="nil"/>
            </w:tcBorders>
            <w:shd w:val="clear" w:color="auto" w:fill="auto"/>
            <w:noWrap/>
          </w:tcPr>
          <w:p w:rsidR="0057720E" w:rsidRPr="00320824" w:rsidRDefault="0057720E" w:rsidP="00726C31">
            <w:pPr>
              <w:rPr>
                <w:sz w:val="20"/>
                <w:szCs w:val="20"/>
                <w:lang w:val="en-US"/>
              </w:rPr>
            </w:pPr>
          </w:p>
        </w:tc>
        <w:tc>
          <w:tcPr>
            <w:tcW w:w="832" w:type="dxa"/>
            <w:tcBorders>
              <w:top w:val="nil"/>
              <w:left w:val="nil"/>
              <w:bottom w:val="nil"/>
            </w:tcBorders>
            <w:shd w:val="clear" w:color="auto" w:fill="auto"/>
            <w:noWrap/>
          </w:tcPr>
          <w:p w:rsidR="0057720E" w:rsidRPr="00320824" w:rsidRDefault="0057720E" w:rsidP="00726C31">
            <w:pPr>
              <w:rPr>
                <w:sz w:val="20"/>
                <w:szCs w:val="20"/>
                <w:lang w:val="en-US"/>
              </w:rPr>
            </w:pPr>
          </w:p>
        </w:tc>
        <w:tc>
          <w:tcPr>
            <w:tcW w:w="748" w:type="dxa"/>
            <w:gridSpan w:val="2"/>
            <w:tcBorders>
              <w:right w:val="nil"/>
            </w:tcBorders>
            <w:shd w:val="clear" w:color="auto" w:fill="auto"/>
            <w:noWrap/>
          </w:tcPr>
          <w:p w:rsidR="0057720E" w:rsidRDefault="0057720E" w:rsidP="0057720E">
            <w:pPr>
              <w:jc w:val="center"/>
              <w:rPr>
                <w:sz w:val="20"/>
                <w:szCs w:val="20"/>
              </w:rPr>
            </w:pPr>
            <w:r>
              <w:rPr>
                <w:sz w:val="20"/>
                <w:szCs w:val="20"/>
              </w:rPr>
              <w:t>Page</w:t>
            </w:r>
          </w:p>
        </w:tc>
      </w:tr>
      <w:tr w:rsidR="000A4945" w:rsidRPr="00223651" w:rsidTr="0057720E">
        <w:trPr>
          <w:trHeight w:hRule="exact" w:val="288"/>
        </w:trPr>
        <w:tc>
          <w:tcPr>
            <w:tcW w:w="8379" w:type="dxa"/>
            <w:tcBorders>
              <w:top w:val="nil"/>
              <w:left w:val="nil"/>
              <w:bottom w:val="nil"/>
              <w:right w:val="nil"/>
            </w:tcBorders>
            <w:shd w:val="clear" w:color="auto" w:fill="auto"/>
            <w:noWrap/>
          </w:tcPr>
          <w:p w:rsidR="000A4945" w:rsidRPr="00223651" w:rsidRDefault="000A4945" w:rsidP="00726C31">
            <w:pPr>
              <w:rPr>
                <w:b/>
                <w:bCs/>
                <w:sz w:val="20"/>
                <w:szCs w:val="20"/>
              </w:rPr>
            </w:pPr>
            <w:r>
              <w:rPr>
                <w:b/>
                <w:bCs/>
                <w:sz w:val="20"/>
                <w:szCs w:val="20"/>
              </w:rPr>
              <w:t>PRZEDMOWA</w:t>
            </w:r>
            <w:r w:rsidRPr="00223651">
              <w:rPr>
                <w:sz w:val="20"/>
                <w:szCs w:val="20"/>
              </w:rPr>
              <w:t xml:space="preserve"> .................................................................................................................................</w:t>
            </w:r>
            <w:r>
              <w:rPr>
                <w:sz w:val="20"/>
                <w:szCs w:val="20"/>
              </w:rPr>
              <w:t>......</w:t>
            </w:r>
            <w:r w:rsidRPr="00223651">
              <w:rPr>
                <w:sz w:val="20"/>
                <w:szCs w:val="20"/>
              </w:rPr>
              <w:t>.</w:t>
            </w:r>
          </w:p>
        </w:tc>
        <w:tc>
          <w:tcPr>
            <w:tcW w:w="160" w:type="dxa"/>
            <w:tcBorders>
              <w:top w:val="nil"/>
              <w:left w:val="nil"/>
              <w:bottom w:val="nil"/>
              <w:right w:val="nil"/>
            </w:tcBorders>
            <w:shd w:val="clear" w:color="auto" w:fill="auto"/>
            <w:noWrap/>
          </w:tcPr>
          <w:p w:rsidR="000A4945" w:rsidRPr="00223651" w:rsidRDefault="000A4945" w:rsidP="00726C31">
            <w:pPr>
              <w:rPr>
                <w:sz w:val="20"/>
                <w:szCs w:val="20"/>
              </w:rPr>
            </w:pPr>
          </w:p>
        </w:tc>
        <w:tc>
          <w:tcPr>
            <w:tcW w:w="832" w:type="dxa"/>
            <w:tcBorders>
              <w:top w:val="nil"/>
              <w:left w:val="nil"/>
              <w:bottom w:val="nil"/>
            </w:tcBorders>
            <w:shd w:val="clear" w:color="auto" w:fill="auto"/>
            <w:noWrap/>
          </w:tcPr>
          <w:p w:rsidR="000A4945" w:rsidRDefault="000A4945" w:rsidP="00726C31">
            <w:pPr>
              <w:rPr>
                <w:sz w:val="20"/>
                <w:szCs w:val="20"/>
              </w:rPr>
            </w:pPr>
          </w:p>
        </w:tc>
        <w:tc>
          <w:tcPr>
            <w:tcW w:w="748" w:type="dxa"/>
            <w:gridSpan w:val="2"/>
            <w:tcBorders>
              <w:right w:val="nil"/>
            </w:tcBorders>
            <w:shd w:val="clear" w:color="auto" w:fill="auto"/>
            <w:noWrap/>
          </w:tcPr>
          <w:p w:rsidR="000A4945" w:rsidRDefault="0057720E" w:rsidP="000A4945">
            <w:pPr>
              <w:jc w:val="center"/>
              <w:rPr>
                <w:sz w:val="20"/>
                <w:szCs w:val="20"/>
              </w:rPr>
            </w:pPr>
            <w:r>
              <w:rPr>
                <w:sz w:val="20"/>
                <w:szCs w:val="20"/>
              </w:rPr>
              <w:t>3</w:t>
            </w:r>
          </w:p>
          <w:p w:rsidR="0057720E" w:rsidRDefault="0057720E" w:rsidP="000A4945">
            <w:pPr>
              <w:jc w:val="center"/>
              <w:rPr>
                <w:sz w:val="20"/>
                <w:szCs w:val="20"/>
              </w:rPr>
            </w:pPr>
          </w:p>
        </w:tc>
      </w:tr>
      <w:tr w:rsidR="000A4945" w:rsidRPr="00223651" w:rsidTr="000A4945">
        <w:trPr>
          <w:trHeight w:hRule="exact" w:val="227"/>
        </w:trPr>
        <w:tc>
          <w:tcPr>
            <w:tcW w:w="8379" w:type="dxa"/>
            <w:tcBorders>
              <w:top w:val="nil"/>
              <w:left w:val="nil"/>
              <w:bottom w:val="nil"/>
              <w:right w:val="nil"/>
            </w:tcBorders>
            <w:shd w:val="clear" w:color="auto" w:fill="auto"/>
            <w:noWrap/>
          </w:tcPr>
          <w:p w:rsidR="000A4945" w:rsidRPr="00223651" w:rsidRDefault="000A4945" w:rsidP="00726C31">
            <w:pPr>
              <w:rPr>
                <w:b/>
                <w:bCs/>
                <w:sz w:val="20"/>
                <w:szCs w:val="20"/>
              </w:rPr>
            </w:pPr>
            <w:r>
              <w:rPr>
                <w:b/>
                <w:bCs/>
                <w:i/>
                <w:iCs/>
                <w:sz w:val="20"/>
                <w:szCs w:val="20"/>
              </w:rPr>
              <w:t>PREFACE</w:t>
            </w:r>
          </w:p>
        </w:tc>
        <w:tc>
          <w:tcPr>
            <w:tcW w:w="160" w:type="dxa"/>
            <w:tcBorders>
              <w:top w:val="nil"/>
              <w:left w:val="nil"/>
              <w:bottom w:val="nil"/>
              <w:right w:val="nil"/>
            </w:tcBorders>
            <w:shd w:val="clear" w:color="auto" w:fill="auto"/>
            <w:noWrap/>
          </w:tcPr>
          <w:p w:rsidR="000A4945" w:rsidRPr="00223651" w:rsidRDefault="000A4945" w:rsidP="00726C31">
            <w:pPr>
              <w:rPr>
                <w:sz w:val="20"/>
                <w:szCs w:val="20"/>
              </w:rPr>
            </w:pPr>
          </w:p>
        </w:tc>
        <w:tc>
          <w:tcPr>
            <w:tcW w:w="832" w:type="dxa"/>
            <w:tcBorders>
              <w:top w:val="nil"/>
              <w:left w:val="nil"/>
              <w:bottom w:val="nil"/>
            </w:tcBorders>
            <w:shd w:val="clear" w:color="auto" w:fill="auto"/>
            <w:noWrap/>
          </w:tcPr>
          <w:p w:rsidR="000A4945" w:rsidRDefault="000A4945" w:rsidP="00726C31">
            <w:pPr>
              <w:rPr>
                <w:sz w:val="20"/>
                <w:szCs w:val="20"/>
              </w:rPr>
            </w:pPr>
          </w:p>
        </w:tc>
        <w:tc>
          <w:tcPr>
            <w:tcW w:w="748" w:type="dxa"/>
            <w:gridSpan w:val="2"/>
            <w:tcBorders>
              <w:top w:val="nil"/>
              <w:right w:val="nil"/>
            </w:tcBorders>
            <w:shd w:val="clear" w:color="auto" w:fill="auto"/>
            <w:noWrap/>
          </w:tcPr>
          <w:p w:rsidR="000A4945" w:rsidRDefault="000A4945" w:rsidP="000A4945">
            <w:pPr>
              <w:jc w:val="center"/>
              <w:rPr>
                <w:sz w:val="20"/>
                <w:szCs w:val="20"/>
              </w:rPr>
            </w:pPr>
            <w:r>
              <w:rPr>
                <w:sz w:val="20"/>
                <w:szCs w:val="20"/>
              </w:rPr>
              <w:t>3</w:t>
            </w:r>
          </w:p>
        </w:tc>
      </w:tr>
      <w:tr w:rsidR="00CE6712" w:rsidRPr="00223651" w:rsidTr="00050178">
        <w:trPr>
          <w:trHeight w:hRule="exact" w:val="259"/>
        </w:trPr>
        <w:tc>
          <w:tcPr>
            <w:tcW w:w="8379" w:type="dxa"/>
            <w:tcBorders>
              <w:top w:val="nil"/>
              <w:left w:val="nil"/>
              <w:bottom w:val="nil"/>
              <w:right w:val="nil"/>
            </w:tcBorders>
            <w:shd w:val="clear" w:color="auto" w:fill="auto"/>
            <w:noWrap/>
          </w:tcPr>
          <w:p w:rsidR="00CE6712" w:rsidRPr="00223651" w:rsidRDefault="00CE6712" w:rsidP="00050178">
            <w:pPr>
              <w:spacing w:before="100" w:beforeAutospacing="1"/>
              <w:rPr>
                <w:b/>
                <w:bCs/>
                <w:sz w:val="20"/>
                <w:szCs w:val="20"/>
              </w:rPr>
            </w:pPr>
          </w:p>
        </w:tc>
        <w:tc>
          <w:tcPr>
            <w:tcW w:w="160" w:type="dxa"/>
            <w:tcBorders>
              <w:top w:val="nil"/>
              <w:left w:val="nil"/>
              <w:bottom w:val="nil"/>
              <w:right w:val="nil"/>
            </w:tcBorders>
            <w:shd w:val="clear" w:color="auto" w:fill="auto"/>
            <w:noWrap/>
          </w:tcPr>
          <w:p w:rsidR="00CE6712" w:rsidRPr="00223651" w:rsidRDefault="00CE6712" w:rsidP="00726C31">
            <w:pPr>
              <w:rPr>
                <w:sz w:val="20"/>
                <w:szCs w:val="20"/>
              </w:rPr>
            </w:pPr>
          </w:p>
        </w:tc>
        <w:tc>
          <w:tcPr>
            <w:tcW w:w="832" w:type="dxa"/>
            <w:tcBorders>
              <w:top w:val="nil"/>
              <w:left w:val="nil"/>
              <w:bottom w:val="nil"/>
            </w:tcBorders>
            <w:shd w:val="clear" w:color="auto" w:fill="auto"/>
            <w:noWrap/>
          </w:tcPr>
          <w:p w:rsidR="00CE6712" w:rsidRDefault="00CE6712" w:rsidP="00726C31">
            <w:pPr>
              <w:rPr>
                <w:sz w:val="20"/>
                <w:szCs w:val="20"/>
              </w:rPr>
            </w:pPr>
          </w:p>
        </w:tc>
        <w:tc>
          <w:tcPr>
            <w:tcW w:w="748" w:type="dxa"/>
            <w:gridSpan w:val="2"/>
            <w:tcBorders>
              <w:top w:val="nil"/>
              <w:right w:val="nil"/>
            </w:tcBorders>
            <w:shd w:val="clear" w:color="auto" w:fill="auto"/>
            <w:noWrap/>
          </w:tcPr>
          <w:p w:rsidR="00CE6712" w:rsidRDefault="00CE6712" w:rsidP="000A4945">
            <w:pPr>
              <w:jc w:val="center"/>
              <w:rPr>
                <w:sz w:val="20"/>
                <w:szCs w:val="20"/>
              </w:rPr>
            </w:pPr>
          </w:p>
        </w:tc>
      </w:tr>
      <w:tr w:rsidR="000A4945" w:rsidRPr="00223651" w:rsidTr="00050178">
        <w:trPr>
          <w:trHeight w:hRule="exact" w:val="259"/>
        </w:trPr>
        <w:tc>
          <w:tcPr>
            <w:tcW w:w="8379" w:type="dxa"/>
            <w:tcBorders>
              <w:top w:val="nil"/>
              <w:left w:val="nil"/>
              <w:bottom w:val="nil"/>
              <w:right w:val="nil"/>
            </w:tcBorders>
            <w:shd w:val="clear" w:color="auto" w:fill="auto"/>
            <w:noWrap/>
          </w:tcPr>
          <w:p w:rsidR="000A4945" w:rsidRPr="00223651" w:rsidRDefault="000A4945" w:rsidP="00050178">
            <w:pPr>
              <w:spacing w:before="100" w:beforeAutospacing="1"/>
              <w:rPr>
                <w:b/>
                <w:bCs/>
                <w:sz w:val="20"/>
                <w:szCs w:val="20"/>
              </w:rPr>
            </w:pPr>
            <w:r w:rsidRPr="00223651">
              <w:rPr>
                <w:b/>
                <w:bCs/>
                <w:sz w:val="20"/>
                <w:szCs w:val="20"/>
              </w:rPr>
              <w:t>UWAGI OGÓLNE</w:t>
            </w:r>
            <w:r w:rsidRPr="00223651">
              <w:rPr>
                <w:sz w:val="20"/>
                <w:szCs w:val="20"/>
              </w:rPr>
              <w:t xml:space="preserve"> ..................................................................................................................................</w:t>
            </w:r>
          </w:p>
        </w:tc>
        <w:tc>
          <w:tcPr>
            <w:tcW w:w="160" w:type="dxa"/>
            <w:tcBorders>
              <w:top w:val="nil"/>
              <w:left w:val="nil"/>
              <w:bottom w:val="nil"/>
              <w:right w:val="nil"/>
            </w:tcBorders>
            <w:shd w:val="clear" w:color="auto" w:fill="auto"/>
            <w:noWrap/>
          </w:tcPr>
          <w:p w:rsidR="000A4945" w:rsidRPr="00223651" w:rsidRDefault="000A4945" w:rsidP="00726C31">
            <w:pPr>
              <w:rPr>
                <w:sz w:val="20"/>
                <w:szCs w:val="20"/>
              </w:rPr>
            </w:pPr>
          </w:p>
        </w:tc>
        <w:tc>
          <w:tcPr>
            <w:tcW w:w="832" w:type="dxa"/>
            <w:tcBorders>
              <w:top w:val="nil"/>
              <w:left w:val="nil"/>
              <w:bottom w:val="nil"/>
            </w:tcBorders>
            <w:shd w:val="clear" w:color="auto" w:fill="auto"/>
            <w:noWrap/>
          </w:tcPr>
          <w:p w:rsidR="000A4945" w:rsidRDefault="000A4945" w:rsidP="00726C31">
            <w:pPr>
              <w:rPr>
                <w:sz w:val="20"/>
                <w:szCs w:val="20"/>
              </w:rPr>
            </w:pPr>
          </w:p>
        </w:tc>
        <w:tc>
          <w:tcPr>
            <w:tcW w:w="748" w:type="dxa"/>
            <w:gridSpan w:val="2"/>
            <w:tcBorders>
              <w:top w:val="nil"/>
              <w:right w:val="nil"/>
            </w:tcBorders>
            <w:shd w:val="clear" w:color="auto" w:fill="auto"/>
            <w:noWrap/>
          </w:tcPr>
          <w:p w:rsidR="000A4945" w:rsidRDefault="0039222A" w:rsidP="000A4945">
            <w:pPr>
              <w:jc w:val="center"/>
              <w:rPr>
                <w:sz w:val="20"/>
                <w:szCs w:val="20"/>
              </w:rPr>
            </w:pPr>
            <w:r>
              <w:rPr>
                <w:sz w:val="20"/>
                <w:szCs w:val="20"/>
              </w:rPr>
              <w:t>7</w:t>
            </w:r>
          </w:p>
        </w:tc>
      </w:tr>
      <w:tr w:rsidR="000A4945" w:rsidRPr="00223651" w:rsidTr="00050178">
        <w:trPr>
          <w:trHeight w:hRule="exact" w:val="422"/>
        </w:trPr>
        <w:tc>
          <w:tcPr>
            <w:tcW w:w="8379" w:type="dxa"/>
            <w:tcBorders>
              <w:top w:val="nil"/>
              <w:left w:val="nil"/>
              <w:bottom w:val="nil"/>
              <w:right w:val="nil"/>
            </w:tcBorders>
            <w:shd w:val="clear" w:color="auto" w:fill="auto"/>
            <w:noWrap/>
          </w:tcPr>
          <w:p w:rsidR="00CE6712" w:rsidRPr="00CE6712" w:rsidRDefault="000A4945" w:rsidP="00050178">
            <w:pPr>
              <w:spacing w:before="60"/>
              <w:rPr>
                <w:b/>
                <w:bCs/>
                <w:i/>
                <w:iCs/>
                <w:sz w:val="20"/>
                <w:szCs w:val="20"/>
              </w:rPr>
            </w:pPr>
            <w:r>
              <w:rPr>
                <w:b/>
                <w:bCs/>
                <w:i/>
                <w:iCs/>
                <w:sz w:val="20"/>
                <w:szCs w:val="20"/>
              </w:rPr>
              <w:t>GENERAL NOTES</w:t>
            </w:r>
          </w:p>
        </w:tc>
        <w:tc>
          <w:tcPr>
            <w:tcW w:w="160" w:type="dxa"/>
            <w:tcBorders>
              <w:top w:val="nil"/>
              <w:left w:val="nil"/>
              <w:bottom w:val="nil"/>
              <w:right w:val="nil"/>
            </w:tcBorders>
            <w:shd w:val="clear" w:color="auto" w:fill="auto"/>
            <w:noWrap/>
          </w:tcPr>
          <w:p w:rsidR="000A4945" w:rsidRPr="00223651" w:rsidRDefault="000A4945" w:rsidP="00726C31">
            <w:pPr>
              <w:rPr>
                <w:sz w:val="20"/>
                <w:szCs w:val="20"/>
              </w:rPr>
            </w:pPr>
          </w:p>
        </w:tc>
        <w:tc>
          <w:tcPr>
            <w:tcW w:w="832" w:type="dxa"/>
            <w:tcBorders>
              <w:top w:val="nil"/>
              <w:left w:val="nil"/>
              <w:bottom w:val="nil"/>
            </w:tcBorders>
            <w:shd w:val="clear" w:color="auto" w:fill="auto"/>
            <w:noWrap/>
          </w:tcPr>
          <w:p w:rsidR="000A4945" w:rsidRDefault="000A4945" w:rsidP="00726C31">
            <w:pPr>
              <w:rPr>
                <w:sz w:val="20"/>
                <w:szCs w:val="20"/>
              </w:rPr>
            </w:pPr>
          </w:p>
        </w:tc>
        <w:tc>
          <w:tcPr>
            <w:tcW w:w="748" w:type="dxa"/>
            <w:gridSpan w:val="2"/>
            <w:tcBorders>
              <w:top w:val="nil"/>
              <w:right w:val="nil"/>
            </w:tcBorders>
            <w:shd w:val="clear" w:color="auto" w:fill="auto"/>
            <w:noWrap/>
          </w:tcPr>
          <w:p w:rsidR="000A4945" w:rsidRDefault="0039222A" w:rsidP="000A4945">
            <w:pPr>
              <w:jc w:val="center"/>
              <w:rPr>
                <w:sz w:val="20"/>
                <w:szCs w:val="20"/>
              </w:rPr>
            </w:pPr>
            <w:r>
              <w:rPr>
                <w:sz w:val="20"/>
                <w:szCs w:val="20"/>
              </w:rPr>
              <w:t>12</w:t>
            </w:r>
          </w:p>
        </w:tc>
      </w:tr>
      <w:tr w:rsidR="000A4945" w:rsidRPr="00223651" w:rsidTr="00CE6712">
        <w:trPr>
          <w:trHeight w:hRule="exact" w:val="80"/>
        </w:trPr>
        <w:tc>
          <w:tcPr>
            <w:tcW w:w="8379" w:type="dxa"/>
            <w:tcBorders>
              <w:top w:val="nil"/>
              <w:left w:val="nil"/>
              <w:bottom w:val="nil"/>
              <w:right w:val="nil"/>
            </w:tcBorders>
            <w:shd w:val="clear" w:color="auto" w:fill="auto"/>
            <w:noWrap/>
          </w:tcPr>
          <w:p w:rsidR="000A4945" w:rsidRPr="00223651" w:rsidRDefault="000A4945" w:rsidP="00726C31">
            <w:pPr>
              <w:rPr>
                <w:b/>
                <w:bCs/>
                <w:sz w:val="20"/>
                <w:szCs w:val="20"/>
              </w:rPr>
            </w:pPr>
          </w:p>
        </w:tc>
        <w:tc>
          <w:tcPr>
            <w:tcW w:w="160" w:type="dxa"/>
            <w:tcBorders>
              <w:top w:val="nil"/>
              <w:left w:val="nil"/>
              <w:bottom w:val="nil"/>
              <w:right w:val="nil"/>
            </w:tcBorders>
            <w:shd w:val="clear" w:color="auto" w:fill="auto"/>
            <w:noWrap/>
          </w:tcPr>
          <w:p w:rsidR="000A4945" w:rsidRPr="00223651" w:rsidRDefault="000A4945" w:rsidP="00726C31">
            <w:pPr>
              <w:rPr>
                <w:sz w:val="20"/>
                <w:szCs w:val="20"/>
              </w:rPr>
            </w:pPr>
          </w:p>
        </w:tc>
        <w:tc>
          <w:tcPr>
            <w:tcW w:w="832" w:type="dxa"/>
            <w:tcBorders>
              <w:top w:val="nil"/>
              <w:left w:val="nil"/>
              <w:bottom w:val="nil"/>
            </w:tcBorders>
            <w:shd w:val="clear" w:color="auto" w:fill="auto"/>
            <w:noWrap/>
          </w:tcPr>
          <w:p w:rsidR="000A4945" w:rsidRDefault="000A4945" w:rsidP="00726C31">
            <w:pPr>
              <w:rPr>
                <w:sz w:val="20"/>
                <w:szCs w:val="20"/>
              </w:rPr>
            </w:pPr>
          </w:p>
        </w:tc>
        <w:tc>
          <w:tcPr>
            <w:tcW w:w="748" w:type="dxa"/>
            <w:gridSpan w:val="2"/>
            <w:tcBorders>
              <w:top w:val="nil"/>
              <w:bottom w:val="nil"/>
              <w:right w:val="nil"/>
            </w:tcBorders>
            <w:shd w:val="clear" w:color="auto" w:fill="auto"/>
            <w:noWrap/>
          </w:tcPr>
          <w:p w:rsidR="000A4945" w:rsidRDefault="000A4945" w:rsidP="00726C31">
            <w:pPr>
              <w:rPr>
                <w:sz w:val="20"/>
                <w:szCs w:val="20"/>
              </w:rPr>
            </w:pPr>
          </w:p>
        </w:tc>
      </w:tr>
      <w:tr w:rsidR="000524BB" w:rsidRPr="00223651" w:rsidTr="00595D6B">
        <w:trPr>
          <w:trHeight w:hRule="exact" w:val="255"/>
        </w:trPr>
        <w:tc>
          <w:tcPr>
            <w:tcW w:w="8379" w:type="dxa"/>
            <w:tcBorders>
              <w:top w:val="nil"/>
              <w:left w:val="nil"/>
              <w:bottom w:val="nil"/>
              <w:right w:val="nil"/>
            </w:tcBorders>
            <w:shd w:val="clear" w:color="auto" w:fill="auto"/>
            <w:noWrap/>
            <w:hideMark/>
          </w:tcPr>
          <w:p w:rsidR="000524BB" w:rsidRPr="00223651" w:rsidRDefault="000524BB" w:rsidP="00726C31">
            <w:pPr>
              <w:rPr>
                <w:b/>
                <w:bCs/>
                <w:sz w:val="20"/>
                <w:szCs w:val="20"/>
              </w:rPr>
            </w:pPr>
            <w:r w:rsidRPr="00223651">
              <w:rPr>
                <w:b/>
                <w:bCs/>
                <w:sz w:val="20"/>
                <w:szCs w:val="20"/>
              </w:rPr>
              <w:t>SPIS TABLIC</w:t>
            </w:r>
          </w:p>
        </w:tc>
        <w:tc>
          <w:tcPr>
            <w:tcW w:w="160" w:type="dxa"/>
            <w:tcBorders>
              <w:top w:val="nil"/>
              <w:left w:val="nil"/>
              <w:bottom w:val="nil"/>
              <w:right w:val="nil"/>
            </w:tcBorders>
            <w:shd w:val="clear" w:color="auto" w:fill="auto"/>
            <w:noWrap/>
            <w:hideMark/>
          </w:tcPr>
          <w:p w:rsidR="000524BB" w:rsidRPr="00223651" w:rsidRDefault="000524BB" w:rsidP="00726C31">
            <w:pPr>
              <w:rPr>
                <w:sz w:val="20"/>
                <w:szCs w:val="20"/>
              </w:rPr>
            </w:pPr>
          </w:p>
        </w:tc>
        <w:tc>
          <w:tcPr>
            <w:tcW w:w="832" w:type="dxa"/>
            <w:tcBorders>
              <w:top w:val="nil"/>
              <w:left w:val="nil"/>
              <w:bottom w:val="nil"/>
              <w:right w:val="single" w:sz="4" w:space="0" w:color="auto"/>
            </w:tcBorders>
            <w:shd w:val="clear" w:color="auto" w:fill="auto"/>
            <w:noWrap/>
            <w:hideMark/>
          </w:tcPr>
          <w:p w:rsidR="000524BB" w:rsidRPr="00223651" w:rsidRDefault="00D847DA" w:rsidP="00726C31">
            <w:pPr>
              <w:rPr>
                <w:sz w:val="20"/>
                <w:szCs w:val="20"/>
              </w:rPr>
            </w:pPr>
            <w:r>
              <w:rPr>
                <w:sz w:val="20"/>
                <w:szCs w:val="20"/>
              </w:rPr>
              <w:t xml:space="preserve"> </w:t>
            </w:r>
            <w:r w:rsidR="000524BB" w:rsidRPr="00223651">
              <w:rPr>
                <w:sz w:val="20"/>
                <w:szCs w:val="20"/>
              </w:rPr>
              <w:t>Tabl.</w:t>
            </w:r>
          </w:p>
        </w:tc>
        <w:tc>
          <w:tcPr>
            <w:tcW w:w="748" w:type="dxa"/>
            <w:gridSpan w:val="2"/>
            <w:tcBorders>
              <w:top w:val="nil"/>
              <w:left w:val="nil"/>
              <w:bottom w:val="nil"/>
              <w:right w:val="nil"/>
            </w:tcBorders>
            <w:shd w:val="clear" w:color="auto" w:fill="auto"/>
            <w:noWrap/>
            <w:hideMark/>
          </w:tcPr>
          <w:p w:rsidR="000524BB" w:rsidRPr="00223651" w:rsidRDefault="00D847DA" w:rsidP="00726C31">
            <w:pPr>
              <w:rPr>
                <w:sz w:val="20"/>
                <w:szCs w:val="20"/>
              </w:rPr>
            </w:pPr>
            <w:r>
              <w:rPr>
                <w:sz w:val="20"/>
                <w:szCs w:val="20"/>
              </w:rPr>
              <w:t xml:space="preserve">    </w:t>
            </w:r>
            <w:r w:rsidR="000524BB" w:rsidRPr="00223651">
              <w:rPr>
                <w:sz w:val="20"/>
                <w:szCs w:val="20"/>
              </w:rPr>
              <w:t>Str.</w:t>
            </w:r>
          </w:p>
        </w:tc>
      </w:tr>
      <w:tr w:rsidR="000524BB" w:rsidRPr="00223651" w:rsidTr="00661F9C">
        <w:trPr>
          <w:trHeight w:hRule="exact" w:val="375"/>
        </w:trPr>
        <w:tc>
          <w:tcPr>
            <w:tcW w:w="8379" w:type="dxa"/>
            <w:tcBorders>
              <w:top w:val="nil"/>
              <w:left w:val="nil"/>
              <w:bottom w:val="nil"/>
              <w:right w:val="nil"/>
            </w:tcBorders>
            <w:shd w:val="clear" w:color="auto" w:fill="auto"/>
            <w:noWrap/>
            <w:hideMark/>
          </w:tcPr>
          <w:p w:rsidR="000524BB" w:rsidRPr="00223651" w:rsidRDefault="000524BB" w:rsidP="00661F9C">
            <w:pPr>
              <w:spacing w:before="60"/>
              <w:rPr>
                <w:b/>
                <w:bCs/>
                <w:i/>
                <w:iCs/>
                <w:sz w:val="20"/>
                <w:szCs w:val="20"/>
              </w:rPr>
            </w:pPr>
            <w:r w:rsidRPr="00223651">
              <w:rPr>
                <w:b/>
                <w:bCs/>
                <w:i/>
                <w:iCs/>
                <w:sz w:val="20"/>
                <w:szCs w:val="20"/>
              </w:rPr>
              <w:t>LIST OF TABLES</w:t>
            </w:r>
          </w:p>
        </w:tc>
        <w:tc>
          <w:tcPr>
            <w:tcW w:w="160" w:type="dxa"/>
            <w:tcBorders>
              <w:top w:val="nil"/>
              <w:left w:val="nil"/>
              <w:bottom w:val="nil"/>
              <w:right w:val="nil"/>
            </w:tcBorders>
            <w:shd w:val="clear" w:color="auto" w:fill="auto"/>
            <w:noWrap/>
            <w:hideMark/>
          </w:tcPr>
          <w:p w:rsidR="000524BB" w:rsidRPr="00223651" w:rsidRDefault="000524BB" w:rsidP="00726C31">
            <w:pPr>
              <w:rPr>
                <w:sz w:val="20"/>
                <w:szCs w:val="20"/>
              </w:rPr>
            </w:pPr>
          </w:p>
        </w:tc>
        <w:tc>
          <w:tcPr>
            <w:tcW w:w="832" w:type="dxa"/>
            <w:tcBorders>
              <w:top w:val="nil"/>
              <w:left w:val="nil"/>
              <w:bottom w:val="single" w:sz="4" w:space="0" w:color="auto"/>
              <w:right w:val="single" w:sz="4" w:space="0" w:color="auto"/>
            </w:tcBorders>
            <w:shd w:val="clear" w:color="auto" w:fill="auto"/>
            <w:noWrap/>
            <w:hideMark/>
          </w:tcPr>
          <w:p w:rsidR="000524BB" w:rsidRPr="00223651" w:rsidRDefault="000524BB" w:rsidP="00726C31">
            <w:pPr>
              <w:rPr>
                <w:i/>
                <w:iCs/>
                <w:sz w:val="20"/>
                <w:szCs w:val="20"/>
              </w:rPr>
            </w:pPr>
            <w:r w:rsidRPr="00223651">
              <w:rPr>
                <w:i/>
                <w:iCs/>
                <w:sz w:val="20"/>
                <w:szCs w:val="20"/>
              </w:rPr>
              <w:t>Table</w:t>
            </w:r>
          </w:p>
        </w:tc>
        <w:tc>
          <w:tcPr>
            <w:tcW w:w="748" w:type="dxa"/>
            <w:gridSpan w:val="2"/>
            <w:tcBorders>
              <w:top w:val="nil"/>
              <w:left w:val="nil"/>
              <w:bottom w:val="single" w:sz="4" w:space="0" w:color="auto"/>
              <w:right w:val="nil"/>
            </w:tcBorders>
            <w:shd w:val="clear" w:color="auto" w:fill="auto"/>
            <w:noWrap/>
            <w:hideMark/>
          </w:tcPr>
          <w:p w:rsidR="000524BB" w:rsidRPr="00223651" w:rsidRDefault="00D847DA" w:rsidP="00726C31">
            <w:pPr>
              <w:rPr>
                <w:i/>
                <w:iCs/>
                <w:sz w:val="20"/>
                <w:szCs w:val="20"/>
              </w:rPr>
            </w:pPr>
            <w:r>
              <w:rPr>
                <w:i/>
                <w:iCs/>
                <w:sz w:val="20"/>
                <w:szCs w:val="20"/>
              </w:rPr>
              <w:t xml:space="preserve">  </w:t>
            </w:r>
            <w:r w:rsidR="000524BB" w:rsidRPr="00223651">
              <w:rPr>
                <w:i/>
                <w:iCs/>
                <w:sz w:val="20"/>
                <w:szCs w:val="20"/>
              </w:rPr>
              <w:t>Page</w:t>
            </w:r>
          </w:p>
        </w:tc>
      </w:tr>
      <w:tr w:rsidR="000524BB" w:rsidRPr="00223651" w:rsidTr="00B33303">
        <w:trPr>
          <w:trHeight w:val="653"/>
        </w:trPr>
        <w:tc>
          <w:tcPr>
            <w:tcW w:w="8379" w:type="dxa"/>
            <w:tcBorders>
              <w:top w:val="nil"/>
              <w:left w:val="nil"/>
              <w:bottom w:val="nil"/>
              <w:right w:val="nil"/>
            </w:tcBorders>
            <w:shd w:val="clear" w:color="auto" w:fill="auto"/>
            <w:noWrap/>
            <w:vAlign w:val="bottom"/>
            <w:hideMark/>
          </w:tcPr>
          <w:p w:rsidR="000524BB" w:rsidRPr="00223651" w:rsidRDefault="000524BB" w:rsidP="00BD4F76">
            <w:pPr>
              <w:rPr>
                <w:b/>
                <w:bCs/>
                <w:sz w:val="20"/>
                <w:szCs w:val="20"/>
              </w:rPr>
            </w:pPr>
            <w:r w:rsidRPr="00223651">
              <w:rPr>
                <w:b/>
                <w:bCs/>
                <w:sz w:val="20"/>
                <w:szCs w:val="20"/>
              </w:rPr>
              <w:t>A. INFORMACJE PRZEGLĄDOWE</w:t>
            </w:r>
          </w:p>
        </w:tc>
        <w:tc>
          <w:tcPr>
            <w:tcW w:w="160" w:type="dxa"/>
            <w:tcBorders>
              <w:top w:val="nil"/>
              <w:left w:val="nil"/>
              <w:bottom w:val="nil"/>
              <w:right w:val="nil"/>
            </w:tcBorders>
            <w:shd w:val="clear" w:color="auto" w:fill="auto"/>
            <w:noWrap/>
            <w:vAlign w:val="bottom"/>
            <w:hideMark/>
          </w:tcPr>
          <w:p w:rsidR="000524BB" w:rsidRPr="00223651" w:rsidRDefault="000524BB" w:rsidP="00726C31">
            <w:pPr>
              <w:rPr>
                <w:sz w:val="20"/>
                <w:szCs w:val="20"/>
              </w:rPr>
            </w:pPr>
          </w:p>
        </w:tc>
        <w:tc>
          <w:tcPr>
            <w:tcW w:w="832" w:type="dxa"/>
            <w:tcBorders>
              <w:top w:val="nil"/>
              <w:left w:val="nil"/>
              <w:bottom w:val="nil"/>
              <w:right w:val="single" w:sz="4" w:space="0" w:color="auto"/>
            </w:tcBorders>
            <w:shd w:val="clear" w:color="auto" w:fill="auto"/>
            <w:noWrap/>
            <w:vAlign w:val="bottom"/>
            <w:hideMark/>
          </w:tcPr>
          <w:p w:rsidR="000524BB" w:rsidRPr="00223651" w:rsidRDefault="000524BB" w:rsidP="00726C31">
            <w:pPr>
              <w:rPr>
                <w:sz w:val="20"/>
                <w:szCs w:val="20"/>
              </w:rPr>
            </w:pPr>
            <w:r w:rsidRPr="00223651">
              <w:rPr>
                <w:sz w:val="20"/>
                <w:szCs w:val="20"/>
              </w:rPr>
              <w:t> </w:t>
            </w:r>
          </w:p>
        </w:tc>
        <w:tc>
          <w:tcPr>
            <w:tcW w:w="748" w:type="dxa"/>
            <w:gridSpan w:val="2"/>
            <w:tcBorders>
              <w:top w:val="nil"/>
              <w:left w:val="nil"/>
              <w:bottom w:val="nil"/>
              <w:right w:val="nil"/>
            </w:tcBorders>
            <w:shd w:val="clear" w:color="auto" w:fill="auto"/>
            <w:noWrap/>
            <w:vAlign w:val="bottom"/>
            <w:hideMark/>
          </w:tcPr>
          <w:p w:rsidR="000524BB" w:rsidRPr="00223651" w:rsidRDefault="000524BB" w:rsidP="00726C31">
            <w:pPr>
              <w:rPr>
                <w:sz w:val="20"/>
                <w:szCs w:val="20"/>
              </w:rPr>
            </w:pPr>
          </w:p>
        </w:tc>
      </w:tr>
      <w:tr w:rsidR="000524BB" w:rsidRPr="00223651" w:rsidTr="00726C31">
        <w:trPr>
          <w:trHeight w:val="270"/>
        </w:trPr>
        <w:tc>
          <w:tcPr>
            <w:tcW w:w="8379" w:type="dxa"/>
            <w:tcBorders>
              <w:top w:val="nil"/>
              <w:left w:val="nil"/>
              <w:bottom w:val="nil"/>
              <w:right w:val="nil"/>
            </w:tcBorders>
            <w:shd w:val="clear" w:color="auto" w:fill="auto"/>
            <w:noWrap/>
            <w:vAlign w:val="bottom"/>
            <w:hideMark/>
          </w:tcPr>
          <w:p w:rsidR="000524BB" w:rsidRPr="00223651" w:rsidRDefault="000524BB" w:rsidP="00595D6B">
            <w:pPr>
              <w:spacing w:before="60"/>
              <w:rPr>
                <w:b/>
                <w:bCs/>
                <w:i/>
                <w:iCs/>
                <w:sz w:val="20"/>
                <w:szCs w:val="20"/>
              </w:rPr>
            </w:pPr>
            <w:r w:rsidRPr="00223651">
              <w:rPr>
                <w:b/>
                <w:bCs/>
                <w:i/>
                <w:iCs/>
                <w:sz w:val="20"/>
                <w:szCs w:val="20"/>
              </w:rPr>
              <w:t xml:space="preserve">    REVISION INFORMATION</w:t>
            </w:r>
          </w:p>
        </w:tc>
        <w:tc>
          <w:tcPr>
            <w:tcW w:w="160" w:type="dxa"/>
            <w:tcBorders>
              <w:top w:val="nil"/>
              <w:left w:val="nil"/>
              <w:bottom w:val="nil"/>
              <w:right w:val="nil"/>
            </w:tcBorders>
            <w:shd w:val="clear" w:color="auto" w:fill="auto"/>
            <w:noWrap/>
            <w:vAlign w:val="bottom"/>
            <w:hideMark/>
          </w:tcPr>
          <w:p w:rsidR="000524BB" w:rsidRPr="00223651" w:rsidRDefault="000524BB" w:rsidP="00726C31">
            <w:pPr>
              <w:rPr>
                <w:sz w:val="20"/>
                <w:szCs w:val="20"/>
              </w:rPr>
            </w:pPr>
          </w:p>
        </w:tc>
        <w:tc>
          <w:tcPr>
            <w:tcW w:w="832" w:type="dxa"/>
            <w:tcBorders>
              <w:top w:val="nil"/>
              <w:left w:val="nil"/>
              <w:bottom w:val="nil"/>
              <w:right w:val="single" w:sz="4" w:space="0" w:color="auto"/>
            </w:tcBorders>
            <w:shd w:val="clear" w:color="auto" w:fill="auto"/>
            <w:noWrap/>
            <w:vAlign w:val="bottom"/>
            <w:hideMark/>
          </w:tcPr>
          <w:p w:rsidR="000524BB" w:rsidRPr="00223651" w:rsidRDefault="000524BB" w:rsidP="00726C31">
            <w:pPr>
              <w:rPr>
                <w:sz w:val="20"/>
                <w:szCs w:val="20"/>
              </w:rPr>
            </w:pPr>
            <w:r w:rsidRPr="00223651">
              <w:rPr>
                <w:sz w:val="20"/>
                <w:szCs w:val="20"/>
              </w:rPr>
              <w:t> </w:t>
            </w:r>
          </w:p>
        </w:tc>
        <w:tc>
          <w:tcPr>
            <w:tcW w:w="748" w:type="dxa"/>
            <w:gridSpan w:val="2"/>
            <w:tcBorders>
              <w:top w:val="nil"/>
              <w:left w:val="nil"/>
              <w:bottom w:val="nil"/>
              <w:right w:val="nil"/>
            </w:tcBorders>
            <w:shd w:val="clear" w:color="auto" w:fill="auto"/>
            <w:noWrap/>
            <w:vAlign w:val="bottom"/>
            <w:hideMark/>
          </w:tcPr>
          <w:p w:rsidR="000524BB" w:rsidRPr="00223651" w:rsidRDefault="000524BB" w:rsidP="00726C31">
            <w:pPr>
              <w:rPr>
                <w:sz w:val="20"/>
                <w:szCs w:val="20"/>
              </w:rPr>
            </w:pPr>
          </w:p>
        </w:tc>
      </w:tr>
      <w:tr w:rsidR="000524BB" w:rsidRPr="00223651" w:rsidTr="00181DB5">
        <w:trPr>
          <w:trHeight w:val="374"/>
        </w:trPr>
        <w:tc>
          <w:tcPr>
            <w:tcW w:w="8379" w:type="dxa"/>
            <w:tcBorders>
              <w:top w:val="nil"/>
              <w:left w:val="nil"/>
              <w:bottom w:val="nil"/>
              <w:right w:val="nil"/>
            </w:tcBorders>
            <w:shd w:val="clear" w:color="auto" w:fill="auto"/>
            <w:noWrap/>
            <w:vAlign w:val="bottom"/>
            <w:hideMark/>
          </w:tcPr>
          <w:p w:rsidR="000524BB" w:rsidRPr="00223651" w:rsidRDefault="000524BB" w:rsidP="00DA0892">
            <w:pPr>
              <w:spacing w:before="240"/>
              <w:rPr>
                <w:sz w:val="20"/>
                <w:szCs w:val="20"/>
              </w:rPr>
            </w:pPr>
            <w:r w:rsidRPr="00223651">
              <w:rPr>
                <w:sz w:val="20"/>
                <w:szCs w:val="20"/>
              </w:rPr>
              <w:t>Podstawowe dane o przemyśle według kwartałów i sekcji (201</w:t>
            </w:r>
            <w:r w:rsidR="00DA0892">
              <w:rPr>
                <w:sz w:val="20"/>
                <w:szCs w:val="20"/>
              </w:rPr>
              <w:t>6</w:t>
            </w:r>
            <w:r w:rsidRPr="00223651">
              <w:rPr>
                <w:sz w:val="20"/>
                <w:szCs w:val="20"/>
              </w:rPr>
              <w:t>, 201</w:t>
            </w:r>
            <w:r w:rsidR="00DA0892">
              <w:rPr>
                <w:sz w:val="20"/>
                <w:szCs w:val="20"/>
              </w:rPr>
              <w:t>7</w:t>
            </w:r>
            <w:r w:rsidRPr="00223651">
              <w:rPr>
                <w:sz w:val="20"/>
                <w:szCs w:val="20"/>
              </w:rPr>
              <w:t>) ................................................</w:t>
            </w:r>
            <w:r>
              <w:rPr>
                <w:sz w:val="20"/>
                <w:szCs w:val="20"/>
              </w:rPr>
              <w:t>.</w:t>
            </w:r>
          </w:p>
        </w:tc>
        <w:tc>
          <w:tcPr>
            <w:tcW w:w="160" w:type="dxa"/>
            <w:tcBorders>
              <w:top w:val="nil"/>
              <w:left w:val="nil"/>
              <w:bottom w:val="nil"/>
              <w:right w:val="nil"/>
            </w:tcBorders>
            <w:shd w:val="clear" w:color="auto" w:fill="auto"/>
            <w:noWrap/>
            <w:vAlign w:val="bottom"/>
            <w:hideMark/>
          </w:tcPr>
          <w:p w:rsidR="000524BB" w:rsidRPr="00223651" w:rsidRDefault="000524BB" w:rsidP="00726C31">
            <w:pPr>
              <w:rPr>
                <w:sz w:val="20"/>
                <w:szCs w:val="20"/>
              </w:rPr>
            </w:pPr>
            <w:r w:rsidRPr="00223651">
              <w:rPr>
                <w:sz w:val="20"/>
                <w:szCs w:val="20"/>
              </w:rPr>
              <w:t xml:space="preserve"> </w:t>
            </w:r>
          </w:p>
        </w:tc>
        <w:tc>
          <w:tcPr>
            <w:tcW w:w="832" w:type="dxa"/>
            <w:tcBorders>
              <w:top w:val="nil"/>
              <w:left w:val="nil"/>
              <w:bottom w:val="nil"/>
              <w:right w:val="single" w:sz="4" w:space="0" w:color="auto"/>
            </w:tcBorders>
            <w:shd w:val="clear" w:color="auto" w:fill="auto"/>
            <w:noWrap/>
            <w:vAlign w:val="bottom"/>
            <w:hideMark/>
          </w:tcPr>
          <w:p w:rsidR="000524BB" w:rsidRPr="00223651" w:rsidRDefault="000524BB" w:rsidP="00726C31">
            <w:pPr>
              <w:jc w:val="center"/>
              <w:rPr>
                <w:sz w:val="20"/>
                <w:szCs w:val="20"/>
              </w:rPr>
            </w:pPr>
            <w:r w:rsidRPr="00223651">
              <w:rPr>
                <w:sz w:val="20"/>
                <w:szCs w:val="20"/>
              </w:rPr>
              <w:t>1</w:t>
            </w:r>
          </w:p>
        </w:tc>
        <w:tc>
          <w:tcPr>
            <w:tcW w:w="748" w:type="dxa"/>
            <w:gridSpan w:val="2"/>
            <w:tcBorders>
              <w:top w:val="nil"/>
              <w:left w:val="nil"/>
              <w:bottom w:val="nil"/>
              <w:right w:val="nil"/>
            </w:tcBorders>
            <w:shd w:val="clear" w:color="auto" w:fill="auto"/>
            <w:noWrap/>
            <w:vAlign w:val="bottom"/>
            <w:hideMark/>
          </w:tcPr>
          <w:p w:rsidR="000524BB" w:rsidRPr="00223651" w:rsidRDefault="00354153" w:rsidP="009F2A23">
            <w:pPr>
              <w:jc w:val="center"/>
              <w:rPr>
                <w:sz w:val="20"/>
                <w:szCs w:val="20"/>
              </w:rPr>
            </w:pPr>
            <w:r>
              <w:rPr>
                <w:sz w:val="20"/>
                <w:szCs w:val="20"/>
              </w:rPr>
              <w:t>1</w:t>
            </w:r>
            <w:r w:rsidR="009F2A23">
              <w:rPr>
                <w:sz w:val="20"/>
                <w:szCs w:val="20"/>
              </w:rPr>
              <w:t>7</w:t>
            </w:r>
          </w:p>
        </w:tc>
      </w:tr>
      <w:tr w:rsidR="000524BB" w:rsidRPr="001F7FE1" w:rsidTr="00726C31">
        <w:trPr>
          <w:trHeight w:val="252"/>
        </w:trPr>
        <w:tc>
          <w:tcPr>
            <w:tcW w:w="8379" w:type="dxa"/>
            <w:tcBorders>
              <w:top w:val="nil"/>
              <w:left w:val="nil"/>
              <w:bottom w:val="nil"/>
              <w:right w:val="nil"/>
            </w:tcBorders>
            <w:shd w:val="clear" w:color="auto" w:fill="auto"/>
            <w:noWrap/>
            <w:vAlign w:val="bottom"/>
            <w:hideMark/>
          </w:tcPr>
          <w:p w:rsidR="000524BB" w:rsidRPr="00223651" w:rsidRDefault="000524BB" w:rsidP="00595D6B">
            <w:pPr>
              <w:spacing w:before="60"/>
              <w:rPr>
                <w:i/>
                <w:iCs/>
                <w:sz w:val="20"/>
                <w:szCs w:val="20"/>
                <w:lang w:val="en-US"/>
              </w:rPr>
            </w:pPr>
            <w:r w:rsidRPr="00223651">
              <w:rPr>
                <w:i/>
                <w:iCs/>
                <w:sz w:val="20"/>
                <w:szCs w:val="20"/>
                <w:lang w:val="en-US"/>
              </w:rPr>
              <w:t>Basic data concerning industr</w:t>
            </w:r>
            <w:r w:rsidR="00DA0892">
              <w:rPr>
                <w:i/>
                <w:iCs/>
                <w:sz w:val="20"/>
                <w:szCs w:val="20"/>
                <w:lang w:val="en-US"/>
              </w:rPr>
              <w:t>y by quarters and sections (2016, 2017</w:t>
            </w:r>
            <w:r w:rsidRPr="00223651">
              <w:rPr>
                <w:i/>
                <w:iCs/>
                <w:sz w:val="20"/>
                <w:szCs w:val="20"/>
                <w:lang w:val="en-US"/>
              </w:rPr>
              <w:t>)</w:t>
            </w:r>
          </w:p>
        </w:tc>
        <w:tc>
          <w:tcPr>
            <w:tcW w:w="160" w:type="dxa"/>
            <w:tcBorders>
              <w:top w:val="nil"/>
              <w:left w:val="nil"/>
              <w:bottom w:val="nil"/>
              <w:right w:val="nil"/>
            </w:tcBorders>
            <w:shd w:val="clear" w:color="auto" w:fill="auto"/>
            <w:noWrap/>
            <w:vAlign w:val="bottom"/>
            <w:hideMark/>
          </w:tcPr>
          <w:p w:rsidR="000524BB" w:rsidRPr="00223651" w:rsidRDefault="000524BB" w:rsidP="00726C31">
            <w:pPr>
              <w:rPr>
                <w:sz w:val="20"/>
                <w:szCs w:val="20"/>
                <w:lang w:val="en-US"/>
              </w:rPr>
            </w:pPr>
          </w:p>
        </w:tc>
        <w:tc>
          <w:tcPr>
            <w:tcW w:w="832" w:type="dxa"/>
            <w:tcBorders>
              <w:top w:val="nil"/>
              <w:left w:val="nil"/>
              <w:bottom w:val="nil"/>
              <w:right w:val="single" w:sz="4" w:space="0" w:color="auto"/>
            </w:tcBorders>
            <w:shd w:val="clear" w:color="auto" w:fill="auto"/>
            <w:noWrap/>
            <w:vAlign w:val="bottom"/>
            <w:hideMark/>
          </w:tcPr>
          <w:p w:rsidR="000524BB" w:rsidRPr="00223651" w:rsidRDefault="000524BB" w:rsidP="00726C31">
            <w:pPr>
              <w:jc w:val="center"/>
              <w:rPr>
                <w:sz w:val="20"/>
                <w:szCs w:val="20"/>
                <w:lang w:val="en-US"/>
              </w:rPr>
            </w:pPr>
            <w:r w:rsidRPr="00223651">
              <w:rPr>
                <w:sz w:val="20"/>
                <w:szCs w:val="20"/>
                <w:lang w:val="en-US"/>
              </w:rPr>
              <w:t> </w:t>
            </w:r>
          </w:p>
        </w:tc>
        <w:tc>
          <w:tcPr>
            <w:tcW w:w="748" w:type="dxa"/>
            <w:gridSpan w:val="2"/>
            <w:tcBorders>
              <w:top w:val="nil"/>
              <w:left w:val="nil"/>
              <w:bottom w:val="nil"/>
              <w:right w:val="nil"/>
            </w:tcBorders>
            <w:shd w:val="clear" w:color="auto" w:fill="auto"/>
            <w:noWrap/>
            <w:vAlign w:val="bottom"/>
            <w:hideMark/>
          </w:tcPr>
          <w:p w:rsidR="000524BB" w:rsidRPr="00223651" w:rsidRDefault="000524BB" w:rsidP="00726C31">
            <w:pPr>
              <w:jc w:val="center"/>
              <w:rPr>
                <w:sz w:val="20"/>
                <w:szCs w:val="20"/>
                <w:lang w:val="en-US"/>
              </w:rPr>
            </w:pPr>
          </w:p>
        </w:tc>
      </w:tr>
      <w:tr w:rsidR="000524BB" w:rsidRPr="00223651" w:rsidTr="00726C31">
        <w:trPr>
          <w:trHeight w:val="252"/>
        </w:trPr>
        <w:tc>
          <w:tcPr>
            <w:tcW w:w="8379" w:type="dxa"/>
            <w:tcBorders>
              <w:top w:val="nil"/>
              <w:left w:val="nil"/>
              <w:bottom w:val="nil"/>
              <w:right w:val="nil"/>
            </w:tcBorders>
            <w:shd w:val="clear" w:color="auto" w:fill="auto"/>
            <w:noWrap/>
            <w:vAlign w:val="bottom"/>
            <w:hideMark/>
          </w:tcPr>
          <w:p w:rsidR="000524BB" w:rsidRPr="00223651" w:rsidRDefault="000524BB" w:rsidP="00595D6B">
            <w:pPr>
              <w:spacing w:before="60"/>
              <w:rPr>
                <w:sz w:val="20"/>
                <w:szCs w:val="20"/>
              </w:rPr>
            </w:pPr>
            <w:r w:rsidRPr="00223651">
              <w:rPr>
                <w:sz w:val="20"/>
                <w:szCs w:val="20"/>
              </w:rPr>
              <w:t>Relacje finansowe w przemyśle według kwartałów i sekcji (</w:t>
            </w:r>
            <w:r w:rsidR="00DA0892" w:rsidRPr="00DA0892">
              <w:rPr>
                <w:sz w:val="20"/>
                <w:szCs w:val="20"/>
              </w:rPr>
              <w:t>2016, 2017</w:t>
            </w:r>
            <w:r w:rsidRPr="00223651">
              <w:rPr>
                <w:sz w:val="20"/>
                <w:szCs w:val="20"/>
              </w:rPr>
              <w:t>).................................................</w:t>
            </w:r>
          </w:p>
        </w:tc>
        <w:tc>
          <w:tcPr>
            <w:tcW w:w="160" w:type="dxa"/>
            <w:tcBorders>
              <w:top w:val="nil"/>
              <w:left w:val="nil"/>
              <w:bottom w:val="nil"/>
              <w:right w:val="nil"/>
            </w:tcBorders>
            <w:shd w:val="clear" w:color="auto" w:fill="auto"/>
            <w:noWrap/>
            <w:vAlign w:val="bottom"/>
            <w:hideMark/>
          </w:tcPr>
          <w:p w:rsidR="000524BB" w:rsidRPr="00223651" w:rsidRDefault="000524BB" w:rsidP="00726C31">
            <w:pPr>
              <w:rPr>
                <w:sz w:val="20"/>
                <w:szCs w:val="20"/>
              </w:rPr>
            </w:pPr>
            <w:r w:rsidRPr="00223651">
              <w:rPr>
                <w:sz w:val="20"/>
                <w:szCs w:val="20"/>
              </w:rPr>
              <w:t xml:space="preserve"> </w:t>
            </w:r>
          </w:p>
        </w:tc>
        <w:tc>
          <w:tcPr>
            <w:tcW w:w="832" w:type="dxa"/>
            <w:tcBorders>
              <w:top w:val="nil"/>
              <w:left w:val="nil"/>
              <w:bottom w:val="nil"/>
              <w:right w:val="single" w:sz="4" w:space="0" w:color="auto"/>
            </w:tcBorders>
            <w:shd w:val="clear" w:color="auto" w:fill="auto"/>
            <w:noWrap/>
            <w:vAlign w:val="bottom"/>
            <w:hideMark/>
          </w:tcPr>
          <w:p w:rsidR="000524BB" w:rsidRPr="00223651" w:rsidRDefault="000524BB" w:rsidP="00726C31">
            <w:pPr>
              <w:jc w:val="center"/>
              <w:rPr>
                <w:sz w:val="20"/>
                <w:szCs w:val="20"/>
              </w:rPr>
            </w:pPr>
            <w:r w:rsidRPr="00223651">
              <w:rPr>
                <w:sz w:val="20"/>
                <w:szCs w:val="20"/>
              </w:rPr>
              <w:t>2</w:t>
            </w:r>
          </w:p>
        </w:tc>
        <w:tc>
          <w:tcPr>
            <w:tcW w:w="748" w:type="dxa"/>
            <w:gridSpan w:val="2"/>
            <w:tcBorders>
              <w:top w:val="nil"/>
              <w:left w:val="nil"/>
              <w:bottom w:val="nil"/>
              <w:right w:val="nil"/>
            </w:tcBorders>
            <w:shd w:val="clear" w:color="auto" w:fill="auto"/>
            <w:noWrap/>
            <w:vAlign w:val="bottom"/>
            <w:hideMark/>
          </w:tcPr>
          <w:p w:rsidR="000524BB" w:rsidRPr="00223651" w:rsidRDefault="00354153" w:rsidP="00286CD1">
            <w:pPr>
              <w:jc w:val="center"/>
              <w:rPr>
                <w:sz w:val="20"/>
                <w:szCs w:val="20"/>
              </w:rPr>
            </w:pPr>
            <w:r>
              <w:rPr>
                <w:sz w:val="20"/>
                <w:szCs w:val="20"/>
              </w:rPr>
              <w:t>2</w:t>
            </w:r>
            <w:r w:rsidR="009F2A23">
              <w:rPr>
                <w:sz w:val="20"/>
                <w:szCs w:val="20"/>
              </w:rPr>
              <w:t>0</w:t>
            </w:r>
          </w:p>
        </w:tc>
      </w:tr>
      <w:tr w:rsidR="000524BB" w:rsidRPr="001F7FE1" w:rsidTr="00726C31">
        <w:trPr>
          <w:trHeight w:val="252"/>
        </w:trPr>
        <w:tc>
          <w:tcPr>
            <w:tcW w:w="8379" w:type="dxa"/>
            <w:tcBorders>
              <w:top w:val="nil"/>
              <w:left w:val="nil"/>
              <w:bottom w:val="nil"/>
              <w:right w:val="nil"/>
            </w:tcBorders>
            <w:shd w:val="clear" w:color="auto" w:fill="auto"/>
            <w:noWrap/>
            <w:vAlign w:val="bottom"/>
            <w:hideMark/>
          </w:tcPr>
          <w:p w:rsidR="000524BB" w:rsidRPr="00223651" w:rsidRDefault="000524BB" w:rsidP="00595D6B">
            <w:pPr>
              <w:spacing w:before="60"/>
              <w:rPr>
                <w:i/>
                <w:iCs/>
                <w:sz w:val="20"/>
                <w:szCs w:val="20"/>
                <w:lang w:val="en-US"/>
              </w:rPr>
            </w:pPr>
            <w:r w:rsidRPr="00223651">
              <w:rPr>
                <w:i/>
                <w:iCs/>
                <w:sz w:val="20"/>
                <w:szCs w:val="20"/>
                <w:lang w:val="en-US"/>
              </w:rPr>
              <w:t>Financial relations in industry by quarters and sections (</w:t>
            </w:r>
            <w:r w:rsidR="00DA0892" w:rsidRPr="00DA0892">
              <w:rPr>
                <w:i/>
                <w:iCs/>
                <w:sz w:val="20"/>
                <w:szCs w:val="20"/>
                <w:lang w:val="en-US"/>
              </w:rPr>
              <w:t>2016, 2017</w:t>
            </w:r>
            <w:r w:rsidRPr="00223651">
              <w:rPr>
                <w:i/>
                <w:iCs/>
                <w:sz w:val="20"/>
                <w:szCs w:val="20"/>
                <w:lang w:val="en-US"/>
              </w:rPr>
              <w:t>)</w:t>
            </w:r>
          </w:p>
        </w:tc>
        <w:tc>
          <w:tcPr>
            <w:tcW w:w="160" w:type="dxa"/>
            <w:tcBorders>
              <w:top w:val="nil"/>
              <w:left w:val="nil"/>
              <w:bottom w:val="nil"/>
              <w:right w:val="nil"/>
            </w:tcBorders>
            <w:shd w:val="clear" w:color="auto" w:fill="auto"/>
            <w:noWrap/>
            <w:vAlign w:val="bottom"/>
            <w:hideMark/>
          </w:tcPr>
          <w:p w:rsidR="000524BB" w:rsidRPr="00223651" w:rsidRDefault="000524BB" w:rsidP="00726C31">
            <w:pPr>
              <w:rPr>
                <w:sz w:val="20"/>
                <w:szCs w:val="20"/>
                <w:lang w:val="en-US"/>
              </w:rPr>
            </w:pPr>
          </w:p>
        </w:tc>
        <w:tc>
          <w:tcPr>
            <w:tcW w:w="832" w:type="dxa"/>
            <w:tcBorders>
              <w:top w:val="nil"/>
              <w:left w:val="nil"/>
              <w:bottom w:val="nil"/>
              <w:right w:val="single" w:sz="4" w:space="0" w:color="auto"/>
            </w:tcBorders>
            <w:shd w:val="clear" w:color="auto" w:fill="auto"/>
            <w:noWrap/>
            <w:vAlign w:val="bottom"/>
            <w:hideMark/>
          </w:tcPr>
          <w:p w:rsidR="000524BB" w:rsidRPr="00223651" w:rsidRDefault="000524BB" w:rsidP="00726C31">
            <w:pPr>
              <w:jc w:val="center"/>
              <w:rPr>
                <w:sz w:val="20"/>
                <w:szCs w:val="20"/>
                <w:lang w:val="en-US"/>
              </w:rPr>
            </w:pPr>
            <w:r w:rsidRPr="00223651">
              <w:rPr>
                <w:sz w:val="20"/>
                <w:szCs w:val="20"/>
                <w:lang w:val="en-US"/>
              </w:rPr>
              <w:t> </w:t>
            </w:r>
          </w:p>
        </w:tc>
        <w:tc>
          <w:tcPr>
            <w:tcW w:w="748" w:type="dxa"/>
            <w:gridSpan w:val="2"/>
            <w:tcBorders>
              <w:top w:val="nil"/>
              <w:left w:val="nil"/>
              <w:bottom w:val="nil"/>
              <w:right w:val="nil"/>
            </w:tcBorders>
            <w:shd w:val="clear" w:color="auto" w:fill="auto"/>
            <w:noWrap/>
            <w:vAlign w:val="bottom"/>
            <w:hideMark/>
          </w:tcPr>
          <w:p w:rsidR="000524BB" w:rsidRPr="00223651" w:rsidRDefault="000524BB" w:rsidP="00726C31">
            <w:pPr>
              <w:jc w:val="center"/>
              <w:rPr>
                <w:sz w:val="20"/>
                <w:szCs w:val="20"/>
                <w:lang w:val="en-US"/>
              </w:rPr>
            </w:pPr>
          </w:p>
        </w:tc>
      </w:tr>
      <w:tr w:rsidR="00B2724F" w:rsidRPr="00B2724F" w:rsidTr="00726C31">
        <w:trPr>
          <w:trHeight w:val="252"/>
        </w:trPr>
        <w:tc>
          <w:tcPr>
            <w:tcW w:w="8379" w:type="dxa"/>
            <w:tcBorders>
              <w:top w:val="nil"/>
              <w:left w:val="nil"/>
              <w:bottom w:val="nil"/>
              <w:right w:val="nil"/>
            </w:tcBorders>
            <w:shd w:val="clear" w:color="auto" w:fill="auto"/>
            <w:noWrap/>
            <w:vAlign w:val="bottom"/>
            <w:hideMark/>
          </w:tcPr>
          <w:p w:rsidR="000524BB" w:rsidRPr="00223651" w:rsidRDefault="000524BB" w:rsidP="00595D6B">
            <w:pPr>
              <w:spacing w:before="60"/>
              <w:rPr>
                <w:sz w:val="20"/>
                <w:szCs w:val="20"/>
              </w:rPr>
            </w:pPr>
            <w:r w:rsidRPr="00223651">
              <w:rPr>
                <w:sz w:val="20"/>
                <w:szCs w:val="20"/>
              </w:rPr>
              <w:t>Nowe zamówienia w przemyśle (ceny bieżące) (</w:t>
            </w:r>
            <w:r w:rsidR="00DA0892" w:rsidRPr="00DA0892">
              <w:rPr>
                <w:sz w:val="20"/>
                <w:szCs w:val="20"/>
              </w:rPr>
              <w:t>2016, 2017</w:t>
            </w:r>
            <w:r w:rsidRPr="00223651">
              <w:rPr>
                <w:sz w:val="20"/>
                <w:szCs w:val="20"/>
              </w:rPr>
              <w:t>) ................................................................</w:t>
            </w:r>
            <w:r>
              <w:rPr>
                <w:sz w:val="20"/>
                <w:szCs w:val="20"/>
              </w:rPr>
              <w:t>.</w:t>
            </w:r>
            <w:r w:rsidRPr="00223651">
              <w:rPr>
                <w:sz w:val="20"/>
                <w:szCs w:val="20"/>
              </w:rPr>
              <w:t>.</w:t>
            </w:r>
          </w:p>
        </w:tc>
        <w:tc>
          <w:tcPr>
            <w:tcW w:w="160" w:type="dxa"/>
            <w:tcBorders>
              <w:top w:val="nil"/>
              <w:left w:val="nil"/>
              <w:bottom w:val="nil"/>
              <w:right w:val="nil"/>
            </w:tcBorders>
            <w:shd w:val="clear" w:color="auto" w:fill="auto"/>
            <w:noWrap/>
            <w:vAlign w:val="bottom"/>
            <w:hideMark/>
          </w:tcPr>
          <w:p w:rsidR="000524BB" w:rsidRPr="00223651" w:rsidRDefault="000524BB" w:rsidP="00726C31">
            <w:pPr>
              <w:rPr>
                <w:sz w:val="20"/>
                <w:szCs w:val="20"/>
              </w:rPr>
            </w:pPr>
          </w:p>
        </w:tc>
        <w:tc>
          <w:tcPr>
            <w:tcW w:w="832" w:type="dxa"/>
            <w:tcBorders>
              <w:top w:val="nil"/>
              <w:left w:val="nil"/>
              <w:bottom w:val="nil"/>
              <w:right w:val="single" w:sz="4" w:space="0" w:color="auto"/>
            </w:tcBorders>
            <w:shd w:val="clear" w:color="auto" w:fill="auto"/>
            <w:noWrap/>
            <w:vAlign w:val="bottom"/>
            <w:hideMark/>
          </w:tcPr>
          <w:p w:rsidR="000524BB" w:rsidRPr="00223651" w:rsidRDefault="000524BB" w:rsidP="00726C31">
            <w:pPr>
              <w:jc w:val="center"/>
              <w:rPr>
                <w:sz w:val="20"/>
                <w:szCs w:val="20"/>
              </w:rPr>
            </w:pPr>
            <w:r w:rsidRPr="00223651">
              <w:rPr>
                <w:sz w:val="20"/>
                <w:szCs w:val="20"/>
              </w:rPr>
              <w:t>3</w:t>
            </w:r>
          </w:p>
        </w:tc>
        <w:tc>
          <w:tcPr>
            <w:tcW w:w="748" w:type="dxa"/>
            <w:gridSpan w:val="2"/>
            <w:tcBorders>
              <w:top w:val="nil"/>
              <w:left w:val="nil"/>
              <w:bottom w:val="nil"/>
              <w:right w:val="nil"/>
            </w:tcBorders>
            <w:shd w:val="clear" w:color="auto" w:fill="auto"/>
            <w:noWrap/>
            <w:vAlign w:val="bottom"/>
            <w:hideMark/>
          </w:tcPr>
          <w:p w:rsidR="000524BB" w:rsidRPr="00B2724F" w:rsidRDefault="00354153" w:rsidP="009F2A23">
            <w:pPr>
              <w:jc w:val="center"/>
              <w:rPr>
                <w:sz w:val="20"/>
                <w:szCs w:val="20"/>
              </w:rPr>
            </w:pPr>
            <w:r>
              <w:rPr>
                <w:sz w:val="20"/>
                <w:szCs w:val="20"/>
              </w:rPr>
              <w:t>2</w:t>
            </w:r>
            <w:r w:rsidR="009F2A23">
              <w:rPr>
                <w:sz w:val="20"/>
                <w:szCs w:val="20"/>
              </w:rPr>
              <w:t>4</w:t>
            </w:r>
          </w:p>
        </w:tc>
      </w:tr>
      <w:tr w:rsidR="000524BB" w:rsidRPr="001F7FE1" w:rsidTr="00726C31">
        <w:trPr>
          <w:trHeight w:val="252"/>
        </w:trPr>
        <w:tc>
          <w:tcPr>
            <w:tcW w:w="8379" w:type="dxa"/>
            <w:tcBorders>
              <w:top w:val="nil"/>
              <w:left w:val="nil"/>
              <w:bottom w:val="nil"/>
              <w:right w:val="nil"/>
            </w:tcBorders>
            <w:shd w:val="clear" w:color="auto" w:fill="auto"/>
            <w:noWrap/>
            <w:vAlign w:val="bottom"/>
            <w:hideMark/>
          </w:tcPr>
          <w:p w:rsidR="000524BB" w:rsidRPr="00223651" w:rsidRDefault="000524BB" w:rsidP="00595D6B">
            <w:pPr>
              <w:spacing w:before="60"/>
              <w:rPr>
                <w:i/>
                <w:iCs/>
                <w:sz w:val="20"/>
                <w:szCs w:val="20"/>
                <w:lang w:val="en-US"/>
              </w:rPr>
            </w:pPr>
            <w:r w:rsidRPr="00223651">
              <w:rPr>
                <w:i/>
                <w:iCs/>
                <w:sz w:val="20"/>
                <w:szCs w:val="20"/>
                <w:lang w:val="en-US"/>
              </w:rPr>
              <w:t>New orders in industry (current prices) (</w:t>
            </w:r>
            <w:r w:rsidR="00DA0892" w:rsidRPr="00DA0892">
              <w:rPr>
                <w:i/>
                <w:iCs/>
                <w:sz w:val="20"/>
                <w:szCs w:val="20"/>
                <w:lang w:val="en-US"/>
              </w:rPr>
              <w:t>2016, 2017</w:t>
            </w:r>
            <w:r w:rsidRPr="00223651">
              <w:rPr>
                <w:i/>
                <w:iCs/>
                <w:sz w:val="20"/>
                <w:szCs w:val="20"/>
                <w:lang w:val="en-US"/>
              </w:rPr>
              <w:t>)</w:t>
            </w:r>
          </w:p>
        </w:tc>
        <w:tc>
          <w:tcPr>
            <w:tcW w:w="160" w:type="dxa"/>
            <w:tcBorders>
              <w:top w:val="nil"/>
              <w:left w:val="nil"/>
              <w:bottom w:val="nil"/>
              <w:right w:val="nil"/>
            </w:tcBorders>
            <w:shd w:val="clear" w:color="auto" w:fill="auto"/>
            <w:noWrap/>
            <w:vAlign w:val="bottom"/>
            <w:hideMark/>
          </w:tcPr>
          <w:p w:rsidR="000524BB" w:rsidRPr="00223651" w:rsidRDefault="000524BB" w:rsidP="00726C31">
            <w:pPr>
              <w:rPr>
                <w:sz w:val="20"/>
                <w:szCs w:val="20"/>
                <w:lang w:val="en-US"/>
              </w:rPr>
            </w:pPr>
          </w:p>
        </w:tc>
        <w:tc>
          <w:tcPr>
            <w:tcW w:w="832" w:type="dxa"/>
            <w:tcBorders>
              <w:top w:val="nil"/>
              <w:left w:val="nil"/>
              <w:bottom w:val="nil"/>
              <w:right w:val="single" w:sz="4" w:space="0" w:color="auto"/>
            </w:tcBorders>
            <w:shd w:val="clear" w:color="auto" w:fill="auto"/>
            <w:noWrap/>
            <w:vAlign w:val="bottom"/>
            <w:hideMark/>
          </w:tcPr>
          <w:p w:rsidR="000524BB" w:rsidRPr="00223651" w:rsidRDefault="000524BB" w:rsidP="00726C31">
            <w:pPr>
              <w:jc w:val="center"/>
              <w:rPr>
                <w:sz w:val="20"/>
                <w:szCs w:val="20"/>
                <w:lang w:val="en-US"/>
              </w:rPr>
            </w:pPr>
            <w:r w:rsidRPr="00223651">
              <w:rPr>
                <w:sz w:val="20"/>
                <w:szCs w:val="20"/>
                <w:lang w:val="en-US"/>
              </w:rPr>
              <w:t> </w:t>
            </w:r>
          </w:p>
        </w:tc>
        <w:tc>
          <w:tcPr>
            <w:tcW w:w="748" w:type="dxa"/>
            <w:gridSpan w:val="2"/>
            <w:tcBorders>
              <w:top w:val="nil"/>
              <w:left w:val="nil"/>
              <w:bottom w:val="nil"/>
              <w:right w:val="nil"/>
            </w:tcBorders>
            <w:shd w:val="clear" w:color="auto" w:fill="auto"/>
            <w:noWrap/>
            <w:vAlign w:val="bottom"/>
            <w:hideMark/>
          </w:tcPr>
          <w:p w:rsidR="000524BB" w:rsidRPr="00B2724F" w:rsidRDefault="000524BB" w:rsidP="00726C31">
            <w:pPr>
              <w:jc w:val="center"/>
              <w:rPr>
                <w:sz w:val="20"/>
                <w:szCs w:val="20"/>
                <w:lang w:val="en-US"/>
              </w:rPr>
            </w:pPr>
          </w:p>
        </w:tc>
      </w:tr>
      <w:tr w:rsidR="00B2724F" w:rsidRPr="00B2724F" w:rsidTr="00726C31">
        <w:trPr>
          <w:trHeight w:val="252"/>
        </w:trPr>
        <w:tc>
          <w:tcPr>
            <w:tcW w:w="8379" w:type="dxa"/>
            <w:tcBorders>
              <w:top w:val="nil"/>
              <w:left w:val="nil"/>
              <w:bottom w:val="nil"/>
              <w:right w:val="nil"/>
            </w:tcBorders>
            <w:shd w:val="clear" w:color="auto" w:fill="auto"/>
            <w:noWrap/>
            <w:vAlign w:val="bottom"/>
            <w:hideMark/>
          </w:tcPr>
          <w:p w:rsidR="000524BB" w:rsidRPr="00223651" w:rsidRDefault="000524BB" w:rsidP="00595D6B">
            <w:pPr>
              <w:spacing w:before="60"/>
              <w:rPr>
                <w:sz w:val="20"/>
                <w:szCs w:val="20"/>
              </w:rPr>
            </w:pPr>
            <w:r w:rsidRPr="00223651">
              <w:rPr>
                <w:sz w:val="20"/>
                <w:szCs w:val="20"/>
              </w:rPr>
              <w:t>Obrót w przemyśle (ceny bieżące) (</w:t>
            </w:r>
            <w:r w:rsidR="00DA0892" w:rsidRPr="00DA0892">
              <w:rPr>
                <w:sz w:val="20"/>
                <w:szCs w:val="20"/>
              </w:rPr>
              <w:t>2016, 2017</w:t>
            </w:r>
            <w:r w:rsidRPr="00223651">
              <w:rPr>
                <w:sz w:val="20"/>
                <w:szCs w:val="20"/>
              </w:rPr>
              <w:t>) .....................................................................................</w:t>
            </w:r>
            <w:r>
              <w:rPr>
                <w:sz w:val="20"/>
                <w:szCs w:val="20"/>
              </w:rPr>
              <w:t>.</w:t>
            </w:r>
            <w:r w:rsidRPr="00223651">
              <w:rPr>
                <w:sz w:val="20"/>
                <w:szCs w:val="20"/>
              </w:rPr>
              <w:t>.</w:t>
            </w:r>
          </w:p>
        </w:tc>
        <w:tc>
          <w:tcPr>
            <w:tcW w:w="160" w:type="dxa"/>
            <w:tcBorders>
              <w:top w:val="nil"/>
              <w:left w:val="nil"/>
              <w:bottom w:val="nil"/>
              <w:right w:val="nil"/>
            </w:tcBorders>
            <w:shd w:val="clear" w:color="auto" w:fill="auto"/>
            <w:noWrap/>
            <w:vAlign w:val="bottom"/>
            <w:hideMark/>
          </w:tcPr>
          <w:p w:rsidR="000524BB" w:rsidRPr="00223651" w:rsidRDefault="000524BB" w:rsidP="00726C31">
            <w:pPr>
              <w:rPr>
                <w:sz w:val="20"/>
                <w:szCs w:val="20"/>
              </w:rPr>
            </w:pPr>
          </w:p>
        </w:tc>
        <w:tc>
          <w:tcPr>
            <w:tcW w:w="832" w:type="dxa"/>
            <w:tcBorders>
              <w:top w:val="nil"/>
              <w:left w:val="nil"/>
              <w:bottom w:val="nil"/>
              <w:right w:val="single" w:sz="4" w:space="0" w:color="auto"/>
            </w:tcBorders>
            <w:shd w:val="clear" w:color="auto" w:fill="auto"/>
            <w:noWrap/>
            <w:vAlign w:val="bottom"/>
            <w:hideMark/>
          </w:tcPr>
          <w:p w:rsidR="000524BB" w:rsidRPr="00223651" w:rsidRDefault="00F744E2" w:rsidP="00726C31">
            <w:pPr>
              <w:jc w:val="center"/>
              <w:rPr>
                <w:sz w:val="20"/>
                <w:szCs w:val="20"/>
              </w:rPr>
            </w:pPr>
            <w:r>
              <w:rPr>
                <w:sz w:val="20"/>
                <w:szCs w:val="20"/>
              </w:rPr>
              <w:t>4</w:t>
            </w:r>
          </w:p>
        </w:tc>
        <w:tc>
          <w:tcPr>
            <w:tcW w:w="748" w:type="dxa"/>
            <w:gridSpan w:val="2"/>
            <w:tcBorders>
              <w:top w:val="nil"/>
              <w:left w:val="nil"/>
              <w:bottom w:val="nil"/>
              <w:right w:val="nil"/>
            </w:tcBorders>
            <w:shd w:val="clear" w:color="auto" w:fill="auto"/>
            <w:noWrap/>
            <w:vAlign w:val="bottom"/>
            <w:hideMark/>
          </w:tcPr>
          <w:p w:rsidR="000524BB" w:rsidRPr="00B2724F" w:rsidRDefault="00354153" w:rsidP="009F2A23">
            <w:pPr>
              <w:jc w:val="center"/>
              <w:rPr>
                <w:sz w:val="20"/>
                <w:szCs w:val="20"/>
              </w:rPr>
            </w:pPr>
            <w:r>
              <w:rPr>
                <w:sz w:val="20"/>
                <w:szCs w:val="20"/>
              </w:rPr>
              <w:t>2</w:t>
            </w:r>
            <w:r w:rsidR="009F2A23">
              <w:rPr>
                <w:sz w:val="20"/>
                <w:szCs w:val="20"/>
              </w:rPr>
              <w:t>5</w:t>
            </w:r>
          </w:p>
        </w:tc>
      </w:tr>
      <w:tr w:rsidR="000524BB" w:rsidRPr="001F7FE1" w:rsidTr="00726C31">
        <w:trPr>
          <w:trHeight w:val="252"/>
        </w:trPr>
        <w:tc>
          <w:tcPr>
            <w:tcW w:w="8379" w:type="dxa"/>
            <w:tcBorders>
              <w:top w:val="nil"/>
              <w:left w:val="nil"/>
              <w:bottom w:val="nil"/>
              <w:right w:val="nil"/>
            </w:tcBorders>
            <w:shd w:val="clear" w:color="auto" w:fill="auto"/>
            <w:noWrap/>
            <w:vAlign w:val="bottom"/>
            <w:hideMark/>
          </w:tcPr>
          <w:p w:rsidR="000524BB" w:rsidRPr="00223651" w:rsidRDefault="000524BB" w:rsidP="00595D6B">
            <w:pPr>
              <w:spacing w:before="60"/>
              <w:rPr>
                <w:i/>
                <w:iCs/>
                <w:sz w:val="20"/>
                <w:szCs w:val="20"/>
                <w:lang w:val="en-US"/>
              </w:rPr>
            </w:pPr>
            <w:r w:rsidRPr="00223651">
              <w:rPr>
                <w:i/>
                <w:iCs/>
                <w:sz w:val="20"/>
                <w:szCs w:val="20"/>
                <w:lang w:val="en-US"/>
              </w:rPr>
              <w:t>Turnover in industry (current prices) (</w:t>
            </w:r>
            <w:r w:rsidR="00DA0892" w:rsidRPr="00DA0892">
              <w:rPr>
                <w:i/>
                <w:iCs/>
                <w:sz w:val="20"/>
                <w:szCs w:val="20"/>
                <w:lang w:val="en-US"/>
              </w:rPr>
              <w:t>2016, 2017</w:t>
            </w:r>
            <w:r w:rsidRPr="00223651">
              <w:rPr>
                <w:i/>
                <w:iCs/>
                <w:sz w:val="20"/>
                <w:szCs w:val="20"/>
                <w:lang w:val="en-US"/>
              </w:rPr>
              <w:t>)</w:t>
            </w:r>
          </w:p>
        </w:tc>
        <w:tc>
          <w:tcPr>
            <w:tcW w:w="160" w:type="dxa"/>
            <w:tcBorders>
              <w:top w:val="nil"/>
              <w:left w:val="nil"/>
              <w:bottom w:val="nil"/>
              <w:right w:val="nil"/>
            </w:tcBorders>
            <w:shd w:val="clear" w:color="auto" w:fill="auto"/>
            <w:noWrap/>
            <w:vAlign w:val="bottom"/>
            <w:hideMark/>
          </w:tcPr>
          <w:p w:rsidR="000524BB" w:rsidRPr="00223651" w:rsidRDefault="000524BB" w:rsidP="00726C31">
            <w:pPr>
              <w:rPr>
                <w:sz w:val="20"/>
                <w:szCs w:val="20"/>
                <w:lang w:val="en-US"/>
              </w:rPr>
            </w:pPr>
          </w:p>
        </w:tc>
        <w:tc>
          <w:tcPr>
            <w:tcW w:w="832" w:type="dxa"/>
            <w:tcBorders>
              <w:top w:val="nil"/>
              <w:left w:val="nil"/>
              <w:bottom w:val="nil"/>
              <w:right w:val="single" w:sz="4" w:space="0" w:color="auto"/>
            </w:tcBorders>
            <w:shd w:val="clear" w:color="auto" w:fill="auto"/>
            <w:noWrap/>
            <w:vAlign w:val="bottom"/>
            <w:hideMark/>
          </w:tcPr>
          <w:p w:rsidR="000524BB" w:rsidRPr="00223651" w:rsidRDefault="000524BB" w:rsidP="00726C31">
            <w:pPr>
              <w:jc w:val="center"/>
              <w:rPr>
                <w:sz w:val="20"/>
                <w:szCs w:val="20"/>
                <w:lang w:val="en-US"/>
              </w:rPr>
            </w:pPr>
            <w:r w:rsidRPr="00223651">
              <w:rPr>
                <w:sz w:val="20"/>
                <w:szCs w:val="20"/>
                <w:lang w:val="en-US"/>
              </w:rPr>
              <w:t> </w:t>
            </w:r>
          </w:p>
        </w:tc>
        <w:tc>
          <w:tcPr>
            <w:tcW w:w="748" w:type="dxa"/>
            <w:gridSpan w:val="2"/>
            <w:tcBorders>
              <w:top w:val="nil"/>
              <w:left w:val="nil"/>
              <w:bottom w:val="nil"/>
              <w:right w:val="nil"/>
            </w:tcBorders>
            <w:shd w:val="clear" w:color="auto" w:fill="auto"/>
            <w:noWrap/>
            <w:vAlign w:val="bottom"/>
            <w:hideMark/>
          </w:tcPr>
          <w:p w:rsidR="000524BB" w:rsidRPr="00B2724F" w:rsidRDefault="000524BB" w:rsidP="00726C31">
            <w:pPr>
              <w:jc w:val="center"/>
              <w:rPr>
                <w:sz w:val="20"/>
                <w:szCs w:val="20"/>
                <w:lang w:val="en-US"/>
              </w:rPr>
            </w:pPr>
          </w:p>
        </w:tc>
      </w:tr>
      <w:tr w:rsidR="00B2724F" w:rsidRPr="00B2724F" w:rsidTr="00726C31">
        <w:trPr>
          <w:trHeight w:val="252"/>
        </w:trPr>
        <w:tc>
          <w:tcPr>
            <w:tcW w:w="8379" w:type="dxa"/>
            <w:tcBorders>
              <w:top w:val="nil"/>
              <w:left w:val="nil"/>
              <w:bottom w:val="nil"/>
              <w:right w:val="nil"/>
            </w:tcBorders>
            <w:shd w:val="clear" w:color="auto" w:fill="auto"/>
            <w:noWrap/>
            <w:vAlign w:val="bottom"/>
            <w:hideMark/>
          </w:tcPr>
          <w:p w:rsidR="000524BB" w:rsidRPr="00223651" w:rsidRDefault="000524BB" w:rsidP="00595D6B">
            <w:pPr>
              <w:spacing w:before="60"/>
              <w:rPr>
                <w:sz w:val="20"/>
                <w:szCs w:val="20"/>
              </w:rPr>
            </w:pPr>
            <w:r w:rsidRPr="00223651">
              <w:rPr>
                <w:sz w:val="20"/>
                <w:szCs w:val="20"/>
              </w:rPr>
              <w:t>Podstawowe dane o przemyśle według miesięcy (</w:t>
            </w:r>
            <w:r w:rsidR="00DA0892" w:rsidRPr="00DA0892">
              <w:rPr>
                <w:sz w:val="20"/>
                <w:szCs w:val="20"/>
              </w:rPr>
              <w:t>2016, 2017</w:t>
            </w:r>
            <w:r w:rsidRPr="00223651">
              <w:rPr>
                <w:sz w:val="20"/>
                <w:szCs w:val="20"/>
              </w:rPr>
              <w:t>) ...............................................................</w:t>
            </w:r>
            <w:r>
              <w:rPr>
                <w:sz w:val="20"/>
                <w:szCs w:val="20"/>
              </w:rPr>
              <w:t>.</w:t>
            </w:r>
          </w:p>
        </w:tc>
        <w:tc>
          <w:tcPr>
            <w:tcW w:w="160" w:type="dxa"/>
            <w:tcBorders>
              <w:top w:val="nil"/>
              <w:left w:val="nil"/>
              <w:bottom w:val="nil"/>
              <w:right w:val="nil"/>
            </w:tcBorders>
            <w:shd w:val="clear" w:color="auto" w:fill="auto"/>
            <w:noWrap/>
            <w:vAlign w:val="bottom"/>
            <w:hideMark/>
          </w:tcPr>
          <w:p w:rsidR="000524BB" w:rsidRPr="00223651" w:rsidRDefault="000524BB" w:rsidP="00726C31">
            <w:pPr>
              <w:rPr>
                <w:sz w:val="20"/>
                <w:szCs w:val="20"/>
              </w:rPr>
            </w:pPr>
          </w:p>
        </w:tc>
        <w:tc>
          <w:tcPr>
            <w:tcW w:w="832" w:type="dxa"/>
            <w:tcBorders>
              <w:top w:val="nil"/>
              <w:left w:val="nil"/>
              <w:bottom w:val="nil"/>
              <w:right w:val="single" w:sz="4" w:space="0" w:color="auto"/>
            </w:tcBorders>
            <w:shd w:val="clear" w:color="auto" w:fill="auto"/>
            <w:noWrap/>
            <w:vAlign w:val="bottom"/>
            <w:hideMark/>
          </w:tcPr>
          <w:p w:rsidR="000524BB" w:rsidRPr="00223651" w:rsidRDefault="00F744E2" w:rsidP="00726C31">
            <w:pPr>
              <w:jc w:val="center"/>
              <w:rPr>
                <w:sz w:val="20"/>
                <w:szCs w:val="20"/>
              </w:rPr>
            </w:pPr>
            <w:r>
              <w:rPr>
                <w:sz w:val="20"/>
                <w:szCs w:val="20"/>
              </w:rPr>
              <w:t>5</w:t>
            </w:r>
          </w:p>
        </w:tc>
        <w:tc>
          <w:tcPr>
            <w:tcW w:w="748" w:type="dxa"/>
            <w:gridSpan w:val="2"/>
            <w:tcBorders>
              <w:top w:val="nil"/>
              <w:left w:val="nil"/>
              <w:bottom w:val="nil"/>
              <w:right w:val="nil"/>
            </w:tcBorders>
            <w:shd w:val="clear" w:color="auto" w:fill="auto"/>
            <w:noWrap/>
            <w:vAlign w:val="bottom"/>
            <w:hideMark/>
          </w:tcPr>
          <w:p w:rsidR="000524BB" w:rsidRPr="00B2724F" w:rsidRDefault="00354153" w:rsidP="009F2A23">
            <w:pPr>
              <w:jc w:val="center"/>
              <w:rPr>
                <w:sz w:val="20"/>
                <w:szCs w:val="20"/>
              </w:rPr>
            </w:pPr>
            <w:r>
              <w:rPr>
                <w:sz w:val="20"/>
                <w:szCs w:val="20"/>
              </w:rPr>
              <w:t>2</w:t>
            </w:r>
            <w:r w:rsidR="009F2A23">
              <w:rPr>
                <w:sz w:val="20"/>
                <w:szCs w:val="20"/>
              </w:rPr>
              <w:t>6</w:t>
            </w:r>
          </w:p>
        </w:tc>
      </w:tr>
      <w:tr w:rsidR="000524BB" w:rsidRPr="001F7FE1" w:rsidTr="00726C31">
        <w:trPr>
          <w:trHeight w:val="252"/>
        </w:trPr>
        <w:tc>
          <w:tcPr>
            <w:tcW w:w="8379" w:type="dxa"/>
            <w:tcBorders>
              <w:top w:val="nil"/>
              <w:left w:val="nil"/>
              <w:bottom w:val="nil"/>
              <w:right w:val="nil"/>
            </w:tcBorders>
            <w:shd w:val="clear" w:color="auto" w:fill="auto"/>
            <w:noWrap/>
            <w:vAlign w:val="bottom"/>
            <w:hideMark/>
          </w:tcPr>
          <w:p w:rsidR="000524BB" w:rsidRPr="00223651" w:rsidRDefault="000524BB" w:rsidP="00595D6B">
            <w:pPr>
              <w:spacing w:before="60"/>
              <w:rPr>
                <w:i/>
                <w:iCs/>
                <w:sz w:val="20"/>
                <w:szCs w:val="20"/>
                <w:lang w:val="en-US"/>
              </w:rPr>
            </w:pPr>
            <w:r w:rsidRPr="00223651">
              <w:rPr>
                <w:i/>
                <w:iCs/>
                <w:sz w:val="20"/>
                <w:szCs w:val="20"/>
                <w:lang w:val="en-US"/>
              </w:rPr>
              <w:t>Basic data concerning industry by months (</w:t>
            </w:r>
            <w:r w:rsidR="00DA0892" w:rsidRPr="00DA0892">
              <w:rPr>
                <w:i/>
                <w:iCs/>
                <w:sz w:val="20"/>
                <w:szCs w:val="20"/>
                <w:lang w:val="en-US"/>
              </w:rPr>
              <w:t>2016, 2017</w:t>
            </w:r>
            <w:r w:rsidRPr="00223651">
              <w:rPr>
                <w:i/>
                <w:iCs/>
                <w:sz w:val="20"/>
                <w:szCs w:val="20"/>
                <w:lang w:val="en-US"/>
              </w:rPr>
              <w:t>)</w:t>
            </w:r>
          </w:p>
        </w:tc>
        <w:tc>
          <w:tcPr>
            <w:tcW w:w="160" w:type="dxa"/>
            <w:tcBorders>
              <w:top w:val="nil"/>
              <w:left w:val="nil"/>
              <w:bottom w:val="nil"/>
              <w:right w:val="nil"/>
            </w:tcBorders>
            <w:shd w:val="clear" w:color="auto" w:fill="auto"/>
            <w:noWrap/>
            <w:vAlign w:val="bottom"/>
            <w:hideMark/>
          </w:tcPr>
          <w:p w:rsidR="000524BB" w:rsidRPr="00223651" w:rsidRDefault="000524BB" w:rsidP="00726C31">
            <w:pPr>
              <w:rPr>
                <w:sz w:val="20"/>
                <w:szCs w:val="20"/>
                <w:lang w:val="en-US"/>
              </w:rPr>
            </w:pPr>
          </w:p>
        </w:tc>
        <w:tc>
          <w:tcPr>
            <w:tcW w:w="832" w:type="dxa"/>
            <w:tcBorders>
              <w:top w:val="nil"/>
              <w:left w:val="nil"/>
              <w:bottom w:val="nil"/>
              <w:right w:val="single" w:sz="4" w:space="0" w:color="auto"/>
            </w:tcBorders>
            <w:shd w:val="clear" w:color="auto" w:fill="auto"/>
            <w:noWrap/>
            <w:vAlign w:val="bottom"/>
            <w:hideMark/>
          </w:tcPr>
          <w:p w:rsidR="000524BB" w:rsidRPr="00223651" w:rsidRDefault="000524BB" w:rsidP="00726C31">
            <w:pPr>
              <w:jc w:val="center"/>
              <w:rPr>
                <w:sz w:val="20"/>
                <w:szCs w:val="20"/>
                <w:lang w:val="en-US"/>
              </w:rPr>
            </w:pPr>
            <w:r w:rsidRPr="00223651">
              <w:rPr>
                <w:sz w:val="20"/>
                <w:szCs w:val="20"/>
                <w:lang w:val="en-US"/>
              </w:rPr>
              <w:t> </w:t>
            </w:r>
          </w:p>
        </w:tc>
        <w:tc>
          <w:tcPr>
            <w:tcW w:w="748" w:type="dxa"/>
            <w:gridSpan w:val="2"/>
            <w:tcBorders>
              <w:top w:val="nil"/>
              <w:left w:val="nil"/>
              <w:bottom w:val="nil"/>
              <w:right w:val="nil"/>
            </w:tcBorders>
            <w:shd w:val="clear" w:color="auto" w:fill="auto"/>
            <w:noWrap/>
            <w:vAlign w:val="bottom"/>
            <w:hideMark/>
          </w:tcPr>
          <w:p w:rsidR="000524BB" w:rsidRPr="00B2724F" w:rsidRDefault="000524BB" w:rsidP="00726C31">
            <w:pPr>
              <w:jc w:val="center"/>
              <w:rPr>
                <w:sz w:val="20"/>
                <w:szCs w:val="20"/>
                <w:lang w:val="en-US"/>
              </w:rPr>
            </w:pPr>
          </w:p>
        </w:tc>
      </w:tr>
      <w:tr w:rsidR="00B2724F" w:rsidRPr="00B2724F" w:rsidTr="00726C31">
        <w:trPr>
          <w:trHeight w:val="252"/>
        </w:trPr>
        <w:tc>
          <w:tcPr>
            <w:tcW w:w="8379" w:type="dxa"/>
            <w:tcBorders>
              <w:top w:val="nil"/>
              <w:left w:val="nil"/>
              <w:bottom w:val="nil"/>
              <w:right w:val="nil"/>
            </w:tcBorders>
            <w:shd w:val="clear" w:color="auto" w:fill="auto"/>
            <w:noWrap/>
            <w:vAlign w:val="bottom"/>
            <w:hideMark/>
          </w:tcPr>
          <w:p w:rsidR="000524BB" w:rsidRPr="00223651" w:rsidRDefault="000524BB" w:rsidP="00595D6B">
            <w:pPr>
              <w:spacing w:before="60"/>
              <w:rPr>
                <w:sz w:val="20"/>
                <w:szCs w:val="20"/>
              </w:rPr>
            </w:pPr>
            <w:r w:rsidRPr="00223651">
              <w:rPr>
                <w:sz w:val="20"/>
                <w:szCs w:val="20"/>
              </w:rPr>
              <w:t>Produkcja ważniejszych wyrobów według miesięcy (</w:t>
            </w:r>
            <w:r w:rsidR="00DA0892" w:rsidRPr="00DA0892">
              <w:rPr>
                <w:sz w:val="20"/>
                <w:szCs w:val="20"/>
              </w:rPr>
              <w:t>2016, 2017</w:t>
            </w:r>
            <w:r w:rsidRPr="00223651">
              <w:rPr>
                <w:sz w:val="20"/>
                <w:szCs w:val="20"/>
              </w:rPr>
              <w:t>)...........................................................</w:t>
            </w:r>
            <w:r>
              <w:rPr>
                <w:sz w:val="20"/>
                <w:szCs w:val="20"/>
              </w:rPr>
              <w:t>.</w:t>
            </w:r>
          </w:p>
        </w:tc>
        <w:tc>
          <w:tcPr>
            <w:tcW w:w="160" w:type="dxa"/>
            <w:tcBorders>
              <w:top w:val="nil"/>
              <w:left w:val="nil"/>
              <w:bottom w:val="nil"/>
              <w:right w:val="nil"/>
            </w:tcBorders>
            <w:shd w:val="clear" w:color="auto" w:fill="auto"/>
            <w:noWrap/>
            <w:vAlign w:val="bottom"/>
            <w:hideMark/>
          </w:tcPr>
          <w:p w:rsidR="000524BB" w:rsidRPr="00223651" w:rsidRDefault="000524BB" w:rsidP="00726C31">
            <w:pPr>
              <w:rPr>
                <w:sz w:val="20"/>
                <w:szCs w:val="20"/>
              </w:rPr>
            </w:pPr>
          </w:p>
        </w:tc>
        <w:tc>
          <w:tcPr>
            <w:tcW w:w="832" w:type="dxa"/>
            <w:tcBorders>
              <w:top w:val="nil"/>
              <w:left w:val="nil"/>
              <w:bottom w:val="nil"/>
              <w:right w:val="single" w:sz="4" w:space="0" w:color="auto"/>
            </w:tcBorders>
            <w:shd w:val="clear" w:color="auto" w:fill="auto"/>
            <w:noWrap/>
            <w:vAlign w:val="bottom"/>
            <w:hideMark/>
          </w:tcPr>
          <w:p w:rsidR="000524BB" w:rsidRPr="00223651" w:rsidRDefault="00F744E2" w:rsidP="00726C31">
            <w:pPr>
              <w:jc w:val="center"/>
              <w:rPr>
                <w:sz w:val="20"/>
                <w:szCs w:val="20"/>
              </w:rPr>
            </w:pPr>
            <w:r>
              <w:rPr>
                <w:sz w:val="20"/>
                <w:szCs w:val="20"/>
              </w:rPr>
              <w:t>6</w:t>
            </w:r>
          </w:p>
        </w:tc>
        <w:tc>
          <w:tcPr>
            <w:tcW w:w="748" w:type="dxa"/>
            <w:gridSpan w:val="2"/>
            <w:tcBorders>
              <w:top w:val="nil"/>
              <w:left w:val="nil"/>
              <w:bottom w:val="nil"/>
              <w:right w:val="nil"/>
            </w:tcBorders>
            <w:shd w:val="clear" w:color="auto" w:fill="auto"/>
            <w:noWrap/>
            <w:vAlign w:val="bottom"/>
            <w:hideMark/>
          </w:tcPr>
          <w:p w:rsidR="000524BB" w:rsidRPr="00B2724F" w:rsidRDefault="00354153" w:rsidP="009F2A23">
            <w:pPr>
              <w:jc w:val="center"/>
              <w:rPr>
                <w:sz w:val="20"/>
                <w:szCs w:val="20"/>
              </w:rPr>
            </w:pPr>
            <w:r>
              <w:rPr>
                <w:sz w:val="20"/>
                <w:szCs w:val="20"/>
              </w:rPr>
              <w:t>3</w:t>
            </w:r>
            <w:r w:rsidR="009F2A23">
              <w:rPr>
                <w:sz w:val="20"/>
                <w:szCs w:val="20"/>
              </w:rPr>
              <w:t>6</w:t>
            </w:r>
          </w:p>
        </w:tc>
      </w:tr>
      <w:tr w:rsidR="000524BB" w:rsidRPr="001F7FE1" w:rsidTr="00726C31">
        <w:trPr>
          <w:trHeight w:val="252"/>
        </w:trPr>
        <w:tc>
          <w:tcPr>
            <w:tcW w:w="8379" w:type="dxa"/>
            <w:tcBorders>
              <w:top w:val="nil"/>
              <w:left w:val="nil"/>
              <w:bottom w:val="nil"/>
              <w:right w:val="nil"/>
            </w:tcBorders>
            <w:shd w:val="clear" w:color="auto" w:fill="auto"/>
            <w:noWrap/>
            <w:vAlign w:val="bottom"/>
            <w:hideMark/>
          </w:tcPr>
          <w:p w:rsidR="000524BB" w:rsidRPr="00223651" w:rsidRDefault="000524BB" w:rsidP="00595D6B">
            <w:pPr>
              <w:spacing w:before="60"/>
              <w:rPr>
                <w:i/>
                <w:iCs/>
                <w:sz w:val="20"/>
                <w:szCs w:val="20"/>
                <w:lang w:val="en-US"/>
              </w:rPr>
            </w:pPr>
            <w:r w:rsidRPr="00223651">
              <w:rPr>
                <w:i/>
                <w:iCs/>
                <w:sz w:val="20"/>
                <w:szCs w:val="20"/>
                <w:lang w:val="en-US"/>
              </w:rPr>
              <w:t>Production of major products by months (</w:t>
            </w:r>
            <w:r w:rsidR="00DA0892" w:rsidRPr="00DA0892">
              <w:rPr>
                <w:i/>
                <w:iCs/>
                <w:sz w:val="20"/>
                <w:szCs w:val="20"/>
                <w:lang w:val="en-US"/>
              </w:rPr>
              <w:t>2016, 2017</w:t>
            </w:r>
            <w:r w:rsidRPr="00223651">
              <w:rPr>
                <w:i/>
                <w:iCs/>
                <w:sz w:val="20"/>
                <w:szCs w:val="20"/>
                <w:lang w:val="en-US"/>
              </w:rPr>
              <w:t>)</w:t>
            </w:r>
          </w:p>
        </w:tc>
        <w:tc>
          <w:tcPr>
            <w:tcW w:w="160" w:type="dxa"/>
            <w:tcBorders>
              <w:top w:val="nil"/>
              <w:left w:val="nil"/>
              <w:bottom w:val="nil"/>
              <w:right w:val="nil"/>
            </w:tcBorders>
            <w:shd w:val="clear" w:color="auto" w:fill="auto"/>
            <w:noWrap/>
            <w:vAlign w:val="bottom"/>
            <w:hideMark/>
          </w:tcPr>
          <w:p w:rsidR="000524BB" w:rsidRPr="00223651" w:rsidRDefault="000524BB" w:rsidP="00726C31">
            <w:pPr>
              <w:rPr>
                <w:sz w:val="20"/>
                <w:szCs w:val="20"/>
                <w:lang w:val="en-US"/>
              </w:rPr>
            </w:pPr>
          </w:p>
        </w:tc>
        <w:tc>
          <w:tcPr>
            <w:tcW w:w="832" w:type="dxa"/>
            <w:tcBorders>
              <w:top w:val="nil"/>
              <w:left w:val="nil"/>
              <w:bottom w:val="nil"/>
              <w:right w:val="single" w:sz="4" w:space="0" w:color="auto"/>
            </w:tcBorders>
            <w:shd w:val="clear" w:color="auto" w:fill="auto"/>
            <w:noWrap/>
            <w:vAlign w:val="bottom"/>
            <w:hideMark/>
          </w:tcPr>
          <w:p w:rsidR="000524BB" w:rsidRPr="00223651" w:rsidRDefault="000524BB" w:rsidP="00726C31">
            <w:pPr>
              <w:jc w:val="center"/>
              <w:rPr>
                <w:sz w:val="20"/>
                <w:szCs w:val="20"/>
                <w:lang w:val="en-US"/>
              </w:rPr>
            </w:pPr>
            <w:r w:rsidRPr="00223651">
              <w:rPr>
                <w:sz w:val="20"/>
                <w:szCs w:val="20"/>
                <w:lang w:val="en-US"/>
              </w:rPr>
              <w:t> </w:t>
            </w:r>
          </w:p>
        </w:tc>
        <w:tc>
          <w:tcPr>
            <w:tcW w:w="748" w:type="dxa"/>
            <w:gridSpan w:val="2"/>
            <w:tcBorders>
              <w:top w:val="nil"/>
              <w:left w:val="nil"/>
              <w:bottom w:val="nil"/>
              <w:right w:val="nil"/>
            </w:tcBorders>
            <w:shd w:val="clear" w:color="auto" w:fill="auto"/>
            <w:noWrap/>
            <w:vAlign w:val="bottom"/>
            <w:hideMark/>
          </w:tcPr>
          <w:p w:rsidR="000524BB" w:rsidRPr="00B2724F" w:rsidRDefault="000524BB" w:rsidP="00726C31">
            <w:pPr>
              <w:jc w:val="center"/>
              <w:rPr>
                <w:sz w:val="20"/>
                <w:szCs w:val="20"/>
                <w:lang w:val="en-US"/>
              </w:rPr>
            </w:pPr>
          </w:p>
        </w:tc>
      </w:tr>
      <w:tr w:rsidR="00B2724F" w:rsidRPr="00B2724F" w:rsidTr="00726C31">
        <w:trPr>
          <w:trHeight w:val="252"/>
        </w:trPr>
        <w:tc>
          <w:tcPr>
            <w:tcW w:w="8379" w:type="dxa"/>
            <w:tcBorders>
              <w:top w:val="nil"/>
              <w:left w:val="nil"/>
              <w:bottom w:val="nil"/>
              <w:right w:val="nil"/>
            </w:tcBorders>
            <w:shd w:val="clear" w:color="auto" w:fill="auto"/>
            <w:noWrap/>
            <w:vAlign w:val="bottom"/>
            <w:hideMark/>
          </w:tcPr>
          <w:p w:rsidR="000524BB" w:rsidRPr="00223651" w:rsidRDefault="000524BB" w:rsidP="00DA0892">
            <w:pPr>
              <w:spacing w:before="60"/>
              <w:rPr>
                <w:sz w:val="20"/>
                <w:szCs w:val="20"/>
              </w:rPr>
            </w:pPr>
            <w:r w:rsidRPr="00223651">
              <w:rPr>
                <w:sz w:val="20"/>
                <w:szCs w:val="20"/>
              </w:rPr>
              <w:t>P</w:t>
            </w:r>
            <w:r w:rsidR="00CE6DFA">
              <w:rPr>
                <w:sz w:val="20"/>
                <w:szCs w:val="20"/>
              </w:rPr>
              <w:t xml:space="preserve">rodukcja ważniejszych wyrobów w </w:t>
            </w:r>
            <w:r w:rsidR="00DA0892">
              <w:rPr>
                <w:sz w:val="20"/>
                <w:szCs w:val="20"/>
              </w:rPr>
              <w:t>I</w:t>
            </w:r>
            <w:r w:rsidR="00052699">
              <w:rPr>
                <w:sz w:val="20"/>
                <w:szCs w:val="20"/>
              </w:rPr>
              <w:t>-II</w:t>
            </w:r>
            <w:r w:rsidR="00DA0892">
              <w:rPr>
                <w:sz w:val="20"/>
                <w:szCs w:val="20"/>
              </w:rPr>
              <w:t xml:space="preserve"> kwartale </w:t>
            </w:r>
            <w:r w:rsidRPr="00223651">
              <w:rPr>
                <w:sz w:val="20"/>
                <w:szCs w:val="20"/>
              </w:rPr>
              <w:t>201</w:t>
            </w:r>
            <w:r w:rsidR="00DA0892">
              <w:rPr>
                <w:sz w:val="20"/>
                <w:szCs w:val="20"/>
              </w:rPr>
              <w:t>7</w:t>
            </w:r>
            <w:r w:rsidRPr="00223651">
              <w:rPr>
                <w:sz w:val="20"/>
                <w:szCs w:val="20"/>
              </w:rPr>
              <w:t xml:space="preserve"> r. ......................................</w:t>
            </w:r>
            <w:r w:rsidR="00A309B2">
              <w:rPr>
                <w:sz w:val="20"/>
                <w:szCs w:val="20"/>
              </w:rPr>
              <w:t>......................</w:t>
            </w:r>
            <w:r w:rsidRPr="00223651">
              <w:rPr>
                <w:sz w:val="20"/>
                <w:szCs w:val="20"/>
              </w:rPr>
              <w:t>..........</w:t>
            </w:r>
            <w:r w:rsidR="00DA0892">
              <w:rPr>
                <w:sz w:val="20"/>
                <w:szCs w:val="20"/>
              </w:rPr>
              <w:t>.</w:t>
            </w:r>
          </w:p>
        </w:tc>
        <w:tc>
          <w:tcPr>
            <w:tcW w:w="160" w:type="dxa"/>
            <w:tcBorders>
              <w:top w:val="nil"/>
              <w:left w:val="nil"/>
              <w:bottom w:val="nil"/>
              <w:right w:val="nil"/>
            </w:tcBorders>
            <w:shd w:val="clear" w:color="auto" w:fill="auto"/>
            <w:noWrap/>
            <w:vAlign w:val="bottom"/>
            <w:hideMark/>
          </w:tcPr>
          <w:p w:rsidR="000524BB" w:rsidRPr="00223651" w:rsidRDefault="000524BB" w:rsidP="00726C31">
            <w:pPr>
              <w:rPr>
                <w:sz w:val="20"/>
                <w:szCs w:val="20"/>
              </w:rPr>
            </w:pPr>
            <w:r w:rsidRPr="00223651">
              <w:rPr>
                <w:sz w:val="20"/>
                <w:szCs w:val="20"/>
              </w:rPr>
              <w:t xml:space="preserve"> </w:t>
            </w:r>
          </w:p>
        </w:tc>
        <w:tc>
          <w:tcPr>
            <w:tcW w:w="832" w:type="dxa"/>
            <w:tcBorders>
              <w:top w:val="nil"/>
              <w:left w:val="nil"/>
              <w:bottom w:val="nil"/>
              <w:right w:val="single" w:sz="4" w:space="0" w:color="auto"/>
            </w:tcBorders>
            <w:shd w:val="clear" w:color="auto" w:fill="auto"/>
            <w:noWrap/>
            <w:vAlign w:val="bottom"/>
            <w:hideMark/>
          </w:tcPr>
          <w:p w:rsidR="000524BB" w:rsidRPr="00223651" w:rsidRDefault="00F744E2" w:rsidP="00726C31">
            <w:pPr>
              <w:jc w:val="center"/>
              <w:rPr>
                <w:sz w:val="20"/>
                <w:szCs w:val="20"/>
              </w:rPr>
            </w:pPr>
            <w:r>
              <w:rPr>
                <w:sz w:val="20"/>
                <w:szCs w:val="20"/>
              </w:rPr>
              <w:t>7</w:t>
            </w:r>
          </w:p>
        </w:tc>
        <w:tc>
          <w:tcPr>
            <w:tcW w:w="748" w:type="dxa"/>
            <w:gridSpan w:val="2"/>
            <w:tcBorders>
              <w:top w:val="nil"/>
              <w:left w:val="nil"/>
              <w:bottom w:val="nil"/>
              <w:right w:val="nil"/>
            </w:tcBorders>
            <w:shd w:val="clear" w:color="auto" w:fill="auto"/>
            <w:noWrap/>
            <w:vAlign w:val="bottom"/>
            <w:hideMark/>
          </w:tcPr>
          <w:p w:rsidR="000524BB" w:rsidRPr="00B2724F" w:rsidRDefault="00354153" w:rsidP="009F2A23">
            <w:pPr>
              <w:jc w:val="center"/>
              <w:rPr>
                <w:sz w:val="20"/>
                <w:szCs w:val="20"/>
              </w:rPr>
            </w:pPr>
            <w:r>
              <w:rPr>
                <w:sz w:val="20"/>
                <w:szCs w:val="20"/>
              </w:rPr>
              <w:t>4</w:t>
            </w:r>
            <w:r w:rsidR="009F2A23">
              <w:rPr>
                <w:sz w:val="20"/>
                <w:szCs w:val="20"/>
              </w:rPr>
              <w:t>4</w:t>
            </w:r>
          </w:p>
        </w:tc>
      </w:tr>
      <w:tr w:rsidR="000524BB" w:rsidRPr="001F7FE1" w:rsidTr="00726C31">
        <w:trPr>
          <w:trHeight w:val="252"/>
        </w:trPr>
        <w:tc>
          <w:tcPr>
            <w:tcW w:w="8379" w:type="dxa"/>
            <w:tcBorders>
              <w:top w:val="nil"/>
              <w:left w:val="nil"/>
              <w:bottom w:val="nil"/>
              <w:right w:val="nil"/>
            </w:tcBorders>
            <w:shd w:val="clear" w:color="auto" w:fill="auto"/>
            <w:noWrap/>
            <w:vAlign w:val="bottom"/>
            <w:hideMark/>
          </w:tcPr>
          <w:p w:rsidR="000524BB" w:rsidRPr="00223651" w:rsidRDefault="00CE6DFA" w:rsidP="00DA0892">
            <w:pPr>
              <w:spacing w:before="60"/>
              <w:rPr>
                <w:i/>
                <w:iCs/>
                <w:sz w:val="20"/>
                <w:szCs w:val="20"/>
                <w:lang w:val="en-US"/>
              </w:rPr>
            </w:pPr>
            <w:r>
              <w:rPr>
                <w:i/>
                <w:iCs/>
                <w:sz w:val="20"/>
                <w:szCs w:val="20"/>
                <w:lang w:val="en-US"/>
              </w:rPr>
              <w:t>Production of major products in</w:t>
            </w:r>
            <w:r w:rsidR="00DE58F0">
              <w:rPr>
                <w:i/>
                <w:iCs/>
                <w:sz w:val="20"/>
                <w:szCs w:val="20"/>
                <w:lang w:val="en-US"/>
              </w:rPr>
              <w:t xml:space="preserve"> </w:t>
            </w:r>
            <w:r w:rsidR="00DA0892">
              <w:rPr>
                <w:i/>
                <w:iCs/>
                <w:sz w:val="20"/>
                <w:szCs w:val="20"/>
                <w:lang w:val="en-US"/>
              </w:rPr>
              <w:t>I</w:t>
            </w:r>
            <w:r w:rsidR="00052699">
              <w:rPr>
                <w:i/>
                <w:iCs/>
                <w:sz w:val="20"/>
                <w:szCs w:val="20"/>
                <w:lang w:val="en-US"/>
              </w:rPr>
              <w:t>-II</w:t>
            </w:r>
            <w:r w:rsidR="00DA0892">
              <w:rPr>
                <w:i/>
                <w:iCs/>
                <w:sz w:val="20"/>
                <w:szCs w:val="20"/>
                <w:lang w:val="en-US"/>
              </w:rPr>
              <w:t xml:space="preserve"> quarter </w:t>
            </w:r>
            <w:r w:rsidR="000524BB" w:rsidRPr="00223651">
              <w:rPr>
                <w:i/>
                <w:iCs/>
                <w:sz w:val="20"/>
                <w:szCs w:val="20"/>
                <w:lang w:val="en-US"/>
              </w:rPr>
              <w:t>201</w:t>
            </w:r>
            <w:r w:rsidR="00DA0892">
              <w:rPr>
                <w:i/>
                <w:iCs/>
                <w:sz w:val="20"/>
                <w:szCs w:val="20"/>
                <w:lang w:val="en-US"/>
              </w:rPr>
              <w:t>7</w:t>
            </w:r>
          </w:p>
        </w:tc>
        <w:tc>
          <w:tcPr>
            <w:tcW w:w="160" w:type="dxa"/>
            <w:tcBorders>
              <w:top w:val="nil"/>
              <w:left w:val="nil"/>
              <w:bottom w:val="nil"/>
              <w:right w:val="nil"/>
            </w:tcBorders>
            <w:shd w:val="clear" w:color="auto" w:fill="auto"/>
            <w:noWrap/>
            <w:vAlign w:val="bottom"/>
            <w:hideMark/>
          </w:tcPr>
          <w:p w:rsidR="000524BB" w:rsidRPr="00223651" w:rsidRDefault="000524BB" w:rsidP="00726C31">
            <w:pPr>
              <w:rPr>
                <w:sz w:val="20"/>
                <w:szCs w:val="20"/>
                <w:lang w:val="en-US"/>
              </w:rPr>
            </w:pPr>
          </w:p>
        </w:tc>
        <w:tc>
          <w:tcPr>
            <w:tcW w:w="832" w:type="dxa"/>
            <w:tcBorders>
              <w:top w:val="nil"/>
              <w:left w:val="nil"/>
              <w:bottom w:val="nil"/>
              <w:right w:val="single" w:sz="4" w:space="0" w:color="auto"/>
            </w:tcBorders>
            <w:shd w:val="clear" w:color="auto" w:fill="auto"/>
            <w:noWrap/>
            <w:vAlign w:val="bottom"/>
            <w:hideMark/>
          </w:tcPr>
          <w:p w:rsidR="000524BB" w:rsidRPr="00223651" w:rsidRDefault="000524BB" w:rsidP="00726C31">
            <w:pPr>
              <w:jc w:val="center"/>
              <w:rPr>
                <w:sz w:val="20"/>
                <w:szCs w:val="20"/>
                <w:lang w:val="en-US"/>
              </w:rPr>
            </w:pPr>
            <w:r w:rsidRPr="00223651">
              <w:rPr>
                <w:sz w:val="20"/>
                <w:szCs w:val="20"/>
                <w:lang w:val="en-US"/>
              </w:rPr>
              <w:t> </w:t>
            </w:r>
          </w:p>
        </w:tc>
        <w:tc>
          <w:tcPr>
            <w:tcW w:w="748" w:type="dxa"/>
            <w:gridSpan w:val="2"/>
            <w:tcBorders>
              <w:top w:val="nil"/>
              <w:left w:val="nil"/>
              <w:bottom w:val="nil"/>
              <w:right w:val="nil"/>
            </w:tcBorders>
            <w:shd w:val="clear" w:color="auto" w:fill="auto"/>
            <w:noWrap/>
            <w:vAlign w:val="bottom"/>
            <w:hideMark/>
          </w:tcPr>
          <w:p w:rsidR="000524BB" w:rsidRPr="00223651" w:rsidRDefault="000524BB" w:rsidP="00726C31">
            <w:pPr>
              <w:jc w:val="center"/>
              <w:rPr>
                <w:sz w:val="20"/>
                <w:szCs w:val="20"/>
                <w:lang w:val="en-US"/>
              </w:rPr>
            </w:pPr>
          </w:p>
        </w:tc>
      </w:tr>
      <w:tr w:rsidR="000524BB" w:rsidRPr="00223651" w:rsidTr="00957FB5">
        <w:trPr>
          <w:trHeight w:val="811"/>
        </w:trPr>
        <w:tc>
          <w:tcPr>
            <w:tcW w:w="8379" w:type="dxa"/>
            <w:tcBorders>
              <w:top w:val="nil"/>
              <w:left w:val="nil"/>
              <w:bottom w:val="nil"/>
              <w:right w:val="nil"/>
            </w:tcBorders>
            <w:shd w:val="clear" w:color="auto" w:fill="auto"/>
            <w:noWrap/>
            <w:vAlign w:val="bottom"/>
            <w:hideMark/>
          </w:tcPr>
          <w:p w:rsidR="000524BB" w:rsidRPr="00223651" w:rsidRDefault="000524BB" w:rsidP="00595D6B">
            <w:pPr>
              <w:spacing w:before="60"/>
              <w:rPr>
                <w:b/>
                <w:bCs/>
                <w:sz w:val="20"/>
                <w:szCs w:val="20"/>
              </w:rPr>
            </w:pPr>
            <w:r w:rsidRPr="00223651">
              <w:rPr>
                <w:b/>
                <w:bCs/>
                <w:sz w:val="20"/>
                <w:szCs w:val="20"/>
              </w:rPr>
              <w:t>B. INFORMACJE WEDŁUG DZIAŁÓW PRZEMYSŁU</w:t>
            </w:r>
          </w:p>
        </w:tc>
        <w:tc>
          <w:tcPr>
            <w:tcW w:w="160" w:type="dxa"/>
            <w:tcBorders>
              <w:top w:val="nil"/>
              <w:left w:val="nil"/>
              <w:bottom w:val="nil"/>
              <w:right w:val="nil"/>
            </w:tcBorders>
            <w:shd w:val="clear" w:color="auto" w:fill="auto"/>
            <w:noWrap/>
            <w:vAlign w:val="bottom"/>
            <w:hideMark/>
          </w:tcPr>
          <w:p w:rsidR="000524BB" w:rsidRPr="00223651" w:rsidRDefault="000524BB" w:rsidP="00726C31">
            <w:pPr>
              <w:rPr>
                <w:sz w:val="20"/>
                <w:szCs w:val="20"/>
              </w:rPr>
            </w:pPr>
          </w:p>
        </w:tc>
        <w:tc>
          <w:tcPr>
            <w:tcW w:w="832" w:type="dxa"/>
            <w:tcBorders>
              <w:top w:val="nil"/>
              <w:left w:val="nil"/>
              <w:bottom w:val="nil"/>
              <w:right w:val="single" w:sz="4" w:space="0" w:color="auto"/>
            </w:tcBorders>
            <w:shd w:val="clear" w:color="auto" w:fill="auto"/>
            <w:noWrap/>
            <w:vAlign w:val="bottom"/>
            <w:hideMark/>
          </w:tcPr>
          <w:p w:rsidR="000524BB" w:rsidRPr="00223651" w:rsidRDefault="000524BB" w:rsidP="00726C31">
            <w:pPr>
              <w:rPr>
                <w:sz w:val="20"/>
                <w:szCs w:val="20"/>
              </w:rPr>
            </w:pPr>
            <w:r w:rsidRPr="00223651">
              <w:rPr>
                <w:sz w:val="20"/>
                <w:szCs w:val="20"/>
              </w:rPr>
              <w:t> </w:t>
            </w:r>
          </w:p>
        </w:tc>
        <w:tc>
          <w:tcPr>
            <w:tcW w:w="748" w:type="dxa"/>
            <w:gridSpan w:val="2"/>
            <w:tcBorders>
              <w:top w:val="nil"/>
              <w:left w:val="nil"/>
              <w:bottom w:val="nil"/>
              <w:right w:val="nil"/>
            </w:tcBorders>
            <w:shd w:val="clear" w:color="auto" w:fill="auto"/>
            <w:noWrap/>
            <w:vAlign w:val="bottom"/>
            <w:hideMark/>
          </w:tcPr>
          <w:p w:rsidR="000524BB" w:rsidRPr="00223651" w:rsidRDefault="000524BB" w:rsidP="00726C31">
            <w:pPr>
              <w:rPr>
                <w:sz w:val="20"/>
                <w:szCs w:val="20"/>
              </w:rPr>
            </w:pPr>
          </w:p>
        </w:tc>
      </w:tr>
      <w:tr w:rsidR="000524BB" w:rsidRPr="00223651" w:rsidTr="00726C31">
        <w:trPr>
          <w:trHeight w:val="255"/>
        </w:trPr>
        <w:tc>
          <w:tcPr>
            <w:tcW w:w="8379" w:type="dxa"/>
            <w:tcBorders>
              <w:top w:val="nil"/>
              <w:left w:val="nil"/>
              <w:bottom w:val="nil"/>
              <w:right w:val="nil"/>
            </w:tcBorders>
            <w:shd w:val="clear" w:color="auto" w:fill="auto"/>
            <w:noWrap/>
            <w:vAlign w:val="bottom"/>
            <w:hideMark/>
          </w:tcPr>
          <w:p w:rsidR="000524BB" w:rsidRPr="00223651" w:rsidRDefault="000524BB" w:rsidP="00595D6B">
            <w:pPr>
              <w:spacing w:before="60"/>
              <w:rPr>
                <w:b/>
                <w:bCs/>
                <w:i/>
                <w:iCs/>
                <w:sz w:val="20"/>
                <w:szCs w:val="20"/>
              </w:rPr>
            </w:pPr>
            <w:r w:rsidRPr="00223651">
              <w:rPr>
                <w:b/>
                <w:bCs/>
                <w:i/>
                <w:iCs/>
                <w:sz w:val="20"/>
                <w:szCs w:val="20"/>
              </w:rPr>
              <w:t xml:space="preserve">    INFORMATIONS BY INDUSTRIAL DIVISIONS</w:t>
            </w:r>
          </w:p>
        </w:tc>
        <w:tc>
          <w:tcPr>
            <w:tcW w:w="160" w:type="dxa"/>
            <w:tcBorders>
              <w:top w:val="nil"/>
              <w:left w:val="nil"/>
              <w:bottom w:val="nil"/>
              <w:right w:val="nil"/>
            </w:tcBorders>
            <w:shd w:val="clear" w:color="auto" w:fill="auto"/>
            <w:noWrap/>
            <w:vAlign w:val="bottom"/>
            <w:hideMark/>
          </w:tcPr>
          <w:p w:rsidR="000524BB" w:rsidRPr="00223651" w:rsidRDefault="000524BB" w:rsidP="00726C31">
            <w:pPr>
              <w:rPr>
                <w:sz w:val="20"/>
                <w:szCs w:val="20"/>
              </w:rPr>
            </w:pPr>
          </w:p>
        </w:tc>
        <w:tc>
          <w:tcPr>
            <w:tcW w:w="832" w:type="dxa"/>
            <w:tcBorders>
              <w:top w:val="nil"/>
              <w:left w:val="nil"/>
              <w:bottom w:val="nil"/>
              <w:right w:val="single" w:sz="4" w:space="0" w:color="auto"/>
            </w:tcBorders>
            <w:shd w:val="clear" w:color="auto" w:fill="auto"/>
            <w:noWrap/>
            <w:vAlign w:val="bottom"/>
            <w:hideMark/>
          </w:tcPr>
          <w:p w:rsidR="000524BB" w:rsidRPr="00223651" w:rsidRDefault="000524BB" w:rsidP="00726C31">
            <w:pPr>
              <w:rPr>
                <w:sz w:val="20"/>
                <w:szCs w:val="20"/>
              </w:rPr>
            </w:pPr>
            <w:r w:rsidRPr="00223651">
              <w:rPr>
                <w:sz w:val="20"/>
                <w:szCs w:val="20"/>
              </w:rPr>
              <w:t> </w:t>
            </w:r>
          </w:p>
        </w:tc>
        <w:tc>
          <w:tcPr>
            <w:tcW w:w="748" w:type="dxa"/>
            <w:gridSpan w:val="2"/>
            <w:tcBorders>
              <w:top w:val="nil"/>
              <w:left w:val="nil"/>
              <w:bottom w:val="nil"/>
              <w:right w:val="nil"/>
            </w:tcBorders>
            <w:shd w:val="clear" w:color="auto" w:fill="auto"/>
            <w:noWrap/>
            <w:vAlign w:val="bottom"/>
            <w:hideMark/>
          </w:tcPr>
          <w:p w:rsidR="000524BB" w:rsidRPr="00223651" w:rsidRDefault="000524BB" w:rsidP="00726C31">
            <w:pPr>
              <w:rPr>
                <w:sz w:val="20"/>
                <w:szCs w:val="20"/>
              </w:rPr>
            </w:pPr>
          </w:p>
        </w:tc>
      </w:tr>
      <w:tr w:rsidR="000524BB" w:rsidRPr="00223651" w:rsidTr="00B33303">
        <w:trPr>
          <w:gridAfter w:val="1"/>
          <w:wAfter w:w="14" w:type="dxa"/>
          <w:trHeight w:val="434"/>
        </w:trPr>
        <w:tc>
          <w:tcPr>
            <w:tcW w:w="8379" w:type="dxa"/>
            <w:tcBorders>
              <w:top w:val="nil"/>
              <w:left w:val="nil"/>
              <w:bottom w:val="nil"/>
              <w:right w:val="nil"/>
            </w:tcBorders>
            <w:shd w:val="clear" w:color="auto" w:fill="auto"/>
            <w:noWrap/>
            <w:vAlign w:val="bottom"/>
            <w:hideMark/>
          </w:tcPr>
          <w:p w:rsidR="000524BB" w:rsidRPr="00223651" w:rsidRDefault="000524BB" w:rsidP="00156D6D">
            <w:pPr>
              <w:spacing w:before="360"/>
              <w:rPr>
                <w:sz w:val="20"/>
                <w:szCs w:val="20"/>
              </w:rPr>
            </w:pPr>
            <w:r w:rsidRPr="00223651">
              <w:rPr>
                <w:sz w:val="20"/>
                <w:szCs w:val="20"/>
              </w:rPr>
              <w:t>P</w:t>
            </w:r>
            <w:r>
              <w:rPr>
                <w:sz w:val="20"/>
                <w:szCs w:val="20"/>
              </w:rPr>
              <w:t>r</w:t>
            </w:r>
            <w:r w:rsidRPr="00223651">
              <w:rPr>
                <w:sz w:val="20"/>
                <w:szCs w:val="20"/>
              </w:rPr>
              <w:t>odukcja sprzedana, zatrudnienie i przeciętne miesięczne wynagrodzenia brutto w przemyśle według</w:t>
            </w:r>
          </w:p>
        </w:tc>
        <w:tc>
          <w:tcPr>
            <w:tcW w:w="992" w:type="dxa"/>
            <w:gridSpan w:val="2"/>
            <w:tcBorders>
              <w:top w:val="nil"/>
              <w:left w:val="nil"/>
              <w:bottom w:val="nil"/>
              <w:right w:val="single" w:sz="4" w:space="0" w:color="000000"/>
            </w:tcBorders>
            <w:shd w:val="clear" w:color="auto" w:fill="auto"/>
            <w:noWrap/>
            <w:vAlign w:val="bottom"/>
            <w:hideMark/>
          </w:tcPr>
          <w:p w:rsidR="000524BB" w:rsidRPr="00223651" w:rsidRDefault="000524BB" w:rsidP="00726C31">
            <w:pPr>
              <w:rPr>
                <w:sz w:val="20"/>
                <w:szCs w:val="20"/>
              </w:rPr>
            </w:pPr>
            <w:r w:rsidRPr="00223651">
              <w:rPr>
                <w:sz w:val="20"/>
                <w:szCs w:val="20"/>
              </w:rPr>
              <w:t xml:space="preserve"> </w:t>
            </w:r>
          </w:p>
        </w:tc>
        <w:tc>
          <w:tcPr>
            <w:tcW w:w="734" w:type="dxa"/>
            <w:tcBorders>
              <w:top w:val="nil"/>
              <w:left w:val="nil"/>
              <w:bottom w:val="nil"/>
              <w:right w:val="nil"/>
            </w:tcBorders>
            <w:shd w:val="clear" w:color="auto" w:fill="auto"/>
            <w:noWrap/>
            <w:vAlign w:val="bottom"/>
            <w:hideMark/>
          </w:tcPr>
          <w:p w:rsidR="000524BB" w:rsidRPr="00223651" w:rsidRDefault="000524BB" w:rsidP="00726C31">
            <w:pPr>
              <w:rPr>
                <w:sz w:val="20"/>
                <w:szCs w:val="20"/>
              </w:rPr>
            </w:pPr>
          </w:p>
        </w:tc>
      </w:tr>
      <w:tr w:rsidR="000524BB" w:rsidRPr="00223651" w:rsidTr="00726C31">
        <w:trPr>
          <w:trHeight w:val="252"/>
        </w:trPr>
        <w:tc>
          <w:tcPr>
            <w:tcW w:w="8379" w:type="dxa"/>
            <w:tcBorders>
              <w:top w:val="nil"/>
              <w:left w:val="nil"/>
              <w:bottom w:val="nil"/>
              <w:right w:val="nil"/>
            </w:tcBorders>
            <w:shd w:val="clear" w:color="auto" w:fill="auto"/>
            <w:noWrap/>
            <w:vAlign w:val="bottom"/>
            <w:hideMark/>
          </w:tcPr>
          <w:p w:rsidR="000524BB" w:rsidRPr="00223651" w:rsidRDefault="000524BB" w:rsidP="001B49C7">
            <w:pPr>
              <w:spacing w:before="60"/>
              <w:rPr>
                <w:sz w:val="20"/>
                <w:szCs w:val="20"/>
              </w:rPr>
            </w:pPr>
            <w:r w:rsidRPr="00223651">
              <w:rPr>
                <w:sz w:val="20"/>
                <w:szCs w:val="20"/>
              </w:rPr>
              <w:t xml:space="preserve">     se</w:t>
            </w:r>
            <w:r w:rsidR="004412CA">
              <w:rPr>
                <w:sz w:val="20"/>
                <w:szCs w:val="20"/>
              </w:rPr>
              <w:t>kcji i działów w</w:t>
            </w:r>
            <w:r w:rsidR="00DA0892" w:rsidRPr="00DA0892">
              <w:rPr>
                <w:sz w:val="20"/>
                <w:szCs w:val="20"/>
              </w:rPr>
              <w:t xml:space="preserve"> I</w:t>
            </w:r>
            <w:r w:rsidR="00052699">
              <w:rPr>
                <w:sz w:val="20"/>
                <w:szCs w:val="20"/>
              </w:rPr>
              <w:t>-II</w:t>
            </w:r>
            <w:r w:rsidR="00DA0892" w:rsidRPr="00DA0892">
              <w:rPr>
                <w:sz w:val="20"/>
                <w:szCs w:val="20"/>
              </w:rPr>
              <w:t xml:space="preserve"> kwartale 2017</w:t>
            </w:r>
            <w:r w:rsidR="003D1A1B">
              <w:rPr>
                <w:sz w:val="20"/>
                <w:szCs w:val="20"/>
              </w:rPr>
              <w:t xml:space="preserve"> </w:t>
            </w:r>
            <w:r w:rsidR="00B43B26">
              <w:rPr>
                <w:sz w:val="20"/>
                <w:szCs w:val="20"/>
              </w:rPr>
              <w:t xml:space="preserve">r.  </w:t>
            </w:r>
            <w:r w:rsidRPr="00223651">
              <w:rPr>
                <w:sz w:val="20"/>
                <w:szCs w:val="20"/>
              </w:rPr>
              <w:t>............................</w:t>
            </w:r>
            <w:r w:rsidR="003D1A1B">
              <w:rPr>
                <w:sz w:val="20"/>
                <w:szCs w:val="20"/>
              </w:rPr>
              <w:t>.....</w:t>
            </w:r>
            <w:r w:rsidRPr="00223651">
              <w:rPr>
                <w:sz w:val="20"/>
                <w:szCs w:val="20"/>
              </w:rPr>
              <w:t>..</w:t>
            </w:r>
            <w:r w:rsidR="004412CA">
              <w:rPr>
                <w:sz w:val="20"/>
                <w:szCs w:val="20"/>
              </w:rPr>
              <w:t>.</w:t>
            </w:r>
            <w:r w:rsidRPr="00223651">
              <w:rPr>
                <w:sz w:val="20"/>
                <w:szCs w:val="20"/>
              </w:rPr>
              <w:t>..............................</w:t>
            </w:r>
            <w:r w:rsidR="00496B2D">
              <w:rPr>
                <w:sz w:val="20"/>
                <w:szCs w:val="20"/>
              </w:rPr>
              <w:t>....................</w:t>
            </w:r>
            <w:r w:rsidR="00DA0892">
              <w:rPr>
                <w:sz w:val="20"/>
                <w:szCs w:val="20"/>
              </w:rPr>
              <w:t>.........</w:t>
            </w:r>
          </w:p>
        </w:tc>
        <w:tc>
          <w:tcPr>
            <w:tcW w:w="160" w:type="dxa"/>
            <w:tcBorders>
              <w:top w:val="nil"/>
              <w:left w:val="nil"/>
              <w:bottom w:val="nil"/>
              <w:right w:val="nil"/>
            </w:tcBorders>
            <w:shd w:val="clear" w:color="auto" w:fill="auto"/>
            <w:noWrap/>
            <w:vAlign w:val="bottom"/>
            <w:hideMark/>
          </w:tcPr>
          <w:p w:rsidR="000524BB" w:rsidRPr="00223651" w:rsidRDefault="000524BB" w:rsidP="00726C31">
            <w:pPr>
              <w:rPr>
                <w:sz w:val="20"/>
                <w:szCs w:val="20"/>
              </w:rPr>
            </w:pPr>
            <w:r w:rsidRPr="00223651">
              <w:rPr>
                <w:sz w:val="20"/>
                <w:szCs w:val="20"/>
              </w:rPr>
              <w:t xml:space="preserve"> </w:t>
            </w:r>
          </w:p>
        </w:tc>
        <w:tc>
          <w:tcPr>
            <w:tcW w:w="832" w:type="dxa"/>
            <w:tcBorders>
              <w:top w:val="nil"/>
              <w:left w:val="nil"/>
              <w:bottom w:val="nil"/>
              <w:right w:val="single" w:sz="4" w:space="0" w:color="auto"/>
            </w:tcBorders>
            <w:shd w:val="clear" w:color="auto" w:fill="auto"/>
            <w:noWrap/>
            <w:vAlign w:val="bottom"/>
            <w:hideMark/>
          </w:tcPr>
          <w:p w:rsidR="000524BB" w:rsidRPr="00223651" w:rsidRDefault="00F744E2" w:rsidP="00726C31">
            <w:pPr>
              <w:jc w:val="center"/>
              <w:rPr>
                <w:sz w:val="20"/>
                <w:szCs w:val="20"/>
              </w:rPr>
            </w:pPr>
            <w:r>
              <w:rPr>
                <w:sz w:val="20"/>
                <w:szCs w:val="20"/>
              </w:rPr>
              <w:t>8</w:t>
            </w:r>
          </w:p>
        </w:tc>
        <w:tc>
          <w:tcPr>
            <w:tcW w:w="748" w:type="dxa"/>
            <w:gridSpan w:val="2"/>
            <w:tcBorders>
              <w:top w:val="nil"/>
              <w:left w:val="nil"/>
              <w:bottom w:val="nil"/>
              <w:right w:val="nil"/>
            </w:tcBorders>
            <w:shd w:val="clear" w:color="auto" w:fill="auto"/>
            <w:noWrap/>
            <w:vAlign w:val="bottom"/>
            <w:hideMark/>
          </w:tcPr>
          <w:p w:rsidR="000524BB" w:rsidRPr="00223651" w:rsidRDefault="00354153" w:rsidP="00726C31">
            <w:pPr>
              <w:jc w:val="center"/>
              <w:rPr>
                <w:sz w:val="20"/>
                <w:szCs w:val="20"/>
              </w:rPr>
            </w:pPr>
            <w:r>
              <w:rPr>
                <w:sz w:val="20"/>
                <w:szCs w:val="20"/>
              </w:rPr>
              <w:t>5</w:t>
            </w:r>
            <w:r w:rsidR="00F717C8">
              <w:rPr>
                <w:sz w:val="20"/>
                <w:szCs w:val="20"/>
              </w:rPr>
              <w:t>0</w:t>
            </w:r>
          </w:p>
        </w:tc>
      </w:tr>
      <w:tr w:rsidR="000524BB" w:rsidRPr="001F7FE1" w:rsidTr="00726C31">
        <w:trPr>
          <w:gridAfter w:val="1"/>
          <w:wAfter w:w="14" w:type="dxa"/>
          <w:trHeight w:val="252"/>
        </w:trPr>
        <w:tc>
          <w:tcPr>
            <w:tcW w:w="8379" w:type="dxa"/>
            <w:tcBorders>
              <w:top w:val="nil"/>
              <w:left w:val="nil"/>
              <w:bottom w:val="nil"/>
              <w:right w:val="nil"/>
            </w:tcBorders>
            <w:shd w:val="clear" w:color="auto" w:fill="auto"/>
            <w:noWrap/>
            <w:vAlign w:val="bottom"/>
            <w:hideMark/>
          </w:tcPr>
          <w:p w:rsidR="000524BB" w:rsidRPr="00223651" w:rsidRDefault="000524BB" w:rsidP="00595D6B">
            <w:pPr>
              <w:spacing w:before="60"/>
              <w:rPr>
                <w:i/>
                <w:iCs/>
                <w:sz w:val="20"/>
                <w:szCs w:val="20"/>
                <w:lang w:val="en-US"/>
              </w:rPr>
            </w:pPr>
            <w:r w:rsidRPr="00223651">
              <w:rPr>
                <w:i/>
                <w:iCs/>
                <w:sz w:val="20"/>
                <w:szCs w:val="20"/>
                <w:lang w:val="en-US"/>
              </w:rPr>
              <w:t xml:space="preserve">Sold production, employment and average monthly gross wages and salaries in industry by sections </w:t>
            </w:r>
          </w:p>
        </w:tc>
        <w:tc>
          <w:tcPr>
            <w:tcW w:w="992" w:type="dxa"/>
            <w:gridSpan w:val="2"/>
            <w:tcBorders>
              <w:top w:val="nil"/>
              <w:left w:val="nil"/>
              <w:bottom w:val="nil"/>
              <w:right w:val="single" w:sz="4" w:space="0" w:color="000000"/>
            </w:tcBorders>
            <w:shd w:val="clear" w:color="auto" w:fill="auto"/>
            <w:noWrap/>
            <w:vAlign w:val="bottom"/>
            <w:hideMark/>
          </w:tcPr>
          <w:p w:rsidR="000524BB" w:rsidRPr="00223651" w:rsidRDefault="000524BB" w:rsidP="00726C31">
            <w:pPr>
              <w:rPr>
                <w:sz w:val="20"/>
                <w:szCs w:val="20"/>
                <w:lang w:val="en-US"/>
              </w:rPr>
            </w:pPr>
            <w:r w:rsidRPr="00223651">
              <w:rPr>
                <w:sz w:val="20"/>
                <w:szCs w:val="20"/>
                <w:lang w:val="en-US"/>
              </w:rPr>
              <w:t xml:space="preserve"> </w:t>
            </w:r>
          </w:p>
        </w:tc>
        <w:tc>
          <w:tcPr>
            <w:tcW w:w="734" w:type="dxa"/>
            <w:tcBorders>
              <w:top w:val="nil"/>
              <w:left w:val="nil"/>
              <w:bottom w:val="nil"/>
              <w:right w:val="nil"/>
            </w:tcBorders>
            <w:shd w:val="clear" w:color="auto" w:fill="auto"/>
            <w:noWrap/>
            <w:vAlign w:val="bottom"/>
            <w:hideMark/>
          </w:tcPr>
          <w:p w:rsidR="000524BB" w:rsidRPr="00223651" w:rsidRDefault="000524BB" w:rsidP="00726C31">
            <w:pPr>
              <w:jc w:val="center"/>
              <w:rPr>
                <w:sz w:val="20"/>
                <w:szCs w:val="20"/>
                <w:lang w:val="en-US"/>
              </w:rPr>
            </w:pPr>
          </w:p>
        </w:tc>
      </w:tr>
      <w:tr w:rsidR="000524BB" w:rsidRPr="001F7FE1" w:rsidTr="00726C31">
        <w:trPr>
          <w:trHeight w:val="252"/>
        </w:trPr>
        <w:tc>
          <w:tcPr>
            <w:tcW w:w="8379" w:type="dxa"/>
            <w:tcBorders>
              <w:top w:val="nil"/>
              <w:left w:val="nil"/>
              <w:bottom w:val="nil"/>
              <w:right w:val="nil"/>
            </w:tcBorders>
            <w:shd w:val="clear" w:color="auto" w:fill="auto"/>
            <w:noWrap/>
            <w:vAlign w:val="bottom"/>
            <w:hideMark/>
          </w:tcPr>
          <w:p w:rsidR="000524BB" w:rsidRPr="00223651" w:rsidRDefault="000524BB" w:rsidP="001B49C7">
            <w:pPr>
              <w:spacing w:before="60"/>
              <w:rPr>
                <w:i/>
                <w:iCs/>
                <w:sz w:val="20"/>
                <w:szCs w:val="20"/>
                <w:lang w:val="en-US"/>
              </w:rPr>
            </w:pPr>
            <w:r w:rsidRPr="00223651">
              <w:rPr>
                <w:i/>
                <w:iCs/>
                <w:sz w:val="20"/>
                <w:szCs w:val="20"/>
                <w:lang w:val="en-US"/>
              </w:rPr>
              <w:t xml:space="preserve">     </w:t>
            </w:r>
            <w:r>
              <w:rPr>
                <w:i/>
                <w:iCs/>
                <w:sz w:val="20"/>
                <w:szCs w:val="20"/>
                <w:lang w:val="en-US"/>
              </w:rPr>
              <w:t>and divisions in</w:t>
            </w:r>
            <w:r w:rsidR="00DA0892" w:rsidRPr="00DA0892">
              <w:rPr>
                <w:i/>
                <w:iCs/>
                <w:sz w:val="20"/>
                <w:szCs w:val="20"/>
                <w:lang w:val="en-US"/>
              </w:rPr>
              <w:t xml:space="preserve"> I</w:t>
            </w:r>
            <w:r w:rsidR="00052699">
              <w:rPr>
                <w:i/>
                <w:iCs/>
                <w:sz w:val="20"/>
                <w:szCs w:val="20"/>
                <w:lang w:val="en-US"/>
              </w:rPr>
              <w:t>-II</w:t>
            </w:r>
            <w:r w:rsidR="00DA0892" w:rsidRPr="00DA0892">
              <w:rPr>
                <w:i/>
                <w:iCs/>
                <w:sz w:val="20"/>
                <w:szCs w:val="20"/>
                <w:lang w:val="en-US"/>
              </w:rPr>
              <w:t xml:space="preserve"> quarter 2017</w:t>
            </w:r>
          </w:p>
        </w:tc>
        <w:tc>
          <w:tcPr>
            <w:tcW w:w="160" w:type="dxa"/>
            <w:tcBorders>
              <w:top w:val="nil"/>
              <w:left w:val="nil"/>
              <w:bottom w:val="nil"/>
              <w:right w:val="nil"/>
            </w:tcBorders>
            <w:shd w:val="clear" w:color="auto" w:fill="auto"/>
            <w:noWrap/>
            <w:vAlign w:val="bottom"/>
            <w:hideMark/>
          </w:tcPr>
          <w:p w:rsidR="000524BB" w:rsidRPr="00223651" w:rsidRDefault="000524BB" w:rsidP="00726C31">
            <w:pPr>
              <w:rPr>
                <w:sz w:val="20"/>
                <w:szCs w:val="20"/>
                <w:lang w:val="en-US"/>
              </w:rPr>
            </w:pPr>
          </w:p>
        </w:tc>
        <w:tc>
          <w:tcPr>
            <w:tcW w:w="832" w:type="dxa"/>
            <w:tcBorders>
              <w:top w:val="nil"/>
              <w:left w:val="nil"/>
              <w:bottom w:val="nil"/>
              <w:right w:val="single" w:sz="4" w:space="0" w:color="auto"/>
            </w:tcBorders>
            <w:shd w:val="clear" w:color="auto" w:fill="auto"/>
            <w:noWrap/>
            <w:vAlign w:val="bottom"/>
            <w:hideMark/>
          </w:tcPr>
          <w:p w:rsidR="000524BB" w:rsidRPr="00223651" w:rsidRDefault="000524BB" w:rsidP="00726C31">
            <w:pPr>
              <w:jc w:val="center"/>
              <w:rPr>
                <w:sz w:val="20"/>
                <w:szCs w:val="20"/>
                <w:lang w:val="en-US"/>
              </w:rPr>
            </w:pPr>
            <w:r w:rsidRPr="00223651">
              <w:rPr>
                <w:sz w:val="20"/>
                <w:szCs w:val="20"/>
                <w:lang w:val="en-US"/>
              </w:rPr>
              <w:t> </w:t>
            </w:r>
          </w:p>
        </w:tc>
        <w:tc>
          <w:tcPr>
            <w:tcW w:w="748" w:type="dxa"/>
            <w:gridSpan w:val="2"/>
            <w:tcBorders>
              <w:top w:val="nil"/>
              <w:left w:val="nil"/>
              <w:bottom w:val="nil"/>
              <w:right w:val="nil"/>
            </w:tcBorders>
            <w:shd w:val="clear" w:color="auto" w:fill="auto"/>
            <w:noWrap/>
            <w:vAlign w:val="bottom"/>
            <w:hideMark/>
          </w:tcPr>
          <w:p w:rsidR="000524BB" w:rsidRPr="00223651" w:rsidRDefault="000524BB" w:rsidP="00726C31">
            <w:pPr>
              <w:jc w:val="center"/>
              <w:rPr>
                <w:sz w:val="20"/>
                <w:szCs w:val="20"/>
                <w:lang w:val="en-US"/>
              </w:rPr>
            </w:pPr>
          </w:p>
        </w:tc>
      </w:tr>
      <w:tr w:rsidR="000524BB" w:rsidRPr="00223651" w:rsidTr="00726C31">
        <w:trPr>
          <w:trHeight w:val="252"/>
        </w:trPr>
        <w:tc>
          <w:tcPr>
            <w:tcW w:w="8379" w:type="dxa"/>
            <w:tcBorders>
              <w:top w:val="nil"/>
              <w:left w:val="nil"/>
              <w:bottom w:val="nil"/>
              <w:right w:val="nil"/>
            </w:tcBorders>
            <w:shd w:val="clear" w:color="auto" w:fill="auto"/>
            <w:noWrap/>
            <w:vAlign w:val="bottom"/>
            <w:hideMark/>
          </w:tcPr>
          <w:p w:rsidR="000524BB" w:rsidRPr="00223651" w:rsidRDefault="000524BB" w:rsidP="00595D6B">
            <w:pPr>
              <w:spacing w:before="60"/>
              <w:rPr>
                <w:sz w:val="20"/>
                <w:szCs w:val="20"/>
              </w:rPr>
            </w:pPr>
            <w:r w:rsidRPr="00223651">
              <w:rPr>
                <w:sz w:val="20"/>
                <w:szCs w:val="20"/>
              </w:rPr>
              <w:t>Wskaźniki cen produkcji sprzedanej przemysłu według sekcji, działów i kwartałów (</w:t>
            </w:r>
            <w:r w:rsidR="00DA0892" w:rsidRPr="00DA0892">
              <w:rPr>
                <w:sz w:val="20"/>
                <w:szCs w:val="20"/>
              </w:rPr>
              <w:t>2016, 2017</w:t>
            </w:r>
            <w:r w:rsidRPr="00223651">
              <w:rPr>
                <w:sz w:val="20"/>
                <w:szCs w:val="20"/>
              </w:rPr>
              <w:t>) ......</w:t>
            </w:r>
            <w:r>
              <w:rPr>
                <w:sz w:val="20"/>
                <w:szCs w:val="20"/>
              </w:rPr>
              <w:t>..</w:t>
            </w:r>
          </w:p>
        </w:tc>
        <w:tc>
          <w:tcPr>
            <w:tcW w:w="160" w:type="dxa"/>
            <w:tcBorders>
              <w:top w:val="nil"/>
              <w:left w:val="nil"/>
              <w:bottom w:val="nil"/>
              <w:right w:val="nil"/>
            </w:tcBorders>
            <w:shd w:val="clear" w:color="auto" w:fill="auto"/>
            <w:noWrap/>
            <w:vAlign w:val="bottom"/>
            <w:hideMark/>
          </w:tcPr>
          <w:p w:rsidR="000524BB" w:rsidRPr="00223651" w:rsidRDefault="000524BB" w:rsidP="00726C31">
            <w:pPr>
              <w:rPr>
                <w:sz w:val="20"/>
                <w:szCs w:val="20"/>
              </w:rPr>
            </w:pPr>
          </w:p>
        </w:tc>
        <w:tc>
          <w:tcPr>
            <w:tcW w:w="832" w:type="dxa"/>
            <w:tcBorders>
              <w:top w:val="nil"/>
              <w:left w:val="nil"/>
              <w:bottom w:val="nil"/>
              <w:right w:val="single" w:sz="4" w:space="0" w:color="auto"/>
            </w:tcBorders>
            <w:shd w:val="clear" w:color="auto" w:fill="auto"/>
            <w:noWrap/>
            <w:vAlign w:val="bottom"/>
            <w:hideMark/>
          </w:tcPr>
          <w:p w:rsidR="000524BB" w:rsidRPr="00223651" w:rsidRDefault="00F744E2" w:rsidP="00726C31">
            <w:pPr>
              <w:jc w:val="center"/>
              <w:rPr>
                <w:sz w:val="20"/>
                <w:szCs w:val="20"/>
              </w:rPr>
            </w:pPr>
            <w:r>
              <w:rPr>
                <w:sz w:val="20"/>
                <w:szCs w:val="20"/>
              </w:rPr>
              <w:t>9</w:t>
            </w:r>
          </w:p>
        </w:tc>
        <w:tc>
          <w:tcPr>
            <w:tcW w:w="748" w:type="dxa"/>
            <w:gridSpan w:val="2"/>
            <w:tcBorders>
              <w:top w:val="nil"/>
              <w:left w:val="nil"/>
              <w:bottom w:val="nil"/>
              <w:right w:val="nil"/>
            </w:tcBorders>
            <w:shd w:val="clear" w:color="auto" w:fill="auto"/>
            <w:noWrap/>
            <w:vAlign w:val="bottom"/>
            <w:hideMark/>
          </w:tcPr>
          <w:p w:rsidR="000524BB" w:rsidRPr="00223651" w:rsidRDefault="00354153" w:rsidP="00F717C8">
            <w:pPr>
              <w:jc w:val="center"/>
              <w:rPr>
                <w:sz w:val="20"/>
                <w:szCs w:val="20"/>
              </w:rPr>
            </w:pPr>
            <w:r>
              <w:rPr>
                <w:sz w:val="20"/>
                <w:szCs w:val="20"/>
              </w:rPr>
              <w:t>5</w:t>
            </w:r>
            <w:r w:rsidR="00F717C8">
              <w:rPr>
                <w:sz w:val="20"/>
                <w:szCs w:val="20"/>
              </w:rPr>
              <w:t>2</w:t>
            </w:r>
          </w:p>
        </w:tc>
      </w:tr>
      <w:tr w:rsidR="000524BB" w:rsidRPr="001F7FE1" w:rsidTr="00726C31">
        <w:trPr>
          <w:trHeight w:val="252"/>
        </w:trPr>
        <w:tc>
          <w:tcPr>
            <w:tcW w:w="8379" w:type="dxa"/>
            <w:tcBorders>
              <w:top w:val="nil"/>
              <w:left w:val="nil"/>
              <w:bottom w:val="nil"/>
              <w:right w:val="nil"/>
            </w:tcBorders>
            <w:shd w:val="clear" w:color="auto" w:fill="auto"/>
            <w:noWrap/>
            <w:vAlign w:val="bottom"/>
            <w:hideMark/>
          </w:tcPr>
          <w:p w:rsidR="000524BB" w:rsidRPr="00223651" w:rsidRDefault="000524BB" w:rsidP="00595D6B">
            <w:pPr>
              <w:spacing w:before="60"/>
              <w:rPr>
                <w:i/>
                <w:iCs/>
                <w:sz w:val="20"/>
                <w:szCs w:val="20"/>
                <w:lang w:val="en-US"/>
              </w:rPr>
            </w:pPr>
            <w:r w:rsidRPr="00223651">
              <w:rPr>
                <w:i/>
                <w:iCs/>
                <w:sz w:val="20"/>
                <w:szCs w:val="20"/>
                <w:lang w:val="en-US"/>
              </w:rPr>
              <w:t>Price indices of sold production of industry by sections, divisions and quarters (</w:t>
            </w:r>
            <w:r w:rsidR="00DA0892" w:rsidRPr="00DA0892">
              <w:rPr>
                <w:i/>
                <w:iCs/>
                <w:sz w:val="20"/>
                <w:szCs w:val="20"/>
                <w:lang w:val="en-US"/>
              </w:rPr>
              <w:t>2016, 2017</w:t>
            </w:r>
            <w:r w:rsidRPr="00223651">
              <w:rPr>
                <w:i/>
                <w:iCs/>
                <w:sz w:val="20"/>
                <w:szCs w:val="20"/>
                <w:lang w:val="en-US"/>
              </w:rPr>
              <w:t xml:space="preserve">) </w:t>
            </w:r>
          </w:p>
        </w:tc>
        <w:tc>
          <w:tcPr>
            <w:tcW w:w="160" w:type="dxa"/>
            <w:tcBorders>
              <w:top w:val="nil"/>
              <w:left w:val="nil"/>
              <w:bottom w:val="nil"/>
              <w:right w:val="nil"/>
            </w:tcBorders>
            <w:shd w:val="clear" w:color="auto" w:fill="auto"/>
            <w:noWrap/>
            <w:vAlign w:val="bottom"/>
            <w:hideMark/>
          </w:tcPr>
          <w:p w:rsidR="000524BB" w:rsidRPr="00223651" w:rsidRDefault="000524BB" w:rsidP="00726C31">
            <w:pPr>
              <w:rPr>
                <w:sz w:val="20"/>
                <w:szCs w:val="20"/>
                <w:lang w:val="en-US"/>
              </w:rPr>
            </w:pPr>
          </w:p>
        </w:tc>
        <w:tc>
          <w:tcPr>
            <w:tcW w:w="832" w:type="dxa"/>
            <w:tcBorders>
              <w:top w:val="nil"/>
              <w:left w:val="nil"/>
              <w:bottom w:val="nil"/>
              <w:right w:val="single" w:sz="4" w:space="0" w:color="auto"/>
            </w:tcBorders>
            <w:shd w:val="clear" w:color="auto" w:fill="auto"/>
            <w:noWrap/>
            <w:vAlign w:val="bottom"/>
            <w:hideMark/>
          </w:tcPr>
          <w:p w:rsidR="000524BB" w:rsidRPr="00223651" w:rsidRDefault="000524BB" w:rsidP="00726C31">
            <w:pPr>
              <w:jc w:val="center"/>
              <w:rPr>
                <w:sz w:val="20"/>
                <w:szCs w:val="20"/>
                <w:lang w:val="en-US"/>
              </w:rPr>
            </w:pPr>
            <w:r w:rsidRPr="00223651">
              <w:rPr>
                <w:sz w:val="20"/>
                <w:szCs w:val="20"/>
                <w:lang w:val="en-US"/>
              </w:rPr>
              <w:t> </w:t>
            </w:r>
          </w:p>
        </w:tc>
        <w:tc>
          <w:tcPr>
            <w:tcW w:w="748" w:type="dxa"/>
            <w:gridSpan w:val="2"/>
            <w:tcBorders>
              <w:top w:val="nil"/>
              <w:left w:val="nil"/>
              <w:bottom w:val="nil"/>
              <w:right w:val="nil"/>
            </w:tcBorders>
            <w:shd w:val="clear" w:color="auto" w:fill="auto"/>
            <w:noWrap/>
            <w:vAlign w:val="bottom"/>
            <w:hideMark/>
          </w:tcPr>
          <w:p w:rsidR="000524BB" w:rsidRPr="00223651" w:rsidRDefault="000524BB" w:rsidP="00726C31">
            <w:pPr>
              <w:jc w:val="center"/>
              <w:rPr>
                <w:sz w:val="20"/>
                <w:szCs w:val="20"/>
                <w:lang w:val="en-US"/>
              </w:rPr>
            </w:pPr>
          </w:p>
        </w:tc>
      </w:tr>
      <w:tr w:rsidR="000524BB" w:rsidRPr="00223651" w:rsidTr="00726C31">
        <w:trPr>
          <w:gridAfter w:val="1"/>
          <w:wAfter w:w="14" w:type="dxa"/>
          <w:trHeight w:val="252"/>
        </w:trPr>
        <w:tc>
          <w:tcPr>
            <w:tcW w:w="8379" w:type="dxa"/>
            <w:tcBorders>
              <w:top w:val="nil"/>
              <w:left w:val="nil"/>
              <w:bottom w:val="nil"/>
              <w:right w:val="nil"/>
            </w:tcBorders>
            <w:shd w:val="clear" w:color="auto" w:fill="auto"/>
            <w:noWrap/>
            <w:vAlign w:val="bottom"/>
            <w:hideMark/>
          </w:tcPr>
          <w:p w:rsidR="000524BB" w:rsidRPr="00223651" w:rsidRDefault="000524BB" w:rsidP="00595D6B">
            <w:pPr>
              <w:spacing w:before="60"/>
              <w:rPr>
                <w:sz w:val="20"/>
                <w:szCs w:val="20"/>
              </w:rPr>
            </w:pPr>
            <w:r w:rsidRPr="00223651">
              <w:rPr>
                <w:sz w:val="20"/>
                <w:szCs w:val="20"/>
              </w:rPr>
              <w:t>Indeks produkcji sprzedanej przemysłu według sekcji i działów (niewyrównany sezonowo)</w:t>
            </w:r>
          </w:p>
        </w:tc>
        <w:tc>
          <w:tcPr>
            <w:tcW w:w="992" w:type="dxa"/>
            <w:gridSpan w:val="2"/>
            <w:tcBorders>
              <w:top w:val="nil"/>
              <w:left w:val="nil"/>
              <w:bottom w:val="nil"/>
              <w:right w:val="single" w:sz="4" w:space="0" w:color="000000"/>
            </w:tcBorders>
            <w:shd w:val="clear" w:color="auto" w:fill="auto"/>
            <w:noWrap/>
            <w:vAlign w:val="bottom"/>
            <w:hideMark/>
          </w:tcPr>
          <w:p w:rsidR="000524BB" w:rsidRPr="00223651" w:rsidRDefault="000524BB" w:rsidP="00726C31">
            <w:pPr>
              <w:rPr>
                <w:sz w:val="20"/>
                <w:szCs w:val="20"/>
              </w:rPr>
            </w:pPr>
            <w:r w:rsidRPr="00223651">
              <w:rPr>
                <w:sz w:val="20"/>
                <w:szCs w:val="20"/>
              </w:rPr>
              <w:t xml:space="preserve"> </w:t>
            </w:r>
          </w:p>
        </w:tc>
        <w:tc>
          <w:tcPr>
            <w:tcW w:w="734" w:type="dxa"/>
            <w:tcBorders>
              <w:top w:val="nil"/>
              <w:left w:val="nil"/>
              <w:bottom w:val="nil"/>
              <w:right w:val="nil"/>
            </w:tcBorders>
            <w:shd w:val="clear" w:color="auto" w:fill="auto"/>
            <w:noWrap/>
            <w:vAlign w:val="bottom"/>
            <w:hideMark/>
          </w:tcPr>
          <w:p w:rsidR="000524BB" w:rsidRPr="00223651" w:rsidRDefault="000524BB" w:rsidP="00726C31">
            <w:pPr>
              <w:jc w:val="center"/>
              <w:rPr>
                <w:sz w:val="20"/>
                <w:szCs w:val="20"/>
              </w:rPr>
            </w:pPr>
          </w:p>
        </w:tc>
      </w:tr>
      <w:tr w:rsidR="000524BB" w:rsidRPr="00223651" w:rsidTr="00726C31">
        <w:trPr>
          <w:trHeight w:val="252"/>
        </w:trPr>
        <w:tc>
          <w:tcPr>
            <w:tcW w:w="8379" w:type="dxa"/>
            <w:tcBorders>
              <w:top w:val="nil"/>
              <w:left w:val="nil"/>
              <w:bottom w:val="nil"/>
              <w:right w:val="nil"/>
            </w:tcBorders>
            <w:shd w:val="clear" w:color="auto" w:fill="auto"/>
            <w:noWrap/>
            <w:vAlign w:val="bottom"/>
            <w:hideMark/>
          </w:tcPr>
          <w:p w:rsidR="000524BB" w:rsidRPr="00223651" w:rsidRDefault="000524BB" w:rsidP="00595D6B">
            <w:pPr>
              <w:spacing w:before="60"/>
              <w:rPr>
                <w:sz w:val="20"/>
                <w:szCs w:val="20"/>
              </w:rPr>
            </w:pPr>
            <w:r w:rsidRPr="00223651">
              <w:rPr>
                <w:sz w:val="20"/>
                <w:szCs w:val="20"/>
              </w:rPr>
              <w:t xml:space="preserve">    (</w:t>
            </w:r>
            <w:r w:rsidR="00DA0892" w:rsidRPr="00DA0892">
              <w:rPr>
                <w:sz w:val="20"/>
                <w:szCs w:val="20"/>
              </w:rPr>
              <w:t>2016, 2017</w:t>
            </w:r>
            <w:r w:rsidRPr="00223651">
              <w:rPr>
                <w:sz w:val="20"/>
                <w:szCs w:val="20"/>
              </w:rPr>
              <w:t>)  .........................................................................................................................................</w:t>
            </w:r>
            <w:r w:rsidR="0032267F">
              <w:rPr>
                <w:sz w:val="20"/>
                <w:szCs w:val="20"/>
              </w:rPr>
              <w:t>.</w:t>
            </w:r>
          </w:p>
        </w:tc>
        <w:tc>
          <w:tcPr>
            <w:tcW w:w="160" w:type="dxa"/>
            <w:tcBorders>
              <w:top w:val="nil"/>
              <w:left w:val="nil"/>
              <w:bottom w:val="nil"/>
              <w:right w:val="nil"/>
            </w:tcBorders>
            <w:shd w:val="clear" w:color="auto" w:fill="auto"/>
            <w:noWrap/>
            <w:vAlign w:val="bottom"/>
            <w:hideMark/>
          </w:tcPr>
          <w:p w:rsidR="000524BB" w:rsidRPr="00223651" w:rsidRDefault="000524BB" w:rsidP="00726C31">
            <w:pPr>
              <w:rPr>
                <w:sz w:val="20"/>
                <w:szCs w:val="20"/>
              </w:rPr>
            </w:pPr>
          </w:p>
        </w:tc>
        <w:tc>
          <w:tcPr>
            <w:tcW w:w="832" w:type="dxa"/>
            <w:tcBorders>
              <w:top w:val="nil"/>
              <w:left w:val="nil"/>
              <w:bottom w:val="nil"/>
              <w:right w:val="single" w:sz="4" w:space="0" w:color="auto"/>
            </w:tcBorders>
            <w:shd w:val="clear" w:color="auto" w:fill="auto"/>
            <w:noWrap/>
            <w:vAlign w:val="bottom"/>
            <w:hideMark/>
          </w:tcPr>
          <w:p w:rsidR="000524BB" w:rsidRPr="00223651" w:rsidRDefault="00F744E2" w:rsidP="00F15091">
            <w:pPr>
              <w:jc w:val="center"/>
              <w:rPr>
                <w:sz w:val="20"/>
                <w:szCs w:val="20"/>
              </w:rPr>
            </w:pPr>
            <w:r>
              <w:rPr>
                <w:sz w:val="20"/>
                <w:szCs w:val="20"/>
              </w:rPr>
              <w:t>10</w:t>
            </w:r>
          </w:p>
        </w:tc>
        <w:tc>
          <w:tcPr>
            <w:tcW w:w="748" w:type="dxa"/>
            <w:gridSpan w:val="2"/>
            <w:tcBorders>
              <w:top w:val="nil"/>
              <w:left w:val="nil"/>
              <w:bottom w:val="nil"/>
              <w:right w:val="nil"/>
            </w:tcBorders>
            <w:shd w:val="clear" w:color="auto" w:fill="auto"/>
            <w:noWrap/>
            <w:vAlign w:val="bottom"/>
            <w:hideMark/>
          </w:tcPr>
          <w:p w:rsidR="000524BB" w:rsidRPr="00223651" w:rsidRDefault="00354153" w:rsidP="00F717C8">
            <w:pPr>
              <w:jc w:val="center"/>
              <w:rPr>
                <w:sz w:val="20"/>
                <w:szCs w:val="20"/>
              </w:rPr>
            </w:pPr>
            <w:r>
              <w:rPr>
                <w:sz w:val="20"/>
                <w:szCs w:val="20"/>
              </w:rPr>
              <w:t>5</w:t>
            </w:r>
            <w:r w:rsidR="00F717C8">
              <w:rPr>
                <w:sz w:val="20"/>
                <w:szCs w:val="20"/>
              </w:rPr>
              <w:t>4</w:t>
            </w:r>
          </w:p>
        </w:tc>
      </w:tr>
      <w:tr w:rsidR="000524BB" w:rsidRPr="001F7FE1" w:rsidTr="00726C31">
        <w:trPr>
          <w:gridAfter w:val="1"/>
          <w:wAfter w:w="14" w:type="dxa"/>
          <w:trHeight w:val="252"/>
        </w:trPr>
        <w:tc>
          <w:tcPr>
            <w:tcW w:w="8379" w:type="dxa"/>
            <w:tcBorders>
              <w:top w:val="nil"/>
              <w:left w:val="nil"/>
              <w:bottom w:val="nil"/>
              <w:right w:val="nil"/>
            </w:tcBorders>
            <w:shd w:val="clear" w:color="auto" w:fill="auto"/>
            <w:noWrap/>
            <w:vAlign w:val="bottom"/>
            <w:hideMark/>
          </w:tcPr>
          <w:p w:rsidR="000524BB" w:rsidRPr="00223651" w:rsidRDefault="000524BB" w:rsidP="00595D6B">
            <w:pPr>
              <w:spacing w:before="60"/>
              <w:rPr>
                <w:i/>
                <w:iCs/>
                <w:sz w:val="20"/>
                <w:szCs w:val="20"/>
                <w:lang w:val="en-US"/>
              </w:rPr>
            </w:pPr>
            <w:r w:rsidRPr="00223651">
              <w:rPr>
                <w:i/>
                <w:iCs/>
                <w:sz w:val="20"/>
                <w:szCs w:val="20"/>
                <w:lang w:val="en-US"/>
              </w:rPr>
              <w:t xml:space="preserve">Volume index of sold production of industry by sections and divisions (seasonally un-adjusted)  </w:t>
            </w:r>
          </w:p>
        </w:tc>
        <w:tc>
          <w:tcPr>
            <w:tcW w:w="992" w:type="dxa"/>
            <w:gridSpan w:val="2"/>
            <w:tcBorders>
              <w:top w:val="nil"/>
              <w:left w:val="nil"/>
              <w:bottom w:val="nil"/>
              <w:right w:val="single" w:sz="4" w:space="0" w:color="000000"/>
            </w:tcBorders>
            <w:shd w:val="clear" w:color="auto" w:fill="auto"/>
            <w:noWrap/>
            <w:vAlign w:val="bottom"/>
            <w:hideMark/>
          </w:tcPr>
          <w:p w:rsidR="000524BB" w:rsidRPr="00223651" w:rsidRDefault="000524BB" w:rsidP="00726C31">
            <w:pPr>
              <w:rPr>
                <w:sz w:val="20"/>
                <w:szCs w:val="20"/>
                <w:lang w:val="en-US"/>
              </w:rPr>
            </w:pPr>
            <w:r w:rsidRPr="00223651">
              <w:rPr>
                <w:sz w:val="20"/>
                <w:szCs w:val="20"/>
                <w:lang w:val="en-US"/>
              </w:rPr>
              <w:t xml:space="preserve"> </w:t>
            </w:r>
          </w:p>
        </w:tc>
        <w:tc>
          <w:tcPr>
            <w:tcW w:w="734" w:type="dxa"/>
            <w:tcBorders>
              <w:top w:val="nil"/>
              <w:left w:val="nil"/>
              <w:bottom w:val="nil"/>
              <w:right w:val="nil"/>
            </w:tcBorders>
            <w:shd w:val="clear" w:color="auto" w:fill="auto"/>
            <w:noWrap/>
            <w:vAlign w:val="bottom"/>
            <w:hideMark/>
          </w:tcPr>
          <w:p w:rsidR="000524BB" w:rsidRPr="00223651" w:rsidRDefault="000524BB" w:rsidP="00726C31">
            <w:pPr>
              <w:jc w:val="center"/>
              <w:rPr>
                <w:sz w:val="20"/>
                <w:szCs w:val="20"/>
                <w:lang w:val="en-US"/>
              </w:rPr>
            </w:pPr>
          </w:p>
        </w:tc>
      </w:tr>
      <w:tr w:rsidR="000524BB" w:rsidRPr="00223651" w:rsidTr="00726C31">
        <w:trPr>
          <w:trHeight w:val="252"/>
        </w:trPr>
        <w:tc>
          <w:tcPr>
            <w:tcW w:w="8379" w:type="dxa"/>
            <w:tcBorders>
              <w:top w:val="nil"/>
              <w:left w:val="nil"/>
              <w:bottom w:val="nil"/>
              <w:right w:val="nil"/>
            </w:tcBorders>
            <w:shd w:val="clear" w:color="auto" w:fill="auto"/>
            <w:noWrap/>
            <w:vAlign w:val="bottom"/>
            <w:hideMark/>
          </w:tcPr>
          <w:p w:rsidR="000524BB" w:rsidRPr="00223651" w:rsidRDefault="000524BB" w:rsidP="00595D6B">
            <w:pPr>
              <w:spacing w:before="60"/>
              <w:rPr>
                <w:i/>
                <w:iCs/>
                <w:sz w:val="20"/>
                <w:szCs w:val="20"/>
              </w:rPr>
            </w:pPr>
            <w:r w:rsidRPr="00223651">
              <w:rPr>
                <w:i/>
                <w:iCs/>
                <w:sz w:val="20"/>
                <w:szCs w:val="20"/>
                <w:lang w:val="en-US"/>
              </w:rPr>
              <w:t xml:space="preserve">    </w:t>
            </w:r>
            <w:r w:rsidRPr="00223651">
              <w:rPr>
                <w:i/>
                <w:iCs/>
                <w:sz w:val="20"/>
                <w:szCs w:val="20"/>
              </w:rPr>
              <w:t>(</w:t>
            </w:r>
            <w:r w:rsidR="00DA0892" w:rsidRPr="00DA0892">
              <w:rPr>
                <w:i/>
                <w:iCs/>
                <w:sz w:val="20"/>
                <w:szCs w:val="20"/>
                <w:lang w:val="en-US"/>
              </w:rPr>
              <w:t>2016, 2017</w:t>
            </w:r>
            <w:r w:rsidRPr="00223651">
              <w:rPr>
                <w:i/>
                <w:iCs/>
                <w:sz w:val="20"/>
                <w:szCs w:val="20"/>
              </w:rPr>
              <w:t>)</w:t>
            </w:r>
          </w:p>
        </w:tc>
        <w:tc>
          <w:tcPr>
            <w:tcW w:w="160" w:type="dxa"/>
            <w:tcBorders>
              <w:top w:val="nil"/>
              <w:left w:val="nil"/>
              <w:bottom w:val="nil"/>
              <w:right w:val="nil"/>
            </w:tcBorders>
            <w:shd w:val="clear" w:color="auto" w:fill="auto"/>
            <w:noWrap/>
            <w:vAlign w:val="bottom"/>
            <w:hideMark/>
          </w:tcPr>
          <w:p w:rsidR="000524BB" w:rsidRPr="00223651" w:rsidRDefault="000524BB" w:rsidP="00726C31">
            <w:pPr>
              <w:rPr>
                <w:sz w:val="20"/>
                <w:szCs w:val="20"/>
              </w:rPr>
            </w:pPr>
          </w:p>
        </w:tc>
        <w:tc>
          <w:tcPr>
            <w:tcW w:w="832" w:type="dxa"/>
            <w:tcBorders>
              <w:top w:val="nil"/>
              <w:left w:val="nil"/>
              <w:bottom w:val="nil"/>
              <w:right w:val="single" w:sz="4" w:space="0" w:color="auto"/>
            </w:tcBorders>
            <w:shd w:val="clear" w:color="auto" w:fill="auto"/>
            <w:noWrap/>
            <w:vAlign w:val="bottom"/>
            <w:hideMark/>
          </w:tcPr>
          <w:p w:rsidR="000524BB" w:rsidRPr="00223651" w:rsidRDefault="000524BB" w:rsidP="00726C31">
            <w:pPr>
              <w:jc w:val="center"/>
              <w:rPr>
                <w:sz w:val="20"/>
                <w:szCs w:val="20"/>
              </w:rPr>
            </w:pPr>
            <w:r w:rsidRPr="00223651">
              <w:rPr>
                <w:sz w:val="20"/>
                <w:szCs w:val="20"/>
              </w:rPr>
              <w:t> </w:t>
            </w:r>
          </w:p>
        </w:tc>
        <w:tc>
          <w:tcPr>
            <w:tcW w:w="748" w:type="dxa"/>
            <w:gridSpan w:val="2"/>
            <w:tcBorders>
              <w:top w:val="nil"/>
              <w:left w:val="nil"/>
              <w:bottom w:val="nil"/>
              <w:right w:val="nil"/>
            </w:tcBorders>
            <w:shd w:val="clear" w:color="auto" w:fill="auto"/>
            <w:noWrap/>
            <w:vAlign w:val="bottom"/>
            <w:hideMark/>
          </w:tcPr>
          <w:p w:rsidR="000524BB" w:rsidRPr="00223651" w:rsidRDefault="000524BB" w:rsidP="00726C31">
            <w:pPr>
              <w:jc w:val="center"/>
              <w:rPr>
                <w:sz w:val="20"/>
                <w:szCs w:val="20"/>
              </w:rPr>
            </w:pPr>
          </w:p>
        </w:tc>
      </w:tr>
      <w:tr w:rsidR="000524BB" w:rsidRPr="00223651" w:rsidTr="00726C31">
        <w:trPr>
          <w:trHeight w:val="252"/>
        </w:trPr>
        <w:tc>
          <w:tcPr>
            <w:tcW w:w="8379" w:type="dxa"/>
            <w:tcBorders>
              <w:top w:val="nil"/>
              <w:left w:val="nil"/>
              <w:bottom w:val="nil"/>
              <w:right w:val="nil"/>
            </w:tcBorders>
            <w:shd w:val="clear" w:color="auto" w:fill="auto"/>
            <w:noWrap/>
            <w:vAlign w:val="bottom"/>
            <w:hideMark/>
          </w:tcPr>
          <w:p w:rsidR="000524BB" w:rsidRPr="00223651" w:rsidRDefault="000524BB" w:rsidP="00595D6B">
            <w:pPr>
              <w:spacing w:before="60"/>
              <w:rPr>
                <w:sz w:val="20"/>
                <w:szCs w:val="20"/>
              </w:rPr>
            </w:pPr>
            <w:r w:rsidRPr="00223651">
              <w:rPr>
                <w:sz w:val="20"/>
                <w:szCs w:val="20"/>
              </w:rPr>
              <w:t>Indeks produkcji sprzedanej przemysłu według sekcji i działów (wyrównany sezonowo) (</w:t>
            </w:r>
            <w:r w:rsidR="00DA0892" w:rsidRPr="00DA0892">
              <w:rPr>
                <w:sz w:val="20"/>
                <w:szCs w:val="20"/>
              </w:rPr>
              <w:t>2016, 2017</w:t>
            </w:r>
            <w:r w:rsidRPr="00223651">
              <w:rPr>
                <w:sz w:val="20"/>
                <w:szCs w:val="20"/>
              </w:rPr>
              <w:t xml:space="preserve">)  </w:t>
            </w:r>
          </w:p>
        </w:tc>
        <w:tc>
          <w:tcPr>
            <w:tcW w:w="160" w:type="dxa"/>
            <w:tcBorders>
              <w:top w:val="nil"/>
              <w:left w:val="nil"/>
              <w:bottom w:val="nil"/>
              <w:right w:val="nil"/>
            </w:tcBorders>
            <w:shd w:val="clear" w:color="auto" w:fill="auto"/>
            <w:noWrap/>
            <w:vAlign w:val="bottom"/>
            <w:hideMark/>
          </w:tcPr>
          <w:p w:rsidR="000524BB" w:rsidRPr="00223651" w:rsidRDefault="000524BB" w:rsidP="00726C31">
            <w:pPr>
              <w:rPr>
                <w:sz w:val="20"/>
                <w:szCs w:val="20"/>
              </w:rPr>
            </w:pPr>
          </w:p>
        </w:tc>
        <w:tc>
          <w:tcPr>
            <w:tcW w:w="832" w:type="dxa"/>
            <w:tcBorders>
              <w:top w:val="nil"/>
              <w:left w:val="nil"/>
              <w:bottom w:val="nil"/>
              <w:right w:val="single" w:sz="4" w:space="0" w:color="auto"/>
            </w:tcBorders>
            <w:shd w:val="clear" w:color="auto" w:fill="auto"/>
            <w:noWrap/>
            <w:vAlign w:val="bottom"/>
            <w:hideMark/>
          </w:tcPr>
          <w:p w:rsidR="000524BB" w:rsidRPr="00223651" w:rsidRDefault="000524BB" w:rsidP="00F15091">
            <w:pPr>
              <w:jc w:val="center"/>
              <w:rPr>
                <w:sz w:val="20"/>
                <w:szCs w:val="20"/>
              </w:rPr>
            </w:pPr>
            <w:r w:rsidRPr="00223651">
              <w:rPr>
                <w:sz w:val="20"/>
                <w:szCs w:val="20"/>
              </w:rPr>
              <w:t> </w:t>
            </w:r>
            <w:r>
              <w:rPr>
                <w:sz w:val="20"/>
                <w:szCs w:val="20"/>
              </w:rPr>
              <w:t>1</w:t>
            </w:r>
            <w:r w:rsidR="00F744E2">
              <w:rPr>
                <w:sz w:val="20"/>
                <w:szCs w:val="20"/>
              </w:rPr>
              <w:t>1</w:t>
            </w:r>
          </w:p>
        </w:tc>
        <w:tc>
          <w:tcPr>
            <w:tcW w:w="748" w:type="dxa"/>
            <w:gridSpan w:val="2"/>
            <w:tcBorders>
              <w:top w:val="nil"/>
              <w:left w:val="nil"/>
              <w:bottom w:val="nil"/>
              <w:right w:val="nil"/>
            </w:tcBorders>
            <w:shd w:val="clear" w:color="auto" w:fill="auto"/>
            <w:noWrap/>
            <w:vAlign w:val="bottom"/>
            <w:hideMark/>
          </w:tcPr>
          <w:p w:rsidR="000524BB" w:rsidRPr="00223651" w:rsidRDefault="00354153" w:rsidP="00F717C8">
            <w:pPr>
              <w:jc w:val="center"/>
              <w:rPr>
                <w:sz w:val="20"/>
                <w:szCs w:val="20"/>
              </w:rPr>
            </w:pPr>
            <w:r>
              <w:rPr>
                <w:sz w:val="20"/>
                <w:szCs w:val="20"/>
              </w:rPr>
              <w:t>5</w:t>
            </w:r>
            <w:r w:rsidR="00F717C8">
              <w:rPr>
                <w:sz w:val="20"/>
                <w:szCs w:val="20"/>
              </w:rPr>
              <w:t>7</w:t>
            </w:r>
          </w:p>
        </w:tc>
      </w:tr>
      <w:tr w:rsidR="000524BB" w:rsidRPr="001F7FE1" w:rsidTr="00726C31">
        <w:trPr>
          <w:trHeight w:val="252"/>
        </w:trPr>
        <w:tc>
          <w:tcPr>
            <w:tcW w:w="8379" w:type="dxa"/>
            <w:tcBorders>
              <w:top w:val="nil"/>
              <w:left w:val="nil"/>
              <w:bottom w:val="nil"/>
              <w:right w:val="nil"/>
            </w:tcBorders>
            <w:shd w:val="clear" w:color="auto" w:fill="auto"/>
            <w:noWrap/>
            <w:vAlign w:val="bottom"/>
            <w:hideMark/>
          </w:tcPr>
          <w:p w:rsidR="000524BB" w:rsidRPr="00223651" w:rsidRDefault="000524BB" w:rsidP="00595D6B">
            <w:pPr>
              <w:spacing w:before="60"/>
              <w:rPr>
                <w:i/>
                <w:iCs/>
                <w:sz w:val="20"/>
                <w:szCs w:val="20"/>
                <w:lang w:val="en-US"/>
              </w:rPr>
            </w:pPr>
            <w:r w:rsidRPr="00223651">
              <w:rPr>
                <w:i/>
                <w:iCs/>
                <w:sz w:val="20"/>
                <w:szCs w:val="20"/>
                <w:lang w:val="en-US"/>
              </w:rPr>
              <w:t xml:space="preserve">Volume index of sold production of industry by sections and divisions (seasonally adjusted)  </w:t>
            </w:r>
          </w:p>
        </w:tc>
        <w:tc>
          <w:tcPr>
            <w:tcW w:w="160" w:type="dxa"/>
            <w:tcBorders>
              <w:top w:val="nil"/>
              <w:left w:val="nil"/>
              <w:bottom w:val="nil"/>
              <w:right w:val="nil"/>
            </w:tcBorders>
            <w:shd w:val="clear" w:color="auto" w:fill="auto"/>
            <w:noWrap/>
            <w:vAlign w:val="bottom"/>
            <w:hideMark/>
          </w:tcPr>
          <w:p w:rsidR="000524BB" w:rsidRPr="00223651" w:rsidRDefault="000524BB" w:rsidP="00726C31">
            <w:pPr>
              <w:rPr>
                <w:sz w:val="20"/>
                <w:szCs w:val="20"/>
                <w:lang w:val="en-US"/>
              </w:rPr>
            </w:pPr>
          </w:p>
        </w:tc>
        <w:tc>
          <w:tcPr>
            <w:tcW w:w="832" w:type="dxa"/>
            <w:tcBorders>
              <w:top w:val="nil"/>
              <w:left w:val="nil"/>
              <w:bottom w:val="nil"/>
              <w:right w:val="single" w:sz="4" w:space="0" w:color="auto"/>
            </w:tcBorders>
            <w:shd w:val="clear" w:color="auto" w:fill="auto"/>
            <w:noWrap/>
            <w:vAlign w:val="bottom"/>
            <w:hideMark/>
          </w:tcPr>
          <w:p w:rsidR="000524BB" w:rsidRPr="00223651" w:rsidRDefault="000524BB" w:rsidP="00726C31">
            <w:pPr>
              <w:jc w:val="center"/>
              <w:rPr>
                <w:sz w:val="20"/>
                <w:szCs w:val="20"/>
                <w:lang w:val="en-US"/>
              </w:rPr>
            </w:pPr>
            <w:r w:rsidRPr="00223651">
              <w:rPr>
                <w:sz w:val="20"/>
                <w:szCs w:val="20"/>
                <w:lang w:val="en-US"/>
              </w:rPr>
              <w:t> </w:t>
            </w:r>
          </w:p>
        </w:tc>
        <w:tc>
          <w:tcPr>
            <w:tcW w:w="748" w:type="dxa"/>
            <w:gridSpan w:val="2"/>
            <w:tcBorders>
              <w:top w:val="nil"/>
              <w:left w:val="nil"/>
              <w:bottom w:val="nil"/>
              <w:right w:val="nil"/>
            </w:tcBorders>
            <w:shd w:val="clear" w:color="auto" w:fill="auto"/>
            <w:noWrap/>
            <w:vAlign w:val="bottom"/>
            <w:hideMark/>
          </w:tcPr>
          <w:p w:rsidR="000524BB" w:rsidRPr="00223651" w:rsidRDefault="000524BB" w:rsidP="00726C31">
            <w:pPr>
              <w:jc w:val="center"/>
              <w:rPr>
                <w:sz w:val="20"/>
                <w:szCs w:val="20"/>
                <w:lang w:val="en-US"/>
              </w:rPr>
            </w:pPr>
          </w:p>
        </w:tc>
      </w:tr>
      <w:tr w:rsidR="000524BB" w:rsidRPr="00B536BE" w:rsidTr="00726C31">
        <w:trPr>
          <w:trHeight w:val="252"/>
        </w:trPr>
        <w:tc>
          <w:tcPr>
            <w:tcW w:w="8379" w:type="dxa"/>
            <w:tcBorders>
              <w:top w:val="nil"/>
              <w:left w:val="nil"/>
              <w:bottom w:val="nil"/>
              <w:right w:val="nil"/>
            </w:tcBorders>
            <w:shd w:val="clear" w:color="auto" w:fill="auto"/>
            <w:noWrap/>
            <w:vAlign w:val="bottom"/>
            <w:hideMark/>
          </w:tcPr>
          <w:p w:rsidR="000524BB" w:rsidRPr="00223651" w:rsidRDefault="000524BB" w:rsidP="00595D6B">
            <w:pPr>
              <w:spacing w:before="60"/>
              <w:rPr>
                <w:i/>
                <w:iCs/>
                <w:sz w:val="20"/>
                <w:szCs w:val="20"/>
              </w:rPr>
            </w:pPr>
            <w:r w:rsidRPr="00223651">
              <w:rPr>
                <w:i/>
                <w:iCs/>
                <w:sz w:val="20"/>
                <w:szCs w:val="20"/>
                <w:lang w:val="en-US"/>
              </w:rPr>
              <w:t xml:space="preserve">    </w:t>
            </w:r>
            <w:r w:rsidRPr="00223651">
              <w:rPr>
                <w:i/>
                <w:iCs/>
                <w:sz w:val="20"/>
                <w:szCs w:val="20"/>
              </w:rPr>
              <w:t>(</w:t>
            </w:r>
            <w:r w:rsidR="00DA0892" w:rsidRPr="00DA0892">
              <w:rPr>
                <w:i/>
                <w:iCs/>
                <w:sz w:val="20"/>
                <w:szCs w:val="20"/>
                <w:lang w:val="en-US"/>
              </w:rPr>
              <w:t>2016, 2017</w:t>
            </w:r>
            <w:r w:rsidRPr="00223651">
              <w:rPr>
                <w:i/>
                <w:iCs/>
                <w:sz w:val="20"/>
                <w:szCs w:val="20"/>
              </w:rPr>
              <w:t>)</w:t>
            </w:r>
          </w:p>
        </w:tc>
        <w:tc>
          <w:tcPr>
            <w:tcW w:w="160" w:type="dxa"/>
            <w:tcBorders>
              <w:top w:val="nil"/>
              <w:left w:val="nil"/>
              <w:bottom w:val="nil"/>
              <w:right w:val="nil"/>
            </w:tcBorders>
            <w:shd w:val="clear" w:color="auto" w:fill="auto"/>
            <w:noWrap/>
            <w:vAlign w:val="bottom"/>
            <w:hideMark/>
          </w:tcPr>
          <w:p w:rsidR="000524BB" w:rsidRPr="00B536BE" w:rsidRDefault="000524BB" w:rsidP="00726C31">
            <w:pPr>
              <w:rPr>
                <w:sz w:val="20"/>
                <w:szCs w:val="20"/>
                <w:lang w:val="en-US"/>
              </w:rPr>
            </w:pPr>
          </w:p>
        </w:tc>
        <w:tc>
          <w:tcPr>
            <w:tcW w:w="832" w:type="dxa"/>
            <w:tcBorders>
              <w:top w:val="nil"/>
              <w:left w:val="nil"/>
              <w:bottom w:val="nil"/>
              <w:right w:val="single" w:sz="4" w:space="0" w:color="auto"/>
            </w:tcBorders>
            <w:shd w:val="clear" w:color="auto" w:fill="auto"/>
            <w:noWrap/>
            <w:vAlign w:val="bottom"/>
            <w:hideMark/>
          </w:tcPr>
          <w:p w:rsidR="000524BB" w:rsidRPr="00B536BE" w:rsidRDefault="000524BB" w:rsidP="00726C31">
            <w:pPr>
              <w:jc w:val="center"/>
              <w:rPr>
                <w:sz w:val="20"/>
                <w:szCs w:val="20"/>
                <w:lang w:val="en-US"/>
              </w:rPr>
            </w:pPr>
            <w:r w:rsidRPr="00B536BE">
              <w:rPr>
                <w:sz w:val="20"/>
                <w:szCs w:val="20"/>
                <w:lang w:val="en-US"/>
              </w:rPr>
              <w:t> </w:t>
            </w:r>
          </w:p>
        </w:tc>
        <w:tc>
          <w:tcPr>
            <w:tcW w:w="748" w:type="dxa"/>
            <w:gridSpan w:val="2"/>
            <w:tcBorders>
              <w:top w:val="nil"/>
              <w:left w:val="nil"/>
              <w:bottom w:val="nil"/>
              <w:right w:val="nil"/>
            </w:tcBorders>
            <w:shd w:val="clear" w:color="auto" w:fill="auto"/>
            <w:noWrap/>
            <w:vAlign w:val="bottom"/>
            <w:hideMark/>
          </w:tcPr>
          <w:p w:rsidR="000524BB" w:rsidRPr="00B536BE" w:rsidRDefault="000524BB" w:rsidP="00726C31">
            <w:pPr>
              <w:jc w:val="center"/>
              <w:rPr>
                <w:sz w:val="20"/>
                <w:szCs w:val="20"/>
                <w:lang w:val="en-US"/>
              </w:rPr>
            </w:pPr>
          </w:p>
        </w:tc>
      </w:tr>
      <w:tr w:rsidR="00991722" w:rsidRPr="00223651" w:rsidTr="00726C31">
        <w:trPr>
          <w:trHeight w:val="252"/>
        </w:trPr>
        <w:tc>
          <w:tcPr>
            <w:tcW w:w="8379" w:type="dxa"/>
            <w:tcBorders>
              <w:top w:val="nil"/>
              <w:left w:val="nil"/>
              <w:bottom w:val="nil"/>
              <w:right w:val="nil"/>
            </w:tcBorders>
            <w:shd w:val="clear" w:color="auto" w:fill="auto"/>
            <w:noWrap/>
            <w:vAlign w:val="bottom"/>
          </w:tcPr>
          <w:p w:rsidR="00991722" w:rsidRPr="00223651" w:rsidRDefault="00991722" w:rsidP="00595D6B">
            <w:pPr>
              <w:spacing w:before="60"/>
              <w:rPr>
                <w:sz w:val="20"/>
                <w:szCs w:val="20"/>
              </w:rPr>
            </w:pPr>
            <w:r w:rsidRPr="00223651">
              <w:rPr>
                <w:sz w:val="20"/>
                <w:szCs w:val="20"/>
              </w:rPr>
              <w:t xml:space="preserve">Nowe zamówienia w przemyśle </w:t>
            </w:r>
            <w:r>
              <w:rPr>
                <w:sz w:val="20"/>
                <w:szCs w:val="20"/>
              </w:rPr>
              <w:t xml:space="preserve">według działów </w:t>
            </w:r>
            <w:r w:rsidRPr="00223651">
              <w:rPr>
                <w:sz w:val="20"/>
                <w:szCs w:val="20"/>
              </w:rPr>
              <w:t>(ceny bieżące) (</w:t>
            </w:r>
            <w:r w:rsidR="00DA0892" w:rsidRPr="00DA0892">
              <w:rPr>
                <w:sz w:val="20"/>
                <w:szCs w:val="20"/>
              </w:rPr>
              <w:t>2016, 2017</w:t>
            </w:r>
            <w:r w:rsidRPr="00223651">
              <w:rPr>
                <w:sz w:val="20"/>
                <w:szCs w:val="20"/>
              </w:rPr>
              <w:t>) ...............................</w:t>
            </w:r>
            <w:r>
              <w:rPr>
                <w:sz w:val="20"/>
                <w:szCs w:val="20"/>
              </w:rPr>
              <w:t>.........</w:t>
            </w:r>
          </w:p>
        </w:tc>
        <w:tc>
          <w:tcPr>
            <w:tcW w:w="160" w:type="dxa"/>
            <w:tcBorders>
              <w:top w:val="nil"/>
              <w:left w:val="nil"/>
              <w:bottom w:val="nil"/>
              <w:right w:val="nil"/>
            </w:tcBorders>
            <w:shd w:val="clear" w:color="auto" w:fill="auto"/>
            <w:noWrap/>
            <w:vAlign w:val="bottom"/>
          </w:tcPr>
          <w:p w:rsidR="00991722" w:rsidRPr="00223651" w:rsidRDefault="00991722" w:rsidP="00726C31">
            <w:pPr>
              <w:rPr>
                <w:sz w:val="20"/>
                <w:szCs w:val="20"/>
              </w:rPr>
            </w:pPr>
          </w:p>
        </w:tc>
        <w:tc>
          <w:tcPr>
            <w:tcW w:w="832" w:type="dxa"/>
            <w:tcBorders>
              <w:top w:val="nil"/>
              <w:left w:val="nil"/>
              <w:bottom w:val="nil"/>
              <w:right w:val="single" w:sz="4" w:space="0" w:color="auto"/>
            </w:tcBorders>
            <w:shd w:val="clear" w:color="auto" w:fill="auto"/>
            <w:noWrap/>
            <w:vAlign w:val="bottom"/>
          </w:tcPr>
          <w:p w:rsidR="00991722" w:rsidRPr="00223651" w:rsidRDefault="00F744E2" w:rsidP="00F15091">
            <w:pPr>
              <w:jc w:val="center"/>
              <w:rPr>
                <w:sz w:val="20"/>
                <w:szCs w:val="20"/>
              </w:rPr>
            </w:pPr>
            <w:r>
              <w:rPr>
                <w:sz w:val="20"/>
                <w:szCs w:val="20"/>
              </w:rPr>
              <w:t>12</w:t>
            </w:r>
          </w:p>
        </w:tc>
        <w:tc>
          <w:tcPr>
            <w:tcW w:w="748" w:type="dxa"/>
            <w:gridSpan w:val="2"/>
            <w:tcBorders>
              <w:top w:val="nil"/>
              <w:left w:val="nil"/>
              <w:bottom w:val="nil"/>
              <w:right w:val="nil"/>
            </w:tcBorders>
            <w:shd w:val="clear" w:color="auto" w:fill="auto"/>
            <w:noWrap/>
            <w:vAlign w:val="bottom"/>
          </w:tcPr>
          <w:p w:rsidR="00991722" w:rsidRDefault="00354153" w:rsidP="00726C31">
            <w:pPr>
              <w:jc w:val="center"/>
              <w:rPr>
                <w:sz w:val="20"/>
                <w:szCs w:val="20"/>
              </w:rPr>
            </w:pPr>
            <w:r>
              <w:rPr>
                <w:sz w:val="20"/>
                <w:szCs w:val="20"/>
              </w:rPr>
              <w:t>6</w:t>
            </w:r>
            <w:r w:rsidR="000B0FB7">
              <w:rPr>
                <w:sz w:val="20"/>
                <w:szCs w:val="20"/>
              </w:rPr>
              <w:t>0</w:t>
            </w:r>
          </w:p>
        </w:tc>
      </w:tr>
      <w:tr w:rsidR="00991722" w:rsidRPr="001F7FE1" w:rsidTr="00726C31">
        <w:trPr>
          <w:trHeight w:val="252"/>
        </w:trPr>
        <w:tc>
          <w:tcPr>
            <w:tcW w:w="8379" w:type="dxa"/>
            <w:tcBorders>
              <w:top w:val="nil"/>
              <w:left w:val="nil"/>
              <w:bottom w:val="nil"/>
              <w:right w:val="nil"/>
            </w:tcBorders>
            <w:shd w:val="clear" w:color="auto" w:fill="auto"/>
            <w:noWrap/>
            <w:vAlign w:val="bottom"/>
          </w:tcPr>
          <w:p w:rsidR="00991722" w:rsidRPr="0032110F" w:rsidRDefault="00991722" w:rsidP="00595D6B">
            <w:pPr>
              <w:spacing w:before="60"/>
              <w:rPr>
                <w:sz w:val="20"/>
                <w:szCs w:val="20"/>
                <w:lang w:val="en-US"/>
              </w:rPr>
            </w:pPr>
            <w:r w:rsidRPr="00223651">
              <w:rPr>
                <w:i/>
                <w:iCs/>
                <w:sz w:val="20"/>
                <w:szCs w:val="20"/>
                <w:lang w:val="en-US"/>
              </w:rPr>
              <w:t xml:space="preserve">New orders in industry </w:t>
            </w:r>
            <w:r>
              <w:rPr>
                <w:i/>
                <w:iCs/>
                <w:sz w:val="20"/>
                <w:szCs w:val="20"/>
                <w:lang w:val="en-US"/>
              </w:rPr>
              <w:t xml:space="preserve">by divisions </w:t>
            </w:r>
            <w:r w:rsidRPr="00223651">
              <w:rPr>
                <w:i/>
                <w:iCs/>
                <w:sz w:val="20"/>
                <w:szCs w:val="20"/>
                <w:lang w:val="en-US"/>
              </w:rPr>
              <w:t>(current prices) (</w:t>
            </w:r>
            <w:r w:rsidR="00DA0892" w:rsidRPr="00DA0892">
              <w:rPr>
                <w:i/>
                <w:iCs/>
                <w:sz w:val="20"/>
                <w:szCs w:val="20"/>
                <w:lang w:val="en-US"/>
              </w:rPr>
              <w:t>2016, 2017</w:t>
            </w:r>
            <w:r w:rsidRPr="00223651">
              <w:rPr>
                <w:i/>
                <w:iCs/>
                <w:sz w:val="20"/>
                <w:szCs w:val="20"/>
                <w:lang w:val="en-US"/>
              </w:rPr>
              <w:t>)</w:t>
            </w:r>
          </w:p>
        </w:tc>
        <w:tc>
          <w:tcPr>
            <w:tcW w:w="160" w:type="dxa"/>
            <w:tcBorders>
              <w:top w:val="nil"/>
              <w:left w:val="nil"/>
              <w:bottom w:val="nil"/>
              <w:right w:val="nil"/>
            </w:tcBorders>
            <w:shd w:val="clear" w:color="auto" w:fill="auto"/>
            <w:noWrap/>
            <w:vAlign w:val="bottom"/>
          </w:tcPr>
          <w:p w:rsidR="00991722" w:rsidRPr="0032110F" w:rsidRDefault="00991722" w:rsidP="00726C31">
            <w:pPr>
              <w:rPr>
                <w:sz w:val="20"/>
                <w:szCs w:val="20"/>
                <w:lang w:val="en-US"/>
              </w:rPr>
            </w:pPr>
          </w:p>
        </w:tc>
        <w:tc>
          <w:tcPr>
            <w:tcW w:w="832" w:type="dxa"/>
            <w:tcBorders>
              <w:top w:val="nil"/>
              <w:left w:val="nil"/>
              <w:bottom w:val="nil"/>
              <w:right w:val="single" w:sz="4" w:space="0" w:color="auto"/>
            </w:tcBorders>
            <w:shd w:val="clear" w:color="auto" w:fill="auto"/>
            <w:noWrap/>
            <w:vAlign w:val="bottom"/>
          </w:tcPr>
          <w:p w:rsidR="00991722" w:rsidRPr="0032110F" w:rsidRDefault="00991722" w:rsidP="00F15091">
            <w:pPr>
              <w:jc w:val="center"/>
              <w:rPr>
                <w:sz w:val="20"/>
                <w:szCs w:val="20"/>
                <w:lang w:val="en-US"/>
              </w:rPr>
            </w:pPr>
          </w:p>
        </w:tc>
        <w:tc>
          <w:tcPr>
            <w:tcW w:w="748" w:type="dxa"/>
            <w:gridSpan w:val="2"/>
            <w:tcBorders>
              <w:top w:val="nil"/>
              <w:left w:val="nil"/>
              <w:bottom w:val="nil"/>
              <w:right w:val="nil"/>
            </w:tcBorders>
            <w:shd w:val="clear" w:color="auto" w:fill="auto"/>
            <w:noWrap/>
            <w:vAlign w:val="bottom"/>
          </w:tcPr>
          <w:p w:rsidR="00991722" w:rsidRPr="0032110F" w:rsidRDefault="00991722" w:rsidP="00726C31">
            <w:pPr>
              <w:jc w:val="center"/>
              <w:rPr>
                <w:sz w:val="20"/>
                <w:szCs w:val="20"/>
                <w:lang w:val="en-US"/>
              </w:rPr>
            </w:pPr>
          </w:p>
        </w:tc>
      </w:tr>
      <w:tr w:rsidR="000524BB" w:rsidRPr="00223651" w:rsidTr="00726C31">
        <w:trPr>
          <w:trHeight w:val="252"/>
        </w:trPr>
        <w:tc>
          <w:tcPr>
            <w:tcW w:w="8379" w:type="dxa"/>
            <w:tcBorders>
              <w:top w:val="nil"/>
              <w:left w:val="nil"/>
              <w:bottom w:val="nil"/>
              <w:right w:val="nil"/>
            </w:tcBorders>
            <w:shd w:val="clear" w:color="auto" w:fill="auto"/>
            <w:noWrap/>
            <w:vAlign w:val="bottom"/>
            <w:hideMark/>
          </w:tcPr>
          <w:p w:rsidR="000524BB" w:rsidRPr="00223651" w:rsidRDefault="000524BB" w:rsidP="00595D6B">
            <w:pPr>
              <w:spacing w:before="60"/>
              <w:rPr>
                <w:sz w:val="20"/>
                <w:szCs w:val="20"/>
              </w:rPr>
            </w:pPr>
            <w:r w:rsidRPr="00223651">
              <w:rPr>
                <w:sz w:val="20"/>
                <w:szCs w:val="20"/>
              </w:rPr>
              <w:lastRenderedPageBreak/>
              <w:t>Czas przepracowany w przemyśle według sekcji, działów i kwartałów (</w:t>
            </w:r>
            <w:r w:rsidR="00DA0892" w:rsidRPr="00DA0892">
              <w:rPr>
                <w:sz w:val="20"/>
                <w:szCs w:val="20"/>
              </w:rPr>
              <w:t>2016, 2017</w:t>
            </w:r>
            <w:r w:rsidRPr="00223651">
              <w:rPr>
                <w:sz w:val="20"/>
                <w:szCs w:val="20"/>
              </w:rPr>
              <w:t>) ...........................</w:t>
            </w:r>
            <w:r>
              <w:rPr>
                <w:sz w:val="20"/>
                <w:szCs w:val="20"/>
              </w:rPr>
              <w:t>.</w:t>
            </w:r>
            <w:r w:rsidRPr="00223651">
              <w:rPr>
                <w:sz w:val="20"/>
                <w:szCs w:val="20"/>
              </w:rPr>
              <w:t>.</w:t>
            </w:r>
          </w:p>
        </w:tc>
        <w:tc>
          <w:tcPr>
            <w:tcW w:w="160" w:type="dxa"/>
            <w:tcBorders>
              <w:top w:val="nil"/>
              <w:left w:val="nil"/>
              <w:bottom w:val="nil"/>
              <w:right w:val="nil"/>
            </w:tcBorders>
            <w:shd w:val="clear" w:color="auto" w:fill="auto"/>
            <w:noWrap/>
            <w:vAlign w:val="bottom"/>
            <w:hideMark/>
          </w:tcPr>
          <w:p w:rsidR="000524BB" w:rsidRPr="00223651" w:rsidRDefault="000524BB" w:rsidP="00726C31">
            <w:pPr>
              <w:rPr>
                <w:sz w:val="20"/>
                <w:szCs w:val="20"/>
              </w:rPr>
            </w:pPr>
            <w:r w:rsidRPr="00223651">
              <w:rPr>
                <w:sz w:val="20"/>
                <w:szCs w:val="20"/>
              </w:rPr>
              <w:t xml:space="preserve"> </w:t>
            </w:r>
          </w:p>
        </w:tc>
        <w:tc>
          <w:tcPr>
            <w:tcW w:w="832" w:type="dxa"/>
            <w:tcBorders>
              <w:top w:val="nil"/>
              <w:left w:val="nil"/>
              <w:bottom w:val="nil"/>
              <w:right w:val="single" w:sz="4" w:space="0" w:color="auto"/>
            </w:tcBorders>
            <w:shd w:val="clear" w:color="auto" w:fill="auto"/>
            <w:noWrap/>
            <w:vAlign w:val="bottom"/>
            <w:hideMark/>
          </w:tcPr>
          <w:p w:rsidR="000524BB" w:rsidRPr="00223651" w:rsidRDefault="000524BB" w:rsidP="00F15091">
            <w:pPr>
              <w:jc w:val="center"/>
              <w:rPr>
                <w:sz w:val="20"/>
                <w:szCs w:val="20"/>
              </w:rPr>
            </w:pPr>
            <w:r w:rsidRPr="00223651">
              <w:rPr>
                <w:sz w:val="20"/>
                <w:szCs w:val="20"/>
              </w:rPr>
              <w:t>1</w:t>
            </w:r>
            <w:r w:rsidR="00F15091">
              <w:rPr>
                <w:sz w:val="20"/>
                <w:szCs w:val="20"/>
              </w:rPr>
              <w:t>3</w:t>
            </w:r>
          </w:p>
        </w:tc>
        <w:tc>
          <w:tcPr>
            <w:tcW w:w="748" w:type="dxa"/>
            <w:gridSpan w:val="2"/>
            <w:tcBorders>
              <w:top w:val="nil"/>
              <w:left w:val="nil"/>
              <w:bottom w:val="nil"/>
              <w:right w:val="nil"/>
            </w:tcBorders>
            <w:shd w:val="clear" w:color="auto" w:fill="auto"/>
            <w:noWrap/>
            <w:vAlign w:val="bottom"/>
            <w:hideMark/>
          </w:tcPr>
          <w:p w:rsidR="000524BB" w:rsidRPr="00223651" w:rsidRDefault="00354153" w:rsidP="0084075B">
            <w:pPr>
              <w:jc w:val="center"/>
              <w:rPr>
                <w:sz w:val="20"/>
                <w:szCs w:val="20"/>
              </w:rPr>
            </w:pPr>
            <w:r>
              <w:rPr>
                <w:sz w:val="20"/>
                <w:szCs w:val="20"/>
              </w:rPr>
              <w:t>6</w:t>
            </w:r>
            <w:r w:rsidR="000B0FB7">
              <w:rPr>
                <w:sz w:val="20"/>
                <w:szCs w:val="20"/>
              </w:rPr>
              <w:t>1</w:t>
            </w:r>
          </w:p>
        </w:tc>
      </w:tr>
      <w:tr w:rsidR="000524BB" w:rsidRPr="001F7FE1" w:rsidTr="00726C31">
        <w:trPr>
          <w:trHeight w:val="252"/>
        </w:trPr>
        <w:tc>
          <w:tcPr>
            <w:tcW w:w="8379" w:type="dxa"/>
            <w:tcBorders>
              <w:top w:val="nil"/>
              <w:left w:val="nil"/>
              <w:bottom w:val="nil"/>
              <w:right w:val="nil"/>
            </w:tcBorders>
            <w:shd w:val="clear" w:color="auto" w:fill="auto"/>
            <w:noWrap/>
            <w:vAlign w:val="bottom"/>
            <w:hideMark/>
          </w:tcPr>
          <w:p w:rsidR="000524BB" w:rsidRPr="00223651" w:rsidRDefault="000524BB" w:rsidP="00595D6B">
            <w:pPr>
              <w:spacing w:before="60"/>
              <w:rPr>
                <w:i/>
                <w:iCs/>
                <w:sz w:val="20"/>
                <w:szCs w:val="20"/>
                <w:lang w:val="en-US"/>
              </w:rPr>
            </w:pPr>
            <w:r w:rsidRPr="00223651">
              <w:rPr>
                <w:i/>
                <w:iCs/>
                <w:sz w:val="20"/>
                <w:szCs w:val="20"/>
                <w:lang w:val="en-US"/>
              </w:rPr>
              <w:t>Worked time in industry by sections, divisions and quarters (</w:t>
            </w:r>
            <w:r w:rsidR="00DA0892" w:rsidRPr="00DA0892">
              <w:rPr>
                <w:i/>
                <w:iCs/>
                <w:sz w:val="20"/>
                <w:szCs w:val="20"/>
                <w:lang w:val="en-US"/>
              </w:rPr>
              <w:t>2016, 2017</w:t>
            </w:r>
            <w:r w:rsidRPr="00223651">
              <w:rPr>
                <w:i/>
                <w:iCs/>
                <w:sz w:val="20"/>
                <w:szCs w:val="20"/>
                <w:lang w:val="en-US"/>
              </w:rPr>
              <w:t>)</w:t>
            </w:r>
          </w:p>
        </w:tc>
        <w:tc>
          <w:tcPr>
            <w:tcW w:w="160" w:type="dxa"/>
            <w:tcBorders>
              <w:top w:val="nil"/>
              <w:left w:val="nil"/>
              <w:bottom w:val="nil"/>
              <w:right w:val="nil"/>
            </w:tcBorders>
            <w:shd w:val="clear" w:color="auto" w:fill="auto"/>
            <w:noWrap/>
            <w:vAlign w:val="bottom"/>
            <w:hideMark/>
          </w:tcPr>
          <w:p w:rsidR="000524BB" w:rsidRPr="00223651" w:rsidRDefault="000524BB" w:rsidP="00726C31">
            <w:pPr>
              <w:rPr>
                <w:sz w:val="20"/>
                <w:szCs w:val="20"/>
                <w:lang w:val="en-US"/>
              </w:rPr>
            </w:pPr>
          </w:p>
        </w:tc>
        <w:tc>
          <w:tcPr>
            <w:tcW w:w="832" w:type="dxa"/>
            <w:tcBorders>
              <w:top w:val="nil"/>
              <w:left w:val="nil"/>
              <w:bottom w:val="nil"/>
              <w:right w:val="single" w:sz="4" w:space="0" w:color="auto"/>
            </w:tcBorders>
            <w:shd w:val="clear" w:color="auto" w:fill="auto"/>
            <w:noWrap/>
            <w:vAlign w:val="bottom"/>
            <w:hideMark/>
          </w:tcPr>
          <w:p w:rsidR="000524BB" w:rsidRPr="00223651" w:rsidRDefault="000524BB" w:rsidP="00726C31">
            <w:pPr>
              <w:jc w:val="center"/>
              <w:rPr>
                <w:sz w:val="20"/>
                <w:szCs w:val="20"/>
                <w:lang w:val="en-US"/>
              </w:rPr>
            </w:pPr>
            <w:r w:rsidRPr="00223651">
              <w:rPr>
                <w:sz w:val="20"/>
                <w:szCs w:val="20"/>
                <w:lang w:val="en-US"/>
              </w:rPr>
              <w:t> </w:t>
            </w:r>
          </w:p>
        </w:tc>
        <w:tc>
          <w:tcPr>
            <w:tcW w:w="748" w:type="dxa"/>
            <w:gridSpan w:val="2"/>
            <w:tcBorders>
              <w:top w:val="nil"/>
              <w:left w:val="nil"/>
              <w:bottom w:val="nil"/>
              <w:right w:val="nil"/>
            </w:tcBorders>
            <w:shd w:val="clear" w:color="auto" w:fill="auto"/>
            <w:noWrap/>
            <w:vAlign w:val="bottom"/>
            <w:hideMark/>
          </w:tcPr>
          <w:p w:rsidR="000524BB" w:rsidRPr="00223651" w:rsidRDefault="000524BB" w:rsidP="00726C31">
            <w:pPr>
              <w:jc w:val="center"/>
              <w:rPr>
                <w:sz w:val="20"/>
                <w:szCs w:val="20"/>
                <w:lang w:val="en-US"/>
              </w:rPr>
            </w:pPr>
          </w:p>
        </w:tc>
      </w:tr>
      <w:tr w:rsidR="000524BB" w:rsidRPr="00223651" w:rsidTr="00726C31">
        <w:trPr>
          <w:trHeight w:val="252"/>
        </w:trPr>
        <w:tc>
          <w:tcPr>
            <w:tcW w:w="8379" w:type="dxa"/>
            <w:tcBorders>
              <w:top w:val="nil"/>
              <w:left w:val="nil"/>
              <w:bottom w:val="nil"/>
              <w:right w:val="nil"/>
            </w:tcBorders>
            <w:shd w:val="clear" w:color="auto" w:fill="auto"/>
            <w:noWrap/>
            <w:vAlign w:val="bottom"/>
            <w:hideMark/>
          </w:tcPr>
          <w:p w:rsidR="000524BB" w:rsidRPr="00223651" w:rsidRDefault="000524BB" w:rsidP="00595D6B">
            <w:pPr>
              <w:spacing w:before="60"/>
              <w:rPr>
                <w:sz w:val="20"/>
                <w:szCs w:val="20"/>
              </w:rPr>
            </w:pPr>
            <w:r w:rsidRPr="00223651">
              <w:rPr>
                <w:sz w:val="20"/>
                <w:szCs w:val="20"/>
              </w:rPr>
              <w:t xml:space="preserve">Przedsiębiorstwa przemysłowe według wysokości przeciętnego miesięcznego wynagrodzenia </w:t>
            </w:r>
          </w:p>
        </w:tc>
        <w:tc>
          <w:tcPr>
            <w:tcW w:w="160" w:type="dxa"/>
            <w:tcBorders>
              <w:top w:val="nil"/>
              <w:left w:val="nil"/>
              <w:bottom w:val="nil"/>
              <w:right w:val="nil"/>
            </w:tcBorders>
            <w:shd w:val="clear" w:color="auto" w:fill="auto"/>
            <w:noWrap/>
            <w:vAlign w:val="bottom"/>
            <w:hideMark/>
          </w:tcPr>
          <w:p w:rsidR="000524BB" w:rsidRPr="00223651" w:rsidRDefault="000524BB" w:rsidP="00726C31">
            <w:pPr>
              <w:rPr>
                <w:sz w:val="20"/>
                <w:szCs w:val="20"/>
              </w:rPr>
            </w:pPr>
          </w:p>
        </w:tc>
        <w:tc>
          <w:tcPr>
            <w:tcW w:w="832" w:type="dxa"/>
            <w:tcBorders>
              <w:top w:val="nil"/>
              <w:left w:val="nil"/>
              <w:bottom w:val="nil"/>
              <w:right w:val="single" w:sz="4" w:space="0" w:color="auto"/>
            </w:tcBorders>
            <w:shd w:val="clear" w:color="auto" w:fill="auto"/>
            <w:noWrap/>
            <w:vAlign w:val="bottom"/>
            <w:hideMark/>
          </w:tcPr>
          <w:p w:rsidR="000524BB" w:rsidRPr="00223651" w:rsidRDefault="000524BB" w:rsidP="00726C31">
            <w:pPr>
              <w:jc w:val="center"/>
              <w:rPr>
                <w:sz w:val="20"/>
                <w:szCs w:val="20"/>
              </w:rPr>
            </w:pPr>
            <w:r w:rsidRPr="00223651">
              <w:rPr>
                <w:sz w:val="20"/>
                <w:szCs w:val="20"/>
              </w:rPr>
              <w:t> </w:t>
            </w:r>
          </w:p>
        </w:tc>
        <w:tc>
          <w:tcPr>
            <w:tcW w:w="748" w:type="dxa"/>
            <w:gridSpan w:val="2"/>
            <w:tcBorders>
              <w:top w:val="nil"/>
              <w:left w:val="nil"/>
              <w:bottom w:val="nil"/>
              <w:right w:val="nil"/>
            </w:tcBorders>
            <w:shd w:val="clear" w:color="auto" w:fill="auto"/>
            <w:noWrap/>
            <w:vAlign w:val="bottom"/>
            <w:hideMark/>
          </w:tcPr>
          <w:p w:rsidR="000524BB" w:rsidRPr="00223651" w:rsidRDefault="000524BB" w:rsidP="00726C31">
            <w:pPr>
              <w:jc w:val="center"/>
              <w:rPr>
                <w:sz w:val="20"/>
                <w:szCs w:val="20"/>
              </w:rPr>
            </w:pPr>
          </w:p>
        </w:tc>
      </w:tr>
      <w:tr w:rsidR="000524BB" w:rsidRPr="00223651" w:rsidTr="00726C31">
        <w:trPr>
          <w:trHeight w:val="252"/>
        </w:trPr>
        <w:tc>
          <w:tcPr>
            <w:tcW w:w="8379" w:type="dxa"/>
            <w:tcBorders>
              <w:top w:val="nil"/>
              <w:left w:val="nil"/>
              <w:bottom w:val="nil"/>
              <w:right w:val="nil"/>
            </w:tcBorders>
            <w:shd w:val="clear" w:color="auto" w:fill="auto"/>
            <w:noWrap/>
            <w:vAlign w:val="bottom"/>
            <w:hideMark/>
          </w:tcPr>
          <w:p w:rsidR="000524BB" w:rsidRPr="00223651" w:rsidRDefault="000524BB" w:rsidP="001B49C7">
            <w:pPr>
              <w:spacing w:before="60"/>
              <w:rPr>
                <w:sz w:val="20"/>
                <w:szCs w:val="20"/>
              </w:rPr>
            </w:pPr>
            <w:r w:rsidRPr="00223651">
              <w:rPr>
                <w:sz w:val="20"/>
                <w:szCs w:val="20"/>
              </w:rPr>
              <w:t xml:space="preserve">    brutto w </w:t>
            </w:r>
            <w:r w:rsidR="00325214" w:rsidRPr="00325214">
              <w:rPr>
                <w:sz w:val="20"/>
                <w:szCs w:val="20"/>
              </w:rPr>
              <w:t>I</w:t>
            </w:r>
            <w:r w:rsidR="00052699">
              <w:rPr>
                <w:sz w:val="20"/>
                <w:szCs w:val="20"/>
              </w:rPr>
              <w:t>-II</w:t>
            </w:r>
            <w:r w:rsidR="00325214" w:rsidRPr="00325214">
              <w:rPr>
                <w:sz w:val="20"/>
                <w:szCs w:val="20"/>
              </w:rPr>
              <w:t xml:space="preserve"> kwartale 2017</w:t>
            </w:r>
            <w:r w:rsidR="00B43B26">
              <w:rPr>
                <w:sz w:val="20"/>
                <w:szCs w:val="20"/>
              </w:rPr>
              <w:t xml:space="preserve"> r. </w:t>
            </w:r>
            <w:r w:rsidRPr="00223651">
              <w:rPr>
                <w:sz w:val="20"/>
                <w:szCs w:val="20"/>
              </w:rPr>
              <w:t>............</w:t>
            </w:r>
            <w:r w:rsidR="003C629B">
              <w:rPr>
                <w:sz w:val="20"/>
                <w:szCs w:val="20"/>
              </w:rPr>
              <w:t>.....</w:t>
            </w:r>
            <w:r w:rsidRPr="00223651">
              <w:rPr>
                <w:sz w:val="20"/>
                <w:szCs w:val="20"/>
              </w:rPr>
              <w:t>..........</w:t>
            </w:r>
            <w:r w:rsidR="0090390B">
              <w:rPr>
                <w:sz w:val="20"/>
                <w:szCs w:val="20"/>
              </w:rPr>
              <w:t>.</w:t>
            </w:r>
            <w:r w:rsidR="0063609A">
              <w:rPr>
                <w:sz w:val="20"/>
                <w:szCs w:val="20"/>
              </w:rPr>
              <w:t>.......................</w:t>
            </w:r>
            <w:r w:rsidR="0090390B">
              <w:rPr>
                <w:sz w:val="20"/>
                <w:szCs w:val="20"/>
              </w:rPr>
              <w:t>..............................</w:t>
            </w:r>
            <w:r w:rsidRPr="00223651">
              <w:rPr>
                <w:sz w:val="20"/>
                <w:szCs w:val="20"/>
              </w:rPr>
              <w:t>..................</w:t>
            </w:r>
            <w:r w:rsidR="00D3192B">
              <w:rPr>
                <w:sz w:val="20"/>
                <w:szCs w:val="20"/>
              </w:rPr>
              <w:t>.............</w:t>
            </w:r>
          </w:p>
        </w:tc>
        <w:tc>
          <w:tcPr>
            <w:tcW w:w="160" w:type="dxa"/>
            <w:tcBorders>
              <w:top w:val="nil"/>
              <w:left w:val="nil"/>
              <w:bottom w:val="nil"/>
              <w:right w:val="nil"/>
            </w:tcBorders>
            <w:shd w:val="clear" w:color="auto" w:fill="auto"/>
            <w:noWrap/>
            <w:vAlign w:val="bottom"/>
            <w:hideMark/>
          </w:tcPr>
          <w:p w:rsidR="000524BB" w:rsidRPr="00223651" w:rsidRDefault="000524BB" w:rsidP="00726C31">
            <w:pPr>
              <w:rPr>
                <w:sz w:val="20"/>
                <w:szCs w:val="20"/>
              </w:rPr>
            </w:pPr>
            <w:r w:rsidRPr="00223651">
              <w:rPr>
                <w:sz w:val="20"/>
                <w:szCs w:val="20"/>
              </w:rPr>
              <w:t xml:space="preserve"> </w:t>
            </w:r>
          </w:p>
        </w:tc>
        <w:tc>
          <w:tcPr>
            <w:tcW w:w="832" w:type="dxa"/>
            <w:tcBorders>
              <w:top w:val="nil"/>
              <w:left w:val="nil"/>
              <w:bottom w:val="nil"/>
              <w:right w:val="single" w:sz="4" w:space="0" w:color="auto"/>
            </w:tcBorders>
            <w:shd w:val="clear" w:color="auto" w:fill="auto"/>
            <w:noWrap/>
            <w:vAlign w:val="bottom"/>
            <w:hideMark/>
          </w:tcPr>
          <w:p w:rsidR="000524BB" w:rsidRPr="00223651" w:rsidRDefault="000524BB" w:rsidP="00F15091">
            <w:pPr>
              <w:jc w:val="center"/>
              <w:rPr>
                <w:sz w:val="20"/>
                <w:szCs w:val="20"/>
              </w:rPr>
            </w:pPr>
            <w:r w:rsidRPr="00223651">
              <w:rPr>
                <w:sz w:val="20"/>
                <w:szCs w:val="20"/>
              </w:rPr>
              <w:t>1</w:t>
            </w:r>
            <w:r w:rsidR="00F15091">
              <w:rPr>
                <w:sz w:val="20"/>
                <w:szCs w:val="20"/>
              </w:rPr>
              <w:t>4</w:t>
            </w:r>
          </w:p>
        </w:tc>
        <w:tc>
          <w:tcPr>
            <w:tcW w:w="748" w:type="dxa"/>
            <w:gridSpan w:val="2"/>
            <w:tcBorders>
              <w:top w:val="nil"/>
              <w:left w:val="nil"/>
              <w:bottom w:val="nil"/>
              <w:right w:val="nil"/>
            </w:tcBorders>
            <w:shd w:val="clear" w:color="auto" w:fill="auto"/>
            <w:noWrap/>
            <w:vAlign w:val="bottom"/>
            <w:hideMark/>
          </w:tcPr>
          <w:p w:rsidR="000524BB" w:rsidRPr="00223651" w:rsidRDefault="00354153" w:rsidP="000B0FB7">
            <w:pPr>
              <w:jc w:val="center"/>
              <w:rPr>
                <w:sz w:val="20"/>
                <w:szCs w:val="20"/>
              </w:rPr>
            </w:pPr>
            <w:r>
              <w:rPr>
                <w:sz w:val="20"/>
                <w:szCs w:val="20"/>
              </w:rPr>
              <w:t>6</w:t>
            </w:r>
            <w:r w:rsidR="000B0FB7">
              <w:rPr>
                <w:sz w:val="20"/>
                <w:szCs w:val="20"/>
              </w:rPr>
              <w:t>3</w:t>
            </w:r>
          </w:p>
        </w:tc>
      </w:tr>
      <w:tr w:rsidR="000524BB" w:rsidRPr="001F7FE1" w:rsidTr="00726C31">
        <w:trPr>
          <w:gridAfter w:val="1"/>
          <w:wAfter w:w="14" w:type="dxa"/>
          <w:trHeight w:val="252"/>
        </w:trPr>
        <w:tc>
          <w:tcPr>
            <w:tcW w:w="8379" w:type="dxa"/>
            <w:tcBorders>
              <w:top w:val="nil"/>
              <w:left w:val="nil"/>
              <w:bottom w:val="nil"/>
              <w:right w:val="nil"/>
            </w:tcBorders>
            <w:shd w:val="clear" w:color="auto" w:fill="auto"/>
            <w:noWrap/>
            <w:vAlign w:val="bottom"/>
            <w:hideMark/>
          </w:tcPr>
          <w:p w:rsidR="000524BB" w:rsidRPr="00223651" w:rsidRDefault="000524BB" w:rsidP="001B49C7">
            <w:pPr>
              <w:spacing w:before="60"/>
              <w:rPr>
                <w:i/>
                <w:iCs/>
                <w:sz w:val="20"/>
                <w:szCs w:val="20"/>
                <w:lang w:val="en-US"/>
              </w:rPr>
            </w:pPr>
            <w:r w:rsidRPr="00223651">
              <w:rPr>
                <w:i/>
                <w:iCs/>
                <w:sz w:val="20"/>
                <w:szCs w:val="20"/>
                <w:lang w:val="en-US"/>
              </w:rPr>
              <w:t>Industrial enterprises by amount of average monthly gross wag</w:t>
            </w:r>
            <w:r>
              <w:rPr>
                <w:i/>
                <w:iCs/>
                <w:sz w:val="20"/>
                <w:szCs w:val="20"/>
                <w:lang w:val="en-US"/>
              </w:rPr>
              <w:t>es and salaries in</w:t>
            </w:r>
            <w:r w:rsidR="00DE58F0">
              <w:rPr>
                <w:i/>
                <w:iCs/>
                <w:sz w:val="20"/>
                <w:szCs w:val="20"/>
                <w:lang w:val="en-US"/>
              </w:rPr>
              <w:t xml:space="preserve"> </w:t>
            </w:r>
            <w:r w:rsidR="00325214" w:rsidRPr="00325214">
              <w:rPr>
                <w:i/>
                <w:iCs/>
                <w:sz w:val="20"/>
                <w:szCs w:val="20"/>
                <w:lang w:val="en-US"/>
              </w:rPr>
              <w:t>I</w:t>
            </w:r>
            <w:r w:rsidR="00052699">
              <w:rPr>
                <w:i/>
                <w:iCs/>
                <w:sz w:val="20"/>
                <w:szCs w:val="20"/>
                <w:lang w:val="en-US"/>
              </w:rPr>
              <w:t>-II</w:t>
            </w:r>
            <w:r w:rsidR="00325214" w:rsidRPr="00325214">
              <w:rPr>
                <w:i/>
                <w:iCs/>
                <w:sz w:val="20"/>
                <w:szCs w:val="20"/>
                <w:lang w:val="en-US"/>
              </w:rPr>
              <w:t xml:space="preserve"> quarter 2017</w:t>
            </w:r>
          </w:p>
        </w:tc>
        <w:tc>
          <w:tcPr>
            <w:tcW w:w="992" w:type="dxa"/>
            <w:gridSpan w:val="2"/>
            <w:tcBorders>
              <w:top w:val="nil"/>
              <w:left w:val="nil"/>
              <w:bottom w:val="nil"/>
              <w:right w:val="single" w:sz="4" w:space="0" w:color="000000"/>
            </w:tcBorders>
            <w:shd w:val="clear" w:color="auto" w:fill="auto"/>
            <w:noWrap/>
            <w:vAlign w:val="bottom"/>
            <w:hideMark/>
          </w:tcPr>
          <w:p w:rsidR="000524BB" w:rsidRPr="00223651" w:rsidRDefault="000524BB" w:rsidP="00726C31">
            <w:pPr>
              <w:rPr>
                <w:sz w:val="20"/>
                <w:szCs w:val="20"/>
                <w:lang w:val="en-US"/>
              </w:rPr>
            </w:pPr>
            <w:r w:rsidRPr="00223651">
              <w:rPr>
                <w:sz w:val="20"/>
                <w:szCs w:val="20"/>
                <w:lang w:val="en-US"/>
              </w:rPr>
              <w:t xml:space="preserve"> </w:t>
            </w:r>
          </w:p>
        </w:tc>
        <w:tc>
          <w:tcPr>
            <w:tcW w:w="734" w:type="dxa"/>
            <w:tcBorders>
              <w:top w:val="nil"/>
              <w:left w:val="nil"/>
              <w:bottom w:val="nil"/>
              <w:right w:val="nil"/>
            </w:tcBorders>
            <w:shd w:val="clear" w:color="auto" w:fill="auto"/>
            <w:noWrap/>
            <w:vAlign w:val="bottom"/>
            <w:hideMark/>
          </w:tcPr>
          <w:p w:rsidR="000524BB" w:rsidRPr="00223651" w:rsidRDefault="000524BB" w:rsidP="00726C31">
            <w:pPr>
              <w:jc w:val="center"/>
              <w:rPr>
                <w:sz w:val="20"/>
                <w:szCs w:val="20"/>
                <w:lang w:val="en-US"/>
              </w:rPr>
            </w:pPr>
          </w:p>
        </w:tc>
      </w:tr>
      <w:tr w:rsidR="000524BB" w:rsidRPr="00223651" w:rsidTr="00726C31">
        <w:trPr>
          <w:trHeight w:val="252"/>
        </w:trPr>
        <w:tc>
          <w:tcPr>
            <w:tcW w:w="8379" w:type="dxa"/>
            <w:tcBorders>
              <w:top w:val="nil"/>
              <w:left w:val="nil"/>
              <w:bottom w:val="nil"/>
              <w:right w:val="nil"/>
            </w:tcBorders>
            <w:shd w:val="clear" w:color="auto" w:fill="auto"/>
            <w:noWrap/>
            <w:vAlign w:val="bottom"/>
            <w:hideMark/>
          </w:tcPr>
          <w:p w:rsidR="000524BB" w:rsidRPr="0090390B" w:rsidRDefault="000524BB" w:rsidP="001B49C7">
            <w:pPr>
              <w:spacing w:before="60"/>
              <w:rPr>
                <w:sz w:val="20"/>
                <w:szCs w:val="20"/>
              </w:rPr>
            </w:pPr>
            <w:r w:rsidRPr="0090390B">
              <w:rPr>
                <w:sz w:val="20"/>
                <w:szCs w:val="20"/>
              </w:rPr>
              <w:t>Aktywa obrotowe przedsiębiorstw przemysłowych według se</w:t>
            </w:r>
            <w:r w:rsidR="003B12D9" w:rsidRPr="0090390B">
              <w:rPr>
                <w:sz w:val="20"/>
                <w:szCs w:val="20"/>
              </w:rPr>
              <w:t>kcji i działów w</w:t>
            </w:r>
            <w:r w:rsidR="00DE58F0" w:rsidRPr="0090390B">
              <w:rPr>
                <w:sz w:val="20"/>
                <w:szCs w:val="20"/>
              </w:rPr>
              <w:t xml:space="preserve"> </w:t>
            </w:r>
            <w:r w:rsidR="00325214" w:rsidRPr="00325214">
              <w:rPr>
                <w:sz w:val="20"/>
                <w:szCs w:val="20"/>
              </w:rPr>
              <w:t>I</w:t>
            </w:r>
            <w:r w:rsidR="00052699">
              <w:rPr>
                <w:sz w:val="20"/>
                <w:szCs w:val="20"/>
              </w:rPr>
              <w:t>-II</w:t>
            </w:r>
            <w:r w:rsidR="00325214" w:rsidRPr="00325214">
              <w:rPr>
                <w:sz w:val="20"/>
                <w:szCs w:val="20"/>
              </w:rPr>
              <w:t xml:space="preserve"> kwartale 2017</w:t>
            </w:r>
            <w:r w:rsidR="00DE58F0" w:rsidRPr="0090390B">
              <w:rPr>
                <w:sz w:val="20"/>
                <w:szCs w:val="20"/>
              </w:rPr>
              <w:t xml:space="preserve"> </w:t>
            </w:r>
            <w:r w:rsidRPr="0090390B">
              <w:rPr>
                <w:sz w:val="20"/>
                <w:szCs w:val="20"/>
              </w:rPr>
              <w:t>r</w:t>
            </w:r>
            <w:r w:rsidR="0090390B" w:rsidRPr="0090390B">
              <w:rPr>
                <w:sz w:val="20"/>
                <w:szCs w:val="20"/>
              </w:rPr>
              <w:t>.</w:t>
            </w:r>
            <w:r w:rsidR="0063609A">
              <w:rPr>
                <w:sz w:val="20"/>
                <w:szCs w:val="20"/>
              </w:rPr>
              <w:t xml:space="preserve"> </w:t>
            </w:r>
            <w:r w:rsidR="0063609A" w:rsidRPr="00223651">
              <w:rPr>
                <w:sz w:val="20"/>
                <w:szCs w:val="20"/>
              </w:rPr>
              <w:t>...</w:t>
            </w:r>
            <w:r w:rsidR="004412CA">
              <w:rPr>
                <w:sz w:val="20"/>
                <w:szCs w:val="20"/>
              </w:rPr>
              <w:t>.</w:t>
            </w:r>
            <w:r w:rsidR="0063609A" w:rsidRPr="00223651">
              <w:rPr>
                <w:sz w:val="20"/>
                <w:szCs w:val="20"/>
              </w:rPr>
              <w:t>.</w:t>
            </w:r>
            <w:r w:rsidR="0063609A">
              <w:rPr>
                <w:sz w:val="20"/>
                <w:szCs w:val="20"/>
              </w:rPr>
              <w:t>.</w:t>
            </w:r>
          </w:p>
        </w:tc>
        <w:tc>
          <w:tcPr>
            <w:tcW w:w="160" w:type="dxa"/>
            <w:tcBorders>
              <w:top w:val="nil"/>
              <w:left w:val="nil"/>
              <w:bottom w:val="nil"/>
              <w:right w:val="nil"/>
            </w:tcBorders>
            <w:shd w:val="clear" w:color="auto" w:fill="auto"/>
            <w:noWrap/>
            <w:vAlign w:val="bottom"/>
            <w:hideMark/>
          </w:tcPr>
          <w:p w:rsidR="000524BB" w:rsidRPr="00223651" w:rsidRDefault="000524BB" w:rsidP="00726C31">
            <w:pPr>
              <w:rPr>
                <w:sz w:val="20"/>
                <w:szCs w:val="20"/>
              </w:rPr>
            </w:pPr>
            <w:r w:rsidRPr="00223651">
              <w:rPr>
                <w:sz w:val="20"/>
                <w:szCs w:val="20"/>
              </w:rPr>
              <w:t xml:space="preserve"> </w:t>
            </w:r>
          </w:p>
        </w:tc>
        <w:tc>
          <w:tcPr>
            <w:tcW w:w="832" w:type="dxa"/>
            <w:tcBorders>
              <w:top w:val="nil"/>
              <w:left w:val="nil"/>
              <w:bottom w:val="nil"/>
              <w:right w:val="single" w:sz="4" w:space="0" w:color="auto"/>
            </w:tcBorders>
            <w:shd w:val="clear" w:color="auto" w:fill="auto"/>
            <w:noWrap/>
            <w:vAlign w:val="bottom"/>
            <w:hideMark/>
          </w:tcPr>
          <w:p w:rsidR="000524BB" w:rsidRPr="00223651" w:rsidRDefault="000524BB" w:rsidP="00F15091">
            <w:pPr>
              <w:jc w:val="center"/>
              <w:rPr>
                <w:sz w:val="20"/>
                <w:szCs w:val="20"/>
              </w:rPr>
            </w:pPr>
            <w:r w:rsidRPr="00223651">
              <w:rPr>
                <w:sz w:val="20"/>
                <w:szCs w:val="20"/>
              </w:rPr>
              <w:t>1</w:t>
            </w:r>
            <w:r w:rsidR="00F15091">
              <w:rPr>
                <w:sz w:val="20"/>
                <w:szCs w:val="20"/>
              </w:rPr>
              <w:t>5</w:t>
            </w:r>
          </w:p>
        </w:tc>
        <w:tc>
          <w:tcPr>
            <w:tcW w:w="748" w:type="dxa"/>
            <w:gridSpan w:val="2"/>
            <w:tcBorders>
              <w:top w:val="nil"/>
              <w:left w:val="nil"/>
              <w:bottom w:val="nil"/>
              <w:right w:val="nil"/>
            </w:tcBorders>
            <w:shd w:val="clear" w:color="auto" w:fill="auto"/>
            <w:noWrap/>
            <w:vAlign w:val="bottom"/>
            <w:hideMark/>
          </w:tcPr>
          <w:p w:rsidR="000524BB" w:rsidRPr="00223651" w:rsidRDefault="00354153" w:rsidP="00DE585C">
            <w:pPr>
              <w:jc w:val="center"/>
              <w:rPr>
                <w:sz w:val="20"/>
                <w:szCs w:val="20"/>
              </w:rPr>
            </w:pPr>
            <w:r>
              <w:rPr>
                <w:sz w:val="20"/>
                <w:szCs w:val="20"/>
              </w:rPr>
              <w:t>6</w:t>
            </w:r>
            <w:r w:rsidR="00DE585C">
              <w:rPr>
                <w:sz w:val="20"/>
                <w:szCs w:val="20"/>
              </w:rPr>
              <w:t>6</w:t>
            </w:r>
          </w:p>
        </w:tc>
      </w:tr>
      <w:tr w:rsidR="000524BB" w:rsidRPr="001F7FE1" w:rsidTr="00726C31">
        <w:trPr>
          <w:gridAfter w:val="1"/>
          <w:wAfter w:w="14" w:type="dxa"/>
          <w:trHeight w:val="252"/>
        </w:trPr>
        <w:tc>
          <w:tcPr>
            <w:tcW w:w="8379" w:type="dxa"/>
            <w:tcBorders>
              <w:top w:val="nil"/>
              <w:left w:val="nil"/>
              <w:bottom w:val="nil"/>
              <w:right w:val="nil"/>
            </w:tcBorders>
            <w:shd w:val="clear" w:color="auto" w:fill="auto"/>
            <w:noWrap/>
            <w:vAlign w:val="bottom"/>
            <w:hideMark/>
          </w:tcPr>
          <w:p w:rsidR="000524BB" w:rsidRPr="00223651" w:rsidRDefault="000524BB" w:rsidP="001B49C7">
            <w:pPr>
              <w:spacing w:before="60"/>
              <w:rPr>
                <w:i/>
                <w:iCs/>
                <w:sz w:val="20"/>
                <w:szCs w:val="20"/>
                <w:lang w:val="en-US"/>
              </w:rPr>
            </w:pPr>
            <w:r w:rsidRPr="00223651">
              <w:rPr>
                <w:i/>
                <w:iCs/>
                <w:sz w:val="20"/>
                <w:szCs w:val="20"/>
                <w:lang w:val="en-US"/>
              </w:rPr>
              <w:t>Current assets of  industrial enterprises by sections</w:t>
            </w:r>
            <w:r>
              <w:rPr>
                <w:i/>
                <w:iCs/>
                <w:sz w:val="20"/>
                <w:szCs w:val="20"/>
                <w:lang w:val="en-US"/>
              </w:rPr>
              <w:t xml:space="preserve"> and divisions in </w:t>
            </w:r>
            <w:r w:rsidR="00325214" w:rsidRPr="00325214">
              <w:rPr>
                <w:i/>
                <w:iCs/>
                <w:sz w:val="20"/>
                <w:szCs w:val="20"/>
                <w:lang w:val="en-US"/>
              </w:rPr>
              <w:t>I</w:t>
            </w:r>
            <w:r w:rsidR="00052699">
              <w:rPr>
                <w:i/>
                <w:iCs/>
                <w:sz w:val="20"/>
                <w:szCs w:val="20"/>
                <w:lang w:val="en-US"/>
              </w:rPr>
              <w:t>-II</w:t>
            </w:r>
            <w:r w:rsidR="00325214" w:rsidRPr="00325214">
              <w:rPr>
                <w:i/>
                <w:iCs/>
                <w:sz w:val="20"/>
                <w:szCs w:val="20"/>
                <w:lang w:val="en-US"/>
              </w:rPr>
              <w:t xml:space="preserve"> quarter 2017</w:t>
            </w:r>
            <w:r w:rsidRPr="00223651">
              <w:rPr>
                <w:i/>
                <w:iCs/>
                <w:sz w:val="20"/>
                <w:szCs w:val="20"/>
                <w:lang w:val="en-US"/>
              </w:rPr>
              <w:t xml:space="preserve">    </w:t>
            </w:r>
          </w:p>
        </w:tc>
        <w:tc>
          <w:tcPr>
            <w:tcW w:w="992" w:type="dxa"/>
            <w:gridSpan w:val="2"/>
            <w:tcBorders>
              <w:top w:val="nil"/>
              <w:left w:val="nil"/>
              <w:bottom w:val="nil"/>
              <w:right w:val="single" w:sz="4" w:space="0" w:color="000000"/>
            </w:tcBorders>
            <w:shd w:val="clear" w:color="auto" w:fill="auto"/>
            <w:noWrap/>
            <w:vAlign w:val="bottom"/>
            <w:hideMark/>
          </w:tcPr>
          <w:p w:rsidR="000524BB" w:rsidRPr="00223651" w:rsidRDefault="000524BB" w:rsidP="00726C31">
            <w:pPr>
              <w:rPr>
                <w:sz w:val="20"/>
                <w:szCs w:val="20"/>
                <w:lang w:val="en-US"/>
              </w:rPr>
            </w:pPr>
            <w:r w:rsidRPr="00223651">
              <w:rPr>
                <w:sz w:val="20"/>
                <w:szCs w:val="20"/>
                <w:lang w:val="en-US"/>
              </w:rPr>
              <w:t xml:space="preserve"> </w:t>
            </w:r>
          </w:p>
        </w:tc>
        <w:tc>
          <w:tcPr>
            <w:tcW w:w="734" w:type="dxa"/>
            <w:tcBorders>
              <w:top w:val="nil"/>
              <w:left w:val="nil"/>
              <w:bottom w:val="nil"/>
              <w:right w:val="nil"/>
            </w:tcBorders>
            <w:shd w:val="clear" w:color="auto" w:fill="auto"/>
            <w:noWrap/>
            <w:vAlign w:val="bottom"/>
            <w:hideMark/>
          </w:tcPr>
          <w:p w:rsidR="000524BB" w:rsidRPr="00223651" w:rsidRDefault="000524BB" w:rsidP="00726C31">
            <w:pPr>
              <w:rPr>
                <w:sz w:val="20"/>
                <w:szCs w:val="20"/>
                <w:lang w:val="en-US"/>
              </w:rPr>
            </w:pPr>
          </w:p>
        </w:tc>
      </w:tr>
      <w:tr w:rsidR="000524BB" w:rsidRPr="00223651" w:rsidTr="00726C31">
        <w:trPr>
          <w:trHeight w:val="252"/>
        </w:trPr>
        <w:tc>
          <w:tcPr>
            <w:tcW w:w="8379" w:type="dxa"/>
            <w:tcBorders>
              <w:top w:val="nil"/>
              <w:left w:val="nil"/>
              <w:bottom w:val="nil"/>
              <w:right w:val="nil"/>
            </w:tcBorders>
            <w:shd w:val="clear" w:color="auto" w:fill="auto"/>
            <w:noWrap/>
            <w:vAlign w:val="bottom"/>
            <w:hideMark/>
          </w:tcPr>
          <w:p w:rsidR="000524BB" w:rsidRPr="00223651" w:rsidRDefault="000524BB" w:rsidP="001B49C7">
            <w:pPr>
              <w:spacing w:before="60"/>
              <w:rPr>
                <w:sz w:val="20"/>
                <w:szCs w:val="20"/>
              </w:rPr>
            </w:pPr>
            <w:r w:rsidRPr="00223651">
              <w:rPr>
                <w:sz w:val="20"/>
                <w:szCs w:val="20"/>
              </w:rPr>
              <w:t>Zobowiązania przedsiębiorstw przemysłowych według se</w:t>
            </w:r>
            <w:r w:rsidR="004412CA">
              <w:rPr>
                <w:sz w:val="20"/>
                <w:szCs w:val="20"/>
              </w:rPr>
              <w:t>kcji i działów w</w:t>
            </w:r>
            <w:r w:rsidR="00325214" w:rsidRPr="00325214">
              <w:rPr>
                <w:sz w:val="20"/>
                <w:szCs w:val="20"/>
              </w:rPr>
              <w:t xml:space="preserve"> I</w:t>
            </w:r>
            <w:r w:rsidR="00052699">
              <w:rPr>
                <w:sz w:val="20"/>
                <w:szCs w:val="20"/>
              </w:rPr>
              <w:t>-II</w:t>
            </w:r>
            <w:r w:rsidR="00325214" w:rsidRPr="00325214">
              <w:rPr>
                <w:sz w:val="20"/>
                <w:szCs w:val="20"/>
              </w:rPr>
              <w:t xml:space="preserve"> kwartale 2017</w:t>
            </w:r>
            <w:r w:rsidR="00B43B26">
              <w:rPr>
                <w:sz w:val="20"/>
                <w:szCs w:val="20"/>
              </w:rPr>
              <w:t xml:space="preserve"> r. </w:t>
            </w:r>
            <w:r w:rsidR="0063609A">
              <w:rPr>
                <w:sz w:val="20"/>
                <w:szCs w:val="20"/>
              </w:rPr>
              <w:t>.....</w:t>
            </w:r>
            <w:r w:rsidR="004412CA">
              <w:rPr>
                <w:sz w:val="20"/>
                <w:szCs w:val="20"/>
              </w:rPr>
              <w:t>..</w:t>
            </w:r>
            <w:r w:rsidR="0063609A">
              <w:rPr>
                <w:sz w:val="20"/>
                <w:szCs w:val="20"/>
              </w:rPr>
              <w:t>.....</w:t>
            </w:r>
          </w:p>
        </w:tc>
        <w:tc>
          <w:tcPr>
            <w:tcW w:w="160" w:type="dxa"/>
            <w:tcBorders>
              <w:top w:val="nil"/>
              <w:left w:val="nil"/>
              <w:bottom w:val="nil"/>
              <w:right w:val="nil"/>
            </w:tcBorders>
            <w:shd w:val="clear" w:color="auto" w:fill="auto"/>
            <w:noWrap/>
            <w:vAlign w:val="bottom"/>
            <w:hideMark/>
          </w:tcPr>
          <w:p w:rsidR="000524BB" w:rsidRPr="00223651" w:rsidRDefault="000524BB" w:rsidP="00726C31">
            <w:pPr>
              <w:rPr>
                <w:sz w:val="20"/>
                <w:szCs w:val="20"/>
              </w:rPr>
            </w:pPr>
            <w:r w:rsidRPr="00223651">
              <w:rPr>
                <w:sz w:val="20"/>
                <w:szCs w:val="20"/>
              </w:rPr>
              <w:t xml:space="preserve"> </w:t>
            </w:r>
          </w:p>
        </w:tc>
        <w:tc>
          <w:tcPr>
            <w:tcW w:w="832" w:type="dxa"/>
            <w:tcBorders>
              <w:top w:val="nil"/>
              <w:left w:val="nil"/>
              <w:bottom w:val="nil"/>
              <w:right w:val="single" w:sz="4" w:space="0" w:color="auto"/>
            </w:tcBorders>
            <w:shd w:val="clear" w:color="auto" w:fill="auto"/>
            <w:noWrap/>
            <w:vAlign w:val="bottom"/>
            <w:hideMark/>
          </w:tcPr>
          <w:p w:rsidR="000524BB" w:rsidRPr="00223651" w:rsidRDefault="000524BB" w:rsidP="00F15091">
            <w:pPr>
              <w:jc w:val="center"/>
              <w:rPr>
                <w:sz w:val="20"/>
                <w:szCs w:val="20"/>
              </w:rPr>
            </w:pPr>
            <w:r w:rsidRPr="00223651">
              <w:rPr>
                <w:sz w:val="20"/>
                <w:szCs w:val="20"/>
              </w:rPr>
              <w:t>1</w:t>
            </w:r>
            <w:r w:rsidR="00F15091">
              <w:rPr>
                <w:sz w:val="20"/>
                <w:szCs w:val="20"/>
              </w:rPr>
              <w:t>6</w:t>
            </w:r>
          </w:p>
        </w:tc>
        <w:tc>
          <w:tcPr>
            <w:tcW w:w="748" w:type="dxa"/>
            <w:gridSpan w:val="2"/>
            <w:tcBorders>
              <w:top w:val="nil"/>
              <w:left w:val="nil"/>
              <w:bottom w:val="nil"/>
              <w:right w:val="nil"/>
            </w:tcBorders>
            <w:shd w:val="clear" w:color="auto" w:fill="auto"/>
            <w:noWrap/>
            <w:vAlign w:val="bottom"/>
            <w:hideMark/>
          </w:tcPr>
          <w:p w:rsidR="000524BB" w:rsidRPr="00223651" w:rsidRDefault="00354153" w:rsidP="00DE585C">
            <w:pPr>
              <w:jc w:val="center"/>
              <w:rPr>
                <w:sz w:val="20"/>
                <w:szCs w:val="20"/>
              </w:rPr>
            </w:pPr>
            <w:r>
              <w:rPr>
                <w:sz w:val="20"/>
                <w:szCs w:val="20"/>
              </w:rPr>
              <w:t>6</w:t>
            </w:r>
            <w:r w:rsidR="00DE585C">
              <w:rPr>
                <w:sz w:val="20"/>
                <w:szCs w:val="20"/>
              </w:rPr>
              <w:t>8</w:t>
            </w:r>
          </w:p>
        </w:tc>
      </w:tr>
      <w:tr w:rsidR="000524BB" w:rsidRPr="001F7FE1" w:rsidTr="00726C31">
        <w:trPr>
          <w:trHeight w:val="252"/>
        </w:trPr>
        <w:tc>
          <w:tcPr>
            <w:tcW w:w="8379" w:type="dxa"/>
            <w:tcBorders>
              <w:top w:val="nil"/>
              <w:left w:val="nil"/>
              <w:bottom w:val="nil"/>
              <w:right w:val="nil"/>
            </w:tcBorders>
            <w:shd w:val="clear" w:color="auto" w:fill="auto"/>
            <w:noWrap/>
            <w:vAlign w:val="bottom"/>
            <w:hideMark/>
          </w:tcPr>
          <w:p w:rsidR="000524BB" w:rsidRPr="00223651" w:rsidRDefault="000524BB" w:rsidP="001B49C7">
            <w:pPr>
              <w:spacing w:before="60"/>
              <w:rPr>
                <w:i/>
                <w:iCs/>
                <w:sz w:val="20"/>
                <w:szCs w:val="20"/>
                <w:lang w:val="en-US"/>
              </w:rPr>
            </w:pPr>
            <w:r w:rsidRPr="00223651">
              <w:rPr>
                <w:i/>
                <w:iCs/>
                <w:sz w:val="20"/>
                <w:szCs w:val="20"/>
                <w:lang w:val="en-US"/>
              </w:rPr>
              <w:t>Liabilities of industrial enterprises by sections</w:t>
            </w:r>
            <w:r w:rsidR="00543D9B">
              <w:rPr>
                <w:i/>
                <w:iCs/>
                <w:sz w:val="20"/>
                <w:szCs w:val="20"/>
                <w:lang w:val="en-US"/>
              </w:rPr>
              <w:t xml:space="preserve"> and divisions in</w:t>
            </w:r>
            <w:r w:rsidR="00325214" w:rsidRPr="00325214">
              <w:rPr>
                <w:i/>
                <w:iCs/>
                <w:sz w:val="20"/>
                <w:szCs w:val="20"/>
                <w:lang w:val="en-US"/>
              </w:rPr>
              <w:t xml:space="preserve"> I</w:t>
            </w:r>
            <w:r w:rsidR="00052699">
              <w:rPr>
                <w:i/>
                <w:iCs/>
                <w:sz w:val="20"/>
                <w:szCs w:val="20"/>
                <w:lang w:val="en-US"/>
              </w:rPr>
              <w:t>-II</w:t>
            </w:r>
            <w:r w:rsidR="00325214" w:rsidRPr="00325214">
              <w:rPr>
                <w:i/>
                <w:iCs/>
                <w:sz w:val="20"/>
                <w:szCs w:val="20"/>
                <w:lang w:val="en-US"/>
              </w:rPr>
              <w:t xml:space="preserve"> quarter 2017</w:t>
            </w:r>
          </w:p>
        </w:tc>
        <w:tc>
          <w:tcPr>
            <w:tcW w:w="160" w:type="dxa"/>
            <w:tcBorders>
              <w:top w:val="nil"/>
              <w:left w:val="nil"/>
              <w:bottom w:val="nil"/>
              <w:right w:val="nil"/>
            </w:tcBorders>
            <w:shd w:val="clear" w:color="auto" w:fill="auto"/>
            <w:noWrap/>
            <w:vAlign w:val="bottom"/>
            <w:hideMark/>
          </w:tcPr>
          <w:p w:rsidR="000524BB" w:rsidRPr="00223651" w:rsidRDefault="000524BB" w:rsidP="00726C31">
            <w:pPr>
              <w:rPr>
                <w:sz w:val="20"/>
                <w:szCs w:val="20"/>
                <w:lang w:val="en-US"/>
              </w:rPr>
            </w:pPr>
          </w:p>
        </w:tc>
        <w:tc>
          <w:tcPr>
            <w:tcW w:w="832" w:type="dxa"/>
            <w:tcBorders>
              <w:top w:val="nil"/>
              <w:left w:val="nil"/>
              <w:bottom w:val="nil"/>
              <w:right w:val="single" w:sz="4" w:space="0" w:color="auto"/>
            </w:tcBorders>
            <w:shd w:val="clear" w:color="auto" w:fill="auto"/>
            <w:noWrap/>
            <w:vAlign w:val="bottom"/>
            <w:hideMark/>
          </w:tcPr>
          <w:p w:rsidR="000524BB" w:rsidRPr="00223651" w:rsidRDefault="000524BB" w:rsidP="00726C31">
            <w:pPr>
              <w:jc w:val="center"/>
              <w:rPr>
                <w:sz w:val="20"/>
                <w:szCs w:val="20"/>
                <w:lang w:val="en-US"/>
              </w:rPr>
            </w:pPr>
            <w:r w:rsidRPr="00223651">
              <w:rPr>
                <w:sz w:val="20"/>
                <w:szCs w:val="20"/>
                <w:lang w:val="en-US"/>
              </w:rPr>
              <w:t> </w:t>
            </w:r>
          </w:p>
        </w:tc>
        <w:tc>
          <w:tcPr>
            <w:tcW w:w="748" w:type="dxa"/>
            <w:gridSpan w:val="2"/>
            <w:tcBorders>
              <w:top w:val="nil"/>
              <w:left w:val="nil"/>
              <w:bottom w:val="nil"/>
              <w:right w:val="nil"/>
            </w:tcBorders>
            <w:shd w:val="clear" w:color="auto" w:fill="auto"/>
            <w:noWrap/>
            <w:vAlign w:val="bottom"/>
            <w:hideMark/>
          </w:tcPr>
          <w:p w:rsidR="000524BB" w:rsidRPr="00223651" w:rsidRDefault="000524BB" w:rsidP="00726C31">
            <w:pPr>
              <w:jc w:val="center"/>
              <w:rPr>
                <w:sz w:val="20"/>
                <w:szCs w:val="20"/>
                <w:lang w:val="en-US"/>
              </w:rPr>
            </w:pPr>
          </w:p>
        </w:tc>
      </w:tr>
      <w:tr w:rsidR="00616A8E" w:rsidRPr="00616A8E" w:rsidTr="00726C31">
        <w:trPr>
          <w:gridAfter w:val="1"/>
          <w:wAfter w:w="14" w:type="dxa"/>
          <w:trHeight w:val="252"/>
        </w:trPr>
        <w:tc>
          <w:tcPr>
            <w:tcW w:w="8379" w:type="dxa"/>
            <w:tcBorders>
              <w:top w:val="nil"/>
              <w:left w:val="nil"/>
              <w:bottom w:val="nil"/>
              <w:right w:val="nil"/>
            </w:tcBorders>
            <w:shd w:val="clear" w:color="auto" w:fill="auto"/>
            <w:noWrap/>
            <w:vAlign w:val="bottom"/>
          </w:tcPr>
          <w:p w:rsidR="00616A8E" w:rsidRPr="00616A8E" w:rsidRDefault="00616A8E" w:rsidP="00595D6B">
            <w:pPr>
              <w:spacing w:before="60"/>
              <w:rPr>
                <w:i/>
                <w:iCs/>
                <w:sz w:val="20"/>
                <w:szCs w:val="20"/>
              </w:rPr>
            </w:pPr>
            <w:r w:rsidRPr="00223651">
              <w:rPr>
                <w:sz w:val="20"/>
                <w:szCs w:val="20"/>
              </w:rPr>
              <w:t>Przychody</w:t>
            </w:r>
            <w:r>
              <w:rPr>
                <w:sz w:val="20"/>
                <w:szCs w:val="20"/>
              </w:rPr>
              <w:t xml:space="preserve"> (w tym na eksport)</w:t>
            </w:r>
            <w:r w:rsidRPr="00223651">
              <w:rPr>
                <w:sz w:val="20"/>
                <w:szCs w:val="20"/>
              </w:rPr>
              <w:t xml:space="preserve">, koszty i wynik finansowy ze sprzedaży produktów, towarów </w:t>
            </w:r>
            <w:r>
              <w:rPr>
                <w:sz w:val="20"/>
                <w:szCs w:val="20"/>
              </w:rPr>
              <w:t xml:space="preserve">       </w:t>
            </w:r>
          </w:p>
        </w:tc>
        <w:tc>
          <w:tcPr>
            <w:tcW w:w="992" w:type="dxa"/>
            <w:gridSpan w:val="2"/>
            <w:tcBorders>
              <w:top w:val="nil"/>
              <w:left w:val="nil"/>
              <w:bottom w:val="nil"/>
              <w:right w:val="single" w:sz="4" w:space="0" w:color="000000"/>
            </w:tcBorders>
            <w:shd w:val="clear" w:color="auto" w:fill="auto"/>
            <w:noWrap/>
            <w:vAlign w:val="bottom"/>
          </w:tcPr>
          <w:p w:rsidR="00616A8E" w:rsidRPr="00616A8E" w:rsidRDefault="00616A8E" w:rsidP="00726C31">
            <w:pPr>
              <w:rPr>
                <w:sz w:val="20"/>
                <w:szCs w:val="20"/>
              </w:rPr>
            </w:pPr>
          </w:p>
        </w:tc>
        <w:tc>
          <w:tcPr>
            <w:tcW w:w="734" w:type="dxa"/>
            <w:tcBorders>
              <w:top w:val="nil"/>
              <w:left w:val="nil"/>
              <w:bottom w:val="nil"/>
              <w:right w:val="nil"/>
            </w:tcBorders>
            <w:shd w:val="clear" w:color="auto" w:fill="auto"/>
            <w:noWrap/>
            <w:vAlign w:val="bottom"/>
          </w:tcPr>
          <w:p w:rsidR="00616A8E" w:rsidRPr="00616A8E" w:rsidRDefault="00616A8E" w:rsidP="00726C31">
            <w:pPr>
              <w:jc w:val="center"/>
              <w:rPr>
                <w:sz w:val="20"/>
                <w:szCs w:val="20"/>
              </w:rPr>
            </w:pPr>
          </w:p>
        </w:tc>
      </w:tr>
      <w:tr w:rsidR="00616A8E" w:rsidRPr="000D2D61" w:rsidTr="00726C31">
        <w:trPr>
          <w:gridAfter w:val="1"/>
          <w:wAfter w:w="14" w:type="dxa"/>
          <w:trHeight w:val="252"/>
        </w:trPr>
        <w:tc>
          <w:tcPr>
            <w:tcW w:w="8379" w:type="dxa"/>
            <w:tcBorders>
              <w:top w:val="nil"/>
              <w:left w:val="nil"/>
              <w:bottom w:val="nil"/>
              <w:right w:val="nil"/>
            </w:tcBorders>
            <w:shd w:val="clear" w:color="auto" w:fill="auto"/>
            <w:noWrap/>
            <w:vAlign w:val="bottom"/>
          </w:tcPr>
          <w:p w:rsidR="00616A8E" w:rsidRPr="004140BE" w:rsidRDefault="004140BE" w:rsidP="001B49C7">
            <w:pPr>
              <w:spacing w:before="60"/>
              <w:rPr>
                <w:i/>
                <w:iCs/>
                <w:sz w:val="20"/>
                <w:szCs w:val="20"/>
              </w:rPr>
            </w:pPr>
            <w:r w:rsidRPr="004140BE">
              <w:rPr>
                <w:sz w:val="20"/>
                <w:szCs w:val="20"/>
              </w:rPr>
              <w:t xml:space="preserve">    </w:t>
            </w:r>
            <w:r>
              <w:rPr>
                <w:sz w:val="20"/>
                <w:szCs w:val="20"/>
              </w:rPr>
              <w:t>i</w:t>
            </w:r>
            <w:r w:rsidRPr="004140BE">
              <w:rPr>
                <w:sz w:val="20"/>
                <w:szCs w:val="20"/>
              </w:rPr>
              <w:t xml:space="preserve"> </w:t>
            </w:r>
            <w:r w:rsidR="00616A8E" w:rsidRPr="004140BE">
              <w:rPr>
                <w:sz w:val="20"/>
                <w:szCs w:val="20"/>
              </w:rPr>
              <w:t>materiałów w przemyśle według se</w:t>
            </w:r>
            <w:r w:rsidR="001B49C7" w:rsidRPr="004140BE">
              <w:rPr>
                <w:sz w:val="20"/>
                <w:szCs w:val="20"/>
              </w:rPr>
              <w:t>kcji i działów w</w:t>
            </w:r>
            <w:r w:rsidR="00616A8E" w:rsidRPr="004140BE">
              <w:rPr>
                <w:sz w:val="20"/>
                <w:szCs w:val="20"/>
              </w:rPr>
              <w:t xml:space="preserve"> </w:t>
            </w:r>
            <w:r w:rsidR="000D2D61" w:rsidRPr="004140BE">
              <w:rPr>
                <w:sz w:val="20"/>
                <w:szCs w:val="20"/>
              </w:rPr>
              <w:t>I</w:t>
            </w:r>
            <w:r w:rsidR="00052699">
              <w:rPr>
                <w:sz w:val="20"/>
                <w:szCs w:val="20"/>
              </w:rPr>
              <w:t>-II</w:t>
            </w:r>
            <w:r w:rsidR="000D2D61" w:rsidRPr="004140BE">
              <w:rPr>
                <w:sz w:val="20"/>
                <w:szCs w:val="20"/>
              </w:rPr>
              <w:t xml:space="preserve"> kwartale 2017</w:t>
            </w:r>
            <w:r w:rsidR="00616A8E" w:rsidRPr="004140BE">
              <w:rPr>
                <w:sz w:val="20"/>
                <w:szCs w:val="20"/>
              </w:rPr>
              <w:t xml:space="preserve"> r. .....</w:t>
            </w:r>
            <w:r w:rsidR="0090390B" w:rsidRPr="004140BE">
              <w:rPr>
                <w:sz w:val="20"/>
                <w:szCs w:val="20"/>
              </w:rPr>
              <w:t>..........</w:t>
            </w:r>
            <w:r w:rsidR="004412CA">
              <w:rPr>
                <w:sz w:val="20"/>
                <w:szCs w:val="20"/>
              </w:rPr>
              <w:t>.</w:t>
            </w:r>
            <w:r w:rsidR="0090390B" w:rsidRPr="004140BE">
              <w:rPr>
                <w:sz w:val="20"/>
                <w:szCs w:val="20"/>
              </w:rPr>
              <w:t>.</w:t>
            </w:r>
            <w:r w:rsidR="0063609A" w:rsidRPr="004140BE">
              <w:rPr>
                <w:sz w:val="20"/>
                <w:szCs w:val="20"/>
              </w:rPr>
              <w:t>.......................</w:t>
            </w:r>
            <w:r w:rsidR="0090390B" w:rsidRPr="004140BE">
              <w:rPr>
                <w:sz w:val="20"/>
                <w:szCs w:val="20"/>
              </w:rPr>
              <w:t>..</w:t>
            </w:r>
          </w:p>
        </w:tc>
        <w:tc>
          <w:tcPr>
            <w:tcW w:w="992" w:type="dxa"/>
            <w:gridSpan w:val="2"/>
            <w:tcBorders>
              <w:top w:val="nil"/>
              <w:left w:val="nil"/>
              <w:bottom w:val="nil"/>
              <w:right w:val="single" w:sz="4" w:space="0" w:color="000000"/>
            </w:tcBorders>
            <w:shd w:val="clear" w:color="auto" w:fill="auto"/>
            <w:noWrap/>
            <w:vAlign w:val="bottom"/>
          </w:tcPr>
          <w:p w:rsidR="00616A8E" w:rsidRPr="000D2D61" w:rsidRDefault="00616A8E" w:rsidP="00F15091">
            <w:pPr>
              <w:jc w:val="center"/>
              <w:rPr>
                <w:sz w:val="20"/>
                <w:szCs w:val="20"/>
                <w:lang w:val="en-US"/>
              </w:rPr>
            </w:pPr>
            <w:r w:rsidRPr="004140BE">
              <w:rPr>
                <w:sz w:val="20"/>
                <w:szCs w:val="20"/>
              </w:rPr>
              <w:t xml:space="preserve">  </w:t>
            </w:r>
            <w:r w:rsidR="00C97033" w:rsidRPr="004140BE">
              <w:rPr>
                <w:sz w:val="20"/>
                <w:szCs w:val="20"/>
              </w:rPr>
              <w:t xml:space="preserve"> </w:t>
            </w:r>
            <w:r w:rsidRPr="000D2D61">
              <w:rPr>
                <w:sz w:val="20"/>
                <w:szCs w:val="20"/>
                <w:lang w:val="en-US"/>
              </w:rPr>
              <w:t>1</w:t>
            </w:r>
            <w:r w:rsidR="00F15091" w:rsidRPr="000D2D61">
              <w:rPr>
                <w:sz w:val="20"/>
                <w:szCs w:val="20"/>
                <w:lang w:val="en-US"/>
              </w:rPr>
              <w:t>7</w:t>
            </w:r>
          </w:p>
        </w:tc>
        <w:tc>
          <w:tcPr>
            <w:tcW w:w="734" w:type="dxa"/>
            <w:tcBorders>
              <w:top w:val="nil"/>
              <w:left w:val="nil"/>
              <w:bottom w:val="nil"/>
              <w:right w:val="nil"/>
            </w:tcBorders>
            <w:shd w:val="clear" w:color="auto" w:fill="auto"/>
            <w:noWrap/>
            <w:vAlign w:val="bottom"/>
          </w:tcPr>
          <w:p w:rsidR="00616A8E" w:rsidRPr="000D2D61" w:rsidRDefault="00354153" w:rsidP="00726C31">
            <w:pPr>
              <w:jc w:val="center"/>
              <w:rPr>
                <w:sz w:val="20"/>
                <w:szCs w:val="20"/>
                <w:lang w:val="en-US"/>
              </w:rPr>
            </w:pPr>
            <w:r>
              <w:rPr>
                <w:sz w:val="20"/>
                <w:szCs w:val="20"/>
                <w:lang w:val="en-US"/>
              </w:rPr>
              <w:t>7</w:t>
            </w:r>
            <w:r w:rsidR="00DE585C" w:rsidRPr="000D2D61">
              <w:rPr>
                <w:sz w:val="20"/>
                <w:szCs w:val="20"/>
                <w:lang w:val="en-US"/>
              </w:rPr>
              <w:t>0</w:t>
            </w:r>
          </w:p>
        </w:tc>
      </w:tr>
      <w:tr w:rsidR="000524BB" w:rsidRPr="001F7FE1" w:rsidTr="00726C31">
        <w:trPr>
          <w:gridAfter w:val="1"/>
          <w:wAfter w:w="14" w:type="dxa"/>
          <w:trHeight w:val="252"/>
        </w:trPr>
        <w:tc>
          <w:tcPr>
            <w:tcW w:w="8379" w:type="dxa"/>
            <w:tcBorders>
              <w:top w:val="nil"/>
              <w:left w:val="nil"/>
              <w:bottom w:val="nil"/>
              <w:right w:val="nil"/>
            </w:tcBorders>
            <w:shd w:val="clear" w:color="auto" w:fill="auto"/>
            <w:noWrap/>
            <w:vAlign w:val="bottom"/>
            <w:hideMark/>
          </w:tcPr>
          <w:p w:rsidR="000524BB" w:rsidRPr="00223651" w:rsidRDefault="000524BB" w:rsidP="00305C93">
            <w:pPr>
              <w:spacing w:before="60"/>
              <w:rPr>
                <w:i/>
                <w:iCs/>
                <w:sz w:val="20"/>
                <w:szCs w:val="20"/>
                <w:lang w:val="en-US"/>
              </w:rPr>
            </w:pPr>
            <w:r w:rsidRPr="00223651">
              <w:rPr>
                <w:i/>
                <w:iCs/>
                <w:sz w:val="20"/>
                <w:szCs w:val="20"/>
                <w:lang w:val="en-US"/>
              </w:rPr>
              <w:t>Revenues</w:t>
            </w:r>
            <w:r w:rsidR="003C1A7D">
              <w:rPr>
                <w:i/>
                <w:iCs/>
                <w:sz w:val="20"/>
                <w:szCs w:val="20"/>
                <w:lang w:val="en-US"/>
              </w:rPr>
              <w:t xml:space="preserve"> </w:t>
            </w:r>
            <w:r w:rsidR="002B2C5D">
              <w:rPr>
                <w:i/>
                <w:iCs/>
                <w:sz w:val="20"/>
                <w:szCs w:val="20"/>
                <w:lang w:val="en-US"/>
              </w:rPr>
              <w:t>(of which export)</w:t>
            </w:r>
            <w:r w:rsidRPr="00223651">
              <w:rPr>
                <w:i/>
                <w:iCs/>
                <w:sz w:val="20"/>
                <w:szCs w:val="20"/>
                <w:lang w:val="en-US"/>
              </w:rPr>
              <w:t>, costs and financial result from the sale of products, g</w:t>
            </w:r>
            <w:r w:rsidR="002B2C5D">
              <w:rPr>
                <w:i/>
                <w:iCs/>
                <w:sz w:val="20"/>
                <w:szCs w:val="20"/>
                <w:lang w:val="en-US"/>
              </w:rPr>
              <w:t xml:space="preserve">oods </w:t>
            </w:r>
          </w:p>
        </w:tc>
        <w:tc>
          <w:tcPr>
            <w:tcW w:w="992" w:type="dxa"/>
            <w:gridSpan w:val="2"/>
            <w:tcBorders>
              <w:top w:val="nil"/>
              <w:left w:val="nil"/>
              <w:bottom w:val="nil"/>
              <w:right w:val="single" w:sz="4" w:space="0" w:color="000000"/>
            </w:tcBorders>
            <w:shd w:val="clear" w:color="auto" w:fill="auto"/>
            <w:noWrap/>
            <w:vAlign w:val="bottom"/>
            <w:hideMark/>
          </w:tcPr>
          <w:p w:rsidR="000524BB" w:rsidRPr="00223651" w:rsidRDefault="000524BB" w:rsidP="00726C31">
            <w:pPr>
              <w:rPr>
                <w:sz w:val="20"/>
                <w:szCs w:val="20"/>
                <w:lang w:val="en-US"/>
              </w:rPr>
            </w:pPr>
            <w:r w:rsidRPr="00223651">
              <w:rPr>
                <w:sz w:val="20"/>
                <w:szCs w:val="20"/>
                <w:lang w:val="en-US"/>
              </w:rPr>
              <w:t xml:space="preserve"> </w:t>
            </w:r>
          </w:p>
        </w:tc>
        <w:tc>
          <w:tcPr>
            <w:tcW w:w="734" w:type="dxa"/>
            <w:tcBorders>
              <w:top w:val="nil"/>
              <w:left w:val="nil"/>
              <w:bottom w:val="nil"/>
              <w:right w:val="nil"/>
            </w:tcBorders>
            <w:shd w:val="clear" w:color="auto" w:fill="auto"/>
            <w:noWrap/>
            <w:vAlign w:val="bottom"/>
            <w:hideMark/>
          </w:tcPr>
          <w:p w:rsidR="000524BB" w:rsidRPr="00223651" w:rsidRDefault="000524BB" w:rsidP="00726C31">
            <w:pPr>
              <w:jc w:val="center"/>
              <w:rPr>
                <w:sz w:val="20"/>
                <w:szCs w:val="20"/>
                <w:lang w:val="en-US"/>
              </w:rPr>
            </w:pPr>
          </w:p>
        </w:tc>
      </w:tr>
      <w:tr w:rsidR="000D0296" w:rsidRPr="001F7FE1" w:rsidTr="00726C31">
        <w:trPr>
          <w:trHeight w:val="252"/>
        </w:trPr>
        <w:tc>
          <w:tcPr>
            <w:tcW w:w="8379" w:type="dxa"/>
            <w:tcBorders>
              <w:top w:val="nil"/>
              <w:left w:val="nil"/>
              <w:bottom w:val="nil"/>
              <w:right w:val="nil"/>
            </w:tcBorders>
            <w:shd w:val="clear" w:color="auto" w:fill="auto"/>
            <w:noWrap/>
            <w:vAlign w:val="bottom"/>
            <w:hideMark/>
          </w:tcPr>
          <w:p w:rsidR="000D0296" w:rsidRPr="000D0296" w:rsidRDefault="000D0296" w:rsidP="001B49C7">
            <w:pPr>
              <w:spacing w:before="60"/>
              <w:rPr>
                <w:i/>
                <w:sz w:val="20"/>
                <w:szCs w:val="20"/>
                <w:lang w:val="en-US"/>
              </w:rPr>
            </w:pPr>
            <w:r w:rsidRPr="000D0296">
              <w:rPr>
                <w:i/>
                <w:sz w:val="20"/>
                <w:szCs w:val="20"/>
                <w:lang w:val="en-US"/>
              </w:rPr>
              <w:t xml:space="preserve">     </w:t>
            </w:r>
            <w:r w:rsidR="002B2C5D" w:rsidRPr="00223651">
              <w:rPr>
                <w:i/>
                <w:iCs/>
                <w:sz w:val="20"/>
                <w:szCs w:val="20"/>
                <w:lang w:val="en-US"/>
              </w:rPr>
              <w:t xml:space="preserve"> </w:t>
            </w:r>
            <w:r w:rsidR="002B2C5D">
              <w:rPr>
                <w:i/>
                <w:iCs/>
                <w:sz w:val="20"/>
                <w:szCs w:val="20"/>
                <w:lang w:val="en-US"/>
              </w:rPr>
              <w:t xml:space="preserve"> </w:t>
            </w:r>
            <w:r w:rsidR="00305C93" w:rsidRPr="00305C93">
              <w:rPr>
                <w:i/>
                <w:iCs/>
                <w:sz w:val="20"/>
                <w:szCs w:val="20"/>
                <w:lang w:val="en-US"/>
              </w:rPr>
              <w:t xml:space="preserve"> and materials </w:t>
            </w:r>
            <w:r w:rsidR="002B2C5D">
              <w:rPr>
                <w:i/>
                <w:iCs/>
                <w:sz w:val="20"/>
                <w:szCs w:val="20"/>
                <w:lang w:val="en-US"/>
              </w:rPr>
              <w:t>in</w:t>
            </w:r>
            <w:r w:rsidR="002B2C5D" w:rsidRPr="00223651">
              <w:rPr>
                <w:i/>
                <w:iCs/>
                <w:sz w:val="20"/>
                <w:szCs w:val="20"/>
                <w:lang w:val="en-US"/>
              </w:rPr>
              <w:t xml:space="preserve"> industry by</w:t>
            </w:r>
            <w:r w:rsidR="002B2C5D">
              <w:rPr>
                <w:i/>
                <w:sz w:val="20"/>
                <w:szCs w:val="20"/>
                <w:lang w:val="en-US"/>
              </w:rPr>
              <w:t xml:space="preserve"> </w:t>
            </w:r>
            <w:r>
              <w:rPr>
                <w:i/>
                <w:sz w:val="20"/>
                <w:szCs w:val="20"/>
                <w:lang w:val="en-US"/>
              </w:rPr>
              <w:t>s</w:t>
            </w:r>
            <w:r w:rsidRPr="000D0296">
              <w:rPr>
                <w:i/>
                <w:sz w:val="20"/>
                <w:szCs w:val="20"/>
                <w:lang w:val="en-US"/>
              </w:rPr>
              <w:t xml:space="preserve">ections and divisions </w:t>
            </w:r>
            <w:r>
              <w:rPr>
                <w:i/>
                <w:sz w:val="20"/>
                <w:szCs w:val="20"/>
                <w:lang w:val="en-US"/>
              </w:rPr>
              <w:t>i</w:t>
            </w:r>
            <w:r w:rsidRPr="000D0296">
              <w:rPr>
                <w:i/>
                <w:sz w:val="20"/>
                <w:szCs w:val="20"/>
                <w:lang w:val="en-US"/>
              </w:rPr>
              <w:t>n</w:t>
            </w:r>
            <w:r w:rsidR="00325214" w:rsidRPr="00325214">
              <w:rPr>
                <w:i/>
                <w:iCs/>
                <w:sz w:val="20"/>
                <w:szCs w:val="20"/>
                <w:lang w:val="en-US"/>
              </w:rPr>
              <w:t xml:space="preserve"> I</w:t>
            </w:r>
            <w:r w:rsidR="00052699">
              <w:rPr>
                <w:i/>
                <w:iCs/>
                <w:sz w:val="20"/>
                <w:szCs w:val="20"/>
                <w:lang w:val="en-US"/>
              </w:rPr>
              <w:t>-II</w:t>
            </w:r>
            <w:r w:rsidR="00325214" w:rsidRPr="00325214">
              <w:rPr>
                <w:i/>
                <w:iCs/>
                <w:sz w:val="20"/>
                <w:szCs w:val="20"/>
                <w:lang w:val="en-US"/>
              </w:rPr>
              <w:t xml:space="preserve"> quarter 2017</w:t>
            </w:r>
            <w:r w:rsidRPr="000D0296">
              <w:rPr>
                <w:i/>
                <w:sz w:val="20"/>
                <w:szCs w:val="20"/>
                <w:lang w:val="en-US"/>
              </w:rPr>
              <w:t xml:space="preserve"> </w:t>
            </w:r>
          </w:p>
        </w:tc>
        <w:tc>
          <w:tcPr>
            <w:tcW w:w="160" w:type="dxa"/>
            <w:tcBorders>
              <w:top w:val="nil"/>
              <w:left w:val="nil"/>
              <w:bottom w:val="nil"/>
              <w:right w:val="nil"/>
            </w:tcBorders>
            <w:shd w:val="clear" w:color="auto" w:fill="auto"/>
            <w:noWrap/>
            <w:vAlign w:val="bottom"/>
            <w:hideMark/>
          </w:tcPr>
          <w:p w:rsidR="000D0296" w:rsidRPr="000D0296" w:rsidRDefault="000D0296" w:rsidP="00726C31">
            <w:pPr>
              <w:rPr>
                <w:sz w:val="20"/>
                <w:szCs w:val="20"/>
                <w:lang w:val="en-US"/>
              </w:rPr>
            </w:pPr>
          </w:p>
        </w:tc>
        <w:tc>
          <w:tcPr>
            <w:tcW w:w="832" w:type="dxa"/>
            <w:tcBorders>
              <w:top w:val="nil"/>
              <w:left w:val="nil"/>
              <w:bottom w:val="nil"/>
              <w:right w:val="single" w:sz="4" w:space="0" w:color="auto"/>
            </w:tcBorders>
            <w:shd w:val="clear" w:color="auto" w:fill="auto"/>
            <w:noWrap/>
            <w:vAlign w:val="bottom"/>
            <w:hideMark/>
          </w:tcPr>
          <w:p w:rsidR="000D0296" w:rsidRPr="000D0296" w:rsidRDefault="000D0296" w:rsidP="00726C31">
            <w:pPr>
              <w:jc w:val="center"/>
              <w:rPr>
                <w:sz w:val="20"/>
                <w:szCs w:val="20"/>
                <w:lang w:val="en-US"/>
              </w:rPr>
            </w:pPr>
          </w:p>
        </w:tc>
        <w:tc>
          <w:tcPr>
            <w:tcW w:w="748" w:type="dxa"/>
            <w:gridSpan w:val="2"/>
            <w:tcBorders>
              <w:top w:val="nil"/>
              <w:left w:val="nil"/>
              <w:bottom w:val="nil"/>
              <w:right w:val="nil"/>
            </w:tcBorders>
            <w:shd w:val="clear" w:color="auto" w:fill="auto"/>
            <w:noWrap/>
            <w:vAlign w:val="bottom"/>
            <w:hideMark/>
          </w:tcPr>
          <w:p w:rsidR="000D0296" w:rsidRPr="000D0296" w:rsidRDefault="000D0296" w:rsidP="00726C31">
            <w:pPr>
              <w:jc w:val="center"/>
              <w:rPr>
                <w:sz w:val="20"/>
                <w:szCs w:val="20"/>
                <w:lang w:val="en-US"/>
              </w:rPr>
            </w:pPr>
          </w:p>
        </w:tc>
      </w:tr>
      <w:tr w:rsidR="000524BB" w:rsidRPr="00223651" w:rsidTr="00726C31">
        <w:trPr>
          <w:trHeight w:val="252"/>
        </w:trPr>
        <w:tc>
          <w:tcPr>
            <w:tcW w:w="8379" w:type="dxa"/>
            <w:tcBorders>
              <w:top w:val="nil"/>
              <w:left w:val="nil"/>
              <w:bottom w:val="nil"/>
              <w:right w:val="nil"/>
            </w:tcBorders>
            <w:shd w:val="clear" w:color="auto" w:fill="auto"/>
            <w:noWrap/>
            <w:vAlign w:val="bottom"/>
            <w:hideMark/>
          </w:tcPr>
          <w:p w:rsidR="000524BB" w:rsidRPr="00223651" w:rsidRDefault="000524BB" w:rsidP="001B49C7">
            <w:pPr>
              <w:spacing w:before="60"/>
              <w:rPr>
                <w:sz w:val="20"/>
                <w:szCs w:val="20"/>
              </w:rPr>
            </w:pPr>
            <w:r w:rsidRPr="00223651">
              <w:rPr>
                <w:sz w:val="20"/>
                <w:szCs w:val="20"/>
              </w:rPr>
              <w:t xml:space="preserve">Wynik finansowy i jego opodatkowanie w przemyśle według sekcji i działów </w:t>
            </w:r>
            <w:r w:rsidR="004412CA">
              <w:rPr>
                <w:sz w:val="20"/>
                <w:szCs w:val="20"/>
              </w:rPr>
              <w:t>w</w:t>
            </w:r>
            <w:r w:rsidR="00325214" w:rsidRPr="00325214">
              <w:rPr>
                <w:sz w:val="20"/>
                <w:szCs w:val="20"/>
              </w:rPr>
              <w:t xml:space="preserve"> I</w:t>
            </w:r>
            <w:r w:rsidR="00052699">
              <w:rPr>
                <w:sz w:val="20"/>
                <w:szCs w:val="20"/>
              </w:rPr>
              <w:t>-II</w:t>
            </w:r>
            <w:r w:rsidR="00325214" w:rsidRPr="00325214">
              <w:rPr>
                <w:sz w:val="20"/>
                <w:szCs w:val="20"/>
              </w:rPr>
              <w:t xml:space="preserve"> kwartale 2017</w:t>
            </w:r>
            <w:r w:rsidRPr="00223651">
              <w:rPr>
                <w:sz w:val="20"/>
                <w:szCs w:val="20"/>
              </w:rPr>
              <w:t xml:space="preserve"> r</w:t>
            </w:r>
            <w:r w:rsidR="0090390B">
              <w:rPr>
                <w:sz w:val="20"/>
                <w:szCs w:val="20"/>
              </w:rPr>
              <w:t>.</w:t>
            </w:r>
            <w:r w:rsidR="00052699">
              <w:rPr>
                <w:sz w:val="20"/>
                <w:szCs w:val="20"/>
              </w:rPr>
              <w:t>.</w:t>
            </w:r>
            <w:r w:rsidR="004412CA">
              <w:rPr>
                <w:sz w:val="20"/>
                <w:szCs w:val="20"/>
              </w:rPr>
              <w:t>.</w:t>
            </w:r>
            <w:r w:rsidR="0063609A">
              <w:rPr>
                <w:sz w:val="20"/>
                <w:szCs w:val="20"/>
              </w:rPr>
              <w:t>.</w:t>
            </w:r>
          </w:p>
        </w:tc>
        <w:tc>
          <w:tcPr>
            <w:tcW w:w="160" w:type="dxa"/>
            <w:tcBorders>
              <w:top w:val="nil"/>
              <w:left w:val="nil"/>
              <w:bottom w:val="nil"/>
              <w:right w:val="nil"/>
            </w:tcBorders>
            <w:shd w:val="clear" w:color="auto" w:fill="auto"/>
            <w:noWrap/>
            <w:vAlign w:val="bottom"/>
            <w:hideMark/>
          </w:tcPr>
          <w:p w:rsidR="000524BB" w:rsidRPr="009415DC" w:rsidRDefault="000524BB" w:rsidP="00726C31">
            <w:pPr>
              <w:rPr>
                <w:sz w:val="20"/>
                <w:szCs w:val="20"/>
              </w:rPr>
            </w:pPr>
          </w:p>
        </w:tc>
        <w:tc>
          <w:tcPr>
            <w:tcW w:w="832" w:type="dxa"/>
            <w:tcBorders>
              <w:top w:val="nil"/>
              <w:left w:val="nil"/>
              <w:bottom w:val="nil"/>
              <w:right w:val="single" w:sz="4" w:space="0" w:color="auto"/>
            </w:tcBorders>
            <w:shd w:val="clear" w:color="auto" w:fill="auto"/>
            <w:noWrap/>
            <w:vAlign w:val="bottom"/>
            <w:hideMark/>
          </w:tcPr>
          <w:p w:rsidR="000524BB" w:rsidRPr="009415DC" w:rsidRDefault="00C97033" w:rsidP="00F15091">
            <w:pPr>
              <w:jc w:val="center"/>
              <w:rPr>
                <w:sz w:val="20"/>
                <w:szCs w:val="20"/>
              </w:rPr>
            </w:pPr>
            <w:r>
              <w:rPr>
                <w:sz w:val="20"/>
                <w:szCs w:val="20"/>
              </w:rPr>
              <w:t xml:space="preserve"> </w:t>
            </w:r>
            <w:r w:rsidR="000524BB">
              <w:rPr>
                <w:sz w:val="20"/>
                <w:szCs w:val="20"/>
              </w:rPr>
              <w:t>1</w:t>
            </w:r>
            <w:r w:rsidR="00F15091">
              <w:rPr>
                <w:sz w:val="20"/>
                <w:szCs w:val="20"/>
              </w:rPr>
              <w:t>8</w:t>
            </w:r>
            <w:r w:rsidR="000524BB" w:rsidRPr="009415DC">
              <w:rPr>
                <w:sz w:val="20"/>
                <w:szCs w:val="20"/>
              </w:rPr>
              <w:t> </w:t>
            </w:r>
          </w:p>
        </w:tc>
        <w:tc>
          <w:tcPr>
            <w:tcW w:w="748" w:type="dxa"/>
            <w:gridSpan w:val="2"/>
            <w:tcBorders>
              <w:top w:val="nil"/>
              <w:left w:val="nil"/>
              <w:bottom w:val="nil"/>
              <w:right w:val="nil"/>
            </w:tcBorders>
            <w:shd w:val="clear" w:color="auto" w:fill="auto"/>
            <w:noWrap/>
            <w:vAlign w:val="bottom"/>
            <w:hideMark/>
          </w:tcPr>
          <w:p w:rsidR="000524BB" w:rsidRPr="009415DC" w:rsidRDefault="00354153" w:rsidP="00DE585C">
            <w:pPr>
              <w:jc w:val="center"/>
              <w:rPr>
                <w:sz w:val="20"/>
                <w:szCs w:val="20"/>
              </w:rPr>
            </w:pPr>
            <w:r>
              <w:rPr>
                <w:sz w:val="20"/>
                <w:szCs w:val="20"/>
              </w:rPr>
              <w:t>7</w:t>
            </w:r>
            <w:r w:rsidR="00DE585C">
              <w:rPr>
                <w:sz w:val="20"/>
                <w:szCs w:val="20"/>
              </w:rPr>
              <w:t>2</w:t>
            </w:r>
          </w:p>
        </w:tc>
      </w:tr>
      <w:tr w:rsidR="000524BB" w:rsidRPr="001F7FE1" w:rsidTr="00726C31">
        <w:trPr>
          <w:trHeight w:val="285"/>
        </w:trPr>
        <w:tc>
          <w:tcPr>
            <w:tcW w:w="8379" w:type="dxa"/>
            <w:tcBorders>
              <w:top w:val="nil"/>
              <w:left w:val="nil"/>
              <w:bottom w:val="nil"/>
              <w:right w:val="nil"/>
            </w:tcBorders>
            <w:shd w:val="clear" w:color="auto" w:fill="auto"/>
            <w:noWrap/>
            <w:vAlign w:val="bottom"/>
            <w:hideMark/>
          </w:tcPr>
          <w:p w:rsidR="000524BB" w:rsidRPr="00DA465C" w:rsidRDefault="000524BB" w:rsidP="001B49C7">
            <w:pPr>
              <w:spacing w:before="60"/>
              <w:rPr>
                <w:i/>
                <w:iCs/>
                <w:sz w:val="20"/>
                <w:szCs w:val="20"/>
                <w:lang w:val="en-US"/>
              </w:rPr>
            </w:pPr>
            <w:r w:rsidRPr="00DA465C">
              <w:rPr>
                <w:i/>
                <w:iCs/>
                <w:sz w:val="20"/>
                <w:szCs w:val="20"/>
                <w:lang w:val="en-US"/>
              </w:rPr>
              <w:t>Financial result and its taxation in indust</w:t>
            </w:r>
            <w:r w:rsidR="000D0296">
              <w:rPr>
                <w:i/>
                <w:iCs/>
                <w:sz w:val="20"/>
                <w:szCs w:val="20"/>
                <w:lang w:val="en-US"/>
              </w:rPr>
              <w:t>ry by sections and divisions in</w:t>
            </w:r>
            <w:r w:rsidR="00325214" w:rsidRPr="00325214">
              <w:rPr>
                <w:i/>
                <w:iCs/>
                <w:sz w:val="20"/>
                <w:szCs w:val="20"/>
                <w:lang w:val="en-US"/>
              </w:rPr>
              <w:t xml:space="preserve"> I</w:t>
            </w:r>
            <w:r w:rsidR="00052699">
              <w:rPr>
                <w:i/>
                <w:iCs/>
                <w:sz w:val="20"/>
                <w:szCs w:val="20"/>
                <w:lang w:val="en-US"/>
              </w:rPr>
              <w:t>-II</w:t>
            </w:r>
            <w:r w:rsidR="00325214" w:rsidRPr="00325214">
              <w:rPr>
                <w:i/>
                <w:iCs/>
                <w:sz w:val="20"/>
                <w:szCs w:val="20"/>
                <w:lang w:val="en-US"/>
              </w:rPr>
              <w:t xml:space="preserve"> quarter 2017</w:t>
            </w:r>
          </w:p>
        </w:tc>
        <w:tc>
          <w:tcPr>
            <w:tcW w:w="160" w:type="dxa"/>
            <w:tcBorders>
              <w:top w:val="nil"/>
              <w:left w:val="nil"/>
              <w:bottom w:val="nil"/>
              <w:right w:val="nil"/>
            </w:tcBorders>
            <w:shd w:val="clear" w:color="auto" w:fill="auto"/>
            <w:noWrap/>
            <w:vAlign w:val="bottom"/>
            <w:hideMark/>
          </w:tcPr>
          <w:p w:rsidR="000524BB" w:rsidRPr="009415DC" w:rsidRDefault="000524BB" w:rsidP="00726C31">
            <w:pPr>
              <w:rPr>
                <w:sz w:val="20"/>
                <w:szCs w:val="20"/>
                <w:lang w:val="en-US"/>
              </w:rPr>
            </w:pPr>
            <w:r w:rsidRPr="009415DC">
              <w:rPr>
                <w:sz w:val="20"/>
                <w:szCs w:val="20"/>
                <w:lang w:val="en-US"/>
              </w:rPr>
              <w:t xml:space="preserve"> </w:t>
            </w:r>
          </w:p>
        </w:tc>
        <w:tc>
          <w:tcPr>
            <w:tcW w:w="832" w:type="dxa"/>
            <w:tcBorders>
              <w:top w:val="nil"/>
              <w:left w:val="nil"/>
              <w:bottom w:val="nil"/>
              <w:right w:val="single" w:sz="4" w:space="0" w:color="auto"/>
            </w:tcBorders>
            <w:shd w:val="clear" w:color="auto" w:fill="auto"/>
            <w:noWrap/>
            <w:vAlign w:val="bottom"/>
            <w:hideMark/>
          </w:tcPr>
          <w:p w:rsidR="000524BB" w:rsidRPr="00EA511A" w:rsidRDefault="000524BB" w:rsidP="00726C31">
            <w:pPr>
              <w:jc w:val="center"/>
              <w:rPr>
                <w:b/>
                <w:sz w:val="20"/>
                <w:szCs w:val="20"/>
                <w:lang w:val="en-US"/>
              </w:rPr>
            </w:pPr>
          </w:p>
        </w:tc>
        <w:tc>
          <w:tcPr>
            <w:tcW w:w="748" w:type="dxa"/>
            <w:gridSpan w:val="2"/>
            <w:tcBorders>
              <w:top w:val="nil"/>
              <w:left w:val="nil"/>
              <w:bottom w:val="nil"/>
              <w:right w:val="nil"/>
            </w:tcBorders>
            <w:shd w:val="clear" w:color="auto" w:fill="auto"/>
            <w:noWrap/>
            <w:vAlign w:val="bottom"/>
            <w:hideMark/>
          </w:tcPr>
          <w:p w:rsidR="000524BB" w:rsidRPr="00EA511A" w:rsidRDefault="000524BB" w:rsidP="00726C31">
            <w:pPr>
              <w:jc w:val="center"/>
              <w:rPr>
                <w:sz w:val="20"/>
                <w:szCs w:val="20"/>
                <w:lang w:val="en-US"/>
              </w:rPr>
            </w:pPr>
          </w:p>
        </w:tc>
      </w:tr>
      <w:tr w:rsidR="000524BB" w:rsidRPr="00223651" w:rsidTr="00726C31">
        <w:trPr>
          <w:trHeight w:val="270"/>
        </w:trPr>
        <w:tc>
          <w:tcPr>
            <w:tcW w:w="8379" w:type="dxa"/>
            <w:tcBorders>
              <w:top w:val="nil"/>
              <w:left w:val="nil"/>
              <w:bottom w:val="nil"/>
              <w:right w:val="nil"/>
            </w:tcBorders>
            <w:shd w:val="clear" w:color="auto" w:fill="auto"/>
            <w:noWrap/>
            <w:vAlign w:val="bottom"/>
            <w:hideMark/>
          </w:tcPr>
          <w:p w:rsidR="000524BB" w:rsidRPr="0090390B" w:rsidRDefault="000524BB" w:rsidP="001B49C7">
            <w:pPr>
              <w:spacing w:before="60"/>
              <w:rPr>
                <w:sz w:val="20"/>
                <w:szCs w:val="20"/>
              </w:rPr>
            </w:pPr>
            <w:r w:rsidRPr="0090390B">
              <w:rPr>
                <w:sz w:val="20"/>
                <w:szCs w:val="20"/>
              </w:rPr>
              <w:t>Przedsiębiorstwa przemysłowe według wskaź</w:t>
            </w:r>
            <w:r w:rsidR="001B49C7">
              <w:rPr>
                <w:sz w:val="20"/>
                <w:szCs w:val="20"/>
              </w:rPr>
              <w:t>nika rentowności obrotu netto w</w:t>
            </w:r>
            <w:r w:rsidR="00325214" w:rsidRPr="00325214">
              <w:rPr>
                <w:sz w:val="20"/>
                <w:szCs w:val="20"/>
              </w:rPr>
              <w:t xml:space="preserve"> I</w:t>
            </w:r>
            <w:r w:rsidR="00052699">
              <w:rPr>
                <w:sz w:val="20"/>
                <w:szCs w:val="20"/>
              </w:rPr>
              <w:t>-II</w:t>
            </w:r>
            <w:r w:rsidR="00325214" w:rsidRPr="00325214">
              <w:rPr>
                <w:sz w:val="20"/>
                <w:szCs w:val="20"/>
              </w:rPr>
              <w:t xml:space="preserve"> kwartale 2017</w:t>
            </w:r>
            <w:r w:rsidRPr="0090390B">
              <w:rPr>
                <w:sz w:val="20"/>
                <w:szCs w:val="20"/>
              </w:rPr>
              <w:t xml:space="preserve"> r</w:t>
            </w:r>
            <w:r w:rsidR="0090390B" w:rsidRPr="0090390B">
              <w:rPr>
                <w:sz w:val="20"/>
                <w:szCs w:val="20"/>
              </w:rPr>
              <w:t>.</w:t>
            </w:r>
            <w:r w:rsidR="0063609A">
              <w:rPr>
                <w:sz w:val="20"/>
                <w:szCs w:val="20"/>
              </w:rPr>
              <w:t xml:space="preserve"> ..</w:t>
            </w:r>
            <w:r w:rsidR="004412CA">
              <w:rPr>
                <w:sz w:val="20"/>
                <w:szCs w:val="20"/>
              </w:rPr>
              <w:t>.</w:t>
            </w:r>
            <w:r w:rsidR="00052699">
              <w:rPr>
                <w:sz w:val="20"/>
                <w:szCs w:val="20"/>
              </w:rPr>
              <w:t>..</w:t>
            </w:r>
          </w:p>
        </w:tc>
        <w:tc>
          <w:tcPr>
            <w:tcW w:w="160" w:type="dxa"/>
            <w:tcBorders>
              <w:top w:val="nil"/>
              <w:left w:val="nil"/>
              <w:bottom w:val="nil"/>
              <w:right w:val="nil"/>
            </w:tcBorders>
            <w:shd w:val="clear" w:color="auto" w:fill="auto"/>
            <w:noWrap/>
            <w:vAlign w:val="bottom"/>
            <w:hideMark/>
          </w:tcPr>
          <w:p w:rsidR="000524BB" w:rsidRPr="00223651" w:rsidRDefault="000524BB" w:rsidP="00726C31">
            <w:pPr>
              <w:rPr>
                <w:sz w:val="20"/>
                <w:szCs w:val="20"/>
              </w:rPr>
            </w:pPr>
            <w:r w:rsidRPr="00223651">
              <w:rPr>
                <w:sz w:val="20"/>
                <w:szCs w:val="20"/>
              </w:rPr>
              <w:t xml:space="preserve"> </w:t>
            </w:r>
          </w:p>
        </w:tc>
        <w:tc>
          <w:tcPr>
            <w:tcW w:w="832" w:type="dxa"/>
            <w:tcBorders>
              <w:top w:val="nil"/>
              <w:left w:val="nil"/>
              <w:bottom w:val="nil"/>
              <w:right w:val="single" w:sz="4" w:space="0" w:color="auto"/>
            </w:tcBorders>
            <w:shd w:val="clear" w:color="auto" w:fill="auto"/>
            <w:noWrap/>
            <w:vAlign w:val="bottom"/>
            <w:hideMark/>
          </w:tcPr>
          <w:p w:rsidR="000524BB" w:rsidRPr="00223651" w:rsidRDefault="004D2B16" w:rsidP="00F15091">
            <w:pPr>
              <w:jc w:val="center"/>
              <w:rPr>
                <w:sz w:val="20"/>
                <w:szCs w:val="20"/>
              </w:rPr>
            </w:pPr>
            <w:r>
              <w:rPr>
                <w:sz w:val="20"/>
                <w:szCs w:val="20"/>
              </w:rPr>
              <w:t>1</w:t>
            </w:r>
            <w:r w:rsidR="00F15091">
              <w:rPr>
                <w:sz w:val="20"/>
                <w:szCs w:val="20"/>
              </w:rPr>
              <w:t>9</w:t>
            </w:r>
          </w:p>
        </w:tc>
        <w:tc>
          <w:tcPr>
            <w:tcW w:w="748" w:type="dxa"/>
            <w:gridSpan w:val="2"/>
            <w:tcBorders>
              <w:top w:val="nil"/>
              <w:left w:val="nil"/>
              <w:bottom w:val="nil"/>
              <w:right w:val="nil"/>
            </w:tcBorders>
            <w:shd w:val="clear" w:color="auto" w:fill="auto"/>
            <w:noWrap/>
            <w:vAlign w:val="bottom"/>
            <w:hideMark/>
          </w:tcPr>
          <w:p w:rsidR="000524BB" w:rsidRPr="00223651" w:rsidRDefault="00354153" w:rsidP="00DE585C">
            <w:pPr>
              <w:jc w:val="center"/>
              <w:rPr>
                <w:sz w:val="20"/>
                <w:szCs w:val="20"/>
              </w:rPr>
            </w:pPr>
            <w:r>
              <w:rPr>
                <w:sz w:val="20"/>
                <w:szCs w:val="20"/>
              </w:rPr>
              <w:t>7</w:t>
            </w:r>
            <w:r w:rsidR="00DE585C">
              <w:rPr>
                <w:sz w:val="20"/>
                <w:szCs w:val="20"/>
              </w:rPr>
              <w:t>4</w:t>
            </w:r>
          </w:p>
        </w:tc>
      </w:tr>
      <w:tr w:rsidR="00E30017" w:rsidRPr="001F7FE1" w:rsidTr="009C2A66">
        <w:trPr>
          <w:trHeight w:val="277"/>
        </w:trPr>
        <w:tc>
          <w:tcPr>
            <w:tcW w:w="8379" w:type="dxa"/>
            <w:tcBorders>
              <w:top w:val="nil"/>
              <w:left w:val="nil"/>
              <w:right w:val="nil"/>
            </w:tcBorders>
            <w:shd w:val="clear" w:color="auto" w:fill="auto"/>
            <w:noWrap/>
            <w:vAlign w:val="bottom"/>
          </w:tcPr>
          <w:p w:rsidR="00E30017" w:rsidRPr="00E30017" w:rsidRDefault="00E30017" w:rsidP="001B49C7">
            <w:pPr>
              <w:spacing w:before="60"/>
              <w:rPr>
                <w:iCs/>
                <w:sz w:val="20"/>
                <w:szCs w:val="20"/>
                <w:lang w:val="en-US"/>
              </w:rPr>
            </w:pPr>
            <w:r w:rsidRPr="00E30017">
              <w:rPr>
                <w:i/>
                <w:iCs/>
                <w:sz w:val="20"/>
                <w:szCs w:val="20"/>
                <w:lang w:val="en-US"/>
              </w:rPr>
              <w:t>Industrial enterprises by profitabi</w:t>
            </w:r>
            <w:r w:rsidR="00886743">
              <w:rPr>
                <w:i/>
                <w:iCs/>
                <w:sz w:val="20"/>
                <w:szCs w:val="20"/>
                <w:lang w:val="en-US"/>
              </w:rPr>
              <w:t>lity r</w:t>
            </w:r>
            <w:r w:rsidR="001B49C7">
              <w:rPr>
                <w:i/>
                <w:iCs/>
                <w:sz w:val="20"/>
                <w:szCs w:val="20"/>
                <w:lang w:val="en-US"/>
              </w:rPr>
              <w:t>ate of net turnover in</w:t>
            </w:r>
            <w:r w:rsidRPr="00E30017">
              <w:rPr>
                <w:i/>
                <w:iCs/>
                <w:sz w:val="20"/>
                <w:szCs w:val="20"/>
                <w:lang w:val="en-US"/>
              </w:rPr>
              <w:t xml:space="preserve"> </w:t>
            </w:r>
            <w:r w:rsidR="00325214" w:rsidRPr="00325214">
              <w:rPr>
                <w:i/>
                <w:iCs/>
                <w:sz w:val="20"/>
                <w:szCs w:val="20"/>
                <w:lang w:val="en-US"/>
              </w:rPr>
              <w:t>I</w:t>
            </w:r>
            <w:r w:rsidR="00052699">
              <w:rPr>
                <w:i/>
                <w:iCs/>
                <w:sz w:val="20"/>
                <w:szCs w:val="20"/>
                <w:lang w:val="en-US"/>
              </w:rPr>
              <w:t>-II</w:t>
            </w:r>
            <w:r w:rsidR="00325214" w:rsidRPr="00325214">
              <w:rPr>
                <w:i/>
                <w:iCs/>
                <w:sz w:val="20"/>
                <w:szCs w:val="20"/>
                <w:lang w:val="en-US"/>
              </w:rPr>
              <w:t xml:space="preserve"> quarter 2017</w:t>
            </w:r>
          </w:p>
        </w:tc>
        <w:tc>
          <w:tcPr>
            <w:tcW w:w="160" w:type="dxa"/>
            <w:tcBorders>
              <w:top w:val="nil"/>
              <w:left w:val="nil"/>
              <w:bottom w:val="nil"/>
              <w:right w:val="nil"/>
            </w:tcBorders>
            <w:shd w:val="clear" w:color="auto" w:fill="auto"/>
            <w:noWrap/>
            <w:vAlign w:val="bottom"/>
          </w:tcPr>
          <w:p w:rsidR="00E30017" w:rsidRPr="00E30017" w:rsidRDefault="00E30017" w:rsidP="00E30017">
            <w:pPr>
              <w:rPr>
                <w:sz w:val="20"/>
                <w:szCs w:val="20"/>
                <w:lang w:val="en-US"/>
              </w:rPr>
            </w:pPr>
          </w:p>
        </w:tc>
        <w:tc>
          <w:tcPr>
            <w:tcW w:w="832" w:type="dxa"/>
            <w:tcBorders>
              <w:top w:val="nil"/>
              <w:left w:val="nil"/>
              <w:bottom w:val="nil"/>
              <w:right w:val="single" w:sz="4" w:space="0" w:color="auto"/>
            </w:tcBorders>
            <w:shd w:val="clear" w:color="auto" w:fill="auto"/>
            <w:noWrap/>
            <w:vAlign w:val="bottom"/>
          </w:tcPr>
          <w:p w:rsidR="00E30017" w:rsidRPr="00E30017" w:rsidRDefault="00E30017" w:rsidP="00E30017">
            <w:pPr>
              <w:jc w:val="center"/>
              <w:rPr>
                <w:sz w:val="20"/>
                <w:szCs w:val="20"/>
                <w:lang w:val="en-US"/>
              </w:rPr>
            </w:pPr>
          </w:p>
        </w:tc>
        <w:tc>
          <w:tcPr>
            <w:tcW w:w="748" w:type="dxa"/>
            <w:gridSpan w:val="2"/>
            <w:tcBorders>
              <w:top w:val="nil"/>
              <w:left w:val="nil"/>
              <w:bottom w:val="nil"/>
              <w:right w:val="nil"/>
            </w:tcBorders>
            <w:shd w:val="clear" w:color="auto" w:fill="auto"/>
            <w:noWrap/>
            <w:vAlign w:val="bottom"/>
          </w:tcPr>
          <w:p w:rsidR="00E30017" w:rsidRPr="00E30017" w:rsidRDefault="00E30017" w:rsidP="00E30017">
            <w:pPr>
              <w:jc w:val="center"/>
              <w:rPr>
                <w:sz w:val="20"/>
                <w:szCs w:val="20"/>
                <w:lang w:val="en-US"/>
              </w:rPr>
            </w:pPr>
          </w:p>
        </w:tc>
      </w:tr>
      <w:tr w:rsidR="003F69AB" w:rsidRPr="003F69AB" w:rsidTr="00460170">
        <w:trPr>
          <w:trHeight w:val="277"/>
        </w:trPr>
        <w:tc>
          <w:tcPr>
            <w:tcW w:w="8379" w:type="dxa"/>
            <w:tcBorders>
              <w:top w:val="nil"/>
              <w:left w:val="nil"/>
              <w:bottom w:val="nil"/>
              <w:right w:val="nil"/>
            </w:tcBorders>
            <w:shd w:val="clear" w:color="auto" w:fill="auto"/>
            <w:noWrap/>
            <w:vAlign w:val="bottom"/>
          </w:tcPr>
          <w:p w:rsidR="003F69AB" w:rsidRPr="002E5D54" w:rsidRDefault="003F69AB" w:rsidP="003F69AB">
            <w:pPr>
              <w:spacing w:before="60"/>
              <w:rPr>
                <w:iCs/>
                <w:sz w:val="20"/>
                <w:szCs w:val="20"/>
              </w:rPr>
            </w:pPr>
            <w:r w:rsidRPr="002E5D54">
              <w:rPr>
                <w:iCs/>
                <w:sz w:val="20"/>
                <w:szCs w:val="20"/>
              </w:rPr>
              <w:t xml:space="preserve">Nakłady inwestycyjne oraz inwestycje rozpoczęte w przemyśle według sekcji i działów </w:t>
            </w:r>
          </w:p>
          <w:p w:rsidR="003F69AB" w:rsidRPr="00223651" w:rsidRDefault="003F69AB" w:rsidP="003F69AB">
            <w:pPr>
              <w:spacing w:before="60"/>
              <w:rPr>
                <w:sz w:val="20"/>
                <w:szCs w:val="20"/>
              </w:rPr>
            </w:pPr>
            <w:r>
              <w:rPr>
                <w:iCs/>
                <w:sz w:val="20"/>
                <w:szCs w:val="20"/>
              </w:rPr>
              <w:t xml:space="preserve">    </w:t>
            </w:r>
            <w:r w:rsidRPr="002E5D54">
              <w:rPr>
                <w:iCs/>
                <w:sz w:val="20"/>
                <w:szCs w:val="20"/>
              </w:rPr>
              <w:t>w I-II kwartale 201</w:t>
            </w:r>
            <w:r>
              <w:rPr>
                <w:iCs/>
                <w:sz w:val="20"/>
                <w:szCs w:val="20"/>
              </w:rPr>
              <w:t>7</w:t>
            </w:r>
            <w:r w:rsidRPr="002E5D54">
              <w:rPr>
                <w:iCs/>
                <w:sz w:val="20"/>
                <w:szCs w:val="20"/>
              </w:rPr>
              <w:t xml:space="preserve"> r…………………………………………………………………………………</w:t>
            </w:r>
          </w:p>
        </w:tc>
        <w:tc>
          <w:tcPr>
            <w:tcW w:w="160" w:type="dxa"/>
            <w:tcBorders>
              <w:top w:val="nil"/>
              <w:left w:val="nil"/>
              <w:bottom w:val="nil"/>
              <w:right w:val="nil"/>
            </w:tcBorders>
            <w:shd w:val="clear" w:color="auto" w:fill="auto"/>
            <w:noWrap/>
            <w:vAlign w:val="bottom"/>
          </w:tcPr>
          <w:p w:rsidR="003F69AB" w:rsidRPr="003F69AB" w:rsidRDefault="003F69AB" w:rsidP="003F69AB">
            <w:pPr>
              <w:rPr>
                <w:sz w:val="20"/>
                <w:szCs w:val="20"/>
              </w:rPr>
            </w:pPr>
          </w:p>
        </w:tc>
        <w:tc>
          <w:tcPr>
            <w:tcW w:w="832" w:type="dxa"/>
            <w:tcBorders>
              <w:top w:val="nil"/>
              <w:left w:val="nil"/>
              <w:bottom w:val="nil"/>
              <w:right w:val="single" w:sz="4" w:space="0" w:color="auto"/>
            </w:tcBorders>
            <w:shd w:val="clear" w:color="auto" w:fill="auto"/>
            <w:noWrap/>
            <w:vAlign w:val="bottom"/>
          </w:tcPr>
          <w:p w:rsidR="003F69AB" w:rsidRPr="003F69AB" w:rsidRDefault="003F69AB" w:rsidP="003F69AB">
            <w:pPr>
              <w:jc w:val="center"/>
              <w:rPr>
                <w:sz w:val="20"/>
                <w:szCs w:val="20"/>
              </w:rPr>
            </w:pPr>
            <w:r>
              <w:rPr>
                <w:sz w:val="20"/>
                <w:szCs w:val="20"/>
              </w:rPr>
              <w:t>20</w:t>
            </w:r>
          </w:p>
        </w:tc>
        <w:tc>
          <w:tcPr>
            <w:tcW w:w="748" w:type="dxa"/>
            <w:gridSpan w:val="2"/>
            <w:tcBorders>
              <w:top w:val="nil"/>
              <w:left w:val="nil"/>
              <w:bottom w:val="nil"/>
              <w:right w:val="nil"/>
            </w:tcBorders>
            <w:shd w:val="clear" w:color="auto" w:fill="auto"/>
            <w:noWrap/>
            <w:vAlign w:val="bottom"/>
          </w:tcPr>
          <w:p w:rsidR="003F69AB" w:rsidRPr="003F69AB" w:rsidRDefault="003F69AB" w:rsidP="003F69AB">
            <w:pPr>
              <w:jc w:val="center"/>
              <w:rPr>
                <w:sz w:val="20"/>
                <w:szCs w:val="20"/>
              </w:rPr>
            </w:pPr>
            <w:r>
              <w:rPr>
                <w:sz w:val="20"/>
                <w:szCs w:val="20"/>
              </w:rPr>
              <w:t>103</w:t>
            </w:r>
          </w:p>
        </w:tc>
      </w:tr>
      <w:tr w:rsidR="003F69AB" w:rsidRPr="00E30017" w:rsidTr="00460170">
        <w:trPr>
          <w:trHeight w:val="277"/>
        </w:trPr>
        <w:tc>
          <w:tcPr>
            <w:tcW w:w="8379" w:type="dxa"/>
            <w:tcBorders>
              <w:top w:val="nil"/>
              <w:left w:val="nil"/>
              <w:bottom w:val="nil"/>
              <w:right w:val="nil"/>
            </w:tcBorders>
            <w:shd w:val="clear" w:color="auto" w:fill="auto"/>
            <w:noWrap/>
            <w:vAlign w:val="bottom"/>
          </w:tcPr>
          <w:p w:rsidR="003F69AB" w:rsidRPr="002E5D54" w:rsidRDefault="003F69AB" w:rsidP="003F69AB">
            <w:pPr>
              <w:spacing w:before="60"/>
              <w:rPr>
                <w:iCs/>
                <w:sz w:val="20"/>
                <w:szCs w:val="20"/>
                <w:lang w:val="en-US"/>
              </w:rPr>
            </w:pPr>
            <w:r w:rsidRPr="002E5D54">
              <w:rPr>
                <w:i/>
                <w:iCs/>
                <w:sz w:val="20"/>
                <w:szCs w:val="20"/>
                <w:lang w:val="en-US"/>
              </w:rPr>
              <w:t>Investment outlays and investments newly started in industry by sections and divisions</w:t>
            </w:r>
          </w:p>
          <w:p w:rsidR="003F69AB" w:rsidRPr="002E5D54" w:rsidRDefault="003F69AB" w:rsidP="003F69AB">
            <w:pPr>
              <w:spacing w:before="60"/>
              <w:rPr>
                <w:sz w:val="20"/>
                <w:szCs w:val="20"/>
                <w:lang w:val="en-US"/>
              </w:rPr>
            </w:pPr>
            <w:r w:rsidRPr="002E5D54">
              <w:rPr>
                <w:i/>
                <w:iCs/>
                <w:sz w:val="20"/>
                <w:szCs w:val="20"/>
                <w:lang w:val="en-US"/>
              </w:rPr>
              <w:t xml:space="preserve">    in I-II quarter 201</w:t>
            </w:r>
            <w:r>
              <w:rPr>
                <w:i/>
                <w:iCs/>
                <w:sz w:val="20"/>
                <w:szCs w:val="20"/>
                <w:lang w:val="en-US"/>
              </w:rPr>
              <w:t>7</w:t>
            </w:r>
          </w:p>
        </w:tc>
        <w:tc>
          <w:tcPr>
            <w:tcW w:w="160" w:type="dxa"/>
            <w:tcBorders>
              <w:top w:val="nil"/>
              <w:left w:val="nil"/>
              <w:bottom w:val="nil"/>
              <w:right w:val="nil"/>
            </w:tcBorders>
            <w:shd w:val="clear" w:color="auto" w:fill="auto"/>
            <w:noWrap/>
            <w:vAlign w:val="bottom"/>
          </w:tcPr>
          <w:p w:rsidR="003F69AB" w:rsidRPr="00E30017" w:rsidRDefault="003F69AB" w:rsidP="003F69AB">
            <w:pPr>
              <w:rPr>
                <w:sz w:val="20"/>
                <w:szCs w:val="20"/>
                <w:lang w:val="en-US"/>
              </w:rPr>
            </w:pPr>
          </w:p>
        </w:tc>
        <w:tc>
          <w:tcPr>
            <w:tcW w:w="832" w:type="dxa"/>
            <w:tcBorders>
              <w:top w:val="nil"/>
              <w:left w:val="nil"/>
              <w:bottom w:val="nil"/>
              <w:right w:val="single" w:sz="4" w:space="0" w:color="auto"/>
            </w:tcBorders>
            <w:shd w:val="clear" w:color="auto" w:fill="auto"/>
            <w:noWrap/>
            <w:vAlign w:val="bottom"/>
          </w:tcPr>
          <w:p w:rsidR="003F69AB" w:rsidRPr="00E30017" w:rsidRDefault="003F69AB" w:rsidP="003F69AB">
            <w:pPr>
              <w:jc w:val="center"/>
              <w:rPr>
                <w:sz w:val="20"/>
                <w:szCs w:val="20"/>
                <w:lang w:val="en-US"/>
              </w:rPr>
            </w:pPr>
          </w:p>
        </w:tc>
        <w:tc>
          <w:tcPr>
            <w:tcW w:w="748" w:type="dxa"/>
            <w:gridSpan w:val="2"/>
            <w:tcBorders>
              <w:top w:val="nil"/>
              <w:left w:val="nil"/>
              <w:bottom w:val="nil"/>
              <w:right w:val="nil"/>
            </w:tcBorders>
            <w:shd w:val="clear" w:color="auto" w:fill="auto"/>
            <w:noWrap/>
            <w:vAlign w:val="bottom"/>
          </w:tcPr>
          <w:p w:rsidR="003F69AB" w:rsidRPr="00E30017" w:rsidRDefault="003F69AB" w:rsidP="003F69AB">
            <w:pPr>
              <w:jc w:val="center"/>
              <w:rPr>
                <w:sz w:val="20"/>
                <w:szCs w:val="20"/>
                <w:lang w:val="en-US"/>
              </w:rPr>
            </w:pPr>
          </w:p>
        </w:tc>
      </w:tr>
      <w:tr w:rsidR="003F69AB" w:rsidRPr="001F7FE1" w:rsidTr="00CF3637">
        <w:trPr>
          <w:trHeight w:val="409"/>
        </w:trPr>
        <w:tc>
          <w:tcPr>
            <w:tcW w:w="8379" w:type="dxa"/>
            <w:tcBorders>
              <w:top w:val="nil"/>
              <w:left w:val="nil"/>
              <w:bottom w:val="nil"/>
              <w:right w:val="nil"/>
            </w:tcBorders>
            <w:shd w:val="clear" w:color="auto" w:fill="auto"/>
            <w:noWrap/>
            <w:vAlign w:val="center"/>
            <w:hideMark/>
          </w:tcPr>
          <w:p w:rsidR="003F69AB" w:rsidRPr="00A76D6B" w:rsidRDefault="003F69AB" w:rsidP="001F7C75">
            <w:pPr>
              <w:spacing w:before="360" w:after="120"/>
              <w:rPr>
                <w:b/>
                <w:bCs/>
                <w:iCs/>
                <w:sz w:val="20"/>
                <w:szCs w:val="20"/>
                <w:lang w:val="en-US"/>
              </w:rPr>
            </w:pPr>
            <w:r w:rsidRPr="00A76D6B">
              <w:rPr>
                <w:b/>
                <w:bCs/>
                <w:iCs/>
                <w:sz w:val="20"/>
                <w:szCs w:val="20"/>
                <w:lang w:val="en-US"/>
              </w:rPr>
              <w:t>C. INFORMACJE WEDŁUG GRUP PRZEMYSŁU</w:t>
            </w:r>
          </w:p>
          <w:p w:rsidR="003F69AB" w:rsidRPr="00892E9D" w:rsidRDefault="003F69AB" w:rsidP="001F7C75">
            <w:pPr>
              <w:spacing w:before="60" w:after="120"/>
              <w:rPr>
                <w:b/>
                <w:bCs/>
                <w:i/>
                <w:iCs/>
                <w:sz w:val="20"/>
                <w:szCs w:val="20"/>
                <w:lang w:val="en-US"/>
              </w:rPr>
            </w:pPr>
            <w:r w:rsidRPr="00A76D6B">
              <w:rPr>
                <w:b/>
                <w:bCs/>
                <w:i/>
                <w:iCs/>
                <w:sz w:val="20"/>
                <w:szCs w:val="20"/>
                <w:lang w:val="en-US"/>
              </w:rPr>
              <w:t xml:space="preserve">    </w:t>
            </w:r>
            <w:r w:rsidRPr="00892E9D">
              <w:rPr>
                <w:b/>
                <w:bCs/>
                <w:i/>
                <w:iCs/>
                <w:sz w:val="20"/>
                <w:szCs w:val="20"/>
                <w:lang w:val="en-US"/>
              </w:rPr>
              <w:t>INFORMATIONS BY INDUSTRIAL GROUPS INFORMATIONS BY INDUSTRIAL GROUPS</w:t>
            </w:r>
          </w:p>
        </w:tc>
        <w:tc>
          <w:tcPr>
            <w:tcW w:w="160" w:type="dxa"/>
            <w:tcBorders>
              <w:top w:val="nil"/>
              <w:left w:val="nil"/>
              <w:bottom w:val="nil"/>
              <w:right w:val="nil"/>
            </w:tcBorders>
            <w:shd w:val="clear" w:color="auto" w:fill="auto"/>
            <w:noWrap/>
            <w:vAlign w:val="bottom"/>
            <w:hideMark/>
          </w:tcPr>
          <w:p w:rsidR="003F69AB" w:rsidRPr="00892E9D" w:rsidRDefault="003F69AB" w:rsidP="003F69AB">
            <w:pPr>
              <w:rPr>
                <w:sz w:val="20"/>
                <w:szCs w:val="20"/>
                <w:lang w:val="en-US"/>
              </w:rPr>
            </w:pPr>
          </w:p>
        </w:tc>
        <w:tc>
          <w:tcPr>
            <w:tcW w:w="832" w:type="dxa"/>
            <w:tcBorders>
              <w:top w:val="nil"/>
              <w:left w:val="nil"/>
              <w:bottom w:val="nil"/>
              <w:right w:val="single" w:sz="4" w:space="0" w:color="auto"/>
            </w:tcBorders>
            <w:shd w:val="clear" w:color="auto" w:fill="auto"/>
            <w:noWrap/>
            <w:vAlign w:val="bottom"/>
            <w:hideMark/>
          </w:tcPr>
          <w:p w:rsidR="003F69AB" w:rsidRPr="00892E9D" w:rsidRDefault="003F69AB" w:rsidP="003F69AB">
            <w:pPr>
              <w:rPr>
                <w:sz w:val="20"/>
                <w:szCs w:val="20"/>
                <w:lang w:val="en-US"/>
              </w:rPr>
            </w:pPr>
            <w:r w:rsidRPr="00892E9D">
              <w:rPr>
                <w:sz w:val="20"/>
                <w:szCs w:val="20"/>
                <w:lang w:val="en-US"/>
              </w:rPr>
              <w:t> </w:t>
            </w:r>
          </w:p>
        </w:tc>
        <w:tc>
          <w:tcPr>
            <w:tcW w:w="748" w:type="dxa"/>
            <w:gridSpan w:val="2"/>
            <w:tcBorders>
              <w:top w:val="nil"/>
              <w:left w:val="nil"/>
              <w:bottom w:val="nil"/>
              <w:right w:val="nil"/>
            </w:tcBorders>
            <w:shd w:val="clear" w:color="auto" w:fill="auto"/>
            <w:noWrap/>
            <w:vAlign w:val="bottom"/>
            <w:hideMark/>
          </w:tcPr>
          <w:p w:rsidR="003F69AB" w:rsidRPr="00892E9D" w:rsidRDefault="003F69AB" w:rsidP="003F69AB">
            <w:pPr>
              <w:rPr>
                <w:sz w:val="20"/>
                <w:szCs w:val="20"/>
                <w:lang w:val="en-US"/>
              </w:rPr>
            </w:pPr>
          </w:p>
        </w:tc>
      </w:tr>
      <w:tr w:rsidR="003F69AB" w:rsidRPr="00223651" w:rsidTr="00726C31">
        <w:trPr>
          <w:gridAfter w:val="1"/>
          <w:wAfter w:w="14" w:type="dxa"/>
          <w:trHeight w:val="255"/>
        </w:trPr>
        <w:tc>
          <w:tcPr>
            <w:tcW w:w="9371" w:type="dxa"/>
            <w:gridSpan w:val="3"/>
            <w:tcBorders>
              <w:top w:val="nil"/>
              <w:left w:val="nil"/>
              <w:bottom w:val="nil"/>
              <w:right w:val="single" w:sz="4" w:space="0" w:color="000000"/>
            </w:tcBorders>
            <w:shd w:val="clear" w:color="auto" w:fill="auto"/>
            <w:noWrap/>
            <w:vAlign w:val="bottom"/>
            <w:hideMark/>
          </w:tcPr>
          <w:p w:rsidR="003F69AB" w:rsidRPr="00223651" w:rsidRDefault="003F69AB" w:rsidP="003F69AB">
            <w:pPr>
              <w:spacing w:before="340"/>
              <w:rPr>
                <w:sz w:val="20"/>
                <w:szCs w:val="20"/>
              </w:rPr>
            </w:pPr>
            <w:r w:rsidRPr="00223651">
              <w:rPr>
                <w:sz w:val="20"/>
                <w:szCs w:val="20"/>
              </w:rPr>
              <w:t>P</w:t>
            </w:r>
            <w:r>
              <w:rPr>
                <w:sz w:val="20"/>
                <w:szCs w:val="20"/>
              </w:rPr>
              <w:t>r</w:t>
            </w:r>
            <w:r w:rsidRPr="00223651">
              <w:rPr>
                <w:sz w:val="20"/>
                <w:szCs w:val="20"/>
              </w:rPr>
              <w:t>odukcja sprzedana, zatrudnienie i przeciętne miesięczne wynagrodzenia brutto w przemyśle według</w:t>
            </w:r>
          </w:p>
        </w:tc>
        <w:tc>
          <w:tcPr>
            <w:tcW w:w="734" w:type="dxa"/>
            <w:tcBorders>
              <w:top w:val="nil"/>
              <w:left w:val="nil"/>
              <w:bottom w:val="nil"/>
              <w:right w:val="nil"/>
            </w:tcBorders>
            <w:shd w:val="clear" w:color="auto" w:fill="auto"/>
            <w:noWrap/>
            <w:vAlign w:val="bottom"/>
            <w:hideMark/>
          </w:tcPr>
          <w:p w:rsidR="003F69AB" w:rsidRPr="00223651" w:rsidRDefault="003F69AB" w:rsidP="003F69AB">
            <w:pPr>
              <w:rPr>
                <w:sz w:val="20"/>
                <w:szCs w:val="20"/>
              </w:rPr>
            </w:pPr>
          </w:p>
        </w:tc>
      </w:tr>
      <w:tr w:rsidR="003F69AB" w:rsidRPr="00223651" w:rsidTr="00726C31">
        <w:trPr>
          <w:trHeight w:val="255"/>
        </w:trPr>
        <w:tc>
          <w:tcPr>
            <w:tcW w:w="8379" w:type="dxa"/>
            <w:tcBorders>
              <w:top w:val="nil"/>
              <w:left w:val="nil"/>
              <w:bottom w:val="nil"/>
              <w:right w:val="nil"/>
            </w:tcBorders>
            <w:shd w:val="clear" w:color="auto" w:fill="auto"/>
            <w:noWrap/>
            <w:vAlign w:val="bottom"/>
            <w:hideMark/>
          </w:tcPr>
          <w:p w:rsidR="003F69AB" w:rsidRPr="00223651" w:rsidRDefault="003F69AB" w:rsidP="003F69AB">
            <w:pPr>
              <w:spacing w:before="60"/>
              <w:rPr>
                <w:sz w:val="20"/>
                <w:szCs w:val="20"/>
              </w:rPr>
            </w:pPr>
            <w:r w:rsidRPr="00223651">
              <w:rPr>
                <w:sz w:val="20"/>
                <w:szCs w:val="20"/>
              </w:rPr>
              <w:t xml:space="preserve">    sekcji, </w:t>
            </w:r>
            <w:r>
              <w:rPr>
                <w:sz w:val="20"/>
                <w:szCs w:val="20"/>
              </w:rPr>
              <w:t>działów i grup w</w:t>
            </w:r>
            <w:r w:rsidRPr="00617CDD">
              <w:rPr>
                <w:sz w:val="20"/>
                <w:szCs w:val="20"/>
              </w:rPr>
              <w:t xml:space="preserve"> I</w:t>
            </w:r>
            <w:r>
              <w:rPr>
                <w:sz w:val="20"/>
                <w:szCs w:val="20"/>
              </w:rPr>
              <w:t>-II</w:t>
            </w:r>
            <w:r w:rsidRPr="00617CDD">
              <w:rPr>
                <w:sz w:val="20"/>
                <w:szCs w:val="20"/>
              </w:rPr>
              <w:t xml:space="preserve"> kwartale 2017</w:t>
            </w:r>
            <w:r>
              <w:rPr>
                <w:sz w:val="20"/>
                <w:szCs w:val="20"/>
              </w:rPr>
              <w:t xml:space="preserve"> </w:t>
            </w:r>
            <w:r w:rsidRPr="00223651">
              <w:rPr>
                <w:sz w:val="20"/>
                <w:szCs w:val="20"/>
              </w:rPr>
              <w:t>r. ........................</w:t>
            </w:r>
            <w:r>
              <w:rPr>
                <w:sz w:val="20"/>
                <w:szCs w:val="20"/>
              </w:rPr>
              <w:t>.......................</w:t>
            </w:r>
            <w:r w:rsidRPr="00223651">
              <w:rPr>
                <w:sz w:val="20"/>
                <w:szCs w:val="20"/>
              </w:rPr>
              <w:t>.</w:t>
            </w:r>
            <w:r>
              <w:rPr>
                <w:sz w:val="20"/>
                <w:szCs w:val="20"/>
              </w:rPr>
              <w:t>....................</w:t>
            </w:r>
            <w:r w:rsidRPr="00223651">
              <w:rPr>
                <w:sz w:val="20"/>
                <w:szCs w:val="20"/>
              </w:rPr>
              <w:t>..........</w:t>
            </w:r>
            <w:r>
              <w:rPr>
                <w:sz w:val="20"/>
                <w:szCs w:val="20"/>
              </w:rPr>
              <w:t>..........</w:t>
            </w:r>
          </w:p>
        </w:tc>
        <w:tc>
          <w:tcPr>
            <w:tcW w:w="160" w:type="dxa"/>
            <w:tcBorders>
              <w:top w:val="nil"/>
              <w:left w:val="nil"/>
              <w:bottom w:val="nil"/>
              <w:right w:val="nil"/>
            </w:tcBorders>
            <w:shd w:val="clear" w:color="auto" w:fill="auto"/>
            <w:noWrap/>
            <w:vAlign w:val="bottom"/>
            <w:hideMark/>
          </w:tcPr>
          <w:p w:rsidR="003F69AB" w:rsidRPr="00223651" w:rsidRDefault="003F69AB" w:rsidP="003F69AB">
            <w:pPr>
              <w:rPr>
                <w:sz w:val="20"/>
                <w:szCs w:val="20"/>
              </w:rPr>
            </w:pPr>
            <w:r w:rsidRPr="00223651">
              <w:rPr>
                <w:sz w:val="20"/>
                <w:szCs w:val="20"/>
              </w:rPr>
              <w:t xml:space="preserve"> </w:t>
            </w:r>
          </w:p>
        </w:tc>
        <w:tc>
          <w:tcPr>
            <w:tcW w:w="832" w:type="dxa"/>
            <w:tcBorders>
              <w:top w:val="nil"/>
              <w:left w:val="nil"/>
              <w:bottom w:val="nil"/>
              <w:right w:val="single" w:sz="4" w:space="0" w:color="auto"/>
            </w:tcBorders>
            <w:shd w:val="clear" w:color="auto" w:fill="auto"/>
            <w:noWrap/>
            <w:vAlign w:val="bottom"/>
            <w:hideMark/>
          </w:tcPr>
          <w:p w:rsidR="003F69AB" w:rsidRPr="00223651" w:rsidRDefault="003F69AB" w:rsidP="003F69AB">
            <w:pPr>
              <w:jc w:val="center"/>
              <w:rPr>
                <w:sz w:val="20"/>
                <w:szCs w:val="20"/>
              </w:rPr>
            </w:pPr>
            <w:r>
              <w:rPr>
                <w:sz w:val="20"/>
                <w:szCs w:val="20"/>
              </w:rPr>
              <w:t>21</w:t>
            </w:r>
          </w:p>
        </w:tc>
        <w:tc>
          <w:tcPr>
            <w:tcW w:w="748" w:type="dxa"/>
            <w:gridSpan w:val="2"/>
            <w:tcBorders>
              <w:top w:val="nil"/>
              <w:left w:val="nil"/>
              <w:bottom w:val="nil"/>
              <w:right w:val="nil"/>
            </w:tcBorders>
            <w:shd w:val="clear" w:color="auto" w:fill="auto"/>
            <w:noWrap/>
            <w:vAlign w:val="bottom"/>
            <w:hideMark/>
          </w:tcPr>
          <w:p w:rsidR="003F69AB" w:rsidRPr="00223651" w:rsidRDefault="003F69AB" w:rsidP="003F69AB">
            <w:pPr>
              <w:jc w:val="center"/>
              <w:rPr>
                <w:sz w:val="20"/>
                <w:szCs w:val="20"/>
              </w:rPr>
            </w:pPr>
            <w:r>
              <w:rPr>
                <w:sz w:val="20"/>
                <w:szCs w:val="20"/>
              </w:rPr>
              <w:t>105</w:t>
            </w:r>
          </w:p>
        </w:tc>
      </w:tr>
      <w:tr w:rsidR="003F69AB" w:rsidRPr="001F7FE1" w:rsidTr="00726C31">
        <w:trPr>
          <w:gridAfter w:val="1"/>
          <w:wAfter w:w="14" w:type="dxa"/>
          <w:trHeight w:val="255"/>
        </w:trPr>
        <w:tc>
          <w:tcPr>
            <w:tcW w:w="8379" w:type="dxa"/>
            <w:tcBorders>
              <w:top w:val="nil"/>
              <w:left w:val="nil"/>
              <w:bottom w:val="nil"/>
              <w:right w:val="nil"/>
            </w:tcBorders>
            <w:shd w:val="clear" w:color="auto" w:fill="auto"/>
            <w:noWrap/>
            <w:vAlign w:val="bottom"/>
            <w:hideMark/>
          </w:tcPr>
          <w:p w:rsidR="003F69AB" w:rsidRPr="00223651" w:rsidRDefault="003F69AB" w:rsidP="003F69AB">
            <w:pPr>
              <w:spacing w:before="60"/>
              <w:rPr>
                <w:i/>
                <w:iCs/>
                <w:sz w:val="20"/>
                <w:szCs w:val="20"/>
                <w:lang w:val="en-US"/>
              </w:rPr>
            </w:pPr>
            <w:r w:rsidRPr="00223651">
              <w:rPr>
                <w:i/>
                <w:iCs/>
                <w:sz w:val="20"/>
                <w:szCs w:val="20"/>
                <w:lang w:val="en-US"/>
              </w:rPr>
              <w:t>Sold production, employment and average monthly gross wages and salaries in industry by sections,</w:t>
            </w:r>
          </w:p>
        </w:tc>
        <w:tc>
          <w:tcPr>
            <w:tcW w:w="992" w:type="dxa"/>
            <w:gridSpan w:val="2"/>
            <w:tcBorders>
              <w:top w:val="nil"/>
              <w:left w:val="nil"/>
              <w:bottom w:val="nil"/>
              <w:right w:val="single" w:sz="4" w:space="0" w:color="000000"/>
            </w:tcBorders>
            <w:shd w:val="clear" w:color="auto" w:fill="auto"/>
            <w:noWrap/>
            <w:vAlign w:val="bottom"/>
            <w:hideMark/>
          </w:tcPr>
          <w:p w:rsidR="003F69AB" w:rsidRPr="00223651" w:rsidRDefault="003F69AB" w:rsidP="003F69AB">
            <w:pPr>
              <w:rPr>
                <w:sz w:val="20"/>
                <w:szCs w:val="20"/>
                <w:lang w:val="en-US"/>
              </w:rPr>
            </w:pPr>
            <w:r w:rsidRPr="00223651">
              <w:rPr>
                <w:sz w:val="20"/>
                <w:szCs w:val="20"/>
                <w:lang w:val="en-US"/>
              </w:rPr>
              <w:t xml:space="preserve"> </w:t>
            </w:r>
          </w:p>
        </w:tc>
        <w:tc>
          <w:tcPr>
            <w:tcW w:w="734" w:type="dxa"/>
            <w:tcBorders>
              <w:top w:val="nil"/>
              <w:left w:val="nil"/>
              <w:bottom w:val="nil"/>
              <w:right w:val="nil"/>
            </w:tcBorders>
            <w:shd w:val="clear" w:color="auto" w:fill="auto"/>
            <w:noWrap/>
            <w:vAlign w:val="bottom"/>
            <w:hideMark/>
          </w:tcPr>
          <w:p w:rsidR="003F69AB" w:rsidRPr="00223651" w:rsidRDefault="003F69AB" w:rsidP="003F69AB">
            <w:pPr>
              <w:rPr>
                <w:sz w:val="20"/>
                <w:szCs w:val="20"/>
                <w:lang w:val="en-US"/>
              </w:rPr>
            </w:pPr>
          </w:p>
        </w:tc>
      </w:tr>
      <w:tr w:rsidR="003F69AB" w:rsidRPr="001F7FE1" w:rsidTr="00726C31">
        <w:trPr>
          <w:trHeight w:val="255"/>
        </w:trPr>
        <w:tc>
          <w:tcPr>
            <w:tcW w:w="8379" w:type="dxa"/>
            <w:tcBorders>
              <w:top w:val="nil"/>
              <w:left w:val="nil"/>
              <w:bottom w:val="nil"/>
              <w:right w:val="nil"/>
            </w:tcBorders>
            <w:shd w:val="clear" w:color="auto" w:fill="auto"/>
            <w:noWrap/>
            <w:vAlign w:val="bottom"/>
            <w:hideMark/>
          </w:tcPr>
          <w:p w:rsidR="003F69AB" w:rsidRPr="00223651" w:rsidRDefault="003F69AB" w:rsidP="003F69AB">
            <w:pPr>
              <w:spacing w:before="60"/>
              <w:rPr>
                <w:i/>
                <w:iCs/>
                <w:sz w:val="20"/>
                <w:szCs w:val="20"/>
                <w:lang w:val="en-US"/>
              </w:rPr>
            </w:pPr>
            <w:r w:rsidRPr="00223651">
              <w:rPr>
                <w:i/>
                <w:iCs/>
                <w:sz w:val="20"/>
                <w:szCs w:val="20"/>
                <w:lang w:val="en-US"/>
              </w:rPr>
              <w:t xml:space="preserve">     divisi</w:t>
            </w:r>
            <w:r>
              <w:rPr>
                <w:i/>
                <w:iCs/>
                <w:sz w:val="20"/>
                <w:szCs w:val="20"/>
                <w:lang w:val="en-US"/>
              </w:rPr>
              <w:t>ons and groups in</w:t>
            </w:r>
            <w:r w:rsidRPr="00325214">
              <w:rPr>
                <w:i/>
                <w:iCs/>
                <w:sz w:val="20"/>
                <w:szCs w:val="20"/>
                <w:lang w:val="en-US"/>
              </w:rPr>
              <w:t xml:space="preserve"> I</w:t>
            </w:r>
            <w:r>
              <w:rPr>
                <w:i/>
                <w:iCs/>
                <w:sz w:val="20"/>
                <w:szCs w:val="20"/>
                <w:lang w:val="en-US"/>
              </w:rPr>
              <w:t xml:space="preserve">-II </w:t>
            </w:r>
            <w:r w:rsidRPr="00325214">
              <w:rPr>
                <w:i/>
                <w:iCs/>
                <w:sz w:val="20"/>
                <w:szCs w:val="20"/>
                <w:lang w:val="en-US"/>
              </w:rPr>
              <w:t xml:space="preserve"> quarter 2017</w:t>
            </w:r>
          </w:p>
        </w:tc>
        <w:tc>
          <w:tcPr>
            <w:tcW w:w="160" w:type="dxa"/>
            <w:tcBorders>
              <w:top w:val="nil"/>
              <w:left w:val="nil"/>
              <w:bottom w:val="nil"/>
              <w:right w:val="nil"/>
            </w:tcBorders>
            <w:shd w:val="clear" w:color="auto" w:fill="auto"/>
            <w:noWrap/>
            <w:vAlign w:val="bottom"/>
            <w:hideMark/>
          </w:tcPr>
          <w:p w:rsidR="003F69AB" w:rsidRPr="00223651" w:rsidRDefault="003F69AB" w:rsidP="003F69AB">
            <w:pPr>
              <w:rPr>
                <w:sz w:val="20"/>
                <w:szCs w:val="20"/>
                <w:lang w:val="en-US"/>
              </w:rPr>
            </w:pPr>
          </w:p>
        </w:tc>
        <w:tc>
          <w:tcPr>
            <w:tcW w:w="832" w:type="dxa"/>
            <w:tcBorders>
              <w:top w:val="nil"/>
              <w:left w:val="nil"/>
              <w:bottom w:val="nil"/>
              <w:right w:val="single" w:sz="4" w:space="0" w:color="auto"/>
            </w:tcBorders>
            <w:shd w:val="clear" w:color="auto" w:fill="auto"/>
            <w:noWrap/>
            <w:vAlign w:val="bottom"/>
            <w:hideMark/>
          </w:tcPr>
          <w:p w:rsidR="003F69AB" w:rsidRPr="00223651" w:rsidRDefault="003F69AB" w:rsidP="003F69AB">
            <w:pPr>
              <w:jc w:val="center"/>
              <w:rPr>
                <w:sz w:val="20"/>
                <w:szCs w:val="20"/>
                <w:lang w:val="en-US"/>
              </w:rPr>
            </w:pPr>
            <w:r w:rsidRPr="00223651">
              <w:rPr>
                <w:sz w:val="20"/>
                <w:szCs w:val="20"/>
                <w:lang w:val="en-US"/>
              </w:rPr>
              <w:t> </w:t>
            </w:r>
          </w:p>
        </w:tc>
        <w:tc>
          <w:tcPr>
            <w:tcW w:w="748" w:type="dxa"/>
            <w:gridSpan w:val="2"/>
            <w:tcBorders>
              <w:top w:val="nil"/>
              <w:left w:val="nil"/>
              <w:bottom w:val="nil"/>
              <w:right w:val="nil"/>
            </w:tcBorders>
            <w:shd w:val="clear" w:color="auto" w:fill="auto"/>
            <w:noWrap/>
            <w:vAlign w:val="bottom"/>
            <w:hideMark/>
          </w:tcPr>
          <w:p w:rsidR="003F69AB" w:rsidRPr="00223651" w:rsidRDefault="003F69AB" w:rsidP="003F69AB">
            <w:pPr>
              <w:jc w:val="center"/>
              <w:rPr>
                <w:sz w:val="20"/>
                <w:szCs w:val="20"/>
                <w:lang w:val="en-US"/>
              </w:rPr>
            </w:pPr>
          </w:p>
        </w:tc>
      </w:tr>
      <w:tr w:rsidR="003F69AB" w:rsidRPr="00223651" w:rsidTr="00726C31">
        <w:trPr>
          <w:trHeight w:val="255"/>
        </w:trPr>
        <w:tc>
          <w:tcPr>
            <w:tcW w:w="8379" w:type="dxa"/>
            <w:tcBorders>
              <w:top w:val="nil"/>
              <w:left w:val="nil"/>
              <w:bottom w:val="nil"/>
              <w:right w:val="nil"/>
            </w:tcBorders>
            <w:shd w:val="clear" w:color="auto" w:fill="auto"/>
            <w:noWrap/>
            <w:vAlign w:val="bottom"/>
            <w:hideMark/>
          </w:tcPr>
          <w:p w:rsidR="003F69AB" w:rsidRPr="00223651" w:rsidRDefault="003F69AB" w:rsidP="003F69AB">
            <w:pPr>
              <w:spacing w:before="60"/>
              <w:rPr>
                <w:sz w:val="20"/>
                <w:szCs w:val="20"/>
              </w:rPr>
            </w:pPr>
            <w:r w:rsidRPr="00223651">
              <w:rPr>
                <w:sz w:val="20"/>
                <w:szCs w:val="20"/>
              </w:rPr>
              <w:t>Wskaźniki finansowe w przemyśle według sekcji,</w:t>
            </w:r>
            <w:r>
              <w:rPr>
                <w:sz w:val="20"/>
                <w:szCs w:val="20"/>
              </w:rPr>
              <w:t xml:space="preserve"> działów i grup w</w:t>
            </w:r>
            <w:r w:rsidRPr="00223651">
              <w:rPr>
                <w:sz w:val="20"/>
                <w:szCs w:val="20"/>
              </w:rPr>
              <w:t xml:space="preserve"> </w:t>
            </w:r>
            <w:r w:rsidRPr="00617CDD">
              <w:rPr>
                <w:sz w:val="20"/>
                <w:szCs w:val="20"/>
              </w:rPr>
              <w:t>I</w:t>
            </w:r>
            <w:r>
              <w:rPr>
                <w:sz w:val="20"/>
                <w:szCs w:val="20"/>
              </w:rPr>
              <w:t>-II</w:t>
            </w:r>
            <w:r w:rsidRPr="00617CDD">
              <w:rPr>
                <w:sz w:val="20"/>
                <w:szCs w:val="20"/>
              </w:rPr>
              <w:t xml:space="preserve"> kwartale 2017</w:t>
            </w:r>
            <w:r>
              <w:rPr>
                <w:sz w:val="20"/>
                <w:szCs w:val="20"/>
              </w:rPr>
              <w:t xml:space="preserve"> r. ......................</w:t>
            </w:r>
          </w:p>
        </w:tc>
        <w:tc>
          <w:tcPr>
            <w:tcW w:w="160" w:type="dxa"/>
            <w:tcBorders>
              <w:top w:val="nil"/>
              <w:left w:val="nil"/>
              <w:bottom w:val="nil"/>
              <w:right w:val="nil"/>
            </w:tcBorders>
            <w:shd w:val="clear" w:color="auto" w:fill="auto"/>
            <w:noWrap/>
            <w:vAlign w:val="bottom"/>
            <w:hideMark/>
          </w:tcPr>
          <w:p w:rsidR="003F69AB" w:rsidRPr="00223651" w:rsidRDefault="003F69AB" w:rsidP="003F69AB">
            <w:pPr>
              <w:rPr>
                <w:sz w:val="20"/>
                <w:szCs w:val="20"/>
              </w:rPr>
            </w:pPr>
            <w:r w:rsidRPr="00223651">
              <w:rPr>
                <w:sz w:val="20"/>
                <w:szCs w:val="20"/>
              </w:rPr>
              <w:t xml:space="preserve"> </w:t>
            </w:r>
          </w:p>
        </w:tc>
        <w:tc>
          <w:tcPr>
            <w:tcW w:w="832" w:type="dxa"/>
            <w:tcBorders>
              <w:top w:val="nil"/>
              <w:left w:val="nil"/>
              <w:bottom w:val="nil"/>
              <w:right w:val="single" w:sz="4" w:space="0" w:color="auto"/>
            </w:tcBorders>
            <w:shd w:val="clear" w:color="auto" w:fill="auto"/>
            <w:noWrap/>
            <w:vAlign w:val="bottom"/>
            <w:hideMark/>
          </w:tcPr>
          <w:p w:rsidR="003F69AB" w:rsidRPr="00223651" w:rsidRDefault="003F69AB" w:rsidP="003F69AB">
            <w:pPr>
              <w:jc w:val="center"/>
              <w:rPr>
                <w:sz w:val="20"/>
                <w:szCs w:val="20"/>
              </w:rPr>
            </w:pPr>
            <w:r>
              <w:rPr>
                <w:sz w:val="20"/>
                <w:szCs w:val="20"/>
              </w:rPr>
              <w:t>22</w:t>
            </w:r>
          </w:p>
        </w:tc>
        <w:tc>
          <w:tcPr>
            <w:tcW w:w="748" w:type="dxa"/>
            <w:gridSpan w:val="2"/>
            <w:tcBorders>
              <w:top w:val="nil"/>
              <w:left w:val="nil"/>
              <w:bottom w:val="nil"/>
              <w:right w:val="nil"/>
            </w:tcBorders>
            <w:shd w:val="clear" w:color="auto" w:fill="auto"/>
            <w:noWrap/>
            <w:vAlign w:val="bottom"/>
            <w:hideMark/>
          </w:tcPr>
          <w:p w:rsidR="003F69AB" w:rsidRPr="00223651" w:rsidRDefault="003F69AB" w:rsidP="003F69AB">
            <w:pPr>
              <w:jc w:val="center"/>
              <w:rPr>
                <w:sz w:val="20"/>
                <w:szCs w:val="20"/>
              </w:rPr>
            </w:pPr>
            <w:r>
              <w:rPr>
                <w:sz w:val="20"/>
                <w:szCs w:val="20"/>
              </w:rPr>
              <w:t>113</w:t>
            </w:r>
          </w:p>
        </w:tc>
      </w:tr>
      <w:tr w:rsidR="003F69AB" w:rsidRPr="001F7FE1" w:rsidTr="00726C31">
        <w:trPr>
          <w:trHeight w:val="255"/>
        </w:trPr>
        <w:tc>
          <w:tcPr>
            <w:tcW w:w="8379" w:type="dxa"/>
            <w:tcBorders>
              <w:top w:val="nil"/>
              <w:left w:val="nil"/>
              <w:bottom w:val="nil"/>
              <w:right w:val="nil"/>
            </w:tcBorders>
            <w:shd w:val="clear" w:color="auto" w:fill="auto"/>
            <w:noWrap/>
            <w:vAlign w:val="bottom"/>
            <w:hideMark/>
          </w:tcPr>
          <w:p w:rsidR="003F69AB" w:rsidRPr="00223651" w:rsidRDefault="003F69AB" w:rsidP="003F69AB">
            <w:pPr>
              <w:spacing w:before="60"/>
              <w:rPr>
                <w:i/>
                <w:iCs/>
                <w:sz w:val="20"/>
                <w:szCs w:val="20"/>
                <w:lang w:val="en-US"/>
              </w:rPr>
            </w:pPr>
            <w:r w:rsidRPr="00223651">
              <w:rPr>
                <w:i/>
                <w:iCs/>
                <w:sz w:val="20"/>
                <w:szCs w:val="20"/>
                <w:lang w:val="en-US"/>
              </w:rPr>
              <w:t>Financial indicators in industry by sections, divis</w:t>
            </w:r>
            <w:r>
              <w:rPr>
                <w:i/>
                <w:iCs/>
                <w:sz w:val="20"/>
                <w:szCs w:val="20"/>
                <w:lang w:val="en-US"/>
              </w:rPr>
              <w:t xml:space="preserve">ions and groups in </w:t>
            </w:r>
            <w:r w:rsidRPr="00325214">
              <w:rPr>
                <w:i/>
                <w:iCs/>
                <w:sz w:val="20"/>
                <w:szCs w:val="20"/>
                <w:lang w:val="en-US"/>
              </w:rPr>
              <w:t xml:space="preserve"> I</w:t>
            </w:r>
            <w:r>
              <w:rPr>
                <w:i/>
                <w:iCs/>
                <w:sz w:val="20"/>
                <w:szCs w:val="20"/>
                <w:lang w:val="en-US"/>
              </w:rPr>
              <w:t xml:space="preserve">-II </w:t>
            </w:r>
            <w:r w:rsidRPr="00325214">
              <w:rPr>
                <w:i/>
                <w:iCs/>
                <w:sz w:val="20"/>
                <w:szCs w:val="20"/>
                <w:lang w:val="en-US"/>
              </w:rPr>
              <w:t xml:space="preserve"> quarter 2017</w:t>
            </w:r>
          </w:p>
        </w:tc>
        <w:tc>
          <w:tcPr>
            <w:tcW w:w="160" w:type="dxa"/>
            <w:tcBorders>
              <w:top w:val="nil"/>
              <w:left w:val="nil"/>
              <w:bottom w:val="nil"/>
              <w:right w:val="nil"/>
            </w:tcBorders>
            <w:shd w:val="clear" w:color="auto" w:fill="auto"/>
            <w:noWrap/>
            <w:vAlign w:val="bottom"/>
            <w:hideMark/>
          </w:tcPr>
          <w:p w:rsidR="003F69AB" w:rsidRPr="00223651" w:rsidRDefault="003F69AB" w:rsidP="003F69AB">
            <w:pPr>
              <w:rPr>
                <w:sz w:val="20"/>
                <w:szCs w:val="20"/>
                <w:lang w:val="en-US"/>
              </w:rPr>
            </w:pPr>
          </w:p>
        </w:tc>
        <w:tc>
          <w:tcPr>
            <w:tcW w:w="832" w:type="dxa"/>
            <w:tcBorders>
              <w:top w:val="nil"/>
              <w:left w:val="nil"/>
              <w:bottom w:val="nil"/>
              <w:right w:val="single" w:sz="4" w:space="0" w:color="auto"/>
            </w:tcBorders>
            <w:shd w:val="clear" w:color="auto" w:fill="auto"/>
            <w:noWrap/>
            <w:vAlign w:val="bottom"/>
            <w:hideMark/>
          </w:tcPr>
          <w:p w:rsidR="003F69AB" w:rsidRPr="00223651" w:rsidRDefault="003F69AB" w:rsidP="003F69AB">
            <w:pPr>
              <w:jc w:val="center"/>
              <w:rPr>
                <w:sz w:val="20"/>
                <w:szCs w:val="20"/>
                <w:lang w:val="en-US"/>
              </w:rPr>
            </w:pPr>
            <w:r w:rsidRPr="00223651">
              <w:rPr>
                <w:sz w:val="20"/>
                <w:szCs w:val="20"/>
                <w:lang w:val="en-US"/>
              </w:rPr>
              <w:t> </w:t>
            </w:r>
          </w:p>
        </w:tc>
        <w:tc>
          <w:tcPr>
            <w:tcW w:w="748" w:type="dxa"/>
            <w:gridSpan w:val="2"/>
            <w:tcBorders>
              <w:top w:val="nil"/>
              <w:left w:val="nil"/>
              <w:bottom w:val="nil"/>
              <w:right w:val="nil"/>
            </w:tcBorders>
            <w:shd w:val="clear" w:color="auto" w:fill="auto"/>
            <w:noWrap/>
            <w:vAlign w:val="bottom"/>
            <w:hideMark/>
          </w:tcPr>
          <w:p w:rsidR="003F69AB" w:rsidRPr="00223651" w:rsidRDefault="003F69AB" w:rsidP="003F69AB">
            <w:pPr>
              <w:jc w:val="center"/>
              <w:rPr>
                <w:sz w:val="20"/>
                <w:szCs w:val="20"/>
                <w:lang w:val="en-US"/>
              </w:rPr>
            </w:pPr>
          </w:p>
        </w:tc>
      </w:tr>
      <w:tr w:rsidR="003F69AB" w:rsidRPr="00223651" w:rsidTr="00726C31">
        <w:trPr>
          <w:trHeight w:val="255"/>
        </w:trPr>
        <w:tc>
          <w:tcPr>
            <w:tcW w:w="8379" w:type="dxa"/>
            <w:tcBorders>
              <w:top w:val="nil"/>
              <w:left w:val="nil"/>
              <w:bottom w:val="nil"/>
              <w:right w:val="nil"/>
            </w:tcBorders>
            <w:shd w:val="clear" w:color="auto" w:fill="auto"/>
            <w:noWrap/>
            <w:vAlign w:val="bottom"/>
            <w:hideMark/>
          </w:tcPr>
          <w:p w:rsidR="003F69AB" w:rsidRPr="00223651" w:rsidRDefault="003F69AB" w:rsidP="003F69AB">
            <w:pPr>
              <w:spacing w:before="60"/>
              <w:rPr>
                <w:sz w:val="20"/>
                <w:szCs w:val="20"/>
              </w:rPr>
            </w:pPr>
            <w:r w:rsidRPr="00223651">
              <w:rPr>
                <w:sz w:val="20"/>
                <w:szCs w:val="20"/>
              </w:rPr>
              <w:t xml:space="preserve">Struktura rodzajowa kosztów w przemyśle według sekcji, </w:t>
            </w:r>
            <w:r>
              <w:rPr>
                <w:sz w:val="20"/>
                <w:szCs w:val="20"/>
              </w:rPr>
              <w:t xml:space="preserve">działów i grup w </w:t>
            </w:r>
            <w:r w:rsidRPr="00617CDD">
              <w:rPr>
                <w:sz w:val="20"/>
                <w:szCs w:val="20"/>
              </w:rPr>
              <w:t>I</w:t>
            </w:r>
            <w:r>
              <w:rPr>
                <w:sz w:val="20"/>
                <w:szCs w:val="20"/>
              </w:rPr>
              <w:t>-II</w:t>
            </w:r>
            <w:r w:rsidRPr="00617CDD">
              <w:rPr>
                <w:sz w:val="20"/>
                <w:szCs w:val="20"/>
              </w:rPr>
              <w:t xml:space="preserve"> kwartale 2017</w:t>
            </w:r>
            <w:r>
              <w:rPr>
                <w:sz w:val="20"/>
                <w:szCs w:val="20"/>
              </w:rPr>
              <w:t xml:space="preserve"> r. ..........</w:t>
            </w:r>
          </w:p>
        </w:tc>
        <w:tc>
          <w:tcPr>
            <w:tcW w:w="160" w:type="dxa"/>
            <w:tcBorders>
              <w:top w:val="nil"/>
              <w:left w:val="nil"/>
              <w:bottom w:val="nil"/>
              <w:right w:val="nil"/>
            </w:tcBorders>
            <w:shd w:val="clear" w:color="auto" w:fill="auto"/>
            <w:noWrap/>
            <w:vAlign w:val="bottom"/>
            <w:hideMark/>
          </w:tcPr>
          <w:p w:rsidR="003F69AB" w:rsidRPr="00223651" w:rsidRDefault="003F69AB" w:rsidP="003F69AB">
            <w:pPr>
              <w:rPr>
                <w:sz w:val="20"/>
                <w:szCs w:val="20"/>
              </w:rPr>
            </w:pPr>
            <w:r w:rsidRPr="00223651">
              <w:rPr>
                <w:sz w:val="20"/>
                <w:szCs w:val="20"/>
              </w:rPr>
              <w:t xml:space="preserve"> </w:t>
            </w:r>
          </w:p>
        </w:tc>
        <w:tc>
          <w:tcPr>
            <w:tcW w:w="832" w:type="dxa"/>
            <w:tcBorders>
              <w:top w:val="nil"/>
              <w:left w:val="nil"/>
              <w:bottom w:val="nil"/>
              <w:right w:val="single" w:sz="4" w:space="0" w:color="auto"/>
            </w:tcBorders>
            <w:shd w:val="clear" w:color="auto" w:fill="auto"/>
            <w:noWrap/>
            <w:vAlign w:val="bottom"/>
            <w:hideMark/>
          </w:tcPr>
          <w:p w:rsidR="003F69AB" w:rsidRPr="00223651" w:rsidRDefault="003F69AB" w:rsidP="003F69AB">
            <w:pPr>
              <w:jc w:val="center"/>
              <w:rPr>
                <w:sz w:val="20"/>
                <w:szCs w:val="20"/>
              </w:rPr>
            </w:pPr>
            <w:r w:rsidRPr="00223651">
              <w:rPr>
                <w:sz w:val="20"/>
                <w:szCs w:val="20"/>
              </w:rPr>
              <w:t>2</w:t>
            </w:r>
            <w:r>
              <w:rPr>
                <w:sz w:val="20"/>
                <w:szCs w:val="20"/>
              </w:rPr>
              <w:t>3</w:t>
            </w:r>
          </w:p>
        </w:tc>
        <w:tc>
          <w:tcPr>
            <w:tcW w:w="748" w:type="dxa"/>
            <w:gridSpan w:val="2"/>
            <w:tcBorders>
              <w:top w:val="nil"/>
              <w:left w:val="nil"/>
              <w:bottom w:val="nil"/>
              <w:right w:val="nil"/>
            </w:tcBorders>
            <w:shd w:val="clear" w:color="auto" w:fill="auto"/>
            <w:noWrap/>
            <w:vAlign w:val="bottom"/>
            <w:hideMark/>
          </w:tcPr>
          <w:p w:rsidR="003F69AB" w:rsidRPr="00223651" w:rsidRDefault="003F69AB" w:rsidP="003F69AB">
            <w:pPr>
              <w:jc w:val="center"/>
              <w:rPr>
                <w:sz w:val="20"/>
                <w:szCs w:val="20"/>
              </w:rPr>
            </w:pPr>
            <w:r>
              <w:rPr>
                <w:sz w:val="20"/>
                <w:szCs w:val="20"/>
              </w:rPr>
              <w:t>121</w:t>
            </w:r>
          </w:p>
        </w:tc>
      </w:tr>
      <w:tr w:rsidR="003F69AB" w:rsidRPr="001F7FE1" w:rsidTr="00726C31">
        <w:trPr>
          <w:trHeight w:val="255"/>
        </w:trPr>
        <w:tc>
          <w:tcPr>
            <w:tcW w:w="8379" w:type="dxa"/>
            <w:tcBorders>
              <w:top w:val="nil"/>
              <w:left w:val="nil"/>
              <w:bottom w:val="nil"/>
              <w:right w:val="nil"/>
            </w:tcBorders>
            <w:shd w:val="clear" w:color="auto" w:fill="auto"/>
            <w:noWrap/>
            <w:vAlign w:val="bottom"/>
            <w:hideMark/>
          </w:tcPr>
          <w:p w:rsidR="003F69AB" w:rsidRPr="00223651" w:rsidRDefault="003F69AB" w:rsidP="003F69AB">
            <w:pPr>
              <w:spacing w:before="60"/>
              <w:rPr>
                <w:i/>
                <w:iCs/>
                <w:sz w:val="20"/>
                <w:szCs w:val="20"/>
                <w:lang w:val="en-US"/>
              </w:rPr>
            </w:pPr>
            <w:r w:rsidRPr="00223651">
              <w:rPr>
                <w:i/>
                <w:iCs/>
                <w:sz w:val="20"/>
                <w:szCs w:val="20"/>
                <w:lang w:val="en-US"/>
              </w:rPr>
              <w:t>Type of costs composition in industry by sections, divis</w:t>
            </w:r>
            <w:r>
              <w:rPr>
                <w:i/>
                <w:iCs/>
                <w:sz w:val="20"/>
                <w:szCs w:val="20"/>
                <w:lang w:val="en-US"/>
              </w:rPr>
              <w:t xml:space="preserve">ions and groups in </w:t>
            </w:r>
            <w:r w:rsidRPr="00325214">
              <w:rPr>
                <w:i/>
                <w:iCs/>
                <w:sz w:val="20"/>
                <w:szCs w:val="20"/>
                <w:lang w:val="en-US"/>
              </w:rPr>
              <w:t>I</w:t>
            </w:r>
            <w:r>
              <w:rPr>
                <w:i/>
                <w:iCs/>
                <w:sz w:val="20"/>
                <w:szCs w:val="20"/>
                <w:lang w:val="en-US"/>
              </w:rPr>
              <w:t>-II</w:t>
            </w:r>
            <w:r w:rsidRPr="00325214">
              <w:rPr>
                <w:i/>
                <w:iCs/>
                <w:sz w:val="20"/>
                <w:szCs w:val="20"/>
                <w:lang w:val="en-US"/>
              </w:rPr>
              <w:t xml:space="preserve"> quarter 2017</w:t>
            </w:r>
          </w:p>
        </w:tc>
        <w:tc>
          <w:tcPr>
            <w:tcW w:w="160" w:type="dxa"/>
            <w:tcBorders>
              <w:top w:val="nil"/>
              <w:left w:val="nil"/>
              <w:bottom w:val="nil"/>
              <w:right w:val="nil"/>
            </w:tcBorders>
            <w:shd w:val="clear" w:color="auto" w:fill="auto"/>
            <w:noWrap/>
            <w:vAlign w:val="bottom"/>
            <w:hideMark/>
          </w:tcPr>
          <w:p w:rsidR="003F69AB" w:rsidRPr="00223651" w:rsidRDefault="003F69AB" w:rsidP="003F69AB">
            <w:pPr>
              <w:rPr>
                <w:sz w:val="20"/>
                <w:szCs w:val="20"/>
                <w:lang w:val="en-US"/>
              </w:rPr>
            </w:pPr>
          </w:p>
        </w:tc>
        <w:tc>
          <w:tcPr>
            <w:tcW w:w="832" w:type="dxa"/>
            <w:tcBorders>
              <w:top w:val="nil"/>
              <w:left w:val="nil"/>
              <w:bottom w:val="nil"/>
              <w:right w:val="single" w:sz="4" w:space="0" w:color="auto"/>
            </w:tcBorders>
            <w:shd w:val="clear" w:color="auto" w:fill="auto"/>
            <w:noWrap/>
            <w:vAlign w:val="bottom"/>
            <w:hideMark/>
          </w:tcPr>
          <w:p w:rsidR="003F69AB" w:rsidRPr="00223651" w:rsidRDefault="003F69AB" w:rsidP="003F69AB">
            <w:pPr>
              <w:rPr>
                <w:sz w:val="20"/>
                <w:szCs w:val="20"/>
                <w:lang w:val="en-US"/>
              </w:rPr>
            </w:pPr>
            <w:r w:rsidRPr="00223651">
              <w:rPr>
                <w:sz w:val="20"/>
                <w:szCs w:val="20"/>
                <w:lang w:val="en-US"/>
              </w:rPr>
              <w:t> </w:t>
            </w:r>
          </w:p>
        </w:tc>
        <w:tc>
          <w:tcPr>
            <w:tcW w:w="748" w:type="dxa"/>
            <w:gridSpan w:val="2"/>
            <w:tcBorders>
              <w:top w:val="nil"/>
              <w:left w:val="nil"/>
              <w:bottom w:val="nil"/>
              <w:right w:val="nil"/>
            </w:tcBorders>
            <w:shd w:val="clear" w:color="auto" w:fill="auto"/>
            <w:noWrap/>
            <w:vAlign w:val="bottom"/>
            <w:hideMark/>
          </w:tcPr>
          <w:p w:rsidR="003F69AB" w:rsidRPr="00223651" w:rsidRDefault="003F69AB" w:rsidP="003F69AB">
            <w:pPr>
              <w:jc w:val="center"/>
              <w:rPr>
                <w:sz w:val="20"/>
                <w:szCs w:val="20"/>
                <w:lang w:val="en-US"/>
              </w:rPr>
            </w:pPr>
          </w:p>
        </w:tc>
      </w:tr>
      <w:tr w:rsidR="003F69AB" w:rsidRPr="001F7FE1" w:rsidTr="00726C31">
        <w:trPr>
          <w:trHeight w:val="60"/>
        </w:trPr>
        <w:tc>
          <w:tcPr>
            <w:tcW w:w="8379" w:type="dxa"/>
            <w:tcBorders>
              <w:top w:val="nil"/>
              <w:left w:val="nil"/>
              <w:bottom w:val="nil"/>
              <w:right w:val="nil"/>
            </w:tcBorders>
            <w:shd w:val="clear" w:color="auto" w:fill="auto"/>
            <w:noWrap/>
            <w:vAlign w:val="bottom"/>
            <w:hideMark/>
          </w:tcPr>
          <w:p w:rsidR="003F69AB" w:rsidRPr="00223651" w:rsidRDefault="003F69AB" w:rsidP="003F69AB">
            <w:pPr>
              <w:rPr>
                <w:i/>
                <w:iCs/>
                <w:sz w:val="20"/>
                <w:szCs w:val="20"/>
                <w:lang w:val="en-US"/>
              </w:rPr>
            </w:pPr>
          </w:p>
        </w:tc>
        <w:tc>
          <w:tcPr>
            <w:tcW w:w="160" w:type="dxa"/>
            <w:tcBorders>
              <w:top w:val="nil"/>
              <w:left w:val="nil"/>
              <w:bottom w:val="nil"/>
              <w:right w:val="nil"/>
            </w:tcBorders>
            <w:shd w:val="clear" w:color="auto" w:fill="auto"/>
            <w:noWrap/>
            <w:vAlign w:val="bottom"/>
            <w:hideMark/>
          </w:tcPr>
          <w:p w:rsidR="003F69AB" w:rsidRPr="00223651" w:rsidRDefault="003F69AB" w:rsidP="003F69AB">
            <w:pPr>
              <w:rPr>
                <w:sz w:val="20"/>
                <w:szCs w:val="20"/>
                <w:lang w:val="en-US"/>
              </w:rPr>
            </w:pPr>
          </w:p>
        </w:tc>
        <w:tc>
          <w:tcPr>
            <w:tcW w:w="832" w:type="dxa"/>
            <w:tcBorders>
              <w:top w:val="nil"/>
              <w:left w:val="nil"/>
              <w:bottom w:val="nil"/>
              <w:right w:val="nil"/>
            </w:tcBorders>
            <w:shd w:val="clear" w:color="auto" w:fill="auto"/>
            <w:noWrap/>
            <w:vAlign w:val="bottom"/>
            <w:hideMark/>
          </w:tcPr>
          <w:p w:rsidR="003F69AB" w:rsidRPr="00223651" w:rsidRDefault="003F69AB" w:rsidP="003F69AB">
            <w:pPr>
              <w:rPr>
                <w:sz w:val="20"/>
                <w:szCs w:val="20"/>
                <w:lang w:val="en-US"/>
              </w:rPr>
            </w:pPr>
          </w:p>
        </w:tc>
        <w:tc>
          <w:tcPr>
            <w:tcW w:w="748" w:type="dxa"/>
            <w:gridSpan w:val="2"/>
            <w:tcBorders>
              <w:top w:val="nil"/>
              <w:left w:val="nil"/>
              <w:bottom w:val="nil"/>
              <w:right w:val="nil"/>
            </w:tcBorders>
            <w:shd w:val="clear" w:color="auto" w:fill="auto"/>
            <w:noWrap/>
            <w:vAlign w:val="bottom"/>
            <w:hideMark/>
          </w:tcPr>
          <w:p w:rsidR="003F69AB" w:rsidRPr="00223651" w:rsidRDefault="003F69AB" w:rsidP="003F69AB">
            <w:pPr>
              <w:rPr>
                <w:sz w:val="20"/>
                <w:szCs w:val="20"/>
                <w:lang w:val="en-US"/>
              </w:rPr>
            </w:pPr>
          </w:p>
        </w:tc>
      </w:tr>
      <w:tr w:rsidR="003F69AB" w:rsidRPr="00223651" w:rsidTr="009C2A66">
        <w:trPr>
          <w:trHeight w:val="679"/>
        </w:trPr>
        <w:tc>
          <w:tcPr>
            <w:tcW w:w="8379" w:type="dxa"/>
            <w:tcBorders>
              <w:top w:val="nil"/>
              <w:left w:val="nil"/>
              <w:bottom w:val="nil"/>
              <w:right w:val="nil"/>
            </w:tcBorders>
            <w:shd w:val="clear" w:color="auto" w:fill="auto"/>
            <w:noWrap/>
            <w:vAlign w:val="center"/>
            <w:hideMark/>
          </w:tcPr>
          <w:p w:rsidR="003F69AB" w:rsidRPr="00223651" w:rsidRDefault="003F69AB" w:rsidP="003F69AB">
            <w:pPr>
              <w:spacing w:before="340"/>
              <w:rPr>
                <w:b/>
                <w:bCs/>
                <w:sz w:val="20"/>
                <w:szCs w:val="20"/>
              </w:rPr>
            </w:pPr>
            <w:r w:rsidRPr="00223651">
              <w:rPr>
                <w:b/>
                <w:bCs/>
                <w:sz w:val="20"/>
                <w:szCs w:val="20"/>
              </w:rPr>
              <w:t>SPIS WYKRESÓW</w:t>
            </w:r>
          </w:p>
        </w:tc>
        <w:tc>
          <w:tcPr>
            <w:tcW w:w="160" w:type="dxa"/>
            <w:tcBorders>
              <w:top w:val="nil"/>
              <w:left w:val="nil"/>
              <w:bottom w:val="nil"/>
              <w:right w:val="nil"/>
            </w:tcBorders>
            <w:shd w:val="clear" w:color="auto" w:fill="auto"/>
            <w:noWrap/>
            <w:vAlign w:val="bottom"/>
            <w:hideMark/>
          </w:tcPr>
          <w:p w:rsidR="003F69AB" w:rsidRPr="00223651" w:rsidRDefault="003F69AB" w:rsidP="003F69AB">
            <w:pPr>
              <w:rPr>
                <w:sz w:val="20"/>
                <w:szCs w:val="20"/>
              </w:rPr>
            </w:pPr>
          </w:p>
        </w:tc>
        <w:tc>
          <w:tcPr>
            <w:tcW w:w="832" w:type="dxa"/>
            <w:tcBorders>
              <w:top w:val="nil"/>
              <w:left w:val="nil"/>
              <w:bottom w:val="nil"/>
              <w:right w:val="nil"/>
            </w:tcBorders>
            <w:shd w:val="clear" w:color="auto" w:fill="auto"/>
            <w:noWrap/>
            <w:vAlign w:val="bottom"/>
            <w:hideMark/>
          </w:tcPr>
          <w:p w:rsidR="003F69AB" w:rsidRPr="00223651" w:rsidRDefault="003F69AB" w:rsidP="003F69AB">
            <w:pPr>
              <w:rPr>
                <w:sz w:val="20"/>
                <w:szCs w:val="20"/>
              </w:rPr>
            </w:pPr>
          </w:p>
        </w:tc>
        <w:tc>
          <w:tcPr>
            <w:tcW w:w="748" w:type="dxa"/>
            <w:gridSpan w:val="2"/>
            <w:tcBorders>
              <w:top w:val="nil"/>
              <w:left w:val="nil"/>
              <w:bottom w:val="nil"/>
              <w:right w:val="nil"/>
            </w:tcBorders>
            <w:shd w:val="clear" w:color="auto" w:fill="auto"/>
            <w:noWrap/>
            <w:vAlign w:val="bottom"/>
            <w:hideMark/>
          </w:tcPr>
          <w:p w:rsidR="003F69AB" w:rsidRPr="00223651" w:rsidRDefault="003F69AB" w:rsidP="003F69AB">
            <w:pPr>
              <w:rPr>
                <w:sz w:val="20"/>
                <w:szCs w:val="20"/>
              </w:rPr>
            </w:pPr>
          </w:p>
        </w:tc>
      </w:tr>
      <w:tr w:rsidR="003F69AB" w:rsidRPr="00223651" w:rsidTr="00726C31">
        <w:trPr>
          <w:trHeight w:val="240"/>
        </w:trPr>
        <w:tc>
          <w:tcPr>
            <w:tcW w:w="8379" w:type="dxa"/>
            <w:tcBorders>
              <w:top w:val="nil"/>
              <w:left w:val="nil"/>
              <w:bottom w:val="nil"/>
              <w:right w:val="nil"/>
            </w:tcBorders>
            <w:shd w:val="clear" w:color="auto" w:fill="auto"/>
            <w:noWrap/>
            <w:vAlign w:val="center"/>
            <w:hideMark/>
          </w:tcPr>
          <w:p w:rsidR="003F69AB" w:rsidRPr="00223651" w:rsidRDefault="003F69AB" w:rsidP="003F69AB">
            <w:pPr>
              <w:rPr>
                <w:b/>
                <w:bCs/>
                <w:i/>
                <w:iCs/>
                <w:sz w:val="20"/>
                <w:szCs w:val="20"/>
              </w:rPr>
            </w:pPr>
            <w:r w:rsidRPr="00223651">
              <w:rPr>
                <w:b/>
                <w:bCs/>
                <w:i/>
                <w:iCs/>
                <w:sz w:val="20"/>
                <w:szCs w:val="20"/>
              </w:rPr>
              <w:t>LIST OF GRAPHS</w:t>
            </w:r>
          </w:p>
        </w:tc>
        <w:tc>
          <w:tcPr>
            <w:tcW w:w="160" w:type="dxa"/>
            <w:tcBorders>
              <w:top w:val="nil"/>
              <w:left w:val="nil"/>
              <w:bottom w:val="nil"/>
              <w:right w:val="nil"/>
            </w:tcBorders>
            <w:shd w:val="clear" w:color="auto" w:fill="auto"/>
            <w:noWrap/>
            <w:vAlign w:val="bottom"/>
            <w:hideMark/>
          </w:tcPr>
          <w:p w:rsidR="003F69AB" w:rsidRPr="00223651" w:rsidRDefault="003F69AB" w:rsidP="003F69AB">
            <w:pPr>
              <w:rPr>
                <w:sz w:val="20"/>
                <w:szCs w:val="20"/>
              </w:rPr>
            </w:pPr>
          </w:p>
        </w:tc>
        <w:tc>
          <w:tcPr>
            <w:tcW w:w="832" w:type="dxa"/>
            <w:tcBorders>
              <w:top w:val="nil"/>
              <w:left w:val="nil"/>
              <w:bottom w:val="nil"/>
              <w:right w:val="nil"/>
            </w:tcBorders>
            <w:shd w:val="clear" w:color="auto" w:fill="auto"/>
            <w:noWrap/>
            <w:vAlign w:val="bottom"/>
            <w:hideMark/>
          </w:tcPr>
          <w:p w:rsidR="003F69AB" w:rsidRPr="00223651" w:rsidRDefault="003F69AB" w:rsidP="003F69AB">
            <w:pPr>
              <w:rPr>
                <w:sz w:val="20"/>
                <w:szCs w:val="20"/>
              </w:rPr>
            </w:pPr>
          </w:p>
        </w:tc>
        <w:tc>
          <w:tcPr>
            <w:tcW w:w="748" w:type="dxa"/>
            <w:gridSpan w:val="2"/>
            <w:tcBorders>
              <w:top w:val="nil"/>
              <w:left w:val="nil"/>
              <w:bottom w:val="nil"/>
              <w:right w:val="nil"/>
            </w:tcBorders>
            <w:shd w:val="clear" w:color="auto" w:fill="auto"/>
            <w:noWrap/>
            <w:vAlign w:val="bottom"/>
            <w:hideMark/>
          </w:tcPr>
          <w:p w:rsidR="003F69AB" w:rsidRPr="00223651" w:rsidRDefault="003F69AB" w:rsidP="003F69AB">
            <w:pPr>
              <w:rPr>
                <w:sz w:val="20"/>
                <w:szCs w:val="20"/>
              </w:rPr>
            </w:pPr>
          </w:p>
        </w:tc>
      </w:tr>
      <w:tr w:rsidR="003F69AB" w:rsidRPr="00223651" w:rsidTr="00726C31">
        <w:trPr>
          <w:gridAfter w:val="1"/>
          <w:wAfter w:w="14" w:type="dxa"/>
          <w:trHeight w:val="244"/>
        </w:trPr>
        <w:tc>
          <w:tcPr>
            <w:tcW w:w="8379" w:type="dxa"/>
            <w:tcBorders>
              <w:top w:val="nil"/>
              <w:left w:val="nil"/>
              <w:bottom w:val="nil"/>
              <w:right w:val="nil"/>
            </w:tcBorders>
            <w:shd w:val="clear" w:color="auto" w:fill="auto"/>
            <w:noWrap/>
            <w:vAlign w:val="bottom"/>
            <w:hideMark/>
          </w:tcPr>
          <w:p w:rsidR="003F69AB" w:rsidRPr="00223651" w:rsidRDefault="003F69AB" w:rsidP="003F69AB">
            <w:pPr>
              <w:spacing w:before="360"/>
              <w:rPr>
                <w:sz w:val="20"/>
                <w:szCs w:val="20"/>
              </w:rPr>
            </w:pPr>
            <w:r w:rsidRPr="00223651">
              <w:rPr>
                <w:sz w:val="20"/>
                <w:szCs w:val="20"/>
              </w:rPr>
              <w:t>Produkcja sprzedana przemysłu w cenach stałych (</w:t>
            </w:r>
            <w:r w:rsidRPr="00BC2763">
              <w:rPr>
                <w:sz w:val="20"/>
                <w:szCs w:val="20"/>
              </w:rPr>
              <w:t>2010, 2014, 2015, 2016, 2017</w:t>
            </w:r>
            <w:r w:rsidRPr="00223651">
              <w:rPr>
                <w:sz w:val="20"/>
                <w:szCs w:val="20"/>
              </w:rPr>
              <w:t xml:space="preserve">) </w:t>
            </w:r>
            <w:r>
              <w:rPr>
                <w:sz w:val="20"/>
                <w:szCs w:val="20"/>
              </w:rPr>
              <w:t>................................</w:t>
            </w:r>
          </w:p>
        </w:tc>
        <w:tc>
          <w:tcPr>
            <w:tcW w:w="992" w:type="dxa"/>
            <w:gridSpan w:val="2"/>
            <w:tcBorders>
              <w:top w:val="nil"/>
              <w:left w:val="nil"/>
              <w:bottom w:val="nil"/>
              <w:right w:val="nil"/>
            </w:tcBorders>
            <w:shd w:val="clear" w:color="auto" w:fill="auto"/>
            <w:noWrap/>
            <w:vAlign w:val="bottom"/>
            <w:hideMark/>
          </w:tcPr>
          <w:p w:rsidR="003F69AB" w:rsidRPr="00223651" w:rsidRDefault="003F69AB" w:rsidP="003F69AB">
            <w:pPr>
              <w:rPr>
                <w:sz w:val="20"/>
                <w:szCs w:val="20"/>
              </w:rPr>
            </w:pPr>
            <w:r w:rsidRPr="00223651">
              <w:rPr>
                <w:sz w:val="20"/>
                <w:szCs w:val="20"/>
              </w:rPr>
              <w:t xml:space="preserve"> </w:t>
            </w:r>
          </w:p>
        </w:tc>
        <w:tc>
          <w:tcPr>
            <w:tcW w:w="734" w:type="dxa"/>
            <w:tcBorders>
              <w:top w:val="nil"/>
              <w:left w:val="nil"/>
              <w:bottom w:val="nil"/>
              <w:right w:val="nil"/>
            </w:tcBorders>
            <w:shd w:val="clear" w:color="auto" w:fill="auto"/>
            <w:noWrap/>
            <w:vAlign w:val="bottom"/>
            <w:hideMark/>
          </w:tcPr>
          <w:p w:rsidR="003F69AB" w:rsidRPr="00223651" w:rsidRDefault="003F69AB" w:rsidP="003F69AB">
            <w:pPr>
              <w:jc w:val="center"/>
              <w:rPr>
                <w:sz w:val="20"/>
                <w:szCs w:val="20"/>
              </w:rPr>
            </w:pPr>
            <w:r>
              <w:rPr>
                <w:sz w:val="20"/>
                <w:szCs w:val="20"/>
              </w:rPr>
              <w:t>12</w:t>
            </w:r>
            <w:r w:rsidR="00F83B99">
              <w:rPr>
                <w:sz w:val="20"/>
                <w:szCs w:val="20"/>
              </w:rPr>
              <w:t>9</w:t>
            </w:r>
          </w:p>
        </w:tc>
      </w:tr>
      <w:tr w:rsidR="003F69AB" w:rsidRPr="001F7FE1" w:rsidTr="00726C31">
        <w:trPr>
          <w:trHeight w:val="244"/>
        </w:trPr>
        <w:tc>
          <w:tcPr>
            <w:tcW w:w="8379" w:type="dxa"/>
            <w:tcBorders>
              <w:top w:val="nil"/>
              <w:left w:val="nil"/>
              <w:bottom w:val="nil"/>
              <w:right w:val="nil"/>
            </w:tcBorders>
            <w:shd w:val="clear" w:color="auto" w:fill="auto"/>
            <w:noWrap/>
            <w:vAlign w:val="bottom"/>
            <w:hideMark/>
          </w:tcPr>
          <w:p w:rsidR="003F69AB" w:rsidRPr="00223651" w:rsidRDefault="003F69AB" w:rsidP="003F69AB">
            <w:pPr>
              <w:spacing w:before="60"/>
              <w:rPr>
                <w:i/>
                <w:iCs/>
                <w:sz w:val="20"/>
                <w:szCs w:val="20"/>
                <w:lang w:val="en-US"/>
              </w:rPr>
            </w:pPr>
            <w:r w:rsidRPr="00223651">
              <w:rPr>
                <w:i/>
                <w:iCs/>
                <w:sz w:val="20"/>
                <w:szCs w:val="20"/>
                <w:lang w:val="en-US"/>
              </w:rPr>
              <w:t>Sold production of ind</w:t>
            </w:r>
            <w:r>
              <w:rPr>
                <w:i/>
                <w:iCs/>
                <w:sz w:val="20"/>
                <w:szCs w:val="20"/>
                <w:lang w:val="en-US"/>
              </w:rPr>
              <w:t>ustry in constant prices (</w:t>
            </w:r>
            <w:r w:rsidRPr="0018501B">
              <w:rPr>
                <w:i/>
                <w:iCs/>
                <w:sz w:val="20"/>
                <w:szCs w:val="20"/>
                <w:lang w:val="en-US"/>
              </w:rPr>
              <w:t>2010, 2014, 2015, 2016, 2017</w:t>
            </w:r>
            <w:r w:rsidRPr="00223651">
              <w:rPr>
                <w:i/>
                <w:iCs/>
                <w:sz w:val="20"/>
                <w:szCs w:val="20"/>
                <w:lang w:val="en-US"/>
              </w:rPr>
              <w:t>)</w:t>
            </w:r>
          </w:p>
        </w:tc>
        <w:tc>
          <w:tcPr>
            <w:tcW w:w="160" w:type="dxa"/>
            <w:tcBorders>
              <w:top w:val="nil"/>
              <w:left w:val="nil"/>
              <w:bottom w:val="nil"/>
              <w:right w:val="nil"/>
            </w:tcBorders>
            <w:shd w:val="clear" w:color="auto" w:fill="auto"/>
            <w:noWrap/>
            <w:vAlign w:val="bottom"/>
            <w:hideMark/>
          </w:tcPr>
          <w:p w:rsidR="003F69AB" w:rsidRPr="00223651" w:rsidRDefault="003F69AB" w:rsidP="003F69AB">
            <w:pPr>
              <w:rPr>
                <w:sz w:val="20"/>
                <w:szCs w:val="20"/>
                <w:lang w:val="en-US"/>
              </w:rPr>
            </w:pPr>
          </w:p>
        </w:tc>
        <w:tc>
          <w:tcPr>
            <w:tcW w:w="832" w:type="dxa"/>
            <w:tcBorders>
              <w:top w:val="nil"/>
              <w:left w:val="nil"/>
              <w:bottom w:val="nil"/>
              <w:right w:val="nil"/>
            </w:tcBorders>
            <w:shd w:val="clear" w:color="auto" w:fill="auto"/>
            <w:noWrap/>
            <w:vAlign w:val="bottom"/>
            <w:hideMark/>
          </w:tcPr>
          <w:p w:rsidR="003F69AB" w:rsidRPr="00223651" w:rsidRDefault="003F69AB" w:rsidP="003F69AB">
            <w:pPr>
              <w:rPr>
                <w:sz w:val="20"/>
                <w:szCs w:val="20"/>
                <w:lang w:val="en-US"/>
              </w:rPr>
            </w:pPr>
          </w:p>
        </w:tc>
        <w:tc>
          <w:tcPr>
            <w:tcW w:w="748" w:type="dxa"/>
            <w:gridSpan w:val="2"/>
            <w:tcBorders>
              <w:top w:val="nil"/>
              <w:left w:val="nil"/>
              <w:bottom w:val="nil"/>
              <w:right w:val="nil"/>
            </w:tcBorders>
            <w:shd w:val="clear" w:color="auto" w:fill="auto"/>
            <w:noWrap/>
            <w:vAlign w:val="bottom"/>
            <w:hideMark/>
          </w:tcPr>
          <w:p w:rsidR="003F69AB" w:rsidRPr="00223651" w:rsidRDefault="003F69AB" w:rsidP="003F69AB">
            <w:pPr>
              <w:jc w:val="center"/>
              <w:rPr>
                <w:sz w:val="20"/>
                <w:szCs w:val="20"/>
                <w:lang w:val="en-US"/>
              </w:rPr>
            </w:pPr>
          </w:p>
        </w:tc>
      </w:tr>
      <w:tr w:rsidR="003F69AB" w:rsidRPr="00223651" w:rsidTr="00726C31">
        <w:trPr>
          <w:gridAfter w:val="1"/>
          <w:wAfter w:w="14" w:type="dxa"/>
          <w:trHeight w:val="244"/>
        </w:trPr>
        <w:tc>
          <w:tcPr>
            <w:tcW w:w="8379" w:type="dxa"/>
            <w:tcBorders>
              <w:top w:val="nil"/>
              <w:left w:val="nil"/>
              <w:bottom w:val="nil"/>
              <w:right w:val="nil"/>
            </w:tcBorders>
            <w:shd w:val="clear" w:color="auto" w:fill="auto"/>
            <w:noWrap/>
            <w:vAlign w:val="bottom"/>
            <w:hideMark/>
          </w:tcPr>
          <w:p w:rsidR="003F69AB" w:rsidRPr="00223651" w:rsidRDefault="003F69AB" w:rsidP="003F69AB">
            <w:pPr>
              <w:spacing w:before="60"/>
              <w:rPr>
                <w:sz w:val="20"/>
                <w:szCs w:val="20"/>
              </w:rPr>
            </w:pPr>
            <w:r>
              <w:rPr>
                <w:sz w:val="20"/>
                <w:szCs w:val="20"/>
              </w:rPr>
              <w:t xml:space="preserve">Przedsiębiorstwa przemysłowe według wskaźnika rentowności obrotu netto w </w:t>
            </w:r>
            <w:r w:rsidRPr="00617CDD">
              <w:rPr>
                <w:sz w:val="20"/>
                <w:szCs w:val="20"/>
              </w:rPr>
              <w:t>I</w:t>
            </w:r>
            <w:r w:rsidR="006A6534">
              <w:rPr>
                <w:sz w:val="20"/>
                <w:szCs w:val="20"/>
              </w:rPr>
              <w:t>-II</w:t>
            </w:r>
            <w:r w:rsidRPr="00617CDD">
              <w:rPr>
                <w:sz w:val="20"/>
                <w:szCs w:val="20"/>
              </w:rPr>
              <w:t xml:space="preserve"> kwartale 2017</w:t>
            </w:r>
            <w:r>
              <w:rPr>
                <w:sz w:val="20"/>
                <w:szCs w:val="20"/>
              </w:rPr>
              <w:t xml:space="preserve"> r. </w:t>
            </w:r>
            <w:r w:rsidR="006A6534">
              <w:rPr>
                <w:sz w:val="20"/>
                <w:szCs w:val="20"/>
              </w:rPr>
              <w:t>.....</w:t>
            </w:r>
          </w:p>
        </w:tc>
        <w:tc>
          <w:tcPr>
            <w:tcW w:w="992" w:type="dxa"/>
            <w:gridSpan w:val="2"/>
            <w:tcBorders>
              <w:top w:val="nil"/>
              <w:left w:val="nil"/>
              <w:bottom w:val="nil"/>
              <w:right w:val="nil"/>
            </w:tcBorders>
            <w:shd w:val="clear" w:color="auto" w:fill="auto"/>
            <w:noWrap/>
            <w:vAlign w:val="bottom"/>
            <w:hideMark/>
          </w:tcPr>
          <w:p w:rsidR="003F69AB" w:rsidRPr="00223651" w:rsidRDefault="003F69AB" w:rsidP="003F69AB">
            <w:pPr>
              <w:rPr>
                <w:sz w:val="20"/>
                <w:szCs w:val="20"/>
              </w:rPr>
            </w:pPr>
            <w:r w:rsidRPr="00223651">
              <w:rPr>
                <w:sz w:val="20"/>
                <w:szCs w:val="20"/>
              </w:rPr>
              <w:t xml:space="preserve"> </w:t>
            </w:r>
          </w:p>
        </w:tc>
        <w:tc>
          <w:tcPr>
            <w:tcW w:w="734" w:type="dxa"/>
            <w:tcBorders>
              <w:top w:val="nil"/>
              <w:left w:val="nil"/>
              <w:bottom w:val="nil"/>
              <w:right w:val="nil"/>
            </w:tcBorders>
            <w:shd w:val="clear" w:color="auto" w:fill="auto"/>
            <w:noWrap/>
            <w:vAlign w:val="bottom"/>
            <w:hideMark/>
          </w:tcPr>
          <w:p w:rsidR="003F69AB" w:rsidRPr="00223651" w:rsidRDefault="003F69AB" w:rsidP="003F69AB">
            <w:pPr>
              <w:jc w:val="center"/>
              <w:rPr>
                <w:sz w:val="20"/>
                <w:szCs w:val="20"/>
              </w:rPr>
            </w:pPr>
            <w:r>
              <w:rPr>
                <w:sz w:val="20"/>
                <w:szCs w:val="20"/>
              </w:rPr>
              <w:t>12</w:t>
            </w:r>
            <w:r w:rsidR="00F83B99">
              <w:rPr>
                <w:sz w:val="20"/>
                <w:szCs w:val="20"/>
              </w:rPr>
              <w:t>9</w:t>
            </w:r>
          </w:p>
        </w:tc>
      </w:tr>
      <w:tr w:rsidR="003F69AB" w:rsidRPr="001F7FE1" w:rsidTr="00726C31">
        <w:trPr>
          <w:trHeight w:val="244"/>
        </w:trPr>
        <w:tc>
          <w:tcPr>
            <w:tcW w:w="8379" w:type="dxa"/>
            <w:tcBorders>
              <w:top w:val="nil"/>
              <w:left w:val="nil"/>
              <w:bottom w:val="nil"/>
              <w:right w:val="nil"/>
            </w:tcBorders>
            <w:shd w:val="clear" w:color="auto" w:fill="auto"/>
            <w:noWrap/>
            <w:vAlign w:val="bottom"/>
            <w:hideMark/>
          </w:tcPr>
          <w:p w:rsidR="003F69AB" w:rsidRPr="00223651" w:rsidRDefault="003F69AB" w:rsidP="003F69AB">
            <w:pPr>
              <w:spacing w:before="60"/>
              <w:rPr>
                <w:i/>
                <w:iCs/>
                <w:sz w:val="20"/>
                <w:szCs w:val="20"/>
                <w:lang w:val="en-US"/>
              </w:rPr>
            </w:pPr>
            <w:r w:rsidRPr="00223651">
              <w:rPr>
                <w:i/>
                <w:iCs/>
                <w:sz w:val="20"/>
                <w:szCs w:val="20"/>
                <w:lang w:val="en-US"/>
              </w:rPr>
              <w:t>Industrial enterprises by profit</w:t>
            </w:r>
            <w:r>
              <w:rPr>
                <w:i/>
                <w:iCs/>
                <w:sz w:val="20"/>
                <w:szCs w:val="20"/>
                <w:lang w:val="en-US"/>
              </w:rPr>
              <w:t>ability rate of net turnover in</w:t>
            </w:r>
            <w:r w:rsidRPr="00617CDD">
              <w:rPr>
                <w:i/>
                <w:iCs/>
                <w:sz w:val="20"/>
                <w:szCs w:val="20"/>
                <w:lang w:val="en-US"/>
              </w:rPr>
              <w:t xml:space="preserve"> I</w:t>
            </w:r>
            <w:r w:rsidR="006A6534">
              <w:rPr>
                <w:i/>
                <w:iCs/>
                <w:sz w:val="20"/>
                <w:szCs w:val="20"/>
                <w:lang w:val="en-US"/>
              </w:rPr>
              <w:t>-II</w:t>
            </w:r>
            <w:r w:rsidRPr="00617CDD">
              <w:rPr>
                <w:i/>
                <w:iCs/>
                <w:sz w:val="20"/>
                <w:szCs w:val="20"/>
                <w:lang w:val="en-US"/>
              </w:rPr>
              <w:t xml:space="preserve"> quarter 2017</w:t>
            </w:r>
          </w:p>
        </w:tc>
        <w:tc>
          <w:tcPr>
            <w:tcW w:w="160" w:type="dxa"/>
            <w:tcBorders>
              <w:top w:val="nil"/>
              <w:left w:val="nil"/>
              <w:bottom w:val="nil"/>
              <w:right w:val="nil"/>
            </w:tcBorders>
            <w:shd w:val="clear" w:color="auto" w:fill="auto"/>
            <w:noWrap/>
            <w:vAlign w:val="bottom"/>
            <w:hideMark/>
          </w:tcPr>
          <w:p w:rsidR="003F69AB" w:rsidRPr="00223651" w:rsidRDefault="003F69AB" w:rsidP="003F69AB">
            <w:pPr>
              <w:rPr>
                <w:sz w:val="20"/>
                <w:szCs w:val="20"/>
                <w:lang w:val="en-US"/>
              </w:rPr>
            </w:pPr>
          </w:p>
        </w:tc>
        <w:tc>
          <w:tcPr>
            <w:tcW w:w="832" w:type="dxa"/>
            <w:tcBorders>
              <w:top w:val="nil"/>
              <w:left w:val="nil"/>
              <w:bottom w:val="nil"/>
              <w:right w:val="nil"/>
            </w:tcBorders>
            <w:shd w:val="clear" w:color="auto" w:fill="auto"/>
            <w:noWrap/>
            <w:vAlign w:val="bottom"/>
            <w:hideMark/>
          </w:tcPr>
          <w:p w:rsidR="003F69AB" w:rsidRPr="00223651" w:rsidRDefault="003F69AB" w:rsidP="003F69AB">
            <w:pPr>
              <w:rPr>
                <w:sz w:val="20"/>
                <w:szCs w:val="20"/>
                <w:lang w:val="en-US"/>
              </w:rPr>
            </w:pPr>
          </w:p>
        </w:tc>
        <w:tc>
          <w:tcPr>
            <w:tcW w:w="748" w:type="dxa"/>
            <w:gridSpan w:val="2"/>
            <w:tcBorders>
              <w:top w:val="nil"/>
              <w:left w:val="nil"/>
              <w:bottom w:val="nil"/>
              <w:right w:val="nil"/>
            </w:tcBorders>
            <w:shd w:val="clear" w:color="auto" w:fill="auto"/>
            <w:noWrap/>
            <w:vAlign w:val="bottom"/>
            <w:hideMark/>
          </w:tcPr>
          <w:p w:rsidR="003F69AB" w:rsidRPr="00223651" w:rsidRDefault="003F69AB" w:rsidP="003F69AB">
            <w:pPr>
              <w:rPr>
                <w:sz w:val="20"/>
                <w:szCs w:val="20"/>
                <w:lang w:val="en-US"/>
              </w:rPr>
            </w:pPr>
          </w:p>
        </w:tc>
      </w:tr>
      <w:tr w:rsidR="003F69AB" w:rsidRPr="00223651" w:rsidTr="00726C31">
        <w:trPr>
          <w:trHeight w:val="244"/>
        </w:trPr>
        <w:tc>
          <w:tcPr>
            <w:tcW w:w="8379" w:type="dxa"/>
            <w:tcBorders>
              <w:top w:val="nil"/>
              <w:left w:val="nil"/>
              <w:bottom w:val="nil"/>
              <w:right w:val="nil"/>
            </w:tcBorders>
            <w:shd w:val="clear" w:color="auto" w:fill="auto"/>
            <w:noWrap/>
            <w:vAlign w:val="bottom"/>
            <w:hideMark/>
          </w:tcPr>
          <w:p w:rsidR="003F69AB" w:rsidRPr="00223651" w:rsidRDefault="003F69AB" w:rsidP="003F69AB">
            <w:pPr>
              <w:spacing w:before="60"/>
              <w:rPr>
                <w:sz w:val="20"/>
                <w:szCs w:val="20"/>
              </w:rPr>
            </w:pPr>
            <w:r w:rsidRPr="00223651">
              <w:rPr>
                <w:sz w:val="20"/>
                <w:szCs w:val="20"/>
              </w:rPr>
              <w:t xml:space="preserve">Produkcja sprzedana </w:t>
            </w:r>
            <w:r>
              <w:rPr>
                <w:sz w:val="20"/>
                <w:szCs w:val="20"/>
              </w:rPr>
              <w:t xml:space="preserve">przemysłu </w:t>
            </w:r>
            <w:r w:rsidRPr="00223651">
              <w:rPr>
                <w:sz w:val="20"/>
                <w:szCs w:val="20"/>
              </w:rPr>
              <w:t xml:space="preserve">w cenach stałych według sekcji </w:t>
            </w:r>
            <w:r>
              <w:rPr>
                <w:sz w:val="20"/>
                <w:szCs w:val="20"/>
              </w:rPr>
              <w:t>(I</w:t>
            </w:r>
            <w:r w:rsidR="006A6534">
              <w:rPr>
                <w:sz w:val="20"/>
                <w:szCs w:val="20"/>
              </w:rPr>
              <w:t>-II</w:t>
            </w:r>
            <w:r>
              <w:rPr>
                <w:sz w:val="20"/>
                <w:szCs w:val="20"/>
              </w:rPr>
              <w:t xml:space="preserve"> kwartał </w:t>
            </w:r>
            <w:r w:rsidRPr="00DA0892">
              <w:rPr>
                <w:sz w:val="20"/>
                <w:szCs w:val="20"/>
              </w:rPr>
              <w:t>2016</w:t>
            </w:r>
            <w:r>
              <w:rPr>
                <w:sz w:val="20"/>
                <w:szCs w:val="20"/>
              </w:rPr>
              <w:t xml:space="preserve"> i</w:t>
            </w:r>
            <w:r w:rsidRPr="00DA0892">
              <w:rPr>
                <w:sz w:val="20"/>
                <w:szCs w:val="20"/>
              </w:rPr>
              <w:t xml:space="preserve"> 2017</w:t>
            </w:r>
            <w:r>
              <w:rPr>
                <w:sz w:val="20"/>
                <w:szCs w:val="20"/>
              </w:rPr>
              <w:t>) ….............</w:t>
            </w:r>
            <w:r w:rsidR="006A6534">
              <w:rPr>
                <w:sz w:val="20"/>
                <w:szCs w:val="20"/>
              </w:rPr>
              <w:t>..</w:t>
            </w:r>
          </w:p>
        </w:tc>
        <w:tc>
          <w:tcPr>
            <w:tcW w:w="160" w:type="dxa"/>
            <w:tcBorders>
              <w:top w:val="nil"/>
              <w:left w:val="nil"/>
              <w:bottom w:val="nil"/>
              <w:right w:val="nil"/>
            </w:tcBorders>
            <w:shd w:val="clear" w:color="auto" w:fill="auto"/>
            <w:noWrap/>
            <w:vAlign w:val="bottom"/>
            <w:hideMark/>
          </w:tcPr>
          <w:p w:rsidR="003F69AB" w:rsidRPr="00223651" w:rsidRDefault="003F69AB" w:rsidP="003F69AB">
            <w:pPr>
              <w:rPr>
                <w:sz w:val="20"/>
                <w:szCs w:val="20"/>
              </w:rPr>
            </w:pPr>
          </w:p>
        </w:tc>
        <w:tc>
          <w:tcPr>
            <w:tcW w:w="832" w:type="dxa"/>
            <w:tcBorders>
              <w:top w:val="nil"/>
              <w:left w:val="nil"/>
              <w:bottom w:val="nil"/>
              <w:right w:val="nil"/>
            </w:tcBorders>
            <w:shd w:val="clear" w:color="auto" w:fill="auto"/>
            <w:noWrap/>
            <w:vAlign w:val="bottom"/>
            <w:hideMark/>
          </w:tcPr>
          <w:p w:rsidR="003F69AB" w:rsidRPr="00223651" w:rsidRDefault="003F69AB" w:rsidP="003F69AB">
            <w:pPr>
              <w:rPr>
                <w:sz w:val="20"/>
                <w:szCs w:val="20"/>
              </w:rPr>
            </w:pPr>
          </w:p>
        </w:tc>
        <w:tc>
          <w:tcPr>
            <w:tcW w:w="748" w:type="dxa"/>
            <w:gridSpan w:val="2"/>
            <w:tcBorders>
              <w:top w:val="nil"/>
              <w:left w:val="nil"/>
              <w:bottom w:val="nil"/>
              <w:right w:val="nil"/>
            </w:tcBorders>
            <w:shd w:val="clear" w:color="auto" w:fill="auto"/>
            <w:noWrap/>
            <w:vAlign w:val="bottom"/>
            <w:hideMark/>
          </w:tcPr>
          <w:p w:rsidR="003F69AB" w:rsidRPr="00223651" w:rsidRDefault="003F69AB" w:rsidP="00F83B99">
            <w:pPr>
              <w:jc w:val="center"/>
              <w:rPr>
                <w:sz w:val="20"/>
                <w:szCs w:val="20"/>
              </w:rPr>
            </w:pPr>
            <w:r>
              <w:rPr>
                <w:sz w:val="20"/>
                <w:szCs w:val="20"/>
              </w:rPr>
              <w:t>1</w:t>
            </w:r>
            <w:r w:rsidR="00F83B99">
              <w:rPr>
                <w:sz w:val="20"/>
                <w:szCs w:val="20"/>
              </w:rPr>
              <w:t>30</w:t>
            </w:r>
          </w:p>
        </w:tc>
      </w:tr>
      <w:tr w:rsidR="003F69AB" w:rsidRPr="001F7FE1" w:rsidTr="00726C31">
        <w:trPr>
          <w:trHeight w:val="244"/>
        </w:trPr>
        <w:tc>
          <w:tcPr>
            <w:tcW w:w="8379" w:type="dxa"/>
            <w:tcBorders>
              <w:top w:val="nil"/>
              <w:left w:val="nil"/>
              <w:bottom w:val="nil"/>
              <w:right w:val="nil"/>
            </w:tcBorders>
            <w:shd w:val="clear" w:color="auto" w:fill="auto"/>
            <w:noWrap/>
            <w:vAlign w:val="bottom"/>
            <w:hideMark/>
          </w:tcPr>
          <w:p w:rsidR="003F69AB" w:rsidRPr="00223651" w:rsidRDefault="003F69AB" w:rsidP="003F69AB">
            <w:pPr>
              <w:spacing w:before="60"/>
              <w:rPr>
                <w:i/>
                <w:iCs/>
                <w:sz w:val="20"/>
                <w:szCs w:val="20"/>
                <w:lang w:val="en-US"/>
              </w:rPr>
            </w:pPr>
            <w:r w:rsidRPr="00223651">
              <w:rPr>
                <w:i/>
                <w:iCs/>
                <w:sz w:val="20"/>
                <w:szCs w:val="20"/>
                <w:lang w:val="en-US"/>
              </w:rPr>
              <w:t xml:space="preserve">Sold production </w:t>
            </w:r>
            <w:r>
              <w:rPr>
                <w:i/>
                <w:iCs/>
                <w:sz w:val="20"/>
                <w:szCs w:val="20"/>
                <w:lang w:val="en-US"/>
              </w:rPr>
              <w:t xml:space="preserve">of industry </w:t>
            </w:r>
            <w:r w:rsidRPr="00223651">
              <w:rPr>
                <w:i/>
                <w:iCs/>
                <w:sz w:val="20"/>
                <w:szCs w:val="20"/>
                <w:lang w:val="en-US"/>
              </w:rPr>
              <w:t xml:space="preserve">in constant prices by sections </w:t>
            </w:r>
            <w:r>
              <w:rPr>
                <w:i/>
                <w:iCs/>
                <w:sz w:val="20"/>
                <w:szCs w:val="20"/>
                <w:lang w:val="en-US"/>
              </w:rPr>
              <w:t>(I</w:t>
            </w:r>
            <w:r w:rsidR="006A6534">
              <w:rPr>
                <w:i/>
                <w:iCs/>
                <w:sz w:val="20"/>
                <w:szCs w:val="20"/>
                <w:lang w:val="en-US"/>
              </w:rPr>
              <w:t>-II</w:t>
            </w:r>
            <w:r>
              <w:rPr>
                <w:i/>
                <w:iCs/>
                <w:sz w:val="20"/>
                <w:szCs w:val="20"/>
                <w:lang w:val="en-US"/>
              </w:rPr>
              <w:t xml:space="preserve"> quarter </w:t>
            </w:r>
            <w:r w:rsidRPr="00DA0892">
              <w:rPr>
                <w:i/>
                <w:iCs/>
                <w:sz w:val="20"/>
                <w:szCs w:val="20"/>
                <w:lang w:val="en-US"/>
              </w:rPr>
              <w:t>2016</w:t>
            </w:r>
            <w:r>
              <w:rPr>
                <w:i/>
                <w:iCs/>
                <w:sz w:val="20"/>
                <w:szCs w:val="20"/>
                <w:lang w:val="en-US"/>
              </w:rPr>
              <w:t xml:space="preserve"> and</w:t>
            </w:r>
            <w:r w:rsidRPr="00DA0892">
              <w:rPr>
                <w:i/>
                <w:iCs/>
                <w:sz w:val="20"/>
                <w:szCs w:val="20"/>
                <w:lang w:val="en-US"/>
              </w:rPr>
              <w:t xml:space="preserve"> 2017</w:t>
            </w:r>
            <w:r>
              <w:rPr>
                <w:i/>
                <w:iCs/>
                <w:sz w:val="20"/>
                <w:szCs w:val="20"/>
                <w:lang w:val="en-US"/>
              </w:rPr>
              <w:t>)</w:t>
            </w:r>
            <w:r w:rsidRPr="00223651">
              <w:rPr>
                <w:i/>
                <w:iCs/>
                <w:sz w:val="20"/>
                <w:szCs w:val="20"/>
                <w:lang w:val="en-US"/>
              </w:rPr>
              <w:t xml:space="preserve"> </w:t>
            </w:r>
          </w:p>
        </w:tc>
        <w:tc>
          <w:tcPr>
            <w:tcW w:w="160" w:type="dxa"/>
            <w:tcBorders>
              <w:top w:val="nil"/>
              <w:left w:val="nil"/>
              <w:bottom w:val="nil"/>
              <w:right w:val="nil"/>
            </w:tcBorders>
            <w:shd w:val="clear" w:color="auto" w:fill="auto"/>
            <w:noWrap/>
            <w:vAlign w:val="bottom"/>
            <w:hideMark/>
          </w:tcPr>
          <w:p w:rsidR="003F69AB" w:rsidRPr="00223651" w:rsidRDefault="003F69AB" w:rsidP="003F69AB">
            <w:pPr>
              <w:rPr>
                <w:sz w:val="20"/>
                <w:szCs w:val="20"/>
                <w:lang w:val="en-US"/>
              </w:rPr>
            </w:pPr>
          </w:p>
        </w:tc>
        <w:tc>
          <w:tcPr>
            <w:tcW w:w="832" w:type="dxa"/>
            <w:tcBorders>
              <w:top w:val="nil"/>
              <w:left w:val="nil"/>
              <w:bottom w:val="nil"/>
              <w:right w:val="nil"/>
            </w:tcBorders>
            <w:shd w:val="clear" w:color="auto" w:fill="auto"/>
            <w:noWrap/>
            <w:vAlign w:val="bottom"/>
            <w:hideMark/>
          </w:tcPr>
          <w:p w:rsidR="003F69AB" w:rsidRPr="00223651" w:rsidRDefault="003F69AB" w:rsidP="003F69AB">
            <w:pPr>
              <w:rPr>
                <w:sz w:val="20"/>
                <w:szCs w:val="20"/>
                <w:lang w:val="en-US"/>
              </w:rPr>
            </w:pPr>
          </w:p>
        </w:tc>
        <w:tc>
          <w:tcPr>
            <w:tcW w:w="748" w:type="dxa"/>
            <w:gridSpan w:val="2"/>
            <w:tcBorders>
              <w:top w:val="nil"/>
              <w:left w:val="nil"/>
              <w:bottom w:val="nil"/>
              <w:right w:val="nil"/>
            </w:tcBorders>
            <w:shd w:val="clear" w:color="auto" w:fill="auto"/>
            <w:noWrap/>
            <w:vAlign w:val="bottom"/>
            <w:hideMark/>
          </w:tcPr>
          <w:p w:rsidR="003F69AB" w:rsidRPr="00223651" w:rsidRDefault="003F69AB" w:rsidP="003F69AB">
            <w:pPr>
              <w:rPr>
                <w:sz w:val="20"/>
                <w:szCs w:val="20"/>
                <w:lang w:val="en-US"/>
              </w:rPr>
            </w:pPr>
          </w:p>
        </w:tc>
      </w:tr>
      <w:tr w:rsidR="003F69AB" w:rsidRPr="00223651" w:rsidTr="00726C31">
        <w:trPr>
          <w:trHeight w:val="244"/>
        </w:trPr>
        <w:tc>
          <w:tcPr>
            <w:tcW w:w="8379" w:type="dxa"/>
            <w:tcBorders>
              <w:top w:val="nil"/>
              <w:left w:val="nil"/>
              <w:bottom w:val="nil"/>
              <w:right w:val="nil"/>
            </w:tcBorders>
            <w:shd w:val="clear" w:color="auto" w:fill="auto"/>
            <w:noWrap/>
            <w:vAlign w:val="bottom"/>
            <w:hideMark/>
          </w:tcPr>
          <w:p w:rsidR="003F69AB" w:rsidRPr="00223651" w:rsidRDefault="003F69AB" w:rsidP="003F69AB">
            <w:pPr>
              <w:spacing w:before="60"/>
              <w:rPr>
                <w:sz w:val="20"/>
                <w:szCs w:val="20"/>
              </w:rPr>
            </w:pPr>
            <w:r w:rsidRPr="00223651">
              <w:rPr>
                <w:sz w:val="20"/>
                <w:szCs w:val="20"/>
              </w:rPr>
              <w:t xml:space="preserve">Przeciętne zatrudnienie </w:t>
            </w:r>
            <w:r>
              <w:rPr>
                <w:sz w:val="20"/>
                <w:szCs w:val="20"/>
              </w:rPr>
              <w:t xml:space="preserve">w przemyśle </w:t>
            </w:r>
            <w:r w:rsidRPr="00223651">
              <w:rPr>
                <w:sz w:val="20"/>
                <w:szCs w:val="20"/>
              </w:rPr>
              <w:t xml:space="preserve">według sekcji </w:t>
            </w:r>
            <w:r>
              <w:rPr>
                <w:sz w:val="20"/>
                <w:szCs w:val="20"/>
              </w:rPr>
              <w:t>(I</w:t>
            </w:r>
            <w:r w:rsidR="006A6534">
              <w:rPr>
                <w:sz w:val="20"/>
                <w:szCs w:val="20"/>
              </w:rPr>
              <w:t>-II</w:t>
            </w:r>
            <w:r>
              <w:rPr>
                <w:sz w:val="20"/>
                <w:szCs w:val="20"/>
              </w:rPr>
              <w:t xml:space="preserve"> kwartał </w:t>
            </w:r>
            <w:r w:rsidRPr="00DA0892">
              <w:rPr>
                <w:sz w:val="20"/>
                <w:szCs w:val="20"/>
              </w:rPr>
              <w:t>2016</w:t>
            </w:r>
            <w:r>
              <w:rPr>
                <w:sz w:val="20"/>
                <w:szCs w:val="20"/>
              </w:rPr>
              <w:t xml:space="preserve"> i</w:t>
            </w:r>
            <w:r w:rsidRPr="00DA0892">
              <w:rPr>
                <w:sz w:val="20"/>
                <w:szCs w:val="20"/>
              </w:rPr>
              <w:t xml:space="preserve"> 2017</w:t>
            </w:r>
            <w:r>
              <w:rPr>
                <w:sz w:val="20"/>
                <w:szCs w:val="20"/>
              </w:rPr>
              <w:t>) .......................</w:t>
            </w:r>
            <w:r w:rsidRPr="00223651">
              <w:rPr>
                <w:sz w:val="20"/>
                <w:szCs w:val="20"/>
              </w:rPr>
              <w:t>....</w:t>
            </w:r>
            <w:r>
              <w:rPr>
                <w:sz w:val="20"/>
                <w:szCs w:val="20"/>
              </w:rPr>
              <w:t>........</w:t>
            </w:r>
            <w:r w:rsidR="006A6534">
              <w:rPr>
                <w:sz w:val="20"/>
                <w:szCs w:val="20"/>
              </w:rPr>
              <w:t>....</w:t>
            </w:r>
          </w:p>
        </w:tc>
        <w:tc>
          <w:tcPr>
            <w:tcW w:w="160" w:type="dxa"/>
            <w:tcBorders>
              <w:top w:val="nil"/>
              <w:left w:val="nil"/>
              <w:bottom w:val="nil"/>
              <w:right w:val="nil"/>
            </w:tcBorders>
            <w:shd w:val="clear" w:color="auto" w:fill="auto"/>
            <w:noWrap/>
            <w:vAlign w:val="bottom"/>
            <w:hideMark/>
          </w:tcPr>
          <w:p w:rsidR="003F69AB" w:rsidRPr="00223651" w:rsidRDefault="003F69AB" w:rsidP="003F69AB">
            <w:pPr>
              <w:rPr>
                <w:sz w:val="20"/>
                <w:szCs w:val="20"/>
              </w:rPr>
            </w:pPr>
          </w:p>
        </w:tc>
        <w:tc>
          <w:tcPr>
            <w:tcW w:w="832" w:type="dxa"/>
            <w:tcBorders>
              <w:top w:val="nil"/>
              <w:left w:val="nil"/>
              <w:bottom w:val="nil"/>
              <w:right w:val="nil"/>
            </w:tcBorders>
            <w:shd w:val="clear" w:color="auto" w:fill="auto"/>
            <w:noWrap/>
            <w:vAlign w:val="bottom"/>
            <w:hideMark/>
          </w:tcPr>
          <w:p w:rsidR="003F69AB" w:rsidRPr="00223651" w:rsidRDefault="003F69AB" w:rsidP="003F69AB">
            <w:pPr>
              <w:rPr>
                <w:sz w:val="20"/>
                <w:szCs w:val="20"/>
              </w:rPr>
            </w:pPr>
          </w:p>
        </w:tc>
        <w:tc>
          <w:tcPr>
            <w:tcW w:w="748" w:type="dxa"/>
            <w:gridSpan w:val="2"/>
            <w:tcBorders>
              <w:top w:val="nil"/>
              <w:left w:val="nil"/>
              <w:bottom w:val="nil"/>
              <w:right w:val="nil"/>
            </w:tcBorders>
            <w:shd w:val="clear" w:color="auto" w:fill="auto"/>
            <w:noWrap/>
            <w:vAlign w:val="bottom"/>
            <w:hideMark/>
          </w:tcPr>
          <w:p w:rsidR="003F69AB" w:rsidRPr="00223651" w:rsidRDefault="003F69AB" w:rsidP="00F83B99">
            <w:pPr>
              <w:jc w:val="center"/>
              <w:rPr>
                <w:sz w:val="20"/>
                <w:szCs w:val="20"/>
              </w:rPr>
            </w:pPr>
            <w:r>
              <w:rPr>
                <w:sz w:val="20"/>
                <w:szCs w:val="20"/>
              </w:rPr>
              <w:t>1</w:t>
            </w:r>
            <w:r w:rsidR="00F83B99">
              <w:rPr>
                <w:sz w:val="20"/>
                <w:szCs w:val="20"/>
              </w:rPr>
              <w:t>30</w:t>
            </w:r>
          </w:p>
        </w:tc>
      </w:tr>
      <w:tr w:rsidR="003F69AB" w:rsidRPr="001F7FE1" w:rsidTr="00726C31">
        <w:trPr>
          <w:trHeight w:val="244"/>
        </w:trPr>
        <w:tc>
          <w:tcPr>
            <w:tcW w:w="8379" w:type="dxa"/>
            <w:tcBorders>
              <w:top w:val="nil"/>
              <w:left w:val="nil"/>
              <w:bottom w:val="nil"/>
              <w:right w:val="nil"/>
            </w:tcBorders>
            <w:shd w:val="clear" w:color="auto" w:fill="auto"/>
            <w:noWrap/>
            <w:vAlign w:val="bottom"/>
            <w:hideMark/>
          </w:tcPr>
          <w:p w:rsidR="003F69AB" w:rsidRPr="00223651" w:rsidRDefault="003F69AB" w:rsidP="003F69AB">
            <w:pPr>
              <w:spacing w:before="60"/>
              <w:rPr>
                <w:i/>
                <w:iCs/>
                <w:sz w:val="20"/>
                <w:szCs w:val="20"/>
                <w:lang w:val="en-US"/>
              </w:rPr>
            </w:pPr>
            <w:r w:rsidRPr="00223651">
              <w:rPr>
                <w:i/>
                <w:iCs/>
                <w:sz w:val="20"/>
                <w:szCs w:val="20"/>
                <w:lang w:val="en-US"/>
              </w:rPr>
              <w:t xml:space="preserve">Average paid employment </w:t>
            </w:r>
            <w:r>
              <w:rPr>
                <w:i/>
                <w:iCs/>
                <w:sz w:val="20"/>
                <w:szCs w:val="20"/>
                <w:lang w:val="en-US"/>
              </w:rPr>
              <w:t xml:space="preserve">in industry </w:t>
            </w:r>
            <w:r w:rsidRPr="00223651">
              <w:rPr>
                <w:i/>
                <w:iCs/>
                <w:sz w:val="20"/>
                <w:szCs w:val="20"/>
                <w:lang w:val="en-US"/>
              </w:rPr>
              <w:t xml:space="preserve">by sections </w:t>
            </w:r>
            <w:r>
              <w:rPr>
                <w:i/>
                <w:iCs/>
                <w:sz w:val="20"/>
                <w:szCs w:val="20"/>
                <w:lang w:val="en-US"/>
              </w:rPr>
              <w:t>(I</w:t>
            </w:r>
            <w:r w:rsidR="006A6534">
              <w:rPr>
                <w:i/>
                <w:iCs/>
                <w:sz w:val="20"/>
                <w:szCs w:val="20"/>
                <w:lang w:val="en-US"/>
              </w:rPr>
              <w:t>-II</w:t>
            </w:r>
            <w:r>
              <w:rPr>
                <w:i/>
                <w:iCs/>
                <w:sz w:val="20"/>
                <w:szCs w:val="20"/>
                <w:lang w:val="en-US"/>
              </w:rPr>
              <w:t xml:space="preserve"> quarter </w:t>
            </w:r>
            <w:r w:rsidRPr="00DA0892">
              <w:rPr>
                <w:i/>
                <w:iCs/>
                <w:sz w:val="20"/>
                <w:szCs w:val="20"/>
                <w:lang w:val="en-US"/>
              </w:rPr>
              <w:t>2016</w:t>
            </w:r>
            <w:r>
              <w:rPr>
                <w:i/>
                <w:iCs/>
                <w:sz w:val="20"/>
                <w:szCs w:val="20"/>
                <w:lang w:val="en-US"/>
              </w:rPr>
              <w:t xml:space="preserve"> and</w:t>
            </w:r>
            <w:r w:rsidRPr="00DA0892">
              <w:rPr>
                <w:i/>
                <w:iCs/>
                <w:sz w:val="20"/>
                <w:szCs w:val="20"/>
                <w:lang w:val="en-US"/>
              </w:rPr>
              <w:t xml:space="preserve"> 2017</w:t>
            </w:r>
            <w:r>
              <w:rPr>
                <w:i/>
                <w:iCs/>
                <w:sz w:val="20"/>
                <w:szCs w:val="20"/>
                <w:lang w:val="en-US"/>
              </w:rPr>
              <w:t>)</w:t>
            </w:r>
          </w:p>
        </w:tc>
        <w:tc>
          <w:tcPr>
            <w:tcW w:w="160" w:type="dxa"/>
            <w:tcBorders>
              <w:top w:val="nil"/>
              <w:left w:val="nil"/>
              <w:bottom w:val="nil"/>
              <w:right w:val="nil"/>
            </w:tcBorders>
            <w:shd w:val="clear" w:color="auto" w:fill="auto"/>
            <w:noWrap/>
            <w:vAlign w:val="bottom"/>
            <w:hideMark/>
          </w:tcPr>
          <w:p w:rsidR="003F69AB" w:rsidRPr="00223651" w:rsidRDefault="003F69AB" w:rsidP="003F69AB">
            <w:pPr>
              <w:rPr>
                <w:sz w:val="20"/>
                <w:szCs w:val="20"/>
                <w:lang w:val="en-US"/>
              </w:rPr>
            </w:pPr>
          </w:p>
        </w:tc>
        <w:tc>
          <w:tcPr>
            <w:tcW w:w="832" w:type="dxa"/>
            <w:tcBorders>
              <w:top w:val="nil"/>
              <w:left w:val="nil"/>
              <w:bottom w:val="nil"/>
              <w:right w:val="nil"/>
            </w:tcBorders>
            <w:shd w:val="clear" w:color="auto" w:fill="auto"/>
            <w:noWrap/>
            <w:vAlign w:val="bottom"/>
            <w:hideMark/>
          </w:tcPr>
          <w:p w:rsidR="003F69AB" w:rsidRPr="00223651" w:rsidRDefault="003F69AB" w:rsidP="003F69AB">
            <w:pPr>
              <w:rPr>
                <w:sz w:val="20"/>
                <w:szCs w:val="20"/>
                <w:lang w:val="en-US"/>
              </w:rPr>
            </w:pPr>
          </w:p>
        </w:tc>
        <w:tc>
          <w:tcPr>
            <w:tcW w:w="748" w:type="dxa"/>
            <w:gridSpan w:val="2"/>
            <w:tcBorders>
              <w:top w:val="nil"/>
              <w:left w:val="nil"/>
              <w:bottom w:val="nil"/>
              <w:right w:val="nil"/>
            </w:tcBorders>
            <w:shd w:val="clear" w:color="auto" w:fill="auto"/>
            <w:noWrap/>
            <w:vAlign w:val="bottom"/>
            <w:hideMark/>
          </w:tcPr>
          <w:p w:rsidR="003F69AB" w:rsidRPr="00223651" w:rsidRDefault="003F69AB" w:rsidP="003F69AB">
            <w:pPr>
              <w:rPr>
                <w:sz w:val="20"/>
                <w:szCs w:val="20"/>
                <w:lang w:val="en-US"/>
              </w:rPr>
            </w:pPr>
          </w:p>
        </w:tc>
      </w:tr>
      <w:tr w:rsidR="003F69AB" w:rsidRPr="001D41F7" w:rsidTr="00726C31">
        <w:trPr>
          <w:gridAfter w:val="1"/>
          <w:wAfter w:w="14" w:type="dxa"/>
          <w:trHeight w:val="244"/>
        </w:trPr>
        <w:tc>
          <w:tcPr>
            <w:tcW w:w="8379" w:type="dxa"/>
            <w:tcBorders>
              <w:top w:val="nil"/>
              <w:left w:val="nil"/>
              <w:bottom w:val="nil"/>
              <w:right w:val="nil"/>
            </w:tcBorders>
            <w:shd w:val="clear" w:color="auto" w:fill="auto"/>
            <w:noWrap/>
            <w:vAlign w:val="bottom"/>
            <w:hideMark/>
          </w:tcPr>
          <w:p w:rsidR="003F69AB" w:rsidRPr="00DF4E68" w:rsidRDefault="003F69AB" w:rsidP="003F69AB">
            <w:pPr>
              <w:spacing w:before="60"/>
              <w:rPr>
                <w:sz w:val="20"/>
                <w:szCs w:val="20"/>
              </w:rPr>
            </w:pPr>
            <w:r w:rsidRPr="00223651">
              <w:rPr>
                <w:sz w:val="20"/>
                <w:szCs w:val="20"/>
              </w:rPr>
              <w:t xml:space="preserve">Struktura produkcji sprzedanej przemysłu według sekcji </w:t>
            </w:r>
            <w:r>
              <w:rPr>
                <w:sz w:val="20"/>
                <w:szCs w:val="20"/>
              </w:rPr>
              <w:t>(I</w:t>
            </w:r>
            <w:r w:rsidR="006A6534">
              <w:rPr>
                <w:sz w:val="20"/>
                <w:szCs w:val="20"/>
              </w:rPr>
              <w:t>-II</w:t>
            </w:r>
            <w:r>
              <w:rPr>
                <w:sz w:val="20"/>
                <w:szCs w:val="20"/>
              </w:rPr>
              <w:t xml:space="preserve"> kwartał </w:t>
            </w:r>
            <w:r w:rsidRPr="00DA0892">
              <w:rPr>
                <w:sz w:val="20"/>
                <w:szCs w:val="20"/>
              </w:rPr>
              <w:t>2016</w:t>
            </w:r>
            <w:r>
              <w:rPr>
                <w:sz w:val="20"/>
                <w:szCs w:val="20"/>
              </w:rPr>
              <w:t xml:space="preserve"> i</w:t>
            </w:r>
            <w:r w:rsidRPr="00DA0892">
              <w:rPr>
                <w:sz w:val="20"/>
                <w:szCs w:val="20"/>
              </w:rPr>
              <w:t xml:space="preserve"> 2017</w:t>
            </w:r>
            <w:r>
              <w:rPr>
                <w:sz w:val="20"/>
                <w:szCs w:val="20"/>
              </w:rPr>
              <w:t>) ........................</w:t>
            </w:r>
            <w:r w:rsidR="006A6534">
              <w:rPr>
                <w:sz w:val="20"/>
                <w:szCs w:val="20"/>
              </w:rPr>
              <w:t>.......</w:t>
            </w:r>
          </w:p>
        </w:tc>
        <w:tc>
          <w:tcPr>
            <w:tcW w:w="992" w:type="dxa"/>
            <w:gridSpan w:val="2"/>
            <w:tcBorders>
              <w:top w:val="nil"/>
              <w:left w:val="nil"/>
              <w:bottom w:val="nil"/>
              <w:right w:val="nil"/>
            </w:tcBorders>
            <w:shd w:val="clear" w:color="auto" w:fill="auto"/>
            <w:noWrap/>
            <w:vAlign w:val="bottom"/>
            <w:hideMark/>
          </w:tcPr>
          <w:p w:rsidR="003F69AB" w:rsidRPr="00433EBD" w:rsidRDefault="003F69AB" w:rsidP="003F69AB">
            <w:pPr>
              <w:rPr>
                <w:sz w:val="20"/>
                <w:szCs w:val="20"/>
              </w:rPr>
            </w:pPr>
            <w:r w:rsidRPr="00433EBD">
              <w:rPr>
                <w:sz w:val="20"/>
                <w:szCs w:val="20"/>
              </w:rPr>
              <w:t xml:space="preserve"> </w:t>
            </w:r>
          </w:p>
        </w:tc>
        <w:tc>
          <w:tcPr>
            <w:tcW w:w="734" w:type="dxa"/>
            <w:tcBorders>
              <w:top w:val="nil"/>
              <w:left w:val="nil"/>
              <w:bottom w:val="nil"/>
              <w:right w:val="nil"/>
            </w:tcBorders>
            <w:shd w:val="clear" w:color="auto" w:fill="auto"/>
            <w:noWrap/>
            <w:vAlign w:val="bottom"/>
            <w:hideMark/>
          </w:tcPr>
          <w:p w:rsidR="003F69AB" w:rsidRPr="001D41F7" w:rsidRDefault="003F69AB" w:rsidP="00F83B99">
            <w:pPr>
              <w:jc w:val="center"/>
              <w:rPr>
                <w:sz w:val="20"/>
                <w:szCs w:val="20"/>
                <w:lang w:val="en-US"/>
              </w:rPr>
            </w:pPr>
            <w:r>
              <w:rPr>
                <w:sz w:val="20"/>
                <w:szCs w:val="20"/>
                <w:lang w:val="en-US"/>
              </w:rPr>
              <w:t>1</w:t>
            </w:r>
            <w:r w:rsidR="00F83B99">
              <w:rPr>
                <w:sz w:val="20"/>
                <w:szCs w:val="20"/>
                <w:lang w:val="en-US"/>
              </w:rPr>
              <w:t>31</w:t>
            </w:r>
          </w:p>
        </w:tc>
      </w:tr>
      <w:tr w:rsidR="003F69AB" w:rsidRPr="001F7FE1" w:rsidTr="003324A3">
        <w:trPr>
          <w:trHeight w:val="80"/>
        </w:trPr>
        <w:tc>
          <w:tcPr>
            <w:tcW w:w="8379" w:type="dxa"/>
            <w:tcBorders>
              <w:top w:val="nil"/>
              <w:left w:val="nil"/>
              <w:bottom w:val="nil"/>
              <w:right w:val="nil"/>
            </w:tcBorders>
            <w:shd w:val="clear" w:color="auto" w:fill="auto"/>
            <w:noWrap/>
            <w:vAlign w:val="bottom"/>
            <w:hideMark/>
          </w:tcPr>
          <w:p w:rsidR="003F69AB" w:rsidRPr="00223651" w:rsidRDefault="003F69AB" w:rsidP="003F69AB">
            <w:pPr>
              <w:spacing w:before="60"/>
              <w:rPr>
                <w:i/>
                <w:iCs/>
                <w:sz w:val="20"/>
                <w:szCs w:val="20"/>
                <w:lang w:val="en-US"/>
              </w:rPr>
            </w:pPr>
            <w:r w:rsidRPr="00223651">
              <w:rPr>
                <w:i/>
                <w:iCs/>
                <w:sz w:val="20"/>
                <w:szCs w:val="20"/>
                <w:lang w:val="en-US"/>
              </w:rPr>
              <w:t xml:space="preserve">Structure of sold production in industry by sections </w:t>
            </w:r>
            <w:r>
              <w:rPr>
                <w:i/>
                <w:iCs/>
                <w:sz w:val="20"/>
                <w:szCs w:val="20"/>
                <w:lang w:val="en-US"/>
              </w:rPr>
              <w:t>(I</w:t>
            </w:r>
            <w:r w:rsidR="006A6534">
              <w:rPr>
                <w:i/>
                <w:iCs/>
                <w:sz w:val="20"/>
                <w:szCs w:val="20"/>
                <w:lang w:val="en-US"/>
              </w:rPr>
              <w:t>-II</w:t>
            </w:r>
            <w:r>
              <w:rPr>
                <w:i/>
                <w:iCs/>
                <w:sz w:val="20"/>
                <w:szCs w:val="20"/>
                <w:lang w:val="en-US"/>
              </w:rPr>
              <w:t xml:space="preserve"> quarter </w:t>
            </w:r>
            <w:r w:rsidRPr="00DA0892">
              <w:rPr>
                <w:i/>
                <w:iCs/>
                <w:sz w:val="20"/>
                <w:szCs w:val="20"/>
                <w:lang w:val="en-US"/>
              </w:rPr>
              <w:t>2016</w:t>
            </w:r>
            <w:r>
              <w:rPr>
                <w:i/>
                <w:iCs/>
                <w:sz w:val="20"/>
                <w:szCs w:val="20"/>
                <w:lang w:val="en-US"/>
              </w:rPr>
              <w:t xml:space="preserve"> and</w:t>
            </w:r>
            <w:r w:rsidRPr="00DA0892">
              <w:rPr>
                <w:i/>
                <w:iCs/>
                <w:sz w:val="20"/>
                <w:szCs w:val="20"/>
                <w:lang w:val="en-US"/>
              </w:rPr>
              <w:t xml:space="preserve"> 2017</w:t>
            </w:r>
            <w:r>
              <w:rPr>
                <w:i/>
                <w:iCs/>
                <w:sz w:val="20"/>
                <w:szCs w:val="20"/>
                <w:lang w:val="en-US"/>
              </w:rPr>
              <w:t>)</w:t>
            </w:r>
          </w:p>
        </w:tc>
        <w:tc>
          <w:tcPr>
            <w:tcW w:w="160" w:type="dxa"/>
            <w:tcBorders>
              <w:top w:val="nil"/>
              <w:left w:val="nil"/>
              <w:bottom w:val="nil"/>
              <w:right w:val="nil"/>
            </w:tcBorders>
            <w:shd w:val="clear" w:color="auto" w:fill="auto"/>
            <w:noWrap/>
            <w:vAlign w:val="bottom"/>
            <w:hideMark/>
          </w:tcPr>
          <w:p w:rsidR="003F69AB" w:rsidRPr="00223651" w:rsidRDefault="003F69AB" w:rsidP="003F69AB">
            <w:pPr>
              <w:rPr>
                <w:sz w:val="20"/>
                <w:szCs w:val="20"/>
                <w:lang w:val="en-US"/>
              </w:rPr>
            </w:pPr>
          </w:p>
        </w:tc>
        <w:tc>
          <w:tcPr>
            <w:tcW w:w="832" w:type="dxa"/>
            <w:tcBorders>
              <w:top w:val="nil"/>
              <w:left w:val="nil"/>
              <w:bottom w:val="nil"/>
              <w:right w:val="nil"/>
            </w:tcBorders>
            <w:shd w:val="clear" w:color="auto" w:fill="auto"/>
            <w:noWrap/>
            <w:vAlign w:val="bottom"/>
            <w:hideMark/>
          </w:tcPr>
          <w:p w:rsidR="003F69AB" w:rsidRPr="00223651" w:rsidRDefault="003F69AB" w:rsidP="003F69AB">
            <w:pPr>
              <w:rPr>
                <w:sz w:val="20"/>
                <w:szCs w:val="20"/>
                <w:lang w:val="en-US"/>
              </w:rPr>
            </w:pPr>
          </w:p>
        </w:tc>
        <w:tc>
          <w:tcPr>
            <w:tcW w:w="748" w:type="dxa"/>
            <w:gridSpan w:val="2"/>
            <w:tcBorders>
              <w:top w:val="nil"/>
              <w:left w:val="nil"/>
              <w:bottom w:val="nil"/>
              <w:right w:val="nil"/>
            </w:tcBorders>
            <w:shd w:val="clear" w:color="auto" w:fill="auto"/>
            <w:noWrap/>
            <w:vAlign w:val="bottom"/>
            <w:hideMark/>
          </w:tcPr>
          <w:p w:rsidR="003F69AB" w:rsidRPr="00223651" w:rsidRDefault="003F69AB" w:rsidP="003F69AB">
            <w:pPr>
              <w:rPr>
                <w:sz w:val="20"/>
                <w:szCs w:val="20"/>
                <w:lang w:val="en-US"/>
              </w:rPr>
            </w:pPr>
          </w:p>
        </w:tc>
      </w:tr>
      <w:tr w:rsidR="003F69AB" w:rsidRPr="00223651" w:rsidTr="00726C31">
        <w:trPr>
          <w:gridAfter w:val="1"/>
          <w:wAfter w:w="14" w:type="dxa"/>
          <w:trHeight w:val="244"/>
        </w:trPr>
        <w:tc>
          <w:tcPr>
            <w:tcW w:w="8379" w:type="dxa"/>
            <w:tcBorders>
              <w:top w:val="nil"/>
              <w:left w:val="nil"/>
              <w:bottom w:val="nil"/>
              <w:right w:val="nil"/>
            </w:tcBorders>
            <w:shd w:val="clear" w:color="auto" w:fill="auto"/>
            <w:noWrap/>
            <w:vAlign w:val="bottom"/>
          </w:tcPr>
          <w:p w:rsidR="003F69AB" w:rsidRPr="00601D5E" w:rsidRDefault="003F69AB" w:rsidP="003F69AB">
            <w:pPr>
              <w:spacing w:before="80"/>
              <w:rPr>
                <w:sz w:val="20"/>
                <w:szCs w:val="20"/>
              </w:rPr>
            </w:pPr>
            <w:r w:rsidRPr="00D52C87">
              <w:rPr>
                <w:sz w:val="20"/>
                <w:szCs w:val="20"/>
              </w:rPr>
              <w:t>Struktura przeciętnego zatrudnienia w przemyśle według sekcji (</w:t>
            </w:r>
            <w:r>
              <w:rPr>
                <w:sz w:val="20"/>
                <w:szCs w:val="20"/>
              </w:rPr>
              <w:t>I</w:t>
            </w:r>
            <w:r w:rsidR="006A6534">
              <w:rPr>
                <w:sz w:val="20"/>
                <w:szCs w:val="20"/>
              </w:rPr>
              <w:t>-II</w:t>
            </w:r>
            <w:r>
              <w:rPr>
                <w:sz w:val="20"/>
                <w:szCs w:val="20"/>
              </w:rPr>
              <w:t xml:space="preserve"> kwartał </w:t>
            </w:r>
            <w:r w:rsidRPr="00DA0892">
              <w:rPr>
                <w:sz w:val="20"/>
                <w:szCs w:val="20"/>
              </w:rPr>
              <w:t>2016</w:t>
            </w:r>
            <w:r>
              <w:rPr>
                <w:sz w:val="20"/>
                <w:szCs w:val="20"/>
              </w:rPr>
              <w:t xml:space="preserve"> i</w:t>
            </w:r>
            <w:r w:rsidRPr="00DA0892">
              <w:rPr>
                <w:sz w:val="20"/>
                <w:szCs w:val="20"/>
              </w:rPr>
              <w:t xml:space="preserve"> 2017</w:t>
            </w:r>
            <w:r>
              <w:rPr>
                <w:sz w:val="20"/>
                <w:szCs w:val="20"/>
              </w:rPr>
              <w:t>) ............</w:t>
            </w:r>
            <w:r w:rsidRPr="00D52C87">
              <w:rPr>
                <w:sz w:val="20"/>
                <w:szCs w:val="20"/>
              </w:rPr>
              <w:t>......</w:t>
            </w:r>
            <w:r w:rsidR="006A6534">
              <w:rPr>
                <w:sz w:val="20"/>
                <w:szCs w:val="20"/>
              </w:rPr>
              <w:t>..</w:t>
            </w:r>
          </w:p>
        </w:tc>
        <w:tc>
          <w:tcPr>
            <w:tcW w:w="992" w:type="dxa"/>
            <w:gridSpan w:val="2"/>
            <w:tcBorders>
              <w:top w:val="nil"/>
              <w:left w:val="nil"/>
              <w:bottom w:val="nil"/>
              <w:right w:val="nil"/>
            </w:tcBorders>
            <w:shd w:val="clear" w:color="auto" w:fill="auto"/>
            <w:noWrap/>
            <w:vAlign w:val="bottom"/>
          </w:tcPr>
          <w:p w:rsidR="003F69AB" w:rsidRPr="00223651" w:rsidRDefault="003F69AB" w:rsidP="003F69AB">
            <w:pPr>
              <w:rPr>
                <w:sz w:val="20"/>
                <w:szCs w:val="20"/>
              </w:rPr>
            </w:pPr>
          </w:p>
        </w:tc>
        <w:tc>
          <w:tcPr>
            <w:tcW w:w="734" w:type="dxa"/>
            <w:tcBorders>
              <w:top w:val="nil"/>
              <w:left w:val="nil"/>
              <w:bottom w:val="nil"/>
              <w:right w:val="nil"/>
            </w:tcBorders>
            <w:shd w:val="clear" w:color="auto" w:fill="auto"/>
            <w:noWrap/>
            <w:vAlign w:val="bottom"/>
          </w:tcPr>
          <w:p w:rsidR="003F69AB" w:rsidRDefault="003F69AB" w:rsidP="00F83B99">
            <w:pPr>
              <w:jc w:val="center"/>
              <w:rPr>
                <w:sz w:val="20"/>
                <w:szCs w:val="20"/>
              </w:rPr>
            </w:pPr>
            <w:r>
              <w:rPr>
                <w:sz w:val="20"/>
                <w:szCs w:val="20"/>
              </w:rPr>
              <w:t>1</w:t>
            </w:r>
            <w:r w:rsidR="00F83B99">
              <w:rPr>
                <w:sz w:val="20"/>
                <w:szCs w:val="20"/>
              </w:rPr>
              <w:t>31</w:t>
            </w:r>
          </w:p>
        </w:tc>
      </w:tr>
      <w:tr w:rsidR="003F69AB" w:rsidRPr="001F7FE1" w:rsidTr="00726C31">
        <w:trPr>
          <w:gridAfter w:val="1"/>
          <w:wAfter w:w="14" w:type="dxa"/>
          <w:trHeight w:val="244"/>
        </w:trPr>
        <w:tc>
          <w:tcPr>
            <w:tcW w:w="8379" w:type="dxa"/>
            <w:tcBorders>
              <w:top w:val="nil"/>
              <w:left w:val="nil"/>
              <w:bottom w:val="nil"/>
              <w:right w:val="nil"/>
            </w:tcBorders>
            <w:shd w:val="clear" w:color="auto" w:fill="auto"/>
            <w:noWrap/>
            <w:vAlign w:val="bottom"/>
          </w:tcPr>
          <w:p w:rsidR="003F69AB" w:rsidRPr="00D52C87" w:rsidRDefault="003F69AB" w:rsidP="003F69AB">
            <w:pPr>
              <w:spacing w:before="60"/>
              <w:rPr>
                <w:sz w:val="20"/>
                <w:szCs w:val="20"/>
                <w:lang w:val="en-US"/>
              </w:rPr>
            </w:pPr>
            <w:r w:rsidRPr="00D52C87">
              <w:rPr>
                <w:i/>
                <w:iCs/>
                <w:sz w:val="20"/>
                <w:szCs w:val="20"/>
                <w:lang w:val="en-US"/>
              </w:rPr>
              <w:t xml:space="preserve">Structure of average paid employment in industry by sections </w:t>
            </w:r>
            <w:r>
              <w:rPr>
                <w:i/>
                <w:iCs/>
                <w:sz w:val="20"/>
                <w:szCs w:val="20"/>
                <w:lang w:val="en-US"/>
              </w:rPr>
              <w:t>(I</w:t>
            </w:r>
            <w:r w:rsidR="006A6534">
              <w:rPr>
                <w:i/>
                <w:iCs/>
                <w:sz w:val="20"/>
                <w:szCs w:val="20"/>
                <w:lang w:val="en-US"/>
              </w:rPr>
              <w:t>-II</w:t>
            </w:r>
            <w:r>
              <w:rPr>
                <w:i/>
                <w:iCs/>
                <w:sz w:val="20"/>
                <w:szCs w:val="20"/>
                <w:lang w:val="en-US"/>
              </w:rPr>
              <w:t xml:space="preserve"> quarter </w:t>
            </w:r>
            <w:r w:rsidRPr="00DA0892">
              <w:rPr>
                <w:i/>
                <w:iCs/>
                <w:sz w:val="20"/>
                <w:szCs w:val="20"/>
                <w:lang w:val="en-US"/>
              </w:rPr>
              <w:t>2016</w:t>
            </w:r>
            <w:r>
              <w:rPr>
                <w:i/>
                <w:iCs/>
                <w:sz w:val="20"/>
                <w:szCs w:val="20"/>
                <w:lang w:val="en-US"/>
              </w:rPr>
              <w:t xml:space="preserve"> and</w:t>
            </w:r>
            <w:r w:rsidRPr="00DA0892">
              <w:rPr>
                <w:i/>
                <w:iCs/>
                <w:sz w:val="20"/>
                <w:szCs w:val="20"/>
                <w:lang w:val="en-US"/>
              </w:rPr>
              <w:t xml:space="preserve"> 2017</w:t>
            </w:r>
            <w:r>
              <w:rPr>
                <w:i/>
                <w:iCs/>
                <w:sz w:val="20"/>
                <w:szCs w:val="20"/>
                <w:lang w:val="en-US"/>
              </w:rPr>
              <w:t>)</w:t>
            </w:r>
          </w:p>
        </w:tc>
        <w:tc>
          <w:tcPr>
            <w:tcW w:w="992" w:type="dxa"/>
            <w:gridSpan w:val="2"/>
            <w:tcBorders>
              <w:top w:val="nil"/>
              <w:left w:val="nil"/>
              <w:bottom w:val="nil"/>
              <w:right w:val="nil"/>
            </w:tcBorders>
            <w:shd w:val="clear" w:color="auto" w:fill="auto"/>
            <w:noWrap/>
            <w:vAlign w:val="bottom"/>
          </w:tcPr>
          <w:p w:rsidR="003F69AB" w:rsidRPr="00D52C87" w:rsidRDefault="003F69AB" w:rsidP="003F69AB">
            <w:pPr>
              <w:rPr>
                <w:sz w:val="20"/>
                <w:szCs w:val="20"/>
                <w:lang w:val="en-US"/>
              </w:rPr>
            </w:pPr>
          </w:p>
        </w:tc>
        <w:tc>
          <w:tcPr>
            <w:tcW w:w="734" w:type="dxa"/>
            <w:tcBorders>
              <w:top w:val="nil"/>
              <w:left w:val="nil"/>
              <w:bottom w:val="nil"/>
              <w:right w:val="nil"/>
            </w:tcBorders>
            <w:shd w:val="clear" w:color="auto" w:fill="auto"/>
            <w:noWrap/>
            <w:vAlign w:val="bottom"/>
          </w:tcPr>
          <w:p w:rsidR="003F69AB" w:rsidRPr="00D52C87" w:rsidRDefault="003F69AB" w:rsidP="003F69AB">
            <w:pPr>
              <w:jc w:val="center"/>
              <w:rPr>
                <w:sz w:val="20"/>
                <w:szCs w:val="20"/>
                <w:lang w:val="en-US"/>
              </w:rPr>
            </w:pPr>
          </w:p>
        </w:tc>
      </w:tr>
      <w:tr w:rsidR="003F69AB" w:rsidRPr="00223651" w:rsidTr="006D7F04">
        <w:trPr>
          <w:gridAfter w:val="1"/>
          <w:wAfter w:w="14" w:type="dxa"/>
          <w:trHeight w:val="257"/>
        </w:trPr>
        <w:tc>
          <w:tcPr>
            <w:tcW w:w="8379" w:type="dxa"/>
            <w:tcBorders>
              <w:top w:val="nil"/>
              <w:left w:val="nil"/>
              <w:bottom w:val="nil"/>
              <w:right w:val="nil"/>
            </w:tcBorders>
            <w:shd w:val="clear" w:color="auto" w:fill="auto"/>
            <w:noWrap/>
            <w:vAlign w:val="bottom"/>
            <w:hideMark/>
          </w:tcPr>
          <w:p w:rsidR="003F69AB" w:rsidRPr="00223651" w:rsidRDefault="003F69AB" w:rsidP="003F69AB">
            <w:pPr>
              <w:spacing w:before="120"/>
              <w:rPr>
                <w:sz w:val="20"/>
                <w:szCs w:val="20"/>
              </w:rPr>
            </w:pPr>
            <w:r w:rsidRPr="00601D5E">
              <w:rPr>
                <w:sz w:val="20"/>
                <w:szCs w:val="20"/>
              </w:rPr>
              <w:lastRenderedPageBreak/>
              <w:t xml:space="preserve">Przeciętne miesięczne wynagrodzenia brutto w przemyśle według sekcji </w:t>
            </w:r>
            <w:r>
              <w:rPr>
                <w:sz w:val="20"/>
                <w:szCs w:val="20"/>
              </w:rPr>
              <w:t>(I</w:t>
            </w:r>
            <w:r w:rsidR="006A6534">
              <w:rPr>
                <w:sz w:val="20"/>
                <w:szCs w:val="20"/>
              </w:rPr>
              <w:t>-II</w:t>
            </w:r>
            <w:r>
              <w:rPr>
                <w:sz w:val="20"/>
                <w:szCs w:val="20"/>
              </w:rPr>
              <w:t xml:space="preserve"> kwartał </w:t>
            </w:r>
            <w:r w:rsidRPr="00DA0892">
              <w:rPr>
                <w:sz w:val="20"/>
                <w:szCs w:val="20"/>
              </w:rPr>
              <w:t>2016</w:t>
            </w:r>
            <w:r>
              <w:rPr>
                <w:sz w:val="20"/>
                <w:szCs w:val="20"/>
              </w:rPr>
              <w:t xml:space="preserve"> i</w:t>
            </w:r>
            <w:r w:rsidRPr="00DA0892">
              <w:rPr>
                <w:sz w:val="20"/>
                <w:szCs w:val="20"/>
              </w:rPr>
              <w:t xml:space="preserve"> 2017</w:t>
            </w:r>
            <w:r>
              <w:rPr>
                <w:sz w:val="20"/>
                <w:szCs w:val="20"/>
              </w:rPr>
              <w:t xml:space="preserve">) </w:t>
            </w:r>
            <w:r w:rsidR="006A6534">
              <w:rPr>
                <w:sz w:val="20"/>
                <w:szCs w:val="20"/>
              </w:rPr>
              <w:t>.....</w:t>
            </w:r>
          </w:p>
        </w:tc>
        <w:tc>
          <w:tcPr>
            <w:tcW w:w="992" w:type="dxa"/>
            <w:gridSpan w:val="2"/>
            <w:tcBorders>
              <w:top w:val="nil"/>
              <w:left w:val="nil"/>
              <w:bottom w:val="nil"/>
              <w:right w:val="nil"/>
            </w:tcBorders>
            <w:shd w:val="clear" w:color="auto" w:fill="auto"/>
            <w:noWrap/>
            <w:vAlign w:val="bottom"/>
            <w:hideMark/>
          </w:tcPr>
          <w:p w:rsidR="003F69AB" w:rsidRPr="00223651" w:rsidRDefault="003F69AB" w:rsidP="003F69AB">
            <w:pPr>
              <w:rPr>
                <w:sz w:val="20"/>
                <w:szCs w:val="20"/>
              </w:rPr>
            </w:pPr>
            <w:r w:rsidRPr="00223651">
              <w:rPr>
                <w:sz w:val="20"/>
                <w:szCs w:val="20"/>
              </w:rPr>
              <w:t xml:space="preserve"> </w:t>
            </w:r>
          </w:p>
        </w:tc>
        <w:tc>
          <w:tcPr>
            <w:tcW w:w="734" w:type="dxa"/>
            <w:tcBorders>
              <w:top w:val="nil"/>
              <w:left w:val="nil"/>
              <w:bottom w:val="nil"/>
              <w:right w:val="nil"/>
            </w:tcBorders>
            <w:shd w:val="clear" w:color="auto" w:fill="auto"/>
            <w:noWrap/>
            <w:vAlign w:val="bottom"/>
            <w:hideMark/>
          </w:tcPr>
          <w:p w:rsidR="003F69AB" w:rsidRPr="00223651" w:rsidRDefault="003F69AB" w:rsidP="00F83B99">
            <w:pPr>
              <w:jc w:val="center"/>
              <w:rPr>
                <w:sz w:val="20"/>
                <w:szCs w:val="20"/>
              </w:rPr>
            </w:pPr>
            <w:r>
              <w:rPr>
                <w:sz w:val="20"/>
                <w:szCs w:val="20"/>
              </w:rPr>
              <w:t>13</w:t>
            </w:r>
            <w:r w:rsidR="00F83B99">
              <w:rPr>
                <w:sz w:val="20"/>
                <w:szCs w:val="20"/>
              </w:rPr>
              <w:t>2</w:t>
            </w:r>
          </w:p>
        </w:tc>
      </w:tr>
      <w:tr w:rsidR="003F69AB" w:rsidRPr="001F7FE1" w:rsidTr="00726C31">
        <w:trPr>
          <w:trHeight w:val="244"/>
        </w:trPr>
        <w:tc>
          <w:tcPr>
            <w:tcW w:w="8379" w:type="dxa"/>
            <w:tcBorders>
              <w:top w:val="nil"/>
              <w:left w:val="nil"/>
              <w:bottom w:val="nil"/>
              <w:right w:val="nil"/>
            </w:tcBorders>
            <w:shd w:val="clear" w:color="auto" w:fill="auto"/>
            <w:noWrap/>
            <w:vAlign w:val="bottom"/>
            <w:hideMark/>
          </w:tcPr>
          <w:p w:rsidR="003F69AB" w:rsidRPr="00201EFA" w:rsidRDefault="003F69AB" w:rsidP="003F69AB">
            <w:pPr>
              <w:spacing w:before="60"/>
              <w:rPr>
                <w:i/>
                <w:iCs/>
                <w:sz w:val="20"/>
                <w:szCs w:val="20"/>
                <w:lang w:val="en-US"/>
              </w:rPr>
            </w:pPr>
            <w:r w:rsidRPr="00201EFA">
              <w:rPr>
                <w:i/>
                <w:iCs/>
                <w:sz w:val="20"/>
                <w:szCs w:val="20"/>
                <w:lang w:val="en-US"/>
              </w:rPr>
              <w:t xml:space="preserve">Average monthly gross wages and salaries in industry by sections </w:t>
            </w:r>
            <w:r>
              <w:rPr>
                <w:i/>
                <w:iCs/>
                <w:sz w:val="20"/>
                <w:szCs w:val="20"/>
                <w:lang w:val="en-US"/>
              </w:rPr>
              <w:t>(I</w:t>
            </w:r>
            <w:r w:rsidR="006A6534">
              <w:rPr>
                <w:i/>
                <w:iCs/>
                <w:sz w:val="20"/>
                <w:szCs w:val="20"/>
                <w:lang w:val="en-US"/>
              </w:rPr>
              <w:t>-II</w:t>
            </w:r>
            <w:r>
              <w:rPr>
                <w:i/>
                <w:iCs/>
                <w:sz w:val="20"/>
                <w:szCs w:val="20"/>
                <w:lang w:val="en-US"/>
              </w:rPr>
              <w:t xml:space="preserve"> quarter </w:t>
            </w:r>
            <w:r w:rsidRPr="00DA0892">
              <w:rPr>
                <w:i/>
                <w:iCs/>
                <w:sz w:val="20"/>
                <w:szCs w:val="20"/>
                <w:lang w:val="en-US"/>
              </w:rPr>
              <w:t>2016</w:t>
            </w:r>
            <w:r>
              <w:rPr>
                <w:i/>
                <w:iCs/>
                <w:sz w:val="20"/>
                <w:szCs w:val="20"/>
                <w:lang w:val="en-US"/>
              </w:rPr>
              <w:t xml:space="preserve"> and</w:t>
            </w:r>
            <w:r w:rsidRPr="00DA0892">
              <w:rPr>
                <w:i/>
                <w:iCs/>
                <w:sz w:val="20"/>
                <w:szCs w:val="20"/>
                <w:lang w:val="en-US"/>
              </w:rPr>
              <w:t xml:space="preserve"> 2017</w:t>
            </w:r>
            <w:r>
              <w:rPr>
                <w:i/>
                <w:iCs/>
                <w:sz w:val="20"/>
                <w:szCs w:val="20"/>
                <w:lang w:val="en-US"/>
              </w:rPr>
              <w:t>)</w:t>
            </w:r>
          </w:p>
        </w:tc>
        <w:tc>
          <w:tcPr>
            <w:tcW w:w="160" w:type="dxa"/>
            <w:tcBorders>
              <w:top w:val="nil"/>
              <w:left w:val="nil"/>
              <w:bottom w:val="nil"/>
              <w:right w:val="nil"/>
            </w:tcBorders>
            <w:shd w:val="clear" w:color="auto" w:fill="auto"/>
            <w:noWrap/>
            <w:vAlign w:val="bottom"/>
            <w:hideMark/>
          </w:tcPr>
          <w:p w:rsidR="003F69AB" w:rsidRPr="00201EFA" w:rsidRDefault="003F69AB" w:rsidP="003F69AB">
            <w:pPr>
              <w:rPr>
                <w:sz w:val="20"/>
                <w:szCs w:val="20"/>
                <w:lang w:val="en-US"/>
              </w:rPr>
            </w:pPr>
          </w:p>
        </w:tc>
        <w:tc>
          <w:tcPr>
            <w:tcW w:w="832" w:type="dxa"/>
            <w:tcBorders>
              <w:top w:val="nil"/>
              <w:left w:val="nil"/>
              <w:bottom w:val="nil"/>
              <w:right w:val="nil"/>
            </w:tcBorders>
            <w:shd w:val="clear" w:color="auto" w:fill="auto"/>
            <w:noWrap/>
            <w:vAlign w:val="bottom"/>
            <w:hideMark/>
          </w:tcPr>
          <w:p w:rsidR="003F69AB" w:rsidRPr="00201EFA" w:rsidRDefault="003F69AB" w:rsidP="003F69AB">
            <w:pPr>
              <w:rPr>
                <w:sz w:val="20"/>
                <w:szCs w:val="20"/>
                <w:lang w:val="en-US"/>
              </w:rPr>
            </w:pPr>
          </w:p>
        </w:tc>
        <w:tc>
          <w:tcPr>
            <w:tcW w:w="748" w:type="dxa"/>
            <w:gridSpan w:val="2"/>
            <w:tcBorders>
              <w:top w:val="nil"/>
              <w:left w:val="nil"/>
              <w:bottom w:val="nil"/>
              <w:right w:val="nil"/>
            </w:tcBorders>
            <w:shd w:val="clear" w:color="auto" w:fill="auto"/>
            <w:noWrap/>
            <w:vAlign w:val="bottom"/>
            <w:hideMark/>
          </w:tcPr>
          <w:p w:rsidR="003F69AB" w:rsidRPr="00201EFA" w:rsidRDefault="003F69AB" w:rsidP="003F69AB">
            <w:pPr>
              <w:rPr>
                <w:sz w:val="20"/>
                <w:szCs w:val="20"/>
                <w:lang w:val="en-US"/>
              </w:rPr>
            </w:pPr>
          </w:p>
        </w:tc>
      </w:tr>
      <w:tr w:rsidR="003F69AB" w:rsidRPr="00223651" w:rsidTr="00726C31">
        <w:trPr>
          <w:trHeight w:val="244"/>
        </w:trPr>
        <w:tc>
          <w:tcPr>
            <w:tcW w:w="8379" w:type="dxa"/>
            <w:tcBorders>
              <w:top w:val="nil"/>
              <w:left w:val="nil"/>
              <w:bottom w:val="nil"/>
              <w:right w:val="nil"/>
            </w:tcBorders>
            <w:shd w:val="clear" w:color="auto" w:fill="auto"/>
            <w:noWrap/>
            <w:vAlign w:val="bottom"/>
          </w:tcPr>
          <w:p w:rsidR="003F69AB" w:rsidRDefault="003F69AB" w:rsidP="003F69AB">
            <w:pPr>
              <w:spacing w:before="60"/>
              <w:rPr>
                <w:sz w:val="20"/>
                <w:szCs w:val="20"/>
              </w:rPr>
            </w:pPr>
            <w:r>
              <w:rPr>
                <w:sz w:val="20"/>
                <w:szCs w:val="20"/>
              </w:rPr>
              <w:t xml:space="preserve">Przedsiębiorstwa przemysłowe według wysokości przeciętnego miesięcznego wynagrodzenia brutto         </w:t>
            </w:r>
          </w:p>
        </w:tc>
        <w:tc>
          <w:tcPr>
            <w:tcW w:w="160" w:type="dxa"/>
            <w:tcBorders>
              <w:top w:val="nil"/>
              <w:left w:val="nil"/>
              <w:bottom w:val="nil"/>
              <w:right w:val="nil"/>
            </w:tcBorders>
            <w:shd w:val="clear" w:color="auto" w:fill="auto"/>
            <w:noWrap/>
            <w:vAlign w:val="bottom"/>
          </w:tcPr>
          <w:p w:rsidR="003F69AB" w:rsidRPr="00223651" w:rsidRDefault="003F69AB" w:rsidP="003F69AB">
            <w:pPr>
              <w:rPr>
                <w:sz w:val="20"/>
                <w:szCs w:val="20"/>
              </w:rPr>
            </w:pPr>
          </w:p>
        </w:tc>
        <w:tc>
          <w:tcPr>
            <w:tcW w:w="832" w:type="dxa"/>
            <w:tcBorders>
              <w:top w:val="nil"/>
              <w:left w:val="nil"/>
              <w:bottom w:val="nil"/>
              <w:right w:val="nil"/>
            </w:tcBorders>
            <w:shd w:val="clear" w:color="auto" w:fill="auto"/>
            <w:noWrap/>
            <w:vAlign w:val="bottom"/>
          </w:tcPr>
          <w:p w:rsidR="003F69AB" w:rsidRPr="00223651" w:rsidRDefault="003F69AB" w:rsidP="003F69AB">
            <w:pPr>
              <w:rPr>
                <w:sz w:val="20"/>
                <w:szCs w:val="20"/>
              </w:rPr>
            </w:pPr>
          </w:p>
        </w:tc>
        <w:tc>
          <w:tcPr>
            <w:tcW w:w="748" w:type="dxa"/>
            <w:gridSpan w:val="2"/>
            <w:tcBorders>
              <w:top w:val="nil"/>
              <w:left w:val="nil"/>
              <w:bottom w:val="nil"/>
              <w:right w:val="nil"/>
            </w:tcBorders>
            <w:shd w:val="clear" w:color="auto" w:fill="auto"/>
            <w:noWrap/>
            <w:vAlign w:val="bottom"/>
          </w:tcPr>
          <w:p w:rsidR="003F69AB" w:rsidRDefault="003F69AB" w:rsidP="003F69AB">
            <w:pPr>
              <w:jc w:val="center"/>
              <w:rPr>
                <w:sz w:val="20"/>
                <w:szCs w:val="20"/>
              </w:rPr>
            </w:pPr>
          </w:p>
        </w:tc>
      </w:tr>
      <w:tr w:rsidR="003F69AB" w:rsidRPr="000F0958" w:rsidTr="00726C31">
        <w:trPr>
          <w:trHeight w:val="244"/>
        </w:trPr>
        <w:tc>
          <w:tcPr>
            <w:tcW w:w="8379" w:type="dxa"/>
            <w:tcBorders>
              <w:top w:val="nil"/>
              <w:left w:val="nil"/>
              <w:bottom w:val="nil"/>
              <w:right w:val="nil"/>
            </w:tcBorders>
            <w:shd w:val="clear" w:color="auto" w:fill="auto"/>
            <w:noWrap/>
            <w:vAlign w:val="bottom"/>
          </w:tcPr>
          <w:p w:rsidR="003F69AB" w:rsidRPr="000F0958" w:rsidRDefault="003F69AB" w:rsidP="003F69AB">
            <w:pPr>
              <w:spacing w:before="60"/>
              <w:rPr>
                <w:sz w:val="20"/>
                <w:szCs w:val="20"/>
              </w:rPr>
            </w:pPr>
            <w:r w:rsidRPr="00202F2C">
              <w:rPr>
                <w:sz w:val="20"/>
                <w:szCs w:val="20"/>
              </w:rPr>
              <w:t xml:space="preserve">     </w:t>
            </w:r>
            <w:r w:rsidRPr="000F0958">
              <w:rPr>
                <w:sz w:val="20"/>
                <w:szCs w:val="20"/>
              </w:rPr>
              <w:t xml:space="preserve">w </w:t>
            </w:r>
            <w:r w:rsidRPr="00617CDD">
              <w:rPr>
                <w:sz w:val="20"/>
                <w:szCs w:val="20"/>
              </w:rPr>
              <w:t>I</w:t>
            </w:r>
            <w:r w:rsidR="00277DA4">
              <w:rPr>
                <w:sz w:val="20"/>
                <w:szCs w:val="20"/>
              </w:rPr>
              <w:t>-II</w:t>
            </w:r>
            <w:r w:rsidRPr="00617CDD">
              <w:rPr>
                <w:sz w:val="20"/>
                <w:szCs w:val="20"/>
              </w:rPr>
              <w:t xml:space="preserve"> kwartale 2017</w:t>
            </w:r>
            <w:r w:rsidRPr="000F0958">
              <w:rPr>
                <w:sz w:val="20"/>
                <w:szCs w:val="20"/>
              </w:rPr>
              <w:t xml:space="preserve"> r</w:t>
            </w:r>
            <w:r>
              <w:rPr>
                <w:sz w:val="20"/>
                <w:szCs w:val="20"/>
              </w:rPr>
              <w:t>. .............................................................................................</w:t>
            </w:r>
            <w:r w:rsidR="006A6534">
              <w:rPr>
                <w:sz w:val="20"/>
                <w:szCs w:val="20"/>
              </w:rPr>
              <w:t>............................</w:t>
            </w:r>
            <w:r>
              <w:rPr>
                <w:sz w:val="20"/>
                <w:szCs w:val="20"/>
              </w:rPr>
              <w:t>.</w:t>
            </w:r>
          </w:p>
        </w:tc>
        <w:tc>
          <w:tcPr>
            <w:tcW w:w="160" w:type="dxa"/>
            <w:tcBorders>
              <w:top w:val="nil"/>
              <w:left w:val="nil"/>
              <w:bottom w:val="nil"/>
              <w:right w:val="nil"/>
            </w:tcBorders>
            <w:shd w:val="clear" w:color="auto" w:fill="auto"/>
            <w:noWrap/>
            <w:vAlign w:val="bottom"/>
          </w:tcPr>
          <w:p w:rsidR="003F69AB" w:rsidRPr="000F0958" w:rsidRDefault="003F69AB" w:rsidP="003F69AB">
            <w:pPr>
              <w:rPr>
                <w:sz w:val="20"/>
                <w:szCs w:val="20"/>
              </w:rPr>
            </w:pPr>
          </w:p>
        </w:tc>
        <w:tc>
          <w:tcPr>
            <w:tcW w:w="832" w:type="dxa"/>
            <w:tcBorders>
              <w:top w:val="nil"/>
              <w:left w:val="nil"/>
              <w:bottom w:val="nil"/>
              <w:right w:val="nil"/>
            </w:tcBorders>
            <w:shd w:val="clear" w:color="auto" w:fill="auto"/>
            <w:noWrap/>
            <w:vAlign w:val="bottom"/>
          </w:tcPr>
          <w:p w:rsidR="003F69AB" w:rsidRPr="000F0958" w:rsidRDefault="003F69AB" w:rsidP="003F69AB">
            <w:pPr>
              <w:rPr>
                <w:sz w:val="20"/>
                <w:szCs w:val="20"/>
              </w:rPr>
            </w:pPr>
          </w:p>
        </w:tc>
        <w:tc>
          <w:tcPr>
            <w:tcW w:w="748" w:type="dxa"/>
            <w:gridSpan w:val="2"/>
            <w:tcBorders>
              <w:top w:val="nil"/>
              <w:left w:val="nil"/>
              <w:bottom w:val="nil"/>
              <w:right w:val="nil"/>
            </w:tcBorders>
            <w:shd w:val="clear" w:color="auto" w:fill="auto"/>
            <w:noWrap/>
            <w:vAlign w:val="bottom"/>
          </w:tcPr>
          <w:p w:rsidR="003F69AB" w:rsidRPr="000F0958" w:rsidRDefault="003F69AB" w:rsidP="00F83B99">
            <w:pPr>
              <w:jc w:val="center"/>
              <w:rPr>
                <w:sz w:val="20"/>
                <w:szCs w:val="20"/>
                <w:lang w:val="en-US"/>
              </w:rPr>
            </w:pPr>
            <w:r>
              <w:rPr>
                <w:sz w:val="20"/>
                <w:szCs w:val="20"/>
                <w:lang w:val="en-US"/>
              </w:rPr>
              <w:t>13</w:t>
            </w:r>
            <w:r w:rsidR="00F83B99">
              <w:rPr>
                <w:sz w:val="20"/>
                <w:szCs w:val="20"/>
                <w:lang w:val="en-US"/>
              </w:rPr>
              <w:t>2</w:t>
            </w:r>
          </w:p>
        </w:tc>
      </w:tr>
      <w:tr w:rsidR="003F69AB" w:rsidRPr="001F7FE1" w:rsidTr="00726C31">
        <w:trPr>
          <w:trHeight w:val="244"/>
        </w:trPr>
        <w:tc>
          <w:tcPr>
            <w:tcW w:w="8379" w:type="dxa"/>
            <w:tcBorders>
              <w:top w:val="nil"/>
              <w:left w:val="nil"/>
              <w:bottom w:val="nil"/>
              <w:right w:val="nil"/>
            </w:tcBorders>
            <w:shd w:val="clear" w:color="auto" w:fill="auto"/>
            <w:noWrap/>
            <w:vAlign w:val="bottom"/>
            <w:hideMark/>
          </w:tcPr>
          <w:p w:rsidR="003F69AB" w:rsidRPr="00223651" w:rsidRDefault="003F69AB" w:rsidP="003F69AB">
            <w:pPr>
              <w:spacing w:before="60"/>
              <w:rPr>
                <w:i/>
                <w:iCs/>
                <w:sz w:val="20"/>
                <w:szCs w:val="20"/>
                <w:lang w:val="en-US"/>
              </w:rPr>
            </w:pPr>
            <w:r>
              <w:rPr>
                <w:i/>
                <w:iCs/>
                <w:sz w:val="20"/>
                <w:szCs w:val="20"/>
                <w:lang w:val="en-US"/>
              </w:rPr>
              <w:t xml:space="preserve">Industrial enterprises by amount of average monthly gross wages and salaries in </w:t>
            </w:r>
            <w:r w:rsidRPr="00617CDD">
              <w:rPr>
                <w:i/>
                <w:iCs/>
                <w:sz w:val="20"/>
                <w:szCs w:val="20"/>
                <w:lang w:val="en-US"/>
              </w:rPr>
              <w:t>I</w:t>
            </w:r>
            <w:r w:rsidR="006A6534">
              <w:rPr>
                <w:i/>
                <w:iCs/>
                <w:sz w:val="20"/>
                <w:szCs w:val="20"/>
                <w:lang w:val="en-US"/>
              </w:rPr>
              <w:t>-II</w:t>
            </w:r>
            <w:r w:rsidRPr="00617CDD">
              <w:rPr>
                <w:i/>
                <w:iCs/>
                <w:sz w:val="20"/>
                <w:szCs w:val="20"/>
                <w:lang w:val="en-US"/>
              </w:rPr>
              <w:t xml:space="preserve"> quarter 2017</w:t>
            </w:r>
          </w:p>
        </w:tc>
        <w:tc>
          <w:tcPr>
            <w:tcW w:w="160" w:type="dxa"/>
            <w:tcBorders>
              <w:top w:val="nil"/>
              <w:left w:val="nil"/>
              <w:bottom w:val="nil"/>
              <w:right w:val="nil"/>
            </w:tcBorders>
            <w:shd w:val="clear" w:color="auto" w:fill="auto"/>
            <w:noWrap/>
            <w:vAlign w:val="bottom"/>
            <w:hideMark/>
          </w:tcPr>
          <w:p w:rsidR="003F69AB" w:rsidRPr="00223651" w:rsidRDefault="003F69AB" w:rsidP="003F69AB">
            <w:pPr>
              <w:rPr>
                <w:sz w:val="20"/>
                <w:szCs w:val="20"/>
                <w:lang w:val="en-US"/>
              </w:rPr>
            </w:pPr>
          </w:p>
        </w:tc>
        <w:tc>
          <w:tcPr>
            <w:tcW w:w="832" w:type="dxa"/>
            <w:tcBorders>
              <w:top w:val="nil"/>
              <w:left w:val="nil"/>
              <w:bottom w:val="nil"/>
              <w:right w:val="nil"/>
            </w:tcBorders>
            <w:shd w:val="clear" w:color="auto" w:fill="auto"/>
            <w:noWrap/>
            <w:vAlign w:val="bottom"/>
            <w:hideMark/>
          </w:tcPr>
          <w:p w:rsidR="003F69AB" w:rsidRPr="00223651" w:rsidRDefault="003F69AB" w:rsidP="003F69AB">
            <w:pPr>
              <w:rPr>
                <w:sz w:val="20"/>
                <w:szCs w:val="20"/>
                <w:lang w:val="en-US"/>
              </w:rPr>
            </w:pPr>
          </w:p>
        </w:tc>
        <w:tc>
          <w:tcPr>
            <w:tcW w:w="748" w:type="dxa"/>
            <w:gridSpan w:val="2"/>
            <w:tcBorders>
              <w:top w:val="nil"/>
              <w:left w:val="nil"/>
              <w:bottom w:val="nil"/>
              <w:right w:val="nil"/>
            </w:tcBorders>
            <w:shd w:val="clear" w:color="auto" w:fill="auto"/>
            <w:noWrap/>
            <w:vAlign w:val="bottom"/>
            <w:hideMark/>
          </w:tcPr>
          <w:p w:rsidR="003F69AB" w:rsidRPr="00223651" w:rsidRDefault="003F69AB" w:rsidP="003F69AB">
            <w:pPr>
              <w:jc w:val="center"/>
              <w:rPr>
                <w:sz w:val="20"/>
                <w:szCs w:val="20"/>
                <w:lang w:val="en-US"/>
              </w:rPr>
            </w:pPr>
          </w:p>
        </w:tc>
      </w:tr>
      <w:tr w:rsidR="003F69AB" w:rsidRPr="00223651" w:rsidTr="00726C31">
        <w:trPr>
          <w:gridAfter w:val="1"/>
          <w:wAfter w:w="14" w:type="dxa"/>
          <w:trHeight w:val="244"/>
        </w:trPr>
        <w:tc>
          <w:tcPr>
            <w:tcW w:w="8379" w:type="dxa"/>
            <w:tcBorders>
              <w:top w:val="nil"/>
              <w:left w:val="nil"/>
              <w:bottom w:val="nil"/>
              <w:right w:val="nil"/>
            </w:tcBorders>
            <w:shd w:val="clear" w:color="auto" w:fill="auto"/>
            <w:noWrap/>
            <w:vAlign w:val="bottom"/>
            <w:hideMark/>
          </w:tcPr>
          <w:p w:rsidR="003F69AB" w:rsidRPr="007E57E7" w:rsidRDefault="003F69AB" w:rsidP="003F69AB">
            <w:pPr>
              <w:spacing w:before="60"/>
              <w:rPr>
                <w:sz w:val="20"/>
                <w:szCs w:val="20"/>
                <w:lang w:val="en-US"/>
              </w:rPr>
            </w:pPr>
            <w:r w:rsidRPr="007E57E7">
              <w:rPr>
                <w:sz w:val="20"/>
                <w:szCs w:val="20"/>
                <w:lang w:val="en-US"/>
              </w:rPr>
              <w:t>Wy</w:t>
            </w:r>
            <w:r>
              <w:rPr>
                <w:sz w:val="20"/>
                <w:szCs w:val="20"/>
                <w:lang w:val="en-US"/>
              </w:rPr>
              <w:t>dobycie węgla kamiennego (2010</w:t>
            </w:r>
            <w:r w:rsidRPr="007E57E7">
              <w:rPr>
                <w:sz w:val="20"/>
                <w:szCs w:val="20"/>
                <w:lang w:val="en-US"/>
              </w:rPr>
              <w:t>, 2014, 2015, 2016</w:t>
            </w:r>
            <w:r>
              <w:rPr>
                <w:sz w:val="20"/>
                <w:szCs w:val="20"/>
                <w:lang w:val="en-US"/>
              </w:rPr>
              <w:t>, 2017</w:t>
            </w:r>
            <w:r w:rsidRPr="007E57E7">
              <w:rPr>
                <w:sz w:val="20"/>
                <w:szCs w:val="20"/>
                <w:lang w:val="en-US"/>
              </w:rPr>
              <w:t>) .................</w:t>
            </w:r>
            <w:r>
              <w:rPr>
                <w:sz w:val="20"/>
                <w:szCs w:val="20"/>
                <w:lang w:val="en-US"/>
              </w:rPr>
              <w:t>....................</w:t>
            </w:r>
            <w:r w:rsidRPr="007E57E7">
              <w:rPr>
                <w:sz w:val="20"/>
                <w:szCs w:val="20"/>
                <w:lang w:val="en-US"/>
              </w:rPr>
              <w:t>.........................</w:t>
            </w:r>
          </w:p>
        </w:tc>
        <w:tc>
          <w:tcPr>
            <w:tcW w:w="992" w:type="dxa"/>
            <w:gridSpan w:val="2"/>
            <w:tcBorders>
              <w:top w:val="nil"/>
              <w:left w:val="nil"/>
              <w:bottom w:val="nil"/>
              <w:right w:val="nil"/>
            </w:tcBorders>
            <w:shd w:val="clear" w:color="auto" w:fill="auto"/>
            <w:noWrap/>
            <w:vAlign w:val="bottom"/>
            <w:hideMark/>
          </w:tcPr>
          <w:p w:rsidR="003F69AB" w:rsidRPr="00223651" w:rsidRDefault="003F69AB" w:rsidP="003F69AB">
            <w:pPr>
              <w:rPr>
                <w:sz w:val="20"/>
                <w:szCs w:val="20"/>
              </w:rPr>
            </w:pPr>
            <w:r w:rsidRPr="00223651">
              <w:rPr>
                <w:sz w:val="20"/>
                <w:szCs w:val="20"/>
              </w:rPr>
              <w:t xml:space="preserve"> </w:t>
            </w:r>
          </w:p>
        </w:tc>
        <w:tc>
          <w:tcPr>
            <w:tcW w:w="734" w:type="dxa"/>
            <w:tcBorders>
              <w:top w:val="nil"/>
              <w:left w:val="nil"/>
              <w:bottom w:val="nil"/>
              <w:right w:val="nil"/>
            </w:tcBorders>
            <w:shd w:val="clear" w:color="auto" w:fill="auto"/>
            <w:noWrap/>
            <w:vAlign w:val="bottom"/>
            <w:hideMark/>
          </w:tcPr>
          <w:p w:rsidR="003F69AB" w:rsidRPr="00223651" w:rsidRDefault="003F69AB" w:rsidP="00F83B99">
            <w:pPr>
              <w:jc w:val="center"/>
              <w:rPr>
                <w:sz w:val="20"/>
                <w:szCs w:val="20"/>
              </w:rPr>
            </w:pPr>
            <w:r>
              <w:rPr>
                <w:sz w:val="20"/>
                <w:szCs w:val="20"/>
              </w:rPr>
              <w:t>13</w:t>
            </w:r>
            <w:r w:rsidR="00F83B99">
              <w:rPr>
                <w:sz w:val="20"/>
                <w:szCs w:val="20"/>
              </w:rPr>
              <w:t>3</w:t>
            </w:r>
          </w:p>
        </w:tc>
      </w:tr>
      <w:tr w:rsidR="003F69AB" w:rsidRPr="00223651" w:rsidTr="00726C31">
        <w:trPr>
          <w:trHeight w:val="244"/>
        </w:trPr>
        <w:tc>
          <w:tcPr>
            <w:tcW w:w="8379" w:type="dxa"/>
            <w:tcBorders>
              <w:top w:val="nil"/>
              <w:left w:val="nil"/>
              <w:bottom w:val="nil"/>
              <w:right w:val="nil"/>
            </w:tcBorders>
            <w:shd w:val="clear" w:color="auto" w:fill="auto"/>
            <w:noWrap/>
            <w:vAlign w:val="bottom"/>
            <w:hideMark/>
          </w:tcPr>
          <w:p w:rsidR="003F69AB" w:rsidRPr="00223651" w:rsidRDefault="003F69AB" w:rsidP="003F69AB">
            <w:pPr>
              <w:spacing w:before="60"/>
              <w:rPr>
                <w:i/>
                <w:iCs/>
                <w:sz w:val="20"/>
                <w:szCs w:val="20"/>
              </w:rPr>
            </w:pPr>
            <w:r>
              <w:rPr>
                <w:i/>
                <w:iCs/>
                <w:sz w:val="20"/>
                <w:szCs w:val="20"/>
              </w:rPr>
              <w:t>Extraction of hard coal (2010, 2014, 2015, 2016, 2017</w:t>
            </w:r>
            <w:r w:rsidRPr="00223651">
              <w:rPr>
                <w:i/>
                <w:iCs/>
                <w:sz w:val="20"/>
                <w:szCs w:val="20"/>
              </w:rPr>
              <w:t>)</w:t>
            </w:r>
          </w:p>
        </w:tc>
        <w:tc>
          <w:tcPr>
            <w:tcW w:w="160" w:type="dxa"/>
            <w:tcBorders>
              <w:top w:val="nil"/>
              <w:left w:val="nil"/>
              <w:bottom w:val="nil"/>
              <w:right w:val="nil"/>
            </w:tcBorders>
            <w:shd w:val="clear" w:color="auto" w:fill="auto"/>
            <w:noWrap/>
            <w:vAlign w:val="bottom"/>
            <w:hideMark/>
          </w:tcPr>
          <w:p w:rsidR="003F69AB" w:rsidRPr="00223651" w:rsidRDefault="003F69AB" w:rsidP="003F69AB">
            <w:pPr>
              <w:rPr>
                <w:sz w:val="20"/>
                <w:szCs w:val="20"/>
              </w:rPr>
            </w:pPr>
          </w:p>
        </w:tc>
        <w:tc>
          <w:tcPr>
            <w:tcW w:w="832" w:type="dxa"/>
            <w:tcBorders>
              <w:top w:val="nil"/>
              <w:left w:val="nil"/>
              <w:bottom w:val="nil"/>
              <w:right w:val="nil"/>
            </w:tcBorders>
            <w:shd w:val="clear" w:color="auto" w:fill="auto"/>
            <w:noWrap/>
            <w:vAlign w:val="bottom"/>
            <w:hideMark/>
          </w:tcPr>
          <w:p w:rsidR="003F69AB" w:rsidRPr="00223651" w:rsidRDefault="003F69AB" w:rsidP="003F69AB">
            <w:pPr>
              <w:rPr>
                <w:sz w:val="20"/>
                <w:szCs w:val="20"/>
              </w:rPr>
            </w:pPr>
          </w:p>
        </w:tc>
        <w:tc>
          <w:tcPr>
            <w:tcW w:w="748" w:type="dxa"/>
            <w:gridSpan w:val="2"/>
            <w:tcBorders>
              <w:top w:val="nil"/>
              <w:left w:val="nil"/>
              <w:bottom w:val="nil"/>
              <w:right w:val="nil"/>
            </w:tcBorders>
            <w:shd w:val="clear" w:color="auto" w:fill="auto"/>
            <w:noWrap/>
            <w:vAlign w:val="bottom"/>
            <w:hideMark/>
          </w:tcPr>
          <w:p w:rsidR="003F69AB" w:rsidRPr="00223651" w:rsidRDefault="003F69AB" w:rsidP="003F69AB">
            <w:pPr>
              <w:rPr>
                <w:sz w:val="20"/>
                <w:szCs w:val="20"/>
              </w:rPr>
            </w:pPr>
          </w:p>
        </w:tc>
      </w:tr>
      <w:tr w:rsidR="003F69AB" w:rsidRPr="00223651" w:rsidTr="00726C31">
        <w:trPr>
          <w:gridAfter w:val="1"/>
          <w:wAfter w:w="14" w:type="dxa"/>
          <w:trHeight w:val="244"/>
        </w:trPr>
        <w:tc>
          <w:tcPr>
            <w:tcW w:w="8379" w:type="dxa"/>
            <w:tcBorders>
              <w:top w:val="nil"/>
              <w:left w:val="nil"/>
              <w:bottom w:val="nil"/>
              <w:right w:val="nil"/>
            </w:tcBorders>
            <w:shd w:val="clear" w:color="auto" w:fill="auto"/>
            <w:noWrap/>
            <w:vAlign w:val="bottom"/>
            <w:hideMark/>
          </w:tcPr>
          <w:p w:rsidR="003F69AB" w:rsidRPr="00223651" w:rsidRDefault="003F69AB" w:rsidP="003F69AB">
            <w:pPr>
              <w:spacing w:before="60"/>
              <w:rPr>
                <w:sz w:val="20"/>
                <w:szCs w:val="20"/>
              </w:rPr>
            </w:pPr>
            <w:r w:rsidRPr="00223651">
              <w:rPr>
                <w:sz w:val="20"/>
                <w:szCs w:val="20"/>
              </w:rPr>
              <w:t>Produk</w:t>
            </w:r>
            <w:r>
              <w:rPr>
                <w:sz w:val="20"/>
                <w:szCs w:val="20"/>
              </w:rPr>
              <w:t>cja energii elektrycznej (</w:t>
            </w:r>
            <w:r w:rsidRPr="00186C9C">
              <w:rPr>
                <w:sz w:val="20"/>
                <w:szCs w:val="20"/>
                <w:lang w:val="en-US"/>
              </w:rPr>
              <w:t>2010, 2014, 2015, 2016, 2017</w:t>
            </w:r>
            <w:r w:rsidRPr="00223651">
              <w:rPr>
                <w:sz w:val="20"/>
                <w:szCs w:val="20"/>
              </w:rPr>
              <w:t>) ......................</w:t>
            </w:r>
            <w:r w:rsidRPr="00106EBC">
              <w:rPr>
                <w:sz w:val="20"/>
                <w:szCs w:val="20"/>
                <w:lang w:val="en-US"/>
              </w:rPr>
              <w:t>..................</w:t>
            </w:r>
            <w:r>
              <w:rPr>
                <w:sz w:val="20"/>
                <w:szCs w:val="20"/>
                <w:lang w:val="en-US"/>
              </w:rPr>
              <w:t>..</w:t>
            </w:r>
            <w:r w:rsidRPr="00223651">
              <w:rPr>
                <w:sz w:val="20"/>
                <w:szCs w:val="20"/>
              </w:rPr>
              <w:t>.........</w:t>
            </w:r>
            <w:r>
              <w:rPr>
                <w:sz w:val="20"/>
                <w:szCs w:val="20"/>
              </w:rPr>
              <w:t>............</w:t>
            </w:r>
          </w:p>
        </w:tc>
        <w:tc>
          <w:tcPr>
            <w:tcW w:w="992" w:type="dxa"/>
            <w:gridSpan w:val="2"/>
            <w:tcBorders>
              <w:top w:val="nil"/>
              <w:left w:val="nil"/>
              <w:bottom w:val="nil"/>
              <w:right w:val="nil"/>
            </w:tcBorders>
            <w:shd w:val="clear" w:color="auto" w:fill="auto"/>
            <w:noWrap/>
            <w:vAlign w:val="bottom"/>
            <w:hideMark/>
          </w:tcPr>
          <w:p w:rsidR="003F69AB" w:rsidRPr="00223651" w:rsidRDefault="003F69AB" w:rsidP="003F69AB">
            <w:pPr>
              <w:rPr>
                <w:sz w:val="20"/>
                <w:szCs w:val="20"/>
              </w:rPr>
            </w:pPr>
            <w:r w:rsidRPr="00223651">
              <w:rPr>
                <w:sz w:val="20"/>
                <w:szCs w:val="20"/>
              </w:rPr>
              <w:t xml:space="preserve"> </w:t>
            </w:r>
          </w:p>
        </w:tc>
        <w:tc>
          <w:tcPr>
            <w:tcW w:w="734" w:type="dxa"/>
            <w:tcBorders>
              <w:top w:val="nil"/>
              <w:left w:val="nil"/>
              <w:bottom w:val="nil"/>
              <w:right w:val="nil"/>
            </w:tcBorders>
            <w:shd w:val="clear" w:color="auto" w:fill="auto"/>
            <w:noWrap/>
            <w:vAlign w:val="bottom"/>
            <w:hideMark/>
          </w:tcPr>
          <w:p w:rsidR="003F69AB" w:rsidRPr="00223651" w:rsidRDefault="003F69AB" w:rsidP="00F83B99">
            <w:pPr>
              <w:jc w:val="center"/>
              <w:rPr>
                <w:sz w:val="20"/>
                <w:szCs w:val="20"/>
              </w:rPr>
            </w:pPr>
            <w:r>
              <w:rPr>
                <w:sz w:val="20"/>
                <w:szCs w:val="20"/>
              </w:rPr>
              <w:t>13</w:t>
            </w:r>
            <w:r w:rsidR="00F83B99">
              <w:rPr>
                <w:sz w:val="20"/>
                <w:szCs w:val="20"/>
              </w:rPr>
              <w:t>3</w:t>
            </w:r>
          </w:p>
        </w:tc>
      </w:tr>
      <w:tr w:rsidR="003F69AB" w:rsidRPr="00223651" w:rsidTr="00726C31">
        <w:trPr>
          <w:trHeight w:val="244"/>
        </w:trPr>
        <w:tc>
          <w:tcPr>
            <w:tcW w:w="8379" w:type="dxa"/>
            <w:tcBorders>
              <w:top w:val="nil"/>
              <w:left w:val="nil"/>
              <w:bottom w:val="nil"/>
              <w:right w:val="nil"/>
            </w:tcBorders>
            <w:shd w:val="clear" w:color="auto" w:fill="auto"/>
            <w:noWrap/>
            <w:vAlign w:val="bottom"/>
            <w:hideMark/>
          </w:tcPr>
          <w:p w:rsidR="003F69AB" w:rsidRPr="00223651" w:rsidRDefault="003F69AB" w:rsidP="003F69AB">
            <w:pPr>
              <w:spacing w:before="60"/>
              <w:rPr>
                <w:i/>
                <w:iCs/>
                <w:sz w:val="20"/>
                <w:szCs w:val="20"/>
              </w:rPr>
            </w:pPr>
            <w:r w:rsidRPr="00223651">
              <w:rPr>
                <w:i/>
                <w:iCs/>
                <w:sz w:val="20"/>
                <w:szCs w:val="20"/>
              </w:rPr>
              <w:t>Production of electricity (</w:t>
            </w:r>
            <w:r w:rsidRPr="00186C9C">
              <w:rPr>
                <w:i/>
                <w:iCs/>
                <w:sz w:val="20"/>
                <w:szCs w:val="20"/>
              </w:rPr>
              <w:t>2010, 2014, 2015, 2016, 2017</w:t>
            </w:r>
            <w:r w:rsidRPr="00223651">
              <w:rPr>
                <w:i/>
                <w:iCs/>
                <w:sz w:val="20"/>
                <w:szCs w:val="20"/>
              </w:rPr>
              <w:t>)</w:t>
            </w:r>
          </w:p>
        </w:tc>
        <w:tc>
          <w:tcPr>
            <w:tcW w:w="160" w:type="dxa"/>
            <w:tcBorders>
              <w:top w:val="nil"/>
              <w:left w:val="nil"/>
              <w:bottom w:val="nil"/>
              <w:right w:val="nil"/>
            </w:tcBorders>
            <w:shd w:val="clear" w:color="auto" w:fill="auto"/>
            <w:noWrap/>
            <w:vAlign w:val="bottom"/>
            <w:hideMark/>
          </w:tcPr>
          <w:p w:rsidR="003F69AB" w:rsidRPr="00223651" w:rsidRDefault="003F69AB" w:rsidP="003F69AB">
            <w:pPr>
              <w:rPr>
                <w:sz w:val="20"/>
                <w:szCs w:val="20"/>
              </w:rPr>
            </w:pPr>
          </w:p>
        </w:tc>
        <w:tc>
          <w:tcPr>
            <w:tcW w:w="832" w:type="dxa"/>
            <w:tcBorders>
              <w:top w:val="nil"/>
              <w:left w:val="nil"/>
              <w:bottom w:val="nil"/>
              <w:right w:val="nil"/>
            </w:tcBorders>
            <w:shd w:val="clear" w:color="auto" w:fill="auto"/>
            <w:noWrap/>
            <w:vAlign w:val="bottom"/>
            <w:hideMark/>
          </w:tcPr>
          <w:p w:rsidR="003F69AB" w:rsidRPr="00223651" w:rsidRDefault="003F69AB" w:rsidP="003F69AB">
            <w:pPr>
              <w:rPr>
                <w:sz w:val="20"/>
                <w:szCs w:val="20"/>
              </w:rPr>
            </w:pPr>
          </w:p>
        </w:tc>
        <w:tc>
          <w:tcPr>
            <w:tcW w:w="748" w:type="dxa"/>
            <w:gridSpan w:val="2"/>
            <w:tcBorders>
              <w:top w:val="nil"/>
              <w:left w:val="nil"/>
              <w:bottom w:val="nil"/>
              <w:right w:val="nil"/>
            </w:tcBorders>
            <w:shd w:val="clear" w:color="auto" w:fill="auto"/>
            <w:noWrap/>
            <w:vAlign w:val="bottom"/>
            <w:hideMark/>
          </w:tcPr>
          <w:p w:rsidR="003F69AB" w:rsidRPr="00223651" w:rsidRDefault="003F69AB" w:rsidP="003F69AB">
            <w:pPr>
              <w:rPr>
                <w:sz w:val="20"/>
                <w:szCs w:val="20"/>
              </w:rPr>
            </w:pPr>
          </w:p>
        </w:tc>
      </w:tr>
      <w:tr w:rsidR="003F69AB" w:rsidRPr="00223651" w:rsidTr="00726C31">
        <w:trPr>
          <w:gridAfter w:val="1"/>
          <w:wAfter w:w="14" w:type="dxa"/>
          <w:trHeight w:val="244"/>
        </w:trPr>
        <w:tc>
          <w:tcPr>
            <w:tcW w:w="8379" w:type="dxa"/>
            <w:tcBorders>
              <w:top w:val="nil"/>
              <w:left w:val="nil"/>
              <w:bottom w:val="nil"/>
              <w:right w:val="nil"/>
            </w:tcBorders>
            <w:shd w:val="clear" w:color="auto" w:fill="auto"/>
            <w:noWrap/>
            <w:vAlign w:val="bottom"/>
            <w:hideMark/>
          </w:tcPr>
          <w:p w:rsidR="003F69AB" w:rsidRPr="00223651" w:rsidRDefault="003F69AB" w:rsidP="003F69AB">
            <w:pPr>
              <w:spacing w:before="60"/>
              <w:rPr>
                <w:sz w:val="20"/>
                <w:szCs w:val="20"/>
              </w:rPr>
            </w:pPr>
            <w:r w:rsidRPr="00223651">
              <w:rPr>
                <w:sz w:val="20"/>
                <w:szCs w:val="20"/>
              </w:rPr>
              <w:t>Produkcja masła (</w:t>
            </w:r>
            <w:r w:rsidRPr="00186C9C">
              <w:rPr>
                <w:sz w:val="20"/>
                <w:szCs w:val="20"/>
                <w:lang w:val="en-US"/>
              </w:rPr>
              <w:t>2010, 2014, 2015, 2016, 2017</w:t>
            </w:r>
            <w:r w:rsidRPr="00223651">
              <w:rPr>
                <w:sz w:val="20"/>
                <w:szCs w:val="20"/>
              </w:rPr>
              <w:t>) ...............................................................</w:t>
            </w:r>
            <w:r w:rsidRPr="00106EBC">
              <w:rPr>
                <w:sz w:val="20"/>
                <w:szCs w:val="20"/>
              </w:rPr>
              <w:t>....................</w:t>
            </w:r>
            <w:r>
              <w:rPr>
                <w:sz w:val="20"/>
                <w:szCs w:val="20"/>
              </w:rPr>
              <w:t>..</w:t>
            </w:r>
          </w:p>
        </w:tc>
        <w:tc>
          <w:tcPr>
            <w:tcW w:w="992" w:type="dxa"/>
            <w:gridSpan w:val="2"/>
            <w:tcBorders>
              <w:top w:val="nil"/>
              <w:left w:val="nil"/>
              <w:bottom w:val="nil"/>
              <w:right w:val="nil"/>
            </w:tcBorders>
            <w:shd w:val="clear" w:color="auto" w:fill="auto"/>
            <w:noWrap/>
            <w:vAlign w:val="bottom"/>
            <w:hideMark/>
          </w:tcPr>
          <w:p w:rsidR="003F69AB" w:rsidRPr="00223651" w:rsidRDefault="003F69AB" w:rsidP="003F69AB">
            <w:pPr>
              <w:rPr>
                <w:sz w:val="20"/>
                <w:szCs w:val="20"/>
              </w:rPr>
            </w:pPr>
            <w:r w:rsidRPr="00223651">
              <w:rPr>
                <w:sz w:val="20"/>
                <w:szCs w:val="20"/>
              </w:rPr>
              <w:t xml:space="preserve"> </w:t>
            </w:r>
          </w:p>
        </w:tc>
        <w:tc>
          <w:tcPr>
            <w:tcW w:w="734" w:type="dxa"/>
            <w:tcBorders>
              <w:top w:val="nil"/>
              <w:left w:val="nil"/>
              <w:bottom w:val="nil"/>
              <w:right w:val="nil"/>
            </w:tcBorders>
            <w:shd w:val="clear" w:color="auto" w:fill="auto"/>
            <w:noWrap/>
            <w:vAlign w:val="bottom"/>
            <w:hideMark/>
          </w:tcPr>
          <w:p w:rsidR="003F69AB" w:rsidRPr="00223651" w:rsidRDefault="003F69AB" w:rsidP="00F83B99">
            <w:pPr>
              <w:jc w:val="center"/>
              <w:rPr>
                <w:sz w:val="20"/>
                <w:szCs w:val="20"/>
              </w:rPr>
            </w:pPr>
            <w:r>
              <w:rPr>
                <w:sz w:val="20"/>
                <w:szCs w:val="20"/>
              </w:rPr>
              <w:t>13</w:t>
            </w:r>
            <w:r w:rsidR="00F83B99">
              <w:rPr>
                <w:sz w:val="20"/>
                <w:szCs w:val="20"/>
              </w:rPr>
              <w:t>4</w:t>
            </w:r>
          </w:p>
        </w:tc>
      </w:tr>
      <w:tr w:rsidR="003F69AB" w:rsidRPr="00223651" w:rsidTr="00726C31">
        <w:trPr>
          <w:trHeight w:val="244"/>
        </w:trPr>
        <w:tc>
          <w:tcPr>
            <w:tcW w:w="8379" w:type="dxa"/>
            <w:tcBorders>
              <w:top w:val="nil"/>
              <w:left w:val="nil"/>
              <w:bottom w:val="nil"/>
              <w:right w:val="nil"/>
            </w:tcBorders>
            <w:shd w:val="clear" w:color="auto" w:fill="auto"/>
            <w:noWrap/>
            <w:vAlign w:val="bottom"/>
            <w:hideMark/>
          </w:tcPr>
          <w:p w:rsidR="003F69AB" w:rsidRPr="00223651" w:rsidRDefault="003F69AB" w:rsidP="003F69AB">
            <w:pPr>
              <w:spacing w:before="60"/>
              <w:rPr>
                <w:i/>
                <w:iCs/>
                <w:sz w:val="20"/>
                <w:szCs w:val="20"/>
              </w:rPr>
            </w:pPr>
            <w:r>
              <w:rPr>
                <w:i/>
                <w:iCs/>
                <w:sz w:val="20"/>
                <w:szCs w:val="20"/>
              </w:rPr>
              <w:t>Production of butter (</w:t>
            </w:r>
            <w:r w:rsidRPr="00186C9C">
              <w:rPr>
                <w:i/>
                <w:iCs/>
                <w:sz w:val="20"/>
                <w:szCs w:val="20"/>
              </w:rPr>
              <w:t>2010, 2014, 2015, 2016, 2017</w:t>
            </w:r>
            <w:r w:rsidRPr="00223651">
              <w:rPr>
                <w:i/>
                <w:iCs/>
                <w:sz w:val="20"/>
                <w:szCs w:val="20"/>
              </w:rPr>
              <w:t>)</w:t>
            </w:r>
          </w:p>
        </w:tc>
        <w:tc>
          <w:tcPr>
            <w:tcW w:w="160" w:type="dxa"/>
            <w:tcBorders>
              <w:top w:val="nil"/>
              <w:left w:val="nil"/>
              <w:bottom w:val="nil"/>
              <w:right w:val="nil"/>
            </w:tcBorders>
            <w:shd w:val="clear" w:color="auto" w:fill="auto"/>
            <w:noWrap/>
            <w:vAlign w:val="bottom"/>
            <w:hideMark/>
          </w:tcPr>
          <w:p w:rsidR="003F69AB" w:rsidRPr="00223651" w:rsidRDefault="003F69AB" w:rsidP="003F69AB">
            <w:pPr>
              <w:rPr>
                <w:sz w:val="20"/>
                <w:szCs w:val="20"/>
              </w:rPr>
            </w:pPr>
          </w:p>
        </w:tc>
        <w:tc>
          <w:tcPr>
            <w:tcW w:w="832" w:type="dxa"/>
            <w:tcBorders>
              <w:top w:val="nil"/>
              <w:left w:val="nil"/>
              <w:bottom w:val="nil"/>
              <w:right w:val="nil"/>
            </w:tcBorders>
            <w:shd w:val="clear" w:color="auto" w:fill="auto"/>
            <w:noWrap/>
            <w:vAlign w:val="bottom"/>
            <w:hideMark/>
          </w:tcPr>
          <w:p w:rsidR="003F69AB" w:rsidRPr="00223651" w:rsidRDefault="003F69AB" w:rsidP="003F69AB">
            <w:pPr>
              <w:rPr>
                <w:sz w:val="20"/>
                <w:szCs w:val="20"/>
              </w:rPr>
            </w:pPr>
          </w:p>
        </w:tc>
        <w:tc>
          <w:tcPr>
            <w:tcW w:w="748" w:type="dxa"/>
            <w:gridSpan w:val="2"/>
            <w:tcBorders>
              <w:top w:val="nil"/>
              <w:left w:val="nil"/>
              <w:bottom w:val="nil"/>
              <w:right w:val="nil"/>
            </w:tcBorders>
            <w:shd w:val="clear" w:color="auto" w:fill="auto"/>
            <w:noWrap/>
            <w:vAlign w:val="bottom"/>
            <w:hideMark/>
          </w:tcPr>
          <w:p w:rsidR="003F69AB" w:rsidRPr="00223651" w:rsidRDefault="003F69AB" w:rsidP="003F69AB">
            <w:pPr>
              <w:rPr>
                <w:sz w:val="20"/>
                <w:szCs w:val="20"/>
              </w:rPr>
            </w:pPr>
          </w:p>
        </w:tc>
      </w:tr>
      <w:tr w:rsidR="003F69AB" w:rsidRPr="00223651" w:rsidTr="00726C31">
        <w:trPr>
          <w:gridAfter w:val="1"/>
          <w:wAfter w:w="14" w:type="dxa"/>
          <w:trHeight w:val="244"/>
        </w:trPr>
        <w:tc>
          <w:tcPr>
            <w:tcW w:w="8379" w:type="dxa"/>
            <w:tcBorders>
              <w:top w:val="nil"/>
              <w:left w:val="nil"/>
              <w:bottom w:val="nil"/>
              <w:right w:val="nil"/>
            </w:tcBorders>
            <w:shd w:val="clear" w:color="auto" w:fill="auto"/>
            <w:noWrap/>
            <w:vAlign w:val="bottom"/>
            <w:hideMark/>
          </w:tcPr>
          <w:p w:rsidR="003F69AB" w:rsidRPr="00223651" w:rsidRDefault="003F69AB" w:rsidP="003F69AB">
            <w:pPr>
              <w:spacing w:before="60"/>
              <w:rPr>
                <w:sz w:val="20"/>
                <w:szCs w:val="20"/>
              </w:rPr>
            </w:pPr>
            <w:r w:rsidRPr="00223651">
              <w:rPr>
                <w:sz w:val="20"/>
                <w:szCs w:val="20"/>
              </w:rPr>
              <w:t>Produkcja chło</w:t>
            </w:r>
            <w:r>
              <w:rPr>
                <w:sz w:val="20"/>
                <w:szCs w:val="20"/>
              </w:rPr>
              <w:t>dziarek i zamrażarek (</w:t>
            </w:r>
            <w:r w:rsidRPr="00186C9C">
              <w:rPr>
                <w:sz w:val="20"/>
                <w:szCs w:val="20"/>
                <w:lang w:val="en-US"/>
              </w:rPr>
              <w:t>2010, 2014, 2015, 2016, 2017</w:t>
            </w:r>
            <w:r w:rsidRPr="00223651">
              <w:rPr>
                <w:sz w:val="20"/>
                <w:szCs w:val="20"/>
              </w:rPr>
              <w:t>) ...........................</w:t>
            </w:r>
            <w:r w:rsidRPr="00106EBC">
              <w:rPr>
                <w:sz w:val="20"/>
                <w:szCs w:val="20"/>
              </w:rPr>
              <w:t>....................</w:t>
            </w:r>
            <w:r w:rsidRPr="00223651">
              <w:rPr>
                <w:sz w:val="20"/>
                <w:szCs w:val="20"/>
              </w:rPr>
              <w:t>.......</w:t>
            </w:r>
          </w:p>
        </w:tc>
        <w:tc>
          <w:tcPr>
            <w:tcW w:w="992" w:type="dxa"/>
            <w:gridSpan w:val="2"/>
            <w:tcBorders>
              <w:top w:val="nil"/>
              <w:left w:val="nil"/>
              <w:bottom w:val="nil"/>
              <w:right w:val="nil"/>
            </w:tcBorders>
            <w:shd w:val="clear" w:color="auto" w:fill="auto"/>
            <w:noWrap/>
            <w:vAlign w:val="bottom"/>
            <w:hideMark/>
          </w:tcPr>
          <w:p w:rsidR="003F69AB" w:rsidRPr="00223651" w:rsidRDefault="003F69AB" w:rsidP="003F69AB">
            <w:pPr>
              <w:rPr>
                <w:sz w:val="20"/>
                <w:szCs w:val="20"/>
              </w:rPr>
            </w:pPr>
            <w:r w:rsidRPr="00223651">
              <w:rPr>
                <w:sz w:val="20"/>
                <w:szCs w:val="20"/>
              </w:rPr>
              <w:t xml:space="preserve"> </w:t>
            </w:r>
          </w:p>
        </w:tc>
        <w:tc>
          <w:tcPr>
            <w:tcW w:w="734" w:type="dxa"/>
            <w:tcBorders>
              <w:top w:val="nil"/>
              <w:left w:val="nil"/>
              <w:bottom w:val="nil"/>
              <w:right w:val="nil"/>
            </w:tcBorders>
            <w:shd w:val="clear" w:color="auto" w:fill="auto"/>
            <w:noWrap/>
            <w:vAlign w:val="bottom"/>
            <w:hideMark/>
          </w:tcPr>
          <w:p w:rsidR="003F69AB" w:rsidRPr="00223651" w:rsidRDefault="003F69AB" w:rsidP="00F83B99">
            <w:pPr>
              <w:jc w:val="center"/>
              <w:rPr>
                <w:sz w:val="20"/>
                <w:szCs w:val="20"/>
              </w:rPr>
            </w:pPr>
            <w:r>
              <w:rPr>
                <w:sz w:val="20"/>
                <w:szCs w:val="20"/>
              </w:rPr>
              <w:t>13</w:t>
            </w:r>
            <w:r w:rsidR="00F83B99">
              <w:rPr>
                <w:sz w:val="20"/>
                <w:szCs w:val="20"/>
              </w:rPr>
              <w:t>4</w:t>
            </w:r>
          </w:p>
        </w:tc>
      </w:tr>
      <w:tr w:rsidR="003F69AB" w:rsidRPr="001F7FE1" w:rsidTr="00726C31">
        <w:trPr>
          <w:trHeight w:val="244"/>
        </w:trPr>
        <w:tc>
          <w:tcPr>
            <w:tcW w:w="8379" w:type="dxa"/>
            <w:tcBorders>
              <w:top w:val="nil"/>
              <w:left w:val="nil"/>
              <w:bottom w:val="nil"/>
              <w:right w:val="nil"/>
            </w:tcBorders>
            <w:shd w:val="clear" w:color="auto" w:fill="auto"/>
            <w:noWrap/>
            <w:vAlign w:val="bottom"/>
            <w:hideMark/>
          </w:tcPr>
          <w:p w:rsidR="003F69AB" w:rsidRPr="00223651" w:rsidRDefault="003F69AB" w:rsidP="003F69AB">
            <w:pPr>
              <w:spacing w:before="60"/>
              <w:rPr>
                <w:i/>
                <w:iCs/>
                <w:sz w:val="20"/>
                <w:szCs w:val="20"/>
                <w:lang w:val="en-US"/>
              </w:rPr>
            </w:pPr>
            <w:r w:rsidRPr="00223651">
              <w:rPr>
                <w:i/>
                <w:iCs/>
                <w:sz w:val="20"/>
                <w:szCs w:val="20"/>
                <w:lang w:val="en-US"/>
              </w:rPr>
              <w:t>Production of refrigerators and freezers (</w:t>
            </w:r>
            <w:r w:rsidRPr="00186C9C">
              <w:rPr>
                <w:i/>
                <w:iCs/>
                <w:sz w:val="20"/>
                <w:szCs w:val="20"/>
                <w:lang w:val="en-US"/>
              </w:rPr>
              <w:t>2010, 2014, 2015, 2016, 2017</w:t>
            </w:r>
            <w:r w:rsidRPr="00223651">
              <w:rPr>
                <w:i/>
                <w:iCs/>
                <w:sz w:val="20"/>
                <w:szCs w:val="20"/>
                <w:lang w:val="en-US"/>
              </w:rPr>
              <w:t>)</w:t>
            </w:r>
          </w:p>
        </w:tc>
        <w:tc>
          <w:tcPr>
            <w:tcW w:w="160" w:type="dxa"/>
            <w:tcBorders>
              <w:top w:val="nil"/>
              <w:left w:val="nil"/>
              <w:bottom w:val="nil"/>
              <w:right w:val="nil"/>
            </w:tcBorders>
            <w:shd w:val="clear" w:color="auto" w:fill="auto"/>
            <w:noWrap/>
            <w:vAlign w:val="bottom"/>
            <w:hideMark/>
          </w:tcPr>
          <w:p w:rsidR="003F69AB" w:rsidRPr="00223651" w:rsidRDefault="003F69AB" w:rsidP="003F69AB">
            <w:pPr>
              <w:rPr>
                <w:sz w:val="20"/>
                <w:szCs w:val="20"/>
                <w:lang w:val="en-US"/>
              </w:rPr>
            </w:pPr>
          </w:p>
        </w:tc>
        <w:tc>
          <w:tcPr>
            <w:tcW w:w="832" w:type="dxa"/>
            <w:tcBorders>
              <w:top w:val="nil"/>
              <w:left w:val="nil"/>
              <w:bottom w:val="nil"/>
              <w:right w:val="nil"/>
            </w:tcBorders>
            <w:shd w:val="clear" w:color="auto" w:fill="auto"/>
            <w:noWrap/>
            <w:vAlign w:val="bottom"/>
            <w:hideMark/>
          </w:tcPr>
          <w:p w:rsidR="003F69AB" w:rsidRPr="00223651" w:rsidRDefault="003F69AB" w:rsidP="003F69AB">
            <w:pPr>
              <w:rPr>
                <w:sz w:val="20"/>
                <w:szCs w:val="20"/>
                <w:lang w:val="en-US"/>
              </w:rPr>
            </w:pPr>
          </w:p>
        </w:tc>
        <w:tc>
          <w:tcPr>
            <w:tcW w:w="748" w:type="dxa"/>
            <w:gridSpan w:val="2"/>
            <w:tcBorders>
              <w:top w:val="nil"/>
              <w:left w:val="nil"/>
              <w:bottom w:val="nil"/>
              <w:right w:val="nil"/>
            </w:tcBorders>
            <w:shd w:val="clear" w:color="auto" w:fill="auto"/>
            <w:noWrap/>
            <w:vAlign w:val="bottom"/>
            <w:hideMark/>
          </w:tcPr>
          <w:p w:rsidR="003F69AB" w:rsidRPr="00223651" w:rsidRDefault="003F69AB" w:rsidP="003F69AB">
            <w:pPr>
              <w:rPr>
                <w:sz w:val="20"/>
                <w:szCs w:val="20"/>
                <w:lang w:val="en-US"/>
              </w:rPr>
            </w:pPr>
          </w:p>
        </w:tc>
      </w:tr>
      <w:tr w:rsidR="003F69AB" w:rsidRPr="00223651" w:rsidTr="00726C31">
        <w:trPr>
          <w:gridAfter w:val="1"/>
          <w:wAfter w:w="14" w:type="dxa"/>
          <w:trHeight w:val="244"/>
        </w:trPr>
        <w:tc>
          <w:tcPr>
            <w:tcW w:w="8379" w:type="dxa"/>
            <w:tcBorders>
              <w:top w:val="nil"/>
              <w:left w:val="nil"/>
              <w:bottom w:val="nil"/>
              <w:right w:val="nil"/>
            </w:tcBorders>
            <w:shd w:val="clear" w:color="auto" w:fill="auto"/>
            <w:noWrap/>
            <w:vAlign w:val="bottom"/>
            <w:hideMark/>
          </w:tcPr>
          <w:p w:rsidR="003F69AB" w:rsidRPr="00223651" w:rsidRDefault="003F69AB" w:rsidP="003F69AB">
            <w:pPr>
              <w:spacing w:before="60"/>
              <w:rPr>
                <w:sz w:val="20"/>
                <w:szCs w:val="20"/>
              </w:rPr>
            </w:pPr>
            <w:r w:rsidRPr="00223651">
              <w:rPr>
                <w:sz w:val="20"/>
                <w:szCs w:val="20"/>
              </w:rPr>
              <w:t>Produkcja obuwia (</w:t>
            </w:r>
            <w:r w:rsidRPr="00186C9C">
              <w:rPr>
                <w:sz w:val="20"/>
                <w:szCs w:val="20"/>
                <w:lang w:val="en-US"/>
              </w:rPr>
              <w:t>2010, 2014, 2015, 2016, 2017</w:t>
            </w:r>
            <w:r w:rsidRPr="00223651">
              <w:rPr>
                <w:sz w:val="20"/>
                <w:szCs w:val="20"/>
              </w:rPr>
              <w:t>) .............................................</w:t>
            </w:r>
            <w:r w:rsidRPr="00106EBC">
              <w:rPr>
                <w:sz w:val="20"/>
                <w:szCs w:val="20"/>
              </w:rPr>
              <w:t>....................</w:t>
            </w:r>
            <w:r w:rsidRPr="00223651">
              <w:rPr>
                <w:sz w:val="20"/>
                <w:szCs w:val="20"/>
              </w:rPr>
              <w:t>................</w:t>
            </w:r>
            <w:r>
              <w:rPr>
                <w:sz w:val="20"/>
                <w:szCs w:val="20"/>
              </w:rPr>
              <w:t>..</w:t>
            </w:r>
          </w:p>
        </w:tc>
        <w:tc>
          <w:tcPr>
            <w:tcW w:w="992" w:type="dxa"/>
            <w:gridSpan w:val="2"/>
            <w:tcBorders>
              <w:top w:val="nil"/>
              <w:left w:val="nil"/>
              <w:bottom w:val="nil"/>
              <w:right w:val="nil"/>
            </w:tcBorders>
            <w:shd w:val="clear" w:color="auto" w:fill="auto"/>
            <w:noWrap/>
            <w:vAlign w:val="bottom"/>
            <w:hideMark/>
          </w:tcPr>
          <w:p w:rsidR="003F69AB" w:rsidRPr="00223651" w:rsidRDefault="003F69AB" w:rsidP="003F69AB">
            <w:pPr>
              <w:rPr>
                <w:sz w:val="20"/>
                <w:szCs w:val="20"/>
              </w:rPr>
            </w:pPr>
            <w:r w:rsidRPr="00223651">
              <w:rPr>
                <w:sz w:val="20"/>
                <w:szCs w:val="20"/>
              </w:rPr>
              <w:t xml:space="preserve"> </w:t>
            </w:r>
          </w:p>
        </w:tc>
        <w:tc>
          <w:tcPr>
            <w:tcW w:w="734" w:type="dxa"/>
            <w:tcBorders>
              <w:top w:val="nil"/>
              <w:left w:val="nil"/>
              <w:bottom w:val="nil"/>
              <w:right w:val="nil"/>
            </w:tcBorders>
            <w:shd w:val="clear" w:color="auto" w:fill="auto"/>
            <w:noWrap/>
            <w:vAlign w:val="bottom"/>
            <w:hideMark/>
          </w:tcPr>
          <w:p w:rsidR="003F69AB" w:rsidRPr="00223651" w:rsidRDefault="003F69AB" w:rsidP="00F83B99">
            <w:pPr>
              <w:jc w:val="center"/>
              <w:rPr>
                <w:sz w:val="20"/>
                <w:szCs w:val="20"/>
              </w:rPr>
            </w:pPr>
            <w:r>
              <w:rPr>
                <w:sz w:val="20"/>
                <w:szCs w:val="20"/>
              </w:rPr>
              <w:t>13</w:t>
            </w:r>
            <w:r w:rsidR="00F83B99">
              <w:rPr>
                <w:sz w:val="20"/>
                <w:szCs w:val="20"/>
              </w:rPr>
              <w:t>5</w:t>
            </w:r>
          </w:p>
        </w:tc>
      </w:tr>
      <w:tr w:rsidR="003F69AB" w:rsidRPr="00223651" w:rsidTr="00726C31">
        <w:trPr>
          <w:trHeight w:val="244"/>
        </w:trPr>
        <w:tc>
          <w:tcPr>
            <w:tcW w:w="8379" w:type="dxa"/>
            <w:tcBorders>
              <w:top w:val="nil"/>
              <w:left w:val="nil"/>
              <w:bottom w:val="nil"/>
              <w:right w:val="nil"/>
            </w:tcBorders>
            <w:shd w:val="clear" w:color="auto" w:fill="auto"/>
            <w:noWrap/>
            <w:vAlign w:val="bottom"/>
            <w:hideMark/>
          </w:tcPr>
          <w:p w:rsidR="003F69AB" w:rsidRPr="00223651" w:rsidRDefault="003F69AB" w:rsidP="003F69AB">
            <w:pPr>
              <w:spacing w:before="60"/>
              <w:rPr>
                <w:i/>
                <w:iCs/>
                <w:sz w:val="20"/>
                <w:szCs w:val="20"/>
              </w:rPr>
            </w:pPr>
            <w:r w:rsidRPr="00223651">
              <w:rPr>
                <w:i/>
                <w:iCs/>
                <w:sz w:val="20"/>
                <w:szCs w:val="20"/>
              </w:rPr>
              <w:t>Production of footwear (</w:t>
            </w:r>
            <w:r w:rsidRPr="00186C9C">
              <w:rPr>
                <w:i/>
                <w:iCs/>
                <w:sz w:val="20"/>
                <w:szCs w:val="20"/>
              </w:rPr>
              <w:t>2010, 2014, 2015, 2016, 2017</w:t>
            </w:r>
            <w:r w:rsidRPr="00223651">
              <w:rPr>
                <w:i/>
                <w:iCs/>
                <w:sz w:val="20"/>
                <w:szCs w:val="20"/>
              </w:rPr>
              <w:t>)</w:t>
            </w:r>
          </w:p>
        </w:tc>
        <w:tc>
          <w:tcPr>
            <w:tcW w:w="160" w:type="dxa"/>
            <w:tcBorders>
              <w:top w:val="nil"/>
              <w:left w:val="nil"/>
              <w:bottom w:val="nil"/>
              <w:right w:val="nil"/>
            </w:tcBorders>
            <w:shd w:val="clear" w:color="auto" w:fill="auto"/>
            <w:noWrap/>
            <w:vAlign w:val="bottom"/>
            <w:hideMark/>
          </w:tcPr>
          <w:p w:rsidR="003F69AB" w:rsidRPr="00223651" w:rsidRDefault="003F69AB" w:rsidP="003F69AB">
            <w:pPr>
              <w:rPr>
                <w:sz w:val="20"/>
                <w:szCs w:val="20"/>
              </w:rPr>
            </w:pPr>
          </w:p>
        </w:tc>
        <w:tc>
          <w:tcPr>
            <w:tcW w:w="832" w:type="dxa"/>
            <w:tcBorders>
              <w:top w:val="nil"/>
              <w:left w:val="nil"/>
              <w:bottom w:val="nil"/>
              <w:right w:val="nil"/>
            </w:tcBorders>
            <w:shd w:val="clear" w:color="auto" w:fill="auto"/>
            <w:noWrap/>
            <w:vAlign w:val="bottom"/>
            <w:hideMark/>
          </w:tcPr>
          <w:p w:rsidR="003F69AB" w:rsidRPr="00223651" w:rsidRDefault="003F69AB" w:rsidP="003F69AB">
            <w:pPr>
              <w:rPr>
                <w:sz w:val="20"/>
                <w:szCs w:val="20"/>
              </w:rPr>
            </w:pPr>
          </w:p>
        </w:tc>
        <w:tc>
          <w:tcPr>
            <w:tcW w:w="748" w:type="dxa"/>
            <w:gridSpan w:val="2"/>
            <w:tcBorders>
              <w:top w:val="nil"/>
              <w:left w:val="nil"/>
              <w:bottom w:val="nil"/>
              <w:right w:val="nil"/>
            </w:tcBorders>
            <w:shd w:val="clear" w:color="auto" w:fill="auto"/>
            <w:noWrap/>
            <w:vAlign w:val="bottom"/>
            <w:hideMark/>
          </w:tcPr>
          <w:p w:rsidR="003F69AB" w:rsidRPr="00223651" w:rsidRDefault="003F69AB" w:rsidP="003F69AB">
            <w:pPr>
              <w:rPr>
                <w:sz w:val="20"/>
                <w:szCs w:val="20"/>
              </w:rPr>
            </w:pPr>
          </w:p>
        </w:tc>
      </w:tr>
      <w:tr w:rsidR="003F69AB" w:rsidRPr="00223651" w:rsidTr="00726C31">
        <w:trPr>
          <w:gridAfter w:val="1"/>
          <w:wAfter w:w="14" w:type="dxa"/>
          <w:trHeight w:val="244"/>
        </w:trPr>
        <w:tc>
          <w:tcPr>
            <w:tcW w:w="8379" w:type="dxa"/>
            <w:tcBorders>
              <w:top w:val="nil"/>
              <w:left w:val="nil"/>
              <w:bottom w:val="nil"/>
              <w:right w:val="nil"/>
            </w:tcBorders>
            <w:shd w:val="clear" w:color="auto" w:fill="auto"/>
            <w:noWrap/>
            <w:vAlign w:val="bottom"/>
            <w:hideMark/>
          </w:tcPr>
          <w:p w:rsidR="003F69AB" w:rsidRPr="00223651" w:rsidRDefault="003F69AB" w:rsidP="003F69AB">
            <w:pPr>
              <w:spacing w:before="60"/>
              <w:rPr>
                <w:sz w:val="20"/>
                <w:szCs w:val="20"/>
              </w:rPr>
            </w:pPr>
            <w:r w:rsidRPr="00223651">
              <w:rPr>
                <w:sz w:val="20"/>
                <w:szCs w:val="20"/>
              </w:rPr>
              <w:t>Produkcja o</w:t>
            </w:r>
            <w:r>
              <w:rPr>
                <w:sz w:val="20"/>
                <w:szCs w:val="20"/>
              </w:rPr>
              <w:t>dbiorników telewizyjnych (</w:t>
            </w:r>
            <w:r w:rsidRPr="00186C9C">
              <w:rPr>
                <w:sz w:val="20"/>
                <w:szCs w:val="20"/>
                <w:lang w:val="en-US"/>
              </w:rPr>
              <w:t>2010, 2014, 2015, 2016, 2017</w:t>
            </w:r>
            <w:r>
              <w:rPr>
                <w:sz w:val="20"/>
                <w:szCs w:val="20"/>
              </w:rPr>
              <w:t>) .........</w:t>
            </w:r>
            <w:r w:rsidRPr="00223651">
              <w:rPr>
                <w:sz w:val="20"/>
                <w:szCs w:val="20"/>
              </w:rPr>
              <w:t>........</w:t>
            </w:r>
            <w:r>
              <w:rPr>
                <w:sz w:val="20"/>
                <w:szCs w:val="20"/>
              </w:rPr>
              <w:t>.</w:t>
            </w:r>
            <w:r w:rsidRPr="00106EBC">
              <w:rPr>
                <w:sz w:val="20"/>
                <w:szCs w:val="20"/>
              </w:rPr>
              <w:t>....................</w:t>
            </w:r>
            <w:r>
              <w:rPr>
                <w:sz w:val="20"/>
                <w:szCs w:val="20"/>
              </w:rPr>
              <w:t>.............</w:t>
            </w:r>
          </w:p>
        </w:tc>
        <w:tc>
          <w:tcPr>
            <w:tcW w:w="992" w:type="dxa"/>
            <w:gridSpan w:val="2"/>
            <w:tcBorders>
              <w:top w:val="nil"/>
              <w:left w:val="nil"/>
              <w:bottom w:val="nil"/>
              <w:right w:val="nil"/>
            </w:tcBorders>
            <w:shd w:val="clear" w:color="auto" w:fill="auto"/>
            <w:noWrap/>
            <w:vAlign w:val="bottom"/>
            <w:hideMark/>
          </w:tcPr>
          <w:p w:rsidR="003F69AB" w:rsidRPr="00223651" w:rsidRDefault="003F69AB" w:rsidP="003F69AB">
            <w:pPr>
              <w:rPr>
                <w:sz w:val="20"/>
                <w:szCs w:val="20"/>
              </w:rPr>
            </w:pPr>
            <w:r w:rsidRPr="00223651">
              <w:rPr>
                <w:sz w:val="20"/>
                <w:szCs w:val="20"/>
              </w:rPr>
              <w:t xml:space="preserve"> </w:t>
            </w:r>
          </w:p>
        </w:tc>
        <w:tc>
          <w:tcPr>
            <w:tcW w:w="734" w:type="dxa"/>
            <w:tcBorders>
              <w:top w:val="nil"/>
              <w:left w:val="nil"/>
              <w:bottom w:val="nil"/>
              <w:right w:val="nil"/>
            </w:tcBorders>
            <w:shd w:val="clear" w:color="auto" w:fill="auto"/>
            <w:noWrap/>
            <w:vAlign w:val="bottom"/>
            <w:hideMark/>
          </w:tcPr>
          <w:p w:rsidR="003F69AB" w:rsidRPr="00223651" w:rsidRDefault="003F69AB" w:rsidP="00F83B99">
            <w:pPr>
              <w:jc w:val="center"/>
              <w:rPr>
                <w:sz w:val="20"/>
                <w:szCs w:val="20"/>
              </w:rPr>
            </w:pPr>
            <w:r>
              <w:rPr>
                <w:sz w:val="20"/>
                <w:szCs w:val="20"/>
              </w:rPr>
              <w:t>13</w:t>
            </w:r>
            <w:r w:rsidR="00F83B99">
              <w:rPr>
                <w:sz w:val="20"/>
                <w:szCs w:val="20"/>
              </w:rPr>
              <w:t>5</w:t>
            </w:r>
          </w:p>
        </w:tc>
      </w:tr>
      <w:tr w:rsidR="003F69AB" w:rsidRPr="00223651" w:rsidTr="00726C31">
        <w:trPr>
          <w:trHeight w:val="244"/>
        </w:trPr>
        <w:tc>
          <w:tcPr>
            <w:tcW w:w="8379" w:type="dxa"/>
            <w:tcBorders>
              <w:top w:val="nil"/>
              <w:left w:val="nil"/>
              <w:bottom w:val="nil"/>
              <w:right w:val="nil"/>
            </w:tcBorders>
            <w:shd w:val="clear" w:color="auto" w:fill="auto"/>
            <w:noWrap/>
            <w:vAlign w:val="bottom"/>
            <w:hideMark/>
          </w:tcPr>
          <w:p w:rsidR="003F69AB" w:rsidRPr="00223651" w:rsidRDefault="003F69AB" w:rsidP="003F69AB">
            <w:pPr>
              <w:spacing w:before="60"/>
              <w:rPr>
                <w:i/>
                <w:iCs/>
                <w:sz w:val="20"/>
                <w:szCs w:val="20"/>
              </w:rPr>
            </w:pPr>
            <w:r w:rsidRPr="00223651">
              <w:rPr>
                <w:i/>
                <w:iCs/>
                <w:sz w:val="20"/>
                <w:szCs w:val="20"/>
              </w:rPr>
              <w:t>Production</w:t>
            </w:r>
            <w:r>
              <w:rPr>
                <w:i/>
                <w:iCs/>
                <w:sz w:val="20"/>
                <w:szCs w:val="20"/>
              </w:rPr>
              <w:t xml:space="preserve"> of television receivers (</w:t>
            </w:r>
            <w:r w:rsidRPr="00186C9C">
              <w:rPr>
                <w:i/>
                <w:iCs/>
                <w:sz w:val="20"/>
                <w:szCs w:val="20"/>
              </w:rPr>
              <w:t>2010, 2014, 2015, 2016, 2017</w:t>
            </w:r>
            <w:r w:rsidRPr="00223651">
              <w:rPr>
                <w:i/>
                <w:iCs/>
                <w:sz w:val="20"/>
                <w:szCs w:val="20"/>
              </w:rPr>
              <w:t>)</w:t>
            </w:r>
          </w:p>
        </w:tc>
        <w:tc>
          <w:tcPr>
            <w:tcW w:w="160" w:type="dxa"/>
            <w:tcBorders>
              <w:top w:val="nil"/>
              <w:left w:val="nil"/>
              <w:bottom w:val="nil"/>
              <w:right w:val="nil"/>
            </w:tcBorders>
            <w:shd w:val="clear" w:color="auto" w:fill="auto"/>
            <w:noWrap/>
            <w:vAlign w:val="bottom"/>
            <w:hideMark/>
          </w:tcPr>
          <w:p w:rsidR="003F69AB" w:rsidRPr="00223651" w:rsidRDefault="003F69AB" w:rsidP="003F69AB">
            <w:pPr>
              <w:rPr>
                <w:sz w:val="20"/>
                <w:szCs w:val="20"/>
              </w:rPr>
            </w:pPr>
          </w:p>
        </w:tc>
        <w:tc>
          <w:tcPr>
            <w:tcW w:w="832" w:type="dxa"/>
            <w:tcBorders>
              <w:top w:val="nil"/>
              <w:left w:val="nil"/>
              <w:bottom w:val="nil"/>
              <w:right w:val="nil"/>
            </w:tcBorders>
            <w:shd w:val="clear" w:color="auto" w:fill="auto"/>
            <w:noWrap/>
            <w:vAlign w:val="bottom"/>
            <w:hideMark/>
          </w:tcPr>
          <w:p w:rsidR="003F69AB" w:rsidRPr="00223651" w:rsidRDefault="003F69AB" w:rsidP="003F69AB">
            <w:pPr>
              <w:rPr>
                <w:sz w:val="20"/>
                <w:szCs w:val="20"/>
              </w:rPr>
            </w:pPr>
          </w:p>
        </w:tc>
        <w:tc>
          <w:tcPr>
            <w:tcW w:w="748" w:type="dxa"/>
            <w:gridSpan w:val="2"/>
            <w:tcBorders>
              <w:top w:val="nil"/>
              <w:left w:val="nil"/>
              <w:bottom w:val="nil"/>
              <w:right w:val="nil"/>
            </w:tcBorders>
            <w:shd w:val="clear" w:color="auto" w:fill="auto"/>
            <w:noWrap/>
            <w:vAlign w:val="bottom"/>
            <w:hideMark/>
          </w:tcPr>
          <w:p w:rsidR="003F69AB" w:rsidRPr="00223651" w:rsidRDefault="003F69AB" w:rsidP="003F69AB">
            <w:pPr>
              <w:rPr>
                <w:sz w:val="20"/>
                <w:szCs w:val="20"/>
              </w:rPr>
            </w:pPr>
          </w:p>
        </w:tc>
      </w:tr>
      <w:tr w:rsidR="003F69AB" w:rsidRPr="00223651" w:rsidTr="00726C31">
        <w:trPr>
          <w:gridAfter w:val="1"/>
          <w:wAfter w:w="14" w:type="dxa"/>
          <w:trHeight w:val="244"/>
        </w:trPr>
        <w:tc>
          <w:tcPr>
            <w:tcW w:w="8379" w:type="dxa"/>
            <w:tcBorders>
              <w:top w:val="nil"/>
              <w:left w:val="nil"/>
              <w:bottom w:val="nil"/>
              <w:right w:val="nil"/>
            </w:tcBorders>
            <w:shd w:val="clear" w:color="auto" w:fill="auto"/>
            <w:noWrap/>
            <w:vAlign w:val="bottom"/>
            <w:hideMark/>
          </w:tcPr>
          <w:p w:rsidR="003F69AB" w:rsidRPr="00223651" w:rsidRDefault="003F69AB" w:rsidP="003F69AB">
            <w:pPr>
              <w:spacing w:before="60"/>
              <w:rPr>
                <w:sz w:val="20"/>
                <w:szCs w:val="20"/>
              </w:rPr>
            </w:pPr>
            <w:r w:rsidRPr="00223651">
              <w:rPr>
                <w:sz w:val="20"/>
                <w:szCs w:val="20"/>
              </w:rPr>
              <w:t>Produkcja nawozów azotowych (</w:t>
            </w:r>
            <w:r w:rsidRPr="00186C9C">
              <w:rPr>
                <w:sz w:val="20"/>
                <w:szCs w:val="20"/>
                <w:lang w:val="en-US"/>
              </w:rPr>
              <w:t>2010, 2014, 2015, 2016, 2017</w:t>
            </w:r>
            <w:r w:rsidRPr="00223651">
              <w:rPr>
                <w:sz w:val="20"/>
                <w:szCs w:val="20"/>
              </w:rPr>
              <w:t>) ...................</w:t>
            </w:r>
            <w:r w:rsidRPr="00106EBC">
              <w:rPr>
                <w:sz w:val="20"/>
                <w:szCs w:val="20"/>
              </w:rPr>
              <w:t>....................</w:t>
            </w:r>
            <w:r w:rsidRPr="00223651">
              <w:rPr>
                <w:sz w:val="20"/>
                <w:szCs w:val="20"/>
              </w:rPr>
              <w:t>.......</w:t>
            </w:r>
            <w:r>
              <w:rPr>
                <w:sz w:val="20"/>
                <w:szCs w:val="20"/>
              </w:rPr>
              <w:t>...............</w:t>
            </w:r>
          </w:p>
        </w:tc>
        <w:tc>
          <w:tcPr>
            <w:tcW w:w="992" w:type="dxa"/>
            <w:gridSpan w:val="2"/>
            <w:tcBorders>
              <w:top w:val="nil"/>
              <w:left w:val="nil"/>
              <w:bottom w:val="nil"/>
              <w:right w:val="nil"/>
            </w:tcBorders>
            <w:shd w:val="clear" w:color="auto" w:fill="auto"/>
            <w:noWrap/>
            <w:vAlign w:val="bottom"/>
            <w:hideMark/>
          </w:tcPr>
          <w:p w:rsidR="003F69AB" w:rsidRPr="00223651" w:rsidRDefault="003F69AB" w:rsidP="003F69AB">
            <w:pPr>
              <w:spacing w:before="60"/>
              <w:rPr>
                <w:sz w:val="20"/>
                <w:szCs w:val="20"/>
              </w:rPr>
            </w:pPr>
            <w:r w:rsidRPr="00223651">
              <w:rPr>
                <w:sz w:val="20"/>
                <w:szCs w:val="20"/>
              </w:rPr>
              <w:t xml:space="preserve"> </w:t>
            </w:r>
          </w:p>
        </w:tc>
        <w:tc>
          <w:tcPr>
            <w:tcW w:w="734" w:type="dxa"/>
            <w:tcBorders>
              <w:top w:val="nil"/>
              <w:left w:val="nil"/>
              <w:bottom w:val="nil"/>
              <w:right w:val="nil"/>
            </w:tcBorders>
            <w:shd w:val="clear" w:color="auto" w:fill="auto"/>
            <w:noWrap/>
            <w:vAlign w:val="bottom"/>
            <w:hideMark/>
          </w:tcPr>
          <w:p w:rsidR="003F69AB" w:rsidRPr="00223651" w:rsidRDefault="003F69AB" w:rsidP="00F83B99">
            <w:pPr>
              <w:spacing w:before="60"/>
              <w:jc w:val="center"/>
              <w:rPr>
                <w:sz w:val="20"/>
                <w:szCs w:val="20"/>
              </w:rPr>
            </w:pPr>
            <w:r>
              <w:rPr>
                <w:sz w:val="20"/>
                <w:szCs w:val="20"/>
              </w:rPr>
              <w:t>13</w:t>
            </w:r>
            <w:r w:rsidR="00F83B99">
              <w:rPr>
                <w:sz w:val="20"/>
                <w:szCs w:val="20"/>
              </w:rPr>
              <w:t>6</w:t>
            </w:r>
          </w:p>
        </w:tc>
      </w:tr>
      <w:tr w:rsidR="003F69AB" w:rsidRPr="00223651" w:rsidTr="00726C31">
        <w:trPr>
          <w:trHeight w:val="244"/>
        </w:trPr>
        <w:tc>
          <w:tcPr>
            <w:tcW w:w="8379" w:type="dxa"/>
            <w:tcBorders>
              <w:top w:val="nil"/>
              <w:left w:val="nil"/>
              <w:bottom w:val="nil"/>
              <w:right w:val="nil"/>
            </w:tcBorders>
            <w:shd w:val="clear" w:color="auto" w:fill="auto"/>
            <w:noWrap/>
            <w:vAlign w:val="bottom"/>
            <w:hideMark/>
          </w:tcPr>
          <w:p w:rsidR="003F69AB" w:rsidRPr="00223651" w:rsidRDefault="003F69AB" w:rsidP="003F69AB">
            <w:pPr>
              <w:spacing w:before="60"/>
              <w:rPr>
                <w:i/>
                <w:iCs/>
                <w:sz w:val="20"/>
                <w:szCs w:val="20"/>
              </w:rPr>
            </w:pPr>
            <w:r w:rsidRPr="00223651">
              <w:rPr>
                <w:i/>
                <w:iCs/>
                <w:sz w:val="20"/>
                <w:szCs w:val="20"/>
              </w:rPr>
              <w:t>Production of</w:t>
            </w:r>
            <w:r>
              <w:rPr>
                <w:i/>
                <w:iCs/>
                <w:sz w:val="20"/>
                <w:szCs w:val="20"/>
              </w:rPr>
              <w:t xml:space="preserve"> nitrogenous fertilizers (</w:t>
            </w:r>
            <w:r w:rsidRPr="00186C9C">
              <w:rPr>
                <w:i/>
                <w:iCs/>
                <w:sz w:val="20"/>
                <w:szCs w:val="20"/>
              </w:rPr>
              <w:t>2010, 2014, 2015, 2016, 2017</w:t>
            </w:r>
            <w:r w:rsidRPr="00223651">
              <w:rPr>
                <w:i/>
                <w:iCs/>
                <w:sz w:val="20"/>
                <w:szCs w:val="20"/>
              </w:rPr>
              <w:t>)</w:t>
            </w:r>
          </w:p>
        </w:tc>
        <w:tc>
          <w:tcPr>
            <w:tcW w:w="160" w:type="dxa"/>
            <w:tcBorders>
              <w:top w:val="nil"/>
              <w:left w:val="nil"/>
              <w:bottom w:val="nil"/>
              <w:right w:val="nil"/>
            </w:tcBorders>
            <w:shd w:val="clear" w:color="auto" w:fill="auto"/>
            <w:noWrap/>
            <w:vAlign w:val="bottom"/>
            <w:hideMark/>
          </w:tcPr>
          <w:p w:rsidR="003F69AB" w:rsidRPr="00223651" w:rsidRDefault="003F69AB" w:rsidP="003F69AB">
            <w:pPr>
              <w:spacing w:before="60"/>
              <w:rPr>
                <w:sz w:val="20"/>
                <w:szCs w:val="20"/>
              </w:rPr>
            </w:pPr>
          </w:p>
        </w:tc>
        <w:tc>
          <w:tcPr>
            <w:tcW w:w="832" w:type="dxa"/>
            <w:tcBorders>
              <w:top w:val="nil"/>
              <w:left w:val="nil"/>
              <w:bottom w:val="nil"/>
              <w:right w:val="nil"/>
            </w:tcBorders>
            <w:shd w:val="clear" w:color="auto" w:fill="auto"/>
            <w:noWrap/>
            <w:vAlign w:val="bottom"/>
            <w:hideMark/>
          </w:tcPr>
          <w:p w:rsidR="003F69AB" w:rsidRPr="00223651" w:rsidRDefault="003F69AB" w:rsidP="003F69AB">
            <w:pPr>
              <w:spacing w:before="60"/>
              <w:rPr>
                <w:sz w:val="20"/>
                <w:szCs w:val="20"/>
              </w:rPr>
            </w:pPr>
          </w:p>
        </w:tc>
        <w:tc>
          <w:tcPr>
            <w:tcW w:w="748" w:type="dxa"/>
            <w:gridSpan w:val="2"/>
            <w:tcBorders>
              <w:top w:val="nil"/>
              <w:left w:val="nil"/>
              <w:bottom w:val="nil"/>
              <w:right w:val="nil"/>
            </w:tcBorders>
            <w:shd w:val="clear" w:color="auto" w:fill="auto"/>
            <w:noWrap/>
            <w:vAlign w:val="bottom"/>
            <w:hideMark/>
          </w:tcPr>
          <w:p w:rsidR="003F69AB" w:rsidRPr="00223651" w:rsidRDefault="003F69AB" w:rsidP="003F69AB">
            <w:pPr>
              <w:spacing w:before="60"/>
              <w:rPr>
                <w:sz w:val="20"/>
                <w:szCs w:val="20"/>
              </w:rPr>
            </w:pPr>
          </w:p>
        </w:tc>
      </w:tr>
      <w:tr w:rsidR="003F69AB" w:rsidRPr="00223651" w:rsidTr="00726C31">
        <w:trPr>
          <w:gridAfter w:val="1"/>
          <w:wAfter w:w="14" w:type="dxa"/>
          <w:trHeight w:val="244"/>
        </w:trPr>
        <w:tc>
          <w:tcPr>
            <w:tcW w:w="8379" w:type="dxa"/>
            <w:tcBorders>
              <w:top w:val="nil"/>
              <w:left w:val="nil"/>
              <w:bottom w:val="nil"/>
              <w:right w:val="nil"/>
            </w:tcBorders>
            <w:shd w:val="clear" w:color="auto" w:fill="auto"/>
            <w:noWrap/>
            <w:vAlign w:val="bottom"/>
            <w:hideMark/>
          </w:tcPr>
          <w:p w:rsidR="003F69AB" w:rsidRPr="00223651" w:rsidRDefault="003F69AB" w:rsidP="003F69AB">
            <w:pPr>
              <w:spacing w:before="60"/>
              <w:rPr>
                <w:sz w:val="20"/>
                <w:szCs w:val="20"/>
              </w:rPr>
            </w:pPr>
            <w:r w:rsidRPr="00223651">
              <w:rPr>
                <w:sz w:val="20"/>
                <w:szCs w:val="20"/>
              </w:rPr>
              <w:t>Produkcja nawozów fosforowych (</w:t>
            </w:r>
            <w:r w:rsidRPr="00186C9C">
              <w:rPr>
                <w:sz w:val="20"/>
                <w:szCs w:val="20"/>
                <w:lang w:val="en-US"/>
              </w:rPr>
              <w:t>2010, 2014, 2015, 2016, 2017</w:t>
            </w:r>
            <w:r>
              <w:rPr>
                <w:sz w:val="20"/>
                <w:szCs w:val="20"/>
              </w:rPr>
              <w:t>) .....</w:t>
            </w:r>
            <w:r w:rsidRPr="00223651">
              <w:rPr>
                <w:sz w:val="20"/>
                <w:szCs w:val="20"/>
              </w:rPr>
              <w:t>..................</w:t>
            </w:r>
            <w:r w:rsidRPr="00106EBC">
              <w:rPr>
                <w:sz w:val="20"/>
                <w:szCs w:val="20"/>
              </w:rPr>
              <w:t>....................</w:t>
            </w:r>
            <w:r w:rsidRPr="00223651">
              <w:rPr>
                <w:sz w:val="20"/>
                <w:szCs w:val="20"/>
              </w:rPr>
              <w:t>..</w:t>
            </w:r>
            <w:r>
              <w:rPr>
                <w:sz w:val="20"/>
                <w:szCs w:val="20"/>
              </w:rPr>
              <w:t>.............</w:t>
            </w:r>
          </w:p>
        </w:tc>
        <w:tc>
          <w:tcPr>
            <w:tcW w:w="992" w:type="dxa"/>
            <w:gridSpan w:val="2"/>
            <w:tcBorders>
              <w:top w:val="nil"/>
              <w:left w:val="nil"/>
              <w:bottom w:val="nil"/>
              <w:right w:val="nil"/>
            </w:tcBorders>
            <w:shd w:val="clear" w:color="auto" w:fill="auto"/>
            <w:noWrap/>
            <w:vAlign w:val="bottom"/>
            <w:hideMark/>
          </w:tcPr>
          <w:p w:rsidR="003F69AB" w:rsidRPr="00223651" w:rsidRDefault="003F69AB" w:rsidP="003F69AB">
            <w:pPr>
              <w:spacing w:before="60"/>
              <w:rPr>
                <w:sz w:val="20"/>
                <w:szCs w:val="20"/>
              </w:rPr>
            </w:pPr>
            <w:r w:rsidRPr="00223651">
              <w:rPr>
                <w:sz w:val="20"/>
                <w:szCs w:val="20"/>
              </w:rPr>
              <w:t xml:space="preserve"> </w:t>
            </w:r>
          </w:p>
        </w:tc>
        <w:tc>
          <w:tcPr>
            <w:tcW w:w="734" w:type="dxa"/>
            <w:tcBorders>
              <w:top w:val="nil"/>
              <w:left w:val="nil"/>
              <w:bottom w:val="nil"/>
              <w:right w:val="nil"/>
            </w:tcBorders>
            <w:shd w:val="clear" w:color="auto" w:fill="auto"/>
            <w:noWrap/>
            <w:vAlign w:val="bottom"/>
            <w:hideMark/>
          </w:tcPr>
          <w:p w:rsidR="003F69AB" w:rsidRPr="00223651" w:rsidRDefault="003F69AB" w:rsidP="00F83B99">
            <w:pPr>
              <w:spacing w:before="60"/>
              <w:jc w:val="center"/>
              <w:rPr>
                <w:sz w:val="20"/>
                <w:szCs w:val="20"/>
              </w:rPr>
            </w:pPr>
            <w:r>
              <w:rPr>
                <w:sz w:val="20"/>
                <w:szCs w:val="20"/>
              </w:rPr>
              <w:t>13</w:t>
            </w:r>
            <w:r w:rsidR="00F83B99">
              <w:rPr>
                <w:sz w:val="20"/>
                <w:szCs w:val="20"/>
              </w:rPr>
              <w:t>6</w:t>
            </w:r>
          </w:p>
        </w:tc>
      </w:tr>
      <w:tr w:rsidR="003F69AB" w:rsidRPr="00223651" w:rsidTr="00726C31">
        <w:trPr>
          <w:trHeight w:val="244"/>
        </w:trPr>
        <w:tc>
          <w:tcPr>
            <w:tcW w:w="8379" w:type="dxa"/>
            <w:tcBorders>
              <w:top w:val="nil"/>
              <w:left w:val="nil"/>
              <w:bottom w:val="nil"/>
              <w:right w:val="nil"/>
            </w:tcBorders>
            <w:shd w:val="clear" w:color="auto" w:fill="auto"/>
            <w:noWrap/>
            <w:vAlign w:val="bottom"/>
            <w:hideMark/>
          </w:tcPr>
          <w:p w:rsidR="003F69AB" w:rsidRPr="00223651" w:rsidRDefault="003F69AB" w:rsidP="003F69AB">
            <w:pPr>
              <w:spacing w:before="60"/>
              <w:rPr>
                <w:i/>
                <w:iCs/>
                <w:sz w:val="20"/>
                <w:szCs w:val="20"/>
              </w:rPr>
            </w:pPr>
            <w:r w:rsidRPr="00223651">
              <w:rPr>
                <w:i/>
                <w:iCs/>
                <w:sz w:val="20"/>
                <w:szCs w:val="20"/>
              </w:rPr>
              <w:t>Production of phosphatic fertilizers (</w:t>
            </w:r>
            <w:r w:rsidRPr="00186C9C">
              <w:rPr>
                <w:i/>
                <w:iCs/>
                <w:sz w:val="20"/>
                <w:szCs w:val="20"/>
              </w:rPr>
              <w:t>2010, 2014, 2015, 2016, 2017</w:t>
            </w:r>
            <w:r w:rsidRPr="00223651">
              <w:rPr>
                <w:i/>
                <w:iCs/>
                <w:sz w:val="20"/>
                <w:szCs w:val="20"/>
              </w:rPr>
              <w:t>)</w:t>
            </w:r>
          </w:p>
        </w:tc>
        <w:tc>
          <w:tcPr>
            <w:tcW w:w="160" w:type="dxa"/>
            <w:tcBorders>
              <w:top w:val="nil"/>
              <w:left w:val="nil"/>
              <w:bottom w:val="nil"/>
              <w:right w:val="nil"/>
            </w:tcBorders>
            <w:shd w:val="clear" w:color="auto" w:fill="auto"/>
            <w:noWrap/>
            <w:vAlign w:val="bottom"/>
            <w:hideMark/>
          </w:tcPr>
          <w:p w:rsidR="003F69AB" w:rsidRPr="00223651" w:rsidRDefault="003F69AB" w:rsidP="003F69AB">
            <w:pPr>
              <w:spacing w:before="60"/>
              <w:rPr>
                <w:sz w:val="20"/>
                <w:szCs w:val="20"/>
              </w:rPr>
            </w:pPr>
          </w:p>
        </w:tc>
        <w:tc>
          <w:tcPr>
            <w:tcW w:w="832" w:type="dxa"/>
            <w:tcBorders>
              <w:top w:val="nil"/>
              <w:left w:val="nil"/>
              <w:bottom w:val="nil"/>
              <w:right w:val="nil"/>
            </w:tcBorders>
            <w:shd w:val="clear" w:color="auto" w:fill="auto"/>
            <w:noWrap/>
            <w:vAlign w:val="bottom"/>
            <w:hideMark/>
          </w:tcPr>
          <w:p w:rsidR="003F69AB" w:rsidRPr="00223651" w:rsidRDefault="003F69AB" w:rsidP="003F69AB">
            <w:pPr>
              <w:spacing w:before="60"/>
              <w:rPr>
                <w:sz w:val="20"/>
                <w:szCs w:val="20"/>
              </w:rPr>
            </w:pPr>
          </w:p>
        </w:tc>
        <w:tc>
          <w:tcPr>
            <w:tcW w:w="748" w:type="dxa"/>
            <w:gridSpan w:val="2"/>
            <w:tcBorders>
              <w:top w:val="nil"/>
              <w:left w:val="nil"/>
              <w:bottom w:val="nil"/>
              <w:right w:val="nil"/>
            </w:tcBorders>
            <w:shd w:val="clear" w:color="auto" w:fill="auto"/>
            <w:noWrap/>
            <w:vAlign w:val="bottom"/>
            <w:hideMark/>
          </w:tcPr>
          <w:p w:rsidR="003F69AB" w:rsidRPr="00223651" w:rsidRDefault="003F69AB" w:rsidP="003F69AB">
            <w:pPr>
              <w:spacing w:before="60"/>
              <w:rPr>
                <w:sz w:val="20"/>
                <w:szCs w:val="20"/>
              </w:rPr>
            </w:pPr>
          </w:p>
        </w:tc>
      </w:tr>
      <w:tr w:rsidR="003F69AB" w:rsidRPr="00223651" w:rsidTr="00726C31">
        <w:trPr>
          <w:gridAfter w:val="1"/>
          <w:wAfter w:w="14" w:type="dxa"/>
          <w:trHeight w:val="244"/>
        </w:trPr>
        <w:tc>
          <w:tcPr>
            <w:tcW w:w="8379" w:type="dxa"/>
            <w:tcBorders>
              <w:top w:val="nil"/>
              <w:left w:val="nil"/>
              <w:bottom w:val="nil"/>
              <w:right w:val="nil"/>
            </w:tcBorders>
            <w:shd w:val="clear" w:color="auto" w:fill="auto"/>
            <w:noWrap/>
            <w:vAlign w:val="bottom"/>
            <w:hideMark/>
          </w:tcPr>
          <w:p w:rsidR="003F69AB" w:rsidRPr="00223651" w:rsidRDefault="003F69AB" w:rsidP="003F69AB">
            <w:pPr>
              <w:spacing w:before="60"/>
              <w:rPr>
                <w:sz w:val="20"/>
                <w:szCs w:val="20"/>
              </w:rPr>
            </w:pPr>
            <w:r w:rsidRPr="00223651">
              <w:rPr>
                <w:sz w:val="20"/>
                <w:szCs w:val="20"/>
              </w:rPr>
              <w:t>Produkcja cementu (</w:t>
            </w:r>
            <w:r w:rsidRPr="00186C9C">
              <w:rPr>
                <w:sz w:val="20"/>
                <w:szCs w:val="20"/>
                <w:lang w:val="en-US"/>
              </w:rPr>
              <w:t>2010, 2014, 2015, 2016, 2017</w:t>
            </w:r>
            <w:r>
              <w:rPr>
                <w:sz w:val="20"/>
                <w:szCs w:val="20"/>
              </w:rPr>
              <w:t>) ................</w:t>
            </w:r>
            <w:r w:rsidRPr="00223651">
              <w:rPr>
                <w:sz w:val="20"/>
                <w:szCs w:val="20"/>
              </w:rPr>
              <w:t>......................</w:t>
            </w:r>
            <w:r w:rsidRPr="00106EBC">
              <w:rPr>
                <w:sz w:val="20"/>
                <w:szCs w:val="20"/>
              </w:rPr>
              <w:t>....................</w:t>
            </w:r>
            <w:r w:rsidRPr="00223651">
              <w:rPr>
                <w:sz w:val="20"/>
                <w:szCs w:val="20"/>
              </w:rPr>
              <w:t>....................</w:t>
            </w:r>
            <w:r>
              <w:rPr>
                <w:sz w:val="20"/>
                <w:szCs w:val="20"/>
              </w:rPr>
              <w:t>...</w:t>
            </w:r>
          </w:p>
        </w:tc>
        <w:tc>
          <w:tcPr>
            <w:tcW w:w="992" w:type="dxa"/>
            <w:gridSpan w:val="2"/>
            <w:tcBorders>
              <w:top w:val="nil"/>
              <w:left w:val="nil"/>
              <w:bottom w:val="nil"/>
              <w:right w:val="nil"/>
            </w:tcBorders>
            <w:shd w:val="clear" w:color="auto" w:fill="auto"/>
            <w:noWrap/>
            <w:vAlign w:val="bottom"/>
            <w:hideMark/>
          </w:tcPr>
          <w:p w:rsidR="003F69AB" w:rsidRPr="00223651" w:rsidRDefault="003F69AB" w:rsidP="003F69AB">
            <w:pPr>
              <w:spacing w:before="60"/>
              <w:rPr>
                <w:sz w:val="20"/>
                <w:szCs w:val="20"/>
              </w:rPr>
            </w:pPr>
            <w:r w:rsidRPr="00223651">
              <w:rPr>
                <w:sz w:val="20"/>
                <w:szCs w:val="20"/>
              </w:rPr>
              <w:t xml:space="preserve"> </w:t>
            </w:r>
          </w:p>
        </w:tc>
        <w:tc>
          <w:tcPr>
            <w:tcW w:w="734" w:type="dxa"/>
            <w:tcBorders>
              <w:top w:val="nil"/>
              <w:left w:val="nil"/>
              <w:bottom w:val="nil"/>
              <w:right w:val="nil"/>
            </w:tcBorders>
            <w:shd w:val="clear" w:color="auto" w:fill="auto"/>
            <w:noWrap/>
            <w:vAlign w:val="bottom"/>
            <w:hideMark/>
          </w:tcPr>
          <w:p w:rsidR="003F69AB" w:rsidRPr="00223651" w:rsidRDefault="003F69AB" w:rsidP="00F83B99">
            <w:pPr>
              <w:spacing w:before="60"/>
              <w:jc w:val="center"/>
              <w:rPr>
                <w:sz w:val="20"/>
                <w:szCs w:val="20"/>
              </w:rPr>
            </w:pPr>
            <w:r>
              <w:rPr>
                <w:sz w:val="20"/>
                <w:szCs w:val="20"/>
              </w:rPr>
              <w:t>13</w:t>
            </w:r>
            <w:r w:rsidR="00F83B99">
              <w:rPr>
                <w:sz w:val="20"/>
                <w:szCs w:val="20"/>
              </w:rPr>
              <w:t>7</w:t>
            </w:r>
          </w:p>
        </w:tc>
      </w:tr>
      <w:tr w:rsidR="003F69AB" w:rsidRPr="00223651" w:rsidTr="00726C31">
        <w:trPr>
          <w:trHeight w:val="244"/>
        </w:trPr>
        <w:tc>
          <w:tcPr>
            <w:tcW w:w="8379" w:type="dxa"/>
            <w:tcBorders>
              <w:top w:val="nil"/>
              <w:left w:val="nil"/>
              <w:bottom w:val="nil"/>
              <w:right w:val="nil"/>
            </w:tcBorders>
            <w:shd w:val="clear" w:color="auto" w:fill="auto"/>
            <w:noWrap/>
            <w:vAlign w:val="bottom"/>
            <w:hideMark/>
          </w:tcPr>
          <w:p w:rsidR="003F69AB" w:rsidRPr="00223651" w:rsidRDefault="003F69AB" w:rsidP="003F69AB">
            <w:pPr>
              <w:spacing w:before="60"/>
              <w:rPr>
                <w:i/>
                <w:iCs/>
                <w:sz w:val="20"/>
                <w:szCs w:val="20"/>
              </w:rPr>
            </w:pPr>
            <w:r w:rsidRPr="00223651">
              <w:rPr>
                <w:i/>
                <w:iCs/>
                <w:sz w:val="20"/>
                <w:szCs w:val="20"/>
              </w:rPr>
              <w:t>Production of cement (</w:t>
            </w:r>
            <w:r w:rsidRPr="00186C9C">
              <w:rPr>
                <w:i/>
                <w:iCs/>
                <w:sz w:val="20"/>
                <w:szCs w:val="20"/>
              </w:rPr>
              <w:t>2010, 2014, 2015, 2016, 2017</w:t>
            </w:r>
            <w:r w:rsidRPr="00223651">
              <w:rPr>
                <w:i/>
                <w:iCs/>
                <w:sz w:val="20"/>
                <w:szCs w:val="20"/>
              </w:rPr>
              <w:t>)</w:t>
            </w:r>
          </w:p>
        </w:tc>
        <w:tc>
          <w:tcPr>
            <w:tcW w:w="160" w:type="dxa"/>
            <w:tcBorders>
              <w:top w:val="nil"/>
              <w:left w:val="nil"/>
              <w:bottom w:val="nil"/>
              <w:right w:val="nil"/>
            </w:tcBorders>
            <w:shd w:val="clear" w:color="auto" w:fill="auto"/>
            <w:noWrap/>
            <w:vAlign w:val="bottom"/>
            <w:hideMark/>
          </w:tcPr>
          <w:p w:rsidR="003F69AB" w:rsidRPr="00223651" w:rsidRDefault="003F69AB" w:rsidP="003F69AB">
            <w:pPr>
              <w:spacing w:before="60"/>
              <w:rPr>
                <w:sz w:val="20"/>
                <w:szCs w:val="20"/>
              </w:rPr>
            </w:pPr>
          </w:p>
        </w:tc>
        <w:tc>
          <w:tcPr>
            <w:tcW w:w="832" w:type="dxa"/>
            <w:tcBorders>
              <w:top w:val="nil"/>
              <w:left w:val="nil"/>
              <w:bottom w:val="nil"/>
              <w:right w:val="nil"/>
            </w:tcBorders>
            <w:shd w:val="clear" w:color="auto" w:fill="auto"/>
            <w:noWrap/>
            <w:vAlign w:val="bottom"/>
            <w:hideMark/>
          </w:tcPr>
          <w:p w:rsidR="003F69AB" w:rsidRPr="00223651" w:rsidRDefault="003F69AB" w:rsidP="003F69AB">
            <w:pPr>
              <w:spacing w:before="60"/>
              <w:rPr>
                <w:sz w:val="20"/>
                <w:szCs w:val="20"/>
              </w:rPr>
            </w:pPr>
          </w:p>
        </w:tc>
        <w:tc>
          <w:tcPr>
            <w:tcW w:w="748" w:type="dxa"/>
            <w:gridSpan w:val="2"/>
            <w:tcBorders>
              <w:top w:val="nil"/>
              <w:left w:val="nil"/>
              <w:bottom w:val="nil"/>
              <w:right w:val="nil"/>
            </w:tcBorders>
            <w:shd w:val="clear" w:color="auto" w:fill="auto"/>
            <w:noWrap/>
            <w:vAlign w:val="bottom"/>
            <w:hideMark/>
          </w:tcPr>
          <w:p w:rsidR="003F69AB" w:rsidRPr="00223651" w:rsidRDefault="003F69AB" w:rsidP="003F69AB">
            <w:pPr>
              <w:spacing w:before="60"/>
              <w:rPr>
                <w:sz w:val="20"/>
                <w:szCs w:val="20"/>
              </w:rPr>
            </w:pPr>
          </w:p>
        </w:tc>
      </w:tr>
      <w:tr w:rsidR="003F69AB" w:rsidRPr="00223651" w:rsidTr="00726C31">
        <w:trPr>
          <w:gridAfter w:val="1"/>
          <w:wAfter w:w="14" w:type="dxa"/>
          <w:trHeight w:val="244"/>
        </w:trPr>
        <w:tc>
          <w:tcPr>
            <w:tcW w:w="8379" w:type="dxa"/>
            <w:tcBorders>
              <w:top w:val="nil"/>
              <w:left w:val="nil"/>
              <w:bottom w:val="nil"/>
              <w:right w:val="nil"/>
            </w:tcBorders>
            <w:shd w:val="clear" w:color="auto" w:fill="auto"/>
            <w:noWrap/>
            <w:vAlign w:val="bottom"/>
            <w:hideMark/>
          </w:tcPr>
          <w:p w:rsidR="003F69AB" w:rsidRPr="00223651" w:rsidRDefault="003F69AB" w:rsidP="003F69AB">
            <w:pPr>
              <w:spacing w:before="60"/>
              <w:rPr>
                <w:sz w:val="20"/>
                <w:szCs w:val="20"/>
              </w:rPr>
            </w:pPr>
            <w:r w:rsidRPr="00223651">
              <w:rPr>
                <w:sz w:val="20"/>
                <w:szCs w:val="20"/>
              </w:rPr>
              <w:t>Produkcja stali surowej (</w:t>
            </w:r>
            <w:r w:rsidRPr="00186C9C">
              <w:rPr>
                <w:sz w:val="20"/>
                <w:szCs w:val="20"/>
                <w:lang w:val="en-US"/>
              </w:rPr>
              <w:t>2010, 2014, 2015, 2016, 2017</w:t>
            </w:r>
            <w:r>
              <w:rPr>
                <w:sz w:val="20"/>
                <w:szCs w:val="20"/>
              </w:rPr>
              <w:t>) ........</w:t>
            </w:r>
            <w:r w:rsidRPr="00223651">
              <w:rPr>
                <w:sz w:val="20"/>
                <w:szCs w:val="20"/>
              </w:rPr>
              <w:t>.......................</w:t>
            </w:r>
            <w:r w:rsidRPr="00106EBC">
              <w:rPr>
                <w:sz w:val="20"/>
                <w:szCs w:val="20"/>
              </w:rPr>
              <w:t>....................</w:t>
            </w:r>
            <w:r w:rsidRPr="00223651">
              <w:rPr>
                <w:sz w:val="20"/>
                <w:szCs w:val="20"/>
              </w:rPr>
              <w:t>....................</w:t>
            </w:r>
            <w:r>
              <w:rPr>
                <w:sz w:val="20"/>
                <w:szCs w:val="20"/>
              </w:rPr>
              <w:t>...</w:t>
            </w:r>
          </w:p>
        </w:tc>
        <w:tc>
          <w:tcPr>
            <w:tcW w:w="992" w:type="dxa"/>
            <w:gridSpan w:val="2"/>
            <w:tcBorders>
              <w:top w:val="nil"/>
              <w:left w:val="nil"/>
              <w:bottom w:val="nil"/>
              <w:right w:val="nil"/>
            </w:tcBorders>
            <w:shd w:val="clear" w:color="auto" w:fill="auto"/>
            <w:noWrap/>
            <w:vAlign w:val="bottom"/>
            <w:hideMark/>
          </w:tcPr>
          <w:p w:rsidR="003F69AB" w:rsidRPr="00223651" w:rsidRDefault="003F69AB" w:rsidP="003F69AB">
            <w:pPr>
              <w:spacing w:before="60"/>
              <w:rPr>
                <w:sz w:val="20"/>
                <w:szCs w:val="20"/>
              </w:rPr>
            </w:pPr>
            <w:r w:rsidRPr="00223651">
              <w:rPr>
                <w:sz w:val="20"/>
                <w:szCs w:val="20"/>
              </w:rPr>
              <w:t xml:space="preserve"> </w:t>
            </w:r>
          </w:p>
        </w:tc>
        <w:tc>
          <w:tcPr>
            <w:tcW w:w="734" w:type="dxa"/>
            <w:tcBorders>
              <w:top w:val="nil"/>
              <w:left w:val="nil"/>
              <w:bottom w:val="nil"/>
              <w:right w:val="nil"/>
            </w:tcBorders>
            <w:shd w:val="clear" w:color="auto" w:fill="auto"/>
            <w:noWrap/>
            <w:vAlign w:val="bottom"/>
            <w:hideMark/>
          </w:tcPr>
          <w:p w:rsidR="003F69AB" w:rsidRPr="00223651" w:rsidRDefault="003F69AB" w:rsidP="00F83B99">
            <w:pPr>
              <w:spacing w:before="60"/>
              <w:jc w:val="center"/>
              <w:rPr>
                <w:sz w:val="20"/>
                <w:szCs w:val="20"/>
              </w:rPr>
            </w:pPr>
            <w:r>
              <w:rPr>
                <w:sz w:val="20"/>
                <w:szCs w:val="20"/>
              </w:rPr>
              <w:t>13</w:t>
            </w:r>
            <w:r w:rsidR="00F83B99">
              <w:rPr>
                <w:sz w:val="20"/>
                <w:szCs w:val="20"/>
              </w:rPr>
              <w:t>7</w:t>
            </w:r>
          </w:p>
        </w:tc>
      </w:tr>
      <w:tr w:rsidR="003F69AB" w:rsidRPr="00223651" w:rsidTr="00726C31">
        <w:trPr>
          <w:trHeight w:val="244"/>
        </w:trPr>
        <w:tc>
          <w:tcPr>
            <w:tcW w:w="8379" w:type="dxa"/>
            <w:tcBorders>
              <w:top w:val="nil"/>
              <w:left w:val="nil"/>
              <w:bottom w:val="nil"/>
              <w:right w:val="nil"/>
            </w:tcBorders>
            <w:shd w:val="clear" w:color="auto" w:fill="auto"/>
            <w:noWrap/>
            <w:vAlign w:val="bottom"/>
            <w:hideMark/>
          </w:tcPr>
          <w:p w:rsidR="003F69AB" w:rsidRPr="00223651" w:rsidRDefault="003F69AB" w:rsidP="003F69AB">
            <w:pPr>
              <w:spacing w:before="60"/>
              <w:rPr>
                <w:i/>
                <w:iCs/>
                <w:sz w:val="20"/>
                <w:szCs w:val="20"/>
              </w:rPr>
            </w:pPr>
            <w:r w:rsidRPr="00223651">
              <w:rPr>
                <w:i/>
                <w:iCs/>
                <w:sz w:val="20"/>
                <w:szCs w:val="20"/>
              </w:rPr>
              <w:t>Production of crude steel (</w:t>
            </w:r>
            <w:r w:rsidRPr="00186C9C">
              <w:rPr>
                <w:i/>
                <w:iCs/>
                <w:sz w:val="20"/>
                <w:szCs w:val="20"/>
              </w:rPr>
              <w:t>2010, 2014, 2015, 2016, 2017</w:t>
            </w:r>
            <w:r w:rsidRPr="00223651">
              <w:rPr>
                <w:i/>
                <w:iCs/>
                <w:sz w:val="20"/>
                <w:szCs w:val="20"/>
              </w:rPr>
              <w:t>)</w:t>
            </w:r>
          </w:p>
        </w:tc>
        <w:tc>
          <w:tcPr>
            <w:tcW w:w="160" w:type="dxa"/>
            <w:tcBorders>
              <w:top w:val="nil"/>
              <w:left w:val="nil"/>
              <w:bottom w:val="nil"/>
              <w:right w:val="nil"/>
            </w:tcBorders>
            <w:shd w:val="clear" w:color="auto" w:fill="auto"/>
            <w:noWrap/>
            <w:vAlign w:val="bottom"/>
            <w:hideMark/>
          </w:tcPr>
          <w:p w:rsidR="003F69AB" w:rsidRPr="00223651" w:rsidRDefault="003F69AB" w:rsidP="003F69AB">
            <w:pPr>
              <w:spacing w:before="60"/>
              <w:rPr>
                <w:sz w:val="20"/>
                <w:szCs w:val="20"/>
              </w:rPr>
            </w:pPr>
          </w:p>
        </w:tc>
        <w:tc>
          <w:tcPr>
            <w:tcW w:w="832" w:type="dxa"/>
            <w:tcBorders>
              <w:top w:val="nil"/>
              <w:left w:val="nil"/>
              <w:bottom w:val="nil"/>
              <w:right w:val="nil"/>
            </w:tcBorders>
            <w:shd w:val="clear" w:color="auto" w:fill="auto"/>
            <w:noWrap/>
            <w:vAlign w:val="bottom"/>
            <w:hideMark/>
          </w:tcPr>
          <w:p w:rsidR="003F69AB" w:rsidRPr="00223651" w:rsidRDefault="003F69AB" w:rsidP="003F69AB">
            <w:pPr>
              <w:spacing w:before="60"/>
              <w:rPr>
                <w:sz w:val="20"/>
                <w:szCs w:val="20"/>
              </w:rPr>
            </w:pPr>
          </w:p>
        </w:tc>
        <w:tc>
          <w:tcPr>
            <w:tcW w:w="748" w:type="dxa"/>
            <w:gridSpan w:val="2"/>
            <w:tcBorders>
              <w:top w:val="nil"/>
              <w:left w:val="nil"/>
              <w:bottom w:val="nil"/>
              <w:right w:val="nil"/>
            </w:tcBorders>
            <w:shd w:val="clear" w:color="auto" w:fill="auto"/>
            <w:noWrap/>
            <w:vAlign w:val="bottom"/>
            <w:hideMark/>
          </w:tcPr>
          <w:p w:rsidR="003F69AB" w:rsidRPr="00223651" w:rsidRDefault="003F69AB" w:rsidP="003F69AB">
            <w:pPr>
              <w:spacing w:before="60"/>
              <w:rPr>
                <w:sz w:val="20"/>
                <w:szCs w:val="20"/>
              </w:rPr>
            </w:pPr>
          </w:p>
        </w:tc>
      </w:tr>
      <w:tr w:rsidR="003F69AB" w:rsidRPr="00223651" w:rsidTr="00726C31">
        <w:trPr>
          <w:gridAfter w:val="1"/>
          <w:wAfter w:w="14" w:type="dxa"/>
          <w:trHeight w:val="244"/>
        </w:trPr>
        <w:tc>
          <w:tcPr>
            <w:tcW w:w="8379" w:type="dxa"/>
            <w:tcBorders>
              <w:top w:val="nil"/>
              <w:left w:val="nil"/>
              <w:bottom w:val="nil"/>
              <w:right w:val="nil"/>
            </w:tcBorders>
            <w:shd w:val="clear" w:color="auto" w:fill="auto"/>
            <w:noWrap/>
            <w:vAlign w:val="bottom"/>
            <w:hideMark/>
          </w:tcPr>
          <w:p w:rsidR="003F69AB" w:rsidRPr="00223651" w:rsidRDefault="003F69AB" w:rsidP="003F69AB">
            <w:pPr>
              <w:spacing w:before="60"/>
              <w:rPr>
                <w:sz w:val="20"/>
                <w:szCs w:val="20"/>
              </w:rPr>
            </w:pPr>
            <w:r w:rsidRPr="00223651">
              <w:rPr>
                <w:sz w:val="20"/>
                <w:szCs w:val="20"/>
              </w:rPr>
              <w:t>Produk</w:t>
            </w:r>
            <w:r>
              <w:rPr>
                <w:sz w:val="20"/>
                <w:szCs w:val="20"/>
              </w:rPr>
              <w:t>cja ciągników rolniczych (</w:t>
            </w:r>
            <w:r w:rsidRPr="00186C9C">
              <w:rPr>
                <w:sz w:val="20"/>
                <w:szCs w:val="20"/>
                <w:lang w:val="en-US"/>
              </w:rPr>
              <w:t>2010, 2014, 2015, 2016, 2017</w:t>
            </w:r>
            <w:r>
              <w:rPr>
                <w:sz w:val="20"/>
                <w:szCs w:val="20"/>
              </w:rPr>
              <w:t>) ......</w:t>
            </w:r>
            <w:r w:rsidRPr="00223651">
              <w:rPr>
                <w:sz w:val="20"/>
                <w:szCs w:val="20"/>
              </w:rPr>
              <w:t>...................</w:t>
            </w:r>
            <w:r w:rsidRPr="00106EBC">
              <w:rPr>
                <w:sz w:val="20"/>
                <w:szCs w:val="20"/>
              </w:rPr>
              <w:t>....................</w:t>
            </w:r>
            <w:r w:rsidRPr="00223651">
              <w:rPr>
                <w:sz w:val="20"/>
                <w:szCs w:val="20"/>
              </w:rPr>
              <w:t>............</w:t>
            </w:r>
            <w:r>
              <w:rPr>
                <w:sz w:val="20"/>
                <w:szCs w:val="20"/>
              </w:rPr>
              <w:t>...</w:t>
            </w:r>
          </w:p>
        </w:tc>
        <w:tc>
          <w:tcPr>
            <w:tcW w:w="992" w:type="dxa"/>
            <w:gridSpan w:val="2"/>
            <w:tcBorders>
              <w:top w:val="nil"/>
              <w:left w:val="nil"/>
              <w:bottom w:val="nil"/>
              <w:right w:val="nil"/>
            </w:tcBorders>
            <w:shd w:val="clear" w:color="auto" w:fill="auto"/>
            <w:noWrap/>
            <w:vAlign w:val="bottom"/>
            <w:hideMark/>
          </w:tcPr>
          <w:p w:rsidR="003F69AB" w:rsidRPr="00223651" w:rsidRDefault="003F69AB" w:rsidP="003F69AB">
            <w:pPr>
              <w:spacing w:before="60"/>
              <w:rPr>
                <w:sz w:val="20"/>
                <w:szCs w:val="20"/>
              </w:rPr>
            </w:pPr>
            <w:r w:rsidRPr="00223651">
              <w:rPr>
                <w:sz w:val="20"/>
                <w:szCs w:val="20"/>
              </w:rPr>
              <w:t xml:space="preserve"> </w:t>
            </w:r>
          </w:p>
        </w:tc>
        <w:tc>
          <w:tcPr>
            <w:tcW w:w="734" w:type="dxa"/>
            <w:tcBorders>
              <w:top w:val="nil"/>
              <w:left w:val="nil"/>
              <w:bottom w:val="nil"/>
              <w:right w:val="nil"/>
            </w:tcBorders>
            <w:shd w:val="clear" w:color="auto" w:fill="auto"/>
            <w:noWrap/>
            <w:vAlign w:val="bottom"/>
            <w:hideMark/>
          </w:tcPr>
          <w:p w:rsidR="003F69AB" w:rsidRPr="00223651" w:rsidRDefault="003F69AB" w:rsidP="00F83B99">
            <w:pPr>
              <w:spacing w:before="60"/>
              <w:jc w:val="center"/>
              <w:rPr>
                <w:sz w:val="20"/>
                <w:szCs w:val="20"/>
              </w:rPr>
            </w:pPr>
            <w:r>
              <w:rPr>
                <w:sz w:val="20"/>
                <w:szCs w:val="20"/>
              </w:rPr>
              <w:t>13</w:t>
            </w:r>
            <w:r w:rsidR="00F83B99">
              <w:rPr>
                <w:sz w:val="20"/>
                <w:szCs w:val="20"/>
              </w:rPr>
              <w:t>8</w:t>
            </w:r>
          </w:p>
        </w:tc>
      </w:tr>
      <w:tr w:rsidR="003F69AB" w:rsidRPr="00223651" w:rsidTr="00726C31">
        <w:trPr>
          <w:trHeight w:val="244"/>
        </w:trPr>
        <w:tc>
          <w:tcPr>
            <w:tcW w:w="8379" w:type="dxa"/>
            <w:tcBorders>
              <w:top w:val="nil"/>
              <w:left w:val="nil"/>
              <w:bottom w:val="nil"/>
              <w:right w:val="nil"/>
            </w:tcBorders>
            <w:shd w:val="clear" w:color="auto" w:fill="auto"/>
            <w:noWrap/>
            <w:vAlign w:val="bottom"/>
            <w:hideMark/>
          </w:tcPr>
          <w:p w:rsidR="003F69AB" w:rsidRPr="00223651" w:rsidRDefault="003F69AB" w:rsidP="003F69AB">
            <w:pPr>
              <w:spacing w:before="60"/>
              <w:rPr>
                <w:i/>
                <w:iCs/>
                <w:sz w:val="20"/>
                <w:szCs w:val="20"/>
              </w:rPr>
            </w:pPr>
            <w:r w:rsidRPr="00223651">
              <w:rPr>
                <w:i/>
                <w:iCs/>
                <w:sz w:val="20"/>
                <w:szCs w:val="20"/>
              </w:rPr>
              <w:t xml:space="preserve">Production </w:t>
            </w:r>
            <w:r>
              <w:rPr>
                <w:i/>
                <w:iCs/>
                <w:sz w:val="20"/>
                <w:szCs w:val="20"/>
              </w:rPr>
              <w:t>of agricultural tractors (</w:t>
            </w:r>
            <w:r w:rsidRPr="00186C9C">
              <w:rPr>
                <w:i/>
                <w:iCs/>
                <w:sz w:val="20"/>
                <w:szCs w:val="20"/>
              </w:rPr>
              <w:t>2010, 2014, 2015, 2016, 2017</w:t>
            </w:r>
            <w:r w:rsidRPr="00223651">
              <w:rPr>
                <w:i/>
                <w:iCs/>
                <w:sz w:val="20"/>
                <w:szCs w:val="20"/>
              </w:rPr>
              <w:t>)</w:t>
            </w:r>
          </w:p>
        </w:tc>
        <w:tc>
          <w:tcPr>
            <w:tcW w:w="160" w:type="dxa"/>
            <w:tcBorders>
              <w:top w:val="nil"/>
              <w:left w:val="nil"/>
              <w:bottom w:val="nil"/>
              <w:right w:val="nil"/>
            </w:tcBorders>
            <w:shd w:val="clear" w:color="auto" w:fill="auto"/>
            <w:noWrap/>
            <w:vAlign w:val="bottom"/>
            <w:hideMark/>
          </w:tcPr>
          <w:p w:rsidR="003F69AB" w:rsidRPr="00223651" w:rsidRDefault="003F69AB" w:rsidP="003F69AB">
            <w:pPr>
              <w:spacing w:before="60"/>
              <w:rPr>
                <w:sz w:val="20"/>
                <w:szCs w:val="20"/>
              </w:rPr>
            </w:pPr>
          </w:p>
        </w:tc>
        <w:tc>
          <w:tcPr>
            <w:tcW w:w="832" w:type="dxa"/>
            <w:tcBorders>
              <w:top w:val="nil"/>
              <w:left w:val="nil"/>
              <w:bottom w:val="nil"/>
              <w:right w:val="nil"/>
            </w:tcBorders>
            <w:shd w:val="clear" w:color="auto" w:fill="auto"/>
            <w:noWrap/>
            <w:vAlign w:val="bottom"/>
            <w:hideMark/>
          </w:tcPr>
          <w:p w:rsidR="003F69AB" w:rsidRPr="00223651" w:rsidRDefault="003F69AB" w:rsidP="003F69AB">
            <w:pPr>
              <w:spacing w:before="60"/>
              <w:rPr>
                <w:sz w:val="20"/>
                <w:szCs w:val="20"/>
              </w:rPr>
            </w:pPr>
          </w:p>
        </w:tc>
        <w:tc>
          <w:tcPr>
            <w:tcW w:w="748" w:type="dxa"/>
            <w:gridSpan w:val="2"/>
            <w:tcBorders>
              <w:top w:val="nil"/>
              <w:left w:val="nil"/>
              <w:bottom w:val="nil"/>
              <w:right w:val="nil"/>
            </w:tcBorders>
            <w:shd w:val="clear" w:color="auto" w:fill="auto"/>
            <w:noWrap/>
            <w:vAlign w:val="bottom"/>
            <w:hideMark/>
          </w:tcPr>
          <w:p w:rsidR="003F69AB" w:rsidRPr="00223651" w:rsidRDefault="003F69AB" w:rsidP="003F69AB">
            <w:pPr>
              <w:spacing w:before="60"/>
              <w:rPr>
                <w:sz w:val="20"/>
                <w:szCs w:val="20"/>
              </w:rPr>
            </w:pPr>
          </w:p>
        </w:tc>
      </w:tr>
      <w:tr w:rsidR="003F69AB" w:rsidRPr="00223651" w:rsidTr="00726C31">
        <w:trPr>
          <w:gridAfter w:val="1"/>
          <w:wAfter w:w="14" w:type="dxa"/>
          <w:trHeight w:val="244"/>
        </w:trPr>
        <w:tc>
          <w:tcPr>
            <w:tcW w:w="8379" w:type="dxa"/>
            <w:tcBorders>
              <w:top w:val="nil"/>
              <w:left w:val="nil"/>
              <w:bottom w:val="nil"/>
              <w:right w:val="nil"/>
            </w:tcBorders>
            <w:shd w:val="clear" w:color="auto" w:fill="auto"/>
            <w:noWrap/>
            <w:vAlign w:val="bottom"/>
            <w:hideMark/>
          </w:tcPr>
          <w:p w:rsidR="003F69AB" w:rsidRPr="00223651" w:rsidRDefault="003F69AB" w:rsidP="003F69AB">
            <w:pPr>
              <w:spacing w:before="60"/>
              <w:rPr>
                <w:sz w:val="20"/>
                <w:szCs w:val="20"/>
              </w:rPr>
            </w:pPr>
            <w:r w:rsidRPr="00223651">
              <w:rPr>
                <w:sz w:val="20"/>
                <w:szCs w:val="20"/>
              </w:rPr>
              <w:t>Produkcja samochodów osobowych (</w:t>
            </w:r>
            <w:r w:rsidRPr="00186C9C">
              <w:rPr>
                <w:sz w:val="20"/>
                <w:szCs w:val="20"/>
                <w:lang w:val="en-US"/>
              </w:rPr>
              <w:t>2010, 2014, 2015, 2016, 2017</w:t>
            </w:r>
            <w:r>
              <w:rPr>
                <w:sz w:val="20"/>
                <w:szCs w:val="20"/>
              </w:rPr>
              <w:t>) .........</w:t>
            </w:r>
            <w:r w:rsidRPr="00223651">
              <w:rPr>
                <w:sz w:val="20"/>
                <w:szCs w:val="20"/>
              </w:rPr>
              <w:t>........</w:t>
            </w:r>
            <w:r w:rsidRPr="00106EBC">
              <w:rPr>
                <w:sz w:val="20"/>
                <w:szCs w:val="20"/>
              </w:rPr>
              <w:t>....................</w:t>
            </w:r>
            <w:r w:rsidRPr="00223651">
              <w:rPr>
                <w:sz w:val="20"/>
                <w:szCs w:val="20"/>
              </w:rPr>
              <w:t>..............</w:t>
            </w:r>
            <w:r>
              <w:rPr>
                <w:sz w:val="20"/>
                <w:szCs w:val="20"/>
              </w:rPr>
              <w:t>...</w:t>
            </w:r>
          </w:p>
        </w:tc>
        <w:tc>
          <w:tcPr>
            <w:tcW w:w="992" w:type="dxa"/>
            <w:gridSpan w:val="2"/>
            <w:tcBorders>
              <w:top w:val="nil"/>
              <w:left w:val="nil"/>
              <w:bottom w:val="nil"/>
              <w:right w:val="nil"/>
            </w:tcBorders>
            <w:shd w:val="clear" w:color="auto" w:fill="auto"/>
            <w:noWrap/>
            <w:vAlign w:val="bottom"/>
            <w:hideMark/>
          </w:tcPr>
          <w:p w:rsidR="003F69AB" w:rsidRPr="00223651" w:rsidRDefault="003F69AB" w:rsidP="003F69AB">
            <w:pPr>
              <w:spacing w:before="60"/>
              <w:rPr>
                <w:sz w:val="20"/>
                <w:szCs w:val="20"/>
              </w:rPr>
            </w:pPr>
          </w:p>
        </w:tc>
        <w:tc>
          <w:tcPr>
            <w:tcW w:w="734" w:type="dxa"/>
            <w:tcBorders>
              <w:top w:val="nil"/>
              <w:left w:val="nil"/>
              <w:bottom w:val="nil"/>
              <w:right w:val="nil"/>
            </w:tcBorders>
            <w:shd w:val="clear" w:color="auto" w:fill="auto"/>
            <w:noWrap/>
            <w:vAlign w:val="bottom"/>
            <w:hideMark/>
          </w:tcPr>
          <w:p w:rsidR="003F69AB" w:rsidRPr="00223651" w:rsidRDefault="003F69AB" w:rsidP="00F83B99">
            <w:pPr>
              <w:spacing w:before="60"/>
              <w:jc w:val="center"/>
              <w:rPr>
                <w:sz w:val="20"/>
                <w:szCs w:val="20"/>
              </w:rPr>
            </w:pPr>
            <w:r>
              <w:rPr>
                <w:sz w:val="20"/>
                <w:szCs w:val="20"/>
              </w:rPr>
              <w:t>13</w:t>
            </w:r>
            <w:r w:rsidR="00F83B99">
              <w:rPr>
                <w:sz w:val="20"/>
                <w:szCs w:val="20"/>
              </w:rPr>
              <w:t>8</w:t>
            </w:r>
          </w:p>
        </w:tc>
      </w:tr>
      <w:tr w:rsidR="003F69AB" w:rsidRPr="00223651" w:rsidTr="00726C31">
        <w:trPr>
          <w:trHeight w:val="244"/>
        </w:trPr>
        <w:tc>
          <w:tcPr>
            <w:tcW w:w="8379" w:type="dxa"/>
            <w:tcBorders>
              <w:top w:val="nil"/>
              <w:left w:val="nil"/>
              <w:bottom w:val="nil"/>
              <w:right w:val="nil"/>
            </w:tcBorders>
            <w:shd w:val="clear" w:color="auto" w:fill="auto"/>
            <w:noWrap/>
            <w:vAlign w:val="bottom"/>
            <w:hideMark/>
          </w:tcPr>
          <w:p w:rsidR="003F69AB" w:rsidRPr="00223651" w:rsidRDefault="003F69AB" w:rsidP="003F69AB">
            <w:pPr>
              <w:spacing w:before="60"/>
              <w:rPr>
                <w:i/>
                <w:iCs/>
                <w:sz w:val="20"/>
                <w:szCs w:val="20"/>
              </w:rPr>
            </w:pPr>
            <w:r w:rsidRPr="00223651">
              <w:rPr>
                <w:i/>
                <w:iCs/>
                <w:sz w:val="20"/>
                <w:szCs w:val="20"/>
              </w:rPr>
              <w:t>Production of passenger cars (</w:t>
            </w:r>
            <w:r w:rsidRPr="00186C9C">
              <w:rPr>
                <w:i/>
                <w:iCs/>
                <w:sz w:val="20"/>
                <w:szCs w:val="20"/>
              </w:rPr>
              <w:t>2010, 2014, 2015, 2016, 2017</w:t>
            </w:r>
            <w:r w:rsidRPr="00223651">
              <w:rPr>
                <w:i/>
                <w:iCs/>
                <w:sz w:val="20"/>
                <w:szCs w:val="20"/>
              </w:rPr>
              <w:t>)</w:t>
            </w:r>
          </w:p>
        </w:tc>
        <w:tc>
          <w:tcPr>
            <w:tcW w:w="160" w:type="dxa"/>
            <w:tcBorders>
              <w:top w:val="nil"/>
              <w:left w:val="nil"/>
              <w:bottom w:val="nil"/>
              <w:right w:val="nil"/>
            </w:tcBorders>
            <w:shd w:val="clear" w:color="auto" w:fill="auto"/>
            <w:noWrap/>
            <w:vAlign w:val="bottom"/>
            <w:hideMark/>
          </w:tcPr>
          <w:p w:rsidR="003F69AB" w:rsidRPr="00223651" w:rsidRDefault="003F69AB" w:rsidP="003F69AB">
            <w:pPr>
              <w:spacing w:before="60"/>
              <w:rPr>
                <w:sz w:val="20"/>
                <w:szCs w:val="20"/>
              </w:rPr>
            </w:pPr>
          </w:p>
        </w:tc>
        <w:tc>
          <w:tcPr>
            <w:tcW w:w="832" w:type="dxa"/>
            <w:tcBorders>
              <w:top w:val="nil"/>
              <w:left w:val="nil"/>
              <w:bottom w:val="nil"/>
              <w:right w:val="nil"/>
            </w:tcBorders>
            <w:shd w:val="clear" w:color="auto" w:fill="auto"/>
            <w:noWrap/>
            <w:vAlign w:val="bottom"/>
            <w:hideMark/>
          </w:tcPr>
          <w:p w:rsidR="003F69AB" w:rsidRPr="00223651" w:rsidRDefault="003F69AB" w:rsidP="003F69AB">
            <w:pPr>
              <w:spacing w:before="60"/>
              <w:rPr>
                <w:sz w:val="20"/>
                <w:szCs w:val="20"/>
              </w:rPr>
            </w:pPr>
          </w:p>
        </w:tc>
        <w:tc>
          <w:tcPr>
            <w:tcW w:w="748" w:type="dxa"/>
            <w:gridSpan w:val="2"/>
            <w:tcBorders>
              <w:top w:val="nil"/>
              <w:left w:val="nil"/>
              <w:bottom w:val="nil"/>
              <w:right w:val="nil"/>
            </w:tcBorders>
            <w:shd w:val="clear" w:color="auto" w:fill="auto"/>
            <w:noWrap/>
            <w:vAlign w:val="bottom"/>
            <w:hideMark/>
          </w:tcPr>
          <w:p w:rsidR="003F69AB" w:rsidRPr="00223651" w:rsidRDefault="003F69AB" w:rsidP="003F69AB">
            <w:pPr>
              <w:spacing w:before="60"/>
              <w:jc w:val="center"/>
              <w:rPr>
                <w:sz w:val="20"/>
                <w:szCs w:val="20"/>
              </w:rPr>
            </w:pPr>
          </w:p>
        </w:tc>
      </w:tr>
    </w:tbl>
    <w:p w:rsidR="005262B5" w:rsidRDefault="005262B5" w:rsidP="00595D6B">
      <w:pPr>
        <w:spacing w:before="60"/>
        <w:rPr>
          <w:b/>
          <w:sz w:val="22"/>
          <w:szCs w:val="22"/>
        </w:rPr>
      </w:pPr>
    </w:p>
    <w:p w:rsidR="00E35E99" w:rsidRDefault="00E35E99" w:rsidP="009C6E1B">
      <w:pPr>
        <w:rPr>
          <w:b/>
          <w:sz w:val="22"/>
          <w:szCs w:val="22"/>
        </w:rPr>
      </w:pPr>
    </w:p>
    <w:p w:rsidR="00E35E99" w:rsidRDefault="00E35E99" w:rsidP="009C6E1B">
      <w:pPr>
        <w:rPr>
          <w:b/>
          <w:sz w:val="22"/>
          <w:szCs w:val="22"/>
        </w:rPr>
      </w:pPr>
    </w:p>
    <w:p w:rsidR="0038204D" w:rsidRDefault="0038204D" w:rsidP="009C6E1B">
      <w:pPr>
        <w:rPr>
          <w:b/>
          <w:sz w:val="22"/>
          <w:szCs w:val="22"/>
        </w:rPr>
      </w:pPr>
    </w:p>
    <w:p w:rsidR="0038204D" w:rsidRDefault="0038204D" w:rsidP="009C6E1B">
      <w:pPr>
        <w:rPr>
          <w:b/>
          <w:sz w:val="22"/>
          <w:szCs w:val="22"/>
        </w:rPr>
      </w:pPr>
    </w:p>
    <w:p w:rsidR="0038204D" w:rsidRDefault="0038204D" w:rsidP="009C6E1B">
      <w:pPr>
        <w:rPr>
          <w:b/>
          <w:sz w:val="22"/>
          <w:szCs w:val="22"/>
        </w:rPr>
      </w:pPr>
    </w:p>
    <w:p w:rsidR="0038204D" w:rsidRDefault="0038204D" w:rsidP="009C6E1B">
      <w:pPr>
        <w:rPr>
          <w:b/>
          <w:sz w:val="22"/>
          <w:szCs w:val="22"/>
        </w:rPr>
      </w:pPr>
    </w:p>
    <w:p w:rsidR="0038204D" w:rsidRDefault="0038204D" w:rsidP="009C6E1B">
      <w:pPr>
        <w:rPr>
          <w:b/>
          <w:sz w:val="22"/>
          <w:szCs w:val="22"/>
        </w:rPr>
      </w:pPr>
    </w:p>
    <w:p w:rsidR="0038204D" w:rsidRDefault="0038204D" w:rsidP="009C6E1B">
      <w:pPr>
        <w:rPr>
          <w:b/>
          <w:sz w:val="22"/>
          <w:szCs w:val="22"/>
        </w:rPr>
      </w:pPr>
    </w:p>
    <w:p w:rsidR="0038204D" w:rsidRDefault="0038204D" w:rsidP="009C6E1B">
      <w:pPr>
        <w:rPr>
          <w:b/>
          <w:sz w:val="22"/>
          <w:szCs w:val="22"/>
        </w:rPr>
      </w:pPr>
    </w:p>
    <w:p w:rsidR="0038204D" w:rsidRDefault="0038204D" w:rsidP="009C6E1B">
      <w:pPr>
        <w:rPr>
          <w:b/>
          <w:sz w:val="22"/>
          <w:szCs w:val="22"/>
        </w:rPr>
      </w:pPr>
    </w:p>
    <w:p w:rsidR="0038204D" w:rsidRDefault="0038204D" w:rsidP="009C6E1B">
      <w:pPr>
        <w:rPr>
          <w:b/>
          <w:sz w:val="22"/>
          <w:szCs w:val="22"/>
        </w:rPr>
      </w:pPr>
    </w:p>
    <w:p w:rsidR="0038204D" w:rsidRDefault="0038204D" w:rsidP="009C6E1B">
      <w:pPr>
        <w:rPr>
          <w:b/>
          <w:sz w:val="22"/>
          <w:szCs w:val="22"/>
        </w:rPr>
      </w:pPr>
    </w:p>
    <w:p w:rsidR="0038204D" w:rsidRDefault="0038204D" w:rsidP="009C6E1B">
      <w:pPr>
        <w:rPr>
          <w:b/>
          <w:sz w:val="22"/>
          <w:szCs w:val="22"/>
        </w:rPr>
      </w:pPr>
    </w:p>
    <w:p w:rsidR="0038204D" w:rsidRDefault="0038204D" w:rsidP="009C6E1B">
      <w:pPr>
        <w:rPr>
          <w:b/>
          <w:sz w:val="22"/>
          <w:szCs w:val="22"/>
        </w:rPr>
      </w:pPr>
    </w:p>
    <w:p w:rsidR="0038204D" w:rsidRDefault="0038204D" w:rsidP="009C6E1B">
      <w:pPr>
        <w:rPr>
          <w:b/>
          <w:sz w:val="22"/>
          <w:szCs w:val="22"/>
        </w:rPr>
      </w:pPr>
    </w:p>
    <w:p w:rsidR="0038204D" w:rsidRDefault="0038204D" w:rsidP="009C6E1B">
      <w:pPr>
        <w:rPr>
          <w:b/>
          <w:sz w:val="22"/>
          <w:szCs w:val="22"/>
        </w:rPr>
      </w:pPr>
    </w:p>
    <w:p w:rsidR="0038204D" w:rsidRDefault="0038204D" w:rsidP="009C6E1B">
      <w:pPr>
        <w:rPr>
          <w:b/>
          <w:sz w:val="22"/>
          <w:szCs w:val="22"/>
        </w:rPr>
      </w:pPr>
    </w:p>
    <w:p w:rsidR="0038204D" w:rsidRDefault="0038204D" w:rsidP="009C6E1B">
      <w:pPr>
        <w:rPr>
          <w:b/>
          <w:sz w:val="22"/>
          <w:szCs w:val="22"/>
        </w:rPr>
      </w:pPr>
    </w:p>
    <w:p w:rsidR="00DA0892" w:rsidRDefault="00DA0892" w:rsidP="009C6E1B">
      <w:pPr>
        <w:rPr>
          <w:b/>
          <w:sz w:val="22"/>
          <w:szCs w:val="22"/>
        </w:rPr>
      </w:pPr>
    </w:p>
    <w:p w:rsidR="00DA0892" w:rsidRDefault="00DA0892" w:rsidP="009C6E1B">
      <w:pPr>
        <w:rPr>
          <w:b/>
          <w:sz w:val="22"/>
          <w:szCs w:val="22"/>
        </w:rPr>
      </w:pPr>
    </w:p>
    <w:p w:rsidR="00E61DF7" w:rsidRDefault="00E61DF7" w:rsidP="009C6E1B">
      <w:pPr>
        <w:rPr>
          <w:b/>
          <w:sz w:val="22"/>
          <w:szCs w:val="22"/>
        </w:rPr>
      </w:pPr>
    </w:p>
    <w:p w:rsidR="00E61DF7" w:rsidRDefault="00E61DF7" w:rsidP="009C6E1B">
      <w:pPr>
        <w:rPr>
          <w:b/>
          <w:sz w:val="22"/>
          <w:szCs w:val="22"/>
        </w:rPr>
      </w:pPr>
    </w:p>
    <w:p w:rsidR="00E61DF7" w:rsidRDefault="00E61DF7" w:rsidP="009C6E1B">
      <w:pPr>
        <w:rPr>
          <w:b/>
          <w:sz w:val="22"/>
          <w:szCs w:val="22"/>
        </w:rPr>
      </w:pPr>
    </w:p>
    <w:p w:rsidR="009C6E1B" w:rsidRPr="00023DB2" w:rsidRDefault="005E1535" w:rsidP="009C6E1B">
      <w:pPr>
        <w:rPr>
          <w:b/>
          <w:sz w:val="22"/>
          <w:szCs w:val="22"/>
        </w:rPr>
      </w:pPr>
      <w:r>
        <w:rPr>
          <w:b/>
          <w:sz w:val="22"/>
          <w:szCs w:val="22"/>
        </w:rPr>
        <w:lastRenderedPageBreak/>
        <w:t>O</w:t>
      </w:r>
      <w:r w:rsidR="009C6E1B" w:rsidRPr="00023DB2">
        <w:rPr>
          <w:b/>
          <w:sz w:val="22"/>
          <w:szCs w:val="22"/>
        </w:rPr>
        <w:t>bjaśnienia znaków umownych:</w:t>
      </w:r>
    </w:p>
    <w:p w:rsidR="009C6E1B" w:rsidRPr="00023DB2" w:rsidRDefault="009C6E1B" w:rsidP="009C6E1B">
      <w:pPr>
        <w:pStyle w:val="Nagwek1"/>
        <w:rPr>
          <w:rFonts w:ascii="Times New Roman" w:hAnsi="Times New Roman"/>
          <w:b/>
          <w:szCs w:val="22"/>
          <w:lang w:val="pl-PL"/>
        </w:rPr>
      </w:pPr>
      <w:r w:rsidRPr="00023DB2">
        <w:rPr>
          <w:rFonts w:ascii="Times New Roman" w:hAnsi="Times New Roman"/>
          <w:b/>
          <w:szCs w:val="22"/>
          <w:lang w:val="pl-PL"/>
        </w:rPr>
        <w:t>Symbols</w:t>
      </w:r>
    </w:p>
    <w:p w:rsidR="009C6E1B" w:rsidRPr="00023DB2" w:rsidRDefault="009C6E1B" w:rsidP="009C6E1B">
      <w:pPr>
        <w:rPr>
          <w:sz w:val="22"/>
          <w:szCs w:val="22"/>
        </w:rPr>
      </w:pPr>
    </w:p>
    <w:p w:rsidR="009C6E1B" w:rsidRPr="00023DB2" w:rsidRDefault="009C6E1B" w:rsidP="009C6E1B">
      <w:pPr>
        <w:rPr>
          <w:sz w:val="22"/>
          <w:szCs w:val="22"/>
        </w:rPr>
      </w:pPr>
      <w:r w:rsidRPr="00023DB2">
        <w:rPr>
          <w:sz w:val="22"/>
          <w:szCs w:val="22"/>
        </w:rPr>
        <w:t>Kresk</w:t>
      </w:r>
      <w:r>
        <w:rPr>
          <w:sz w:val="22"/>
          <w:szCs w:val="22"/>
        </w:rPr>
        <w:t>a ( - )</w:t>
      </w:r>
      <w:r>
        <w:rPr>
          <w:sz w:val="22"/>
          <w:szCs w:val="22"/>
        </w:rPr>
        <w:tab/>
        <w:t>- zjawisko nie wystąpiło</w:t>
      </w:r>
    </w:p>
    <w:p w:rsidR="009C6E1B" w:rsidRPr="00023DB2" w:rsidRDefault="009C6E1B" w:rsidP="009C6E1B">
      <w:pPr>
        <w:rPr>
          <w:i/>
          <w:sz w:val="22"/>
          <w:szCs w:val="22"/>
        </w:rPr>
      </w:pPr>
      <w:r w:rsidRPr="00023DB2">
        <w:rPr>
          <w:i/>
          <w:sz w:val="22"/>
          <w:szCs w:val="22"/>
        </w:rPr>
        <w:tab/>
      </w:r>
      <w:r w:rsidRPr="00023DB2">
        <w:rPr>
          <w:i/>
          <w:sz w:val="22"/>
          <w:szCs w:val="22"/>
        </w:rPr>
        <w:tab/>
        <w:t xml:space="preserve"> </w:t>
      </w:r>
      <w:r>
        <w:rPr>
          <w:i/>
          <w:sz w:val="22"/>
          <w:szCs w:val="22"/>
        </w:rPr>
        <w:t xml:space="preserve"> </w:t>
      </w:r>
      <w:r w:rsidRPr="00023DB2">
        <w:rPr>
          <w:i/>
          <w:sz w:val="22"/>
          <w:szCs w:val="22"/>
        </w:rPr>
        <w:t xml:space="preserve"> magnitude zero</w:t>
      </w:r>
    </w:p>
    <w:p w:rsidR="009C6E1B" w:rsidRPr="00023DB2" w:rsidRDefault="009C6E1B" w:rsidP="009C6E1B">
      <w:pPr>
        <w:spacing w:before="120"/>
        <w:rPr>
          <w:sz w:val="22"/>
          <w:szCs w:val="22"/>
        </w:rPr>
      </w:pPr>
      <w:r w:rsidRPr="00023DB2">
        <w:rPr>
          <w:sz w:val="22"/>
          <w:szCs w:val="22"/>
        </w:rPr>
        <w:t>Zero (0)</w:t>
      </w:r>
      <w:r w:rsidRPr="00023DB2">
        <w:rPr>
          <w:sz w:val="22"/>
          <w:szCs w:val="22"/>
        </w:rPr>
        <w:tab/>
        <w:t>- zjawisko istniało w wielkości mniejszej od 0,5</w:t>
      </w:r>
    </w:p>
    <w:p w:rsidR="009C6E1B" w:rsidRPr="00480263" w:rsidRDefault="009C6E1B" w:rsidP="009C6E1B">
      <w:pPr>
        <w:ind w:left="720"/>
        <w:rPr>
          <w:i/>
          <w:sz w:val="22"/>
          <w:szCs w:val="22"/>
          <w:lang w:val="en-US"/>
        </w:rPr>
      </w:pPr>
      <w:r w:rsidRPr="0000034B">
        <w:rPr>
          <w:i/>
          <w:sz w:val="22"/>
          <w:szCs w:val="22"/>
        </w:rPr>
        <w:t xml:space="preserve">               </w:t>
      </w:r>
      <w:r w:rsidRPr="00480263">
        <w:rPr>
          <w:i/>
          <w:sz w:val="22"/>
          <w:szCs w:val="22"/>
          <w:lang w:val="en-US"/>
        </w:rPr>
        <w:t>magnitude not zero, but less than 0,5 of a unit</w:t>
      </w:r>
    </w:p>
    <w:p w:rsidR="009C6E1B" w:rsidRPr="00023DB2" w:rsidRDefault="009C6E1B" w:rsidP="009C6E1B">
      <w:pPr>
        <w:spacing w:before="120"/>
        <w:rPr>
          <w:sz w:val="22"/>
          <w:szCs w:val="22"/>
        </w:rPr>
      </w:pPr>
      <w:r w:rsidRPr="00023DB2">
        <w:rPr>
          <w:sz w:val="22"/>
          <w:szCs w:val="22"/>
        </w:rPr>
        <w:t>Zero (0,0)</w:t>
      </w:r>
      <w:r w:rsidRPr="00023DB2">
        <w:rPr>
          <w:sz w:val="22"/>
          <w:szCs w:val="22"/>
        </w:rPr>
        <w:tab/>
        <w:t>- zjawisko istniało w wielkości mniejszej od 0,05</w:t>
      </w:r>
    </w:p>
    <w:p w:rsidR="009C6E1B" w:rsidRPr="00480263" w:rsidRDefault="009C6E1B" w:rsidP="009C6E1B">
      <w:pPr>
        <w:ind w:left="720" w:firstLine="720"/>
        <w:rPr>
          <w:i/>
          <w:sz w:val="22"/>
          <w:szCs w:val="22"/>
          <w:lang w:val="en-US"/>
        </w:rPr>
      </w:pPr>
      <w:r w:rsidRPr="00A54658">
        <w:rPr>
          <w:i/>
          <w:sz w:val="22"/>
          <w:szCs w:val="22"/>
        </w:rPr>
        <w:t xml:space="preserve">  </w:t>
      </w:r>
      <w:r w:rsidRPr="00480263">
        <w:rPr>
          <w:i/>
          <w:sz w:val="22"/>
          <w:szCs w:val="22"/>
          <w:lang w:val="en-US"/>
        </w:rPr>
        <w:t>magnitude not zero, but less than 0,05 of a unit</w:t>
      </w:r>
    </w:p>
    <w:p w:rsidR="009C6E1B" w:rsidRPr="00023DB2" w:rsidRDefault="009C6E1B" w:rsidP="009C6E1B">
      <w:pPr>
        <w:spacing w:before="120"/>
        <w:rPr>
          <w:sz w:val="22"/>
          <w:szCs w:val="22"/>
        </w:rPr>
      </w:pPr>
      <w:r w:rsidRPr="00023DB2">
        <w:rPr>
          <w:sz w:val="22"/>
          <w:szCs w:val="22"/>
        </w:rPr>
        <w:t>Znak  x</w:t>
      </w:r>
      <w:r w:rsidRPr="00023DB2">
        <w:rPr>
          <w:sz w:val="22"/>
          <w:szCs w:val="22"/>
        </w:rPr>
        <w:tab/>
      </w:r>
      <w:r>
        <w:rPr>
          <w:sz w:val="22"/>
          <w:szCs w:val="22"/>
        </w:rPr>
        <w:t xml:space="preserve">             - </w:t>
      </w:r>
      <w:r w:rsidRPr="00023DB2">
        <w:rPr>
          <w:sz w:val="22"/>
          <w:szCs w:val="22"/>
        </w:rPr>
        <w:t>wypełnienie pozycji jest niemożliwe lub niecelowe</w:t>
      </w:r>
    </w:p>
    <w:p w:rsidR="009C6E1B" w:rsidRPr="00023DB2" w:rsidRDefault="009C6E1B" w:rsidP="009C6E1B">
      <w:pPr>
        <w:ind w:left="720" w:firstLine="720"/>
        <w:rPr>
          <w:i/>
          <w:sz w:val="22"/>
          <w:szCs w:val="22"/>
        </w:rPr>
      </w:pPr>
      <w:r w:rsidRPr="00023DB2">
        <w:rPr>
          <w:i/>
          <w:sz w:val="22"/>
          <w:szCs w:val="22"/>
        </w:rPr>
        <w:t xml:space="preserve">  not applicable</w:t>
      </w:r>
    </w:p>
    <w:p w:rsidR="009C6E1B" w:rsidRPr="00023DB2" w:rsidRDefault="009C6E1B" w:rsidP="009C6E1B">
      <w:pPr>
        <w:spacing w:before="120"/>
        <w:rPr>
          <w:sz w:val="22"/>
          <w:szCs w:val="22"/>
        </w:rPr>
      </w:pPr>
      <w:r w:rsidRPr="00023DB2">
        <w:rPr>
          <w:sz w:val="22"/>
          <w:szCs w:val="22"/>
        </w:rPr>
        <w:t xml:space="preserve">Znak  </w:t>
      </w:r>
      <w:r w:rsidRPr="00960E8F">
        <w:rPr>
          <w:rFonts w:ascii="Symbol" w:hAnsi="Symbol"/>
          <w:sz w:val="22"/>
          <w:szCs w:val="22"/>
        </w:rPr>
        <w:t></w:t>
      </w:r>
      <w:r w:rsidRPr="00B301E5">
        <w:rPr>
          <w:rFonts w:ascii="Symbol" w:hAnsi="Symbol"/>
          <w:sz w:val="22"/>
          <w:szCs w:val="22"/>
        </w:rPr>
        <w:tab/>
      </w:r>
      <w:r>
        <w:rPr>
          <w:rFonts w:ascii="Symbol" w:hAnsi="Symbol"/>
          <w:sz w:val="22"/>
          <w:szCs w:val="22"/>
        </w:rPr>
        <w:tab/>
      </w:r>
      <w:r w:rsidRPr="00023DB2">
        <w:rPr>
          <w:sz w:val="22"/>
          <w:szCs w:val="22"/>
        </w:rPr>
        <w:t>- oznacza, że nazwy zostały skrócone w stosunku do</w:t>
      </w:r>
      <w:r w:rsidRPr="00B301E5">
        <w:rPr>
          <w:sz w:val="22"/>
          <w:szCs w:val="22"/>
        </w:rPr>
        <w:t xml:space="preserve"> </w:t>
      </w:r>
      <w:r w:rsidRPr="00023DB2">
        <w:rPr>
          <w:sz w:val="22"/>
          <w:szCs w:val="22"/>
        </w:rPr>
        <w:t>obowiązującej klasyfikacji;</w:t>
      </w:r>
      <w:r w:rsidRPr="00B301E5">
        <w:rPr>
          <w:sz w:val="22"/>
          <w:szCs w:val="22"/>
        </w:rPr>
        <w:t xml:space="preserve"> </w:t>
      </w:r>
      <w:r w:rsidRPr="00023DB2">
        <w:rPr>
          <w:sz w:val="22"/>
          <w:szCs w:val="22"/>
        </w:rPr>
        <w:t>ich pełne</w:t>
      </w:r>
    </w:p>
    <w:p w:rsidR="009C6E1B" w:rsidRPr="00023DB2" w:rsidRDefault="009C6E1B" w:rsidP="009C6E1B">
      <w:pPr>
        <w:ind w:left="720" w:firstLine="720"/>
        <w:rPr>
          <w:sz w:val="22"/>
          <w:szCs w:val="22"/>
        </w:rPr>
      </w:pPr>
      <w:r w:rsidRPr="00023DB2">
        <w:rPr>
          <w:sz w:val="22"/>
          <w:szCs w:val="22"/>
        </w:rPr>
        <w:t xml:space="preserve">  nazwy podano w</w:t>
      </w:r>
      <w:r>
        <w:rPr>
          <w:sz w:val="22"/>
          <w:szCs w:val="22"/>
        </w:rPr>
        <w:t xml:space="preserve"> </w:t>
      </w:r>
      <w:r w:rsidRPr="00023DB2">
        <w:rPr>
          <w:sz w:val="22"/>
          <w:szCs w:val="22"/>
        </w:rPr>
        <w:t>uwagac</w:t>
      </w:r>
      <w:r>
        <w:rPr>
          <w:sz w:val="22"/>
          <w:szCs w:val="22"/>
        </w:rPr>
        <w:t>h ogólnych do publikacji, ust. 3</w:t>
      </w:r>
      <w:r w:rsidR="000621F9">
        <w:rPr>
          <w:sz w:val="22"/>
          <w:szCs w:val="22"/>
        </w:rPr>
        <w:t>1</w:t>
      </w:r>
      <w:r w:rsidRPr="00023DB2">
        <w:rPr>
          <w:sz w:val="22"/>
          <w:szCs w:val="22"/>
        </w:rPr>
        <w:t xml:space="preserve"> na str. </w:t>
      </w:r>
      <w:r w:rsidR="001A4ED4">
        <w:rPr>
          <w:sz w:val="22"/>
          <w:szCs w:val="22"/>
        </w:rPr>
        <w:t>10</w:t>
      </w:r>
    </w:p>
    <w:p w:rsidR="009C6E1B" w:rsidRPr="00480263" w:rsidRDefault="009C6E1B" w:rsidP="009C6E1B">
      <w:pPr>
        <w:ind w:left="720" w:firstLine="720"/>
        <w:rPr>
          <w:i/>
          <w:sz w:val="22"/>
          <w:szCs w:val="22"/>
          <w:lang w:val="en-US"/>
        </w:rPr>
      </w:pPr>
      <w:r w:rsidRPr="002123CB">
        <w:rPr>
          <w:i/>
          <w:sz w:val="22"/>
          <w:szCs w:val="22"/>
        </w:rPr>
        <w:t xml:space="preserve">  </w:t>
      </w:r>
      <w:r w:rsidRPr="00480263">
        <w:rPr>
          <w:i/>
          <w:sz w:val="22"/>
          <w:szCs w:val="22"/>
          <w:lang w:val="en-US"/>
        </w:rPr>
        <w:t xml:space="preserve">categories of applied classification are presented in abbreviated form; their full </w:t>
      </w:r>
    </w:p>
    <w:p w:rsidR="009C6E1B" w:rsidRPr="00F21152" w:rsidRDefault="009C6E1B" w:rsidP="00F21152">
      <w:pPr>
        <w:ind w:left="720" w:firstLine="720"/>
        <w:rPr>
          <w:sz w:val="22"/>
          <w:szCs w:val="22"/>
          <w:lang w:val="en-US"/>
        </w:rPr>
      </w:pPr>
      <w:r w:rsidRPr="00480263">
        <w:rPr>
          <w:i/>
          <w:sz w:val="22"/>
          <w:szCs w:val="22"/>
          <w:lang w:val="en-US"/>
        </w:rPr>
        <w:t xml:space="preserve"> names</w:t>
      </w:r>
      <w:r w:rsidR="00F21152" w:rsidRPr="00F21152">
        <w:rPr>
          <w:i/>
          <w:sz w:val="22"/>
          <w:szCs w:val="22"/>
          <w:lang w:val="en-US"/>
        </w:rPr>
        <w:t xml:space="preserve"> </w:t>
      </w:r>
      <w:r w:rsidR="00F21152" w:rsidRPr="00480263">
        <w:rPr>
          <w:i/>
          <w:sz w:val="22"/>
          <w:szCs w:val="22"/>
          <w:lang w:val="en-US"/>
        </w:rPr>
        <w:t>are given in the general n</w:t>
      </w:r>
      <w:r w:rsidR="00F21152">
        <w:rPr>
          <w:i/>
          <w:sz w:val="22"/>
          <w:szCs w:val="22"/>
          <w:lang w:val="en-US"/>
        </w:rPr>
        <w:t>otes to the publication, item 3</w:t>
      </w:r>
      <w:r w:rsidR="000621F9">
        <w:rPr>
          <w:i/>
          <w:sz w:val="22"/>
          <w:szCs w:val="22"/>
          <w:lang w:val="en-US"/>
        </w:rPr>
        <w:t>1</w:t>
      </w:r>
      <w:r w:rsidR="00F21152">
        <w:rPr>
          <w:i/>
          <w:sz w:val="22"/>
          <w:szCs w:val="22"/>
          <w:lang w:val="en-US"/>
        </w:rPr>
        <w:t xml:space="preserve"> on page 1</w:t>
      </w:r>
      <w:r w:rsidR="001A4ED4">
        <w:rPr>
          <w:i/>
          <w:sz w:val="22"/>
          <w:szCs w:val="22"/>
          <w:lang w:val="en-US"/>
        </w:rPr>
        <w:t>5</w:t>
      </w:r>
    </w:p>
    <w:p w:rsidR="009C6E1B" w:rsidRPr="00480263" w:rsidRDefault="009C6E1B" w:rsidP="009C6E1B">
      <w:pPr>
        <w:ind w:left="720" w:firstLine="720"/>
        <w:jc w:val="both"/>
        <w:rPr>
          <w:i/>
          <w:sz w:val="22"/>
          <w:szCs w:val="22"/>
          <w:lang w:val="en-US"/>
        </w:rPr>
      </w:pPr>
    </w:p>
    <w:p w:rsidR="009C6E1B" w:rsidRPr="00B301E5" w:rsidRDefault="009C6E1B" w:rsidP="009C6E1B">
      <w:pPr>
        <w:rPr>
          <w:i/>
          <w:sz w:val="22"/>
          <w:szCs w:val="22"/>
        </w:rPr>
      </w:pPr>
      <w:r>
        <w:rPr>
          <w:sz w:val="22"/>
          <w:szCs w:val="22"/>
        </w:rPr>
        <w:t>Znak  #</w:t>
      </w:r>
      <w:r>
        <w:rPr>
          <w:sz w:val="22"/>
          <w:szCs w:val="22"/>
        </w:rPr>
        <w:tab/>
        <w:t xml:space="preserve">             - </w:t>
      </w:r>
      <w:r w:rsidRPr="00023DB2">
        <w:rPr>
          <w:sz w:val="22"/>
          <w:szCs w:val="22"/>
        </w:rPr>
        <w:t>oznacza, że dane nie mogą być opublikowane ze względu na konieczność zachowania</w:t>
      </w:r>
    </w:p>
    <w:p w:rsidR="009C6E1B" w:rsidRPr="00B301E5" w:rsidRDefault="009C6E1B" w:rsidP="009C6E1B">
      <w:pPr>
        <w:ind w:left="720" w:firstLine="720"/>
        <w:rPr>
          <w:sz w:val="22"/>
          <w:szCs w:val="22"/>
        </w:rPr>
      </w:pPr>
      <w:r w:rsidRPr="00023DB2">
        <w:rPr>
          <w:sz w:val="22"/>
          <w:szCs w:val="22"/>
        </w:rPr>
        <w:t xml:space="preserve">  tajemnicy statystycznej w rozumieniu</w:t>
      </w:r>
      <w:r>
        <w:rPr>
          <w:sz w:val="22"/>
          <w:szCs w:val="22"/>
        </w:rPr>
        <w:t xml:space="preserve"> </w:t>
      </w:r>
      <w:r w:rsidRPr="00B301E5">
        <w:rPr>
          <w:sz w:val="22"/>
          <w:szCs w:val="22"/>
        </w:rPr>
        <w:t>ustawy o statystyce publicznej</w:t>
      </w:r>
    </w:p>
    <w:p w:rsidR="009C6E1B" w:rsidRPr="00480263" w:rsidRDefault="009C6E1B" w:rsidP="009C6E1B">
      <w:pPr>
        <w:ind w:left="1560" w:hanging="120"/>
        <w:rPr>
          <w:i/>
          <w:sz w:val="22"/>
          <w:szCs w:val="22"/>
          <w:lang w:val="en-US"/>
        </w:rPr>
      </w:pPr>
      <w:r w:rsidRPr="0054655E">
        <w:rPr>
          <w:i/>
          <w:sz w:val="22"/>
          <w:szCs w:val="22"/>
        </w:rPr>
        <w:t xml:space="preserve">  </w:t>
      </w:r>
      <w:r w:rsidRPr="00480263">
        <w:rPr>
          <w:i/>
          <w:sz w:val="22"/>
          <w:szCs w:val="22"/>
          <w:lang w:val="en-US"/>
        </w:rPr>
        <w:t xml:space="preserve">data </w:t>
      </w:r>
      <w:r w:rsidR="00F01531">
        <w:rPr>
          <w:i/>
          <w:sz w:val="22"/>
          <w:szCs w:val="22"/>
          <w:lang w:val="en-US"/>
        </w:rPr>
        <w:t>should</w:t>
      </w:r>
      <w:r w:rsidRPr="00480263">
        <w:rPr>
          <w:i/>
          <w:sz w:val="22"/>
          <w:szCs w:val="22"/>
          <w:lang w:val="en-US"/>
        </w:rPr>
        <w:t xml:space="preserve"> not be published due to the necessity of maintai</w:t>
      </w:r>
      <w:r>
        <w:rPr>
          <w:i/>
          <w:sz w:val="22"/>
          <w:szCs w:val="22"/>
          <w:lang w:val="en-US"/>
        </w:rPr>
        <w:t>ni</w:t>
      </w:r>
      <w:r w:rsidRPr="00480263">
        <w:rPr>
          <w:i/>
          <w:sz w:val="22"/>
          <w:szCs w:val="22"/>
          <w:lang w:val="en-US"/>
        </w:rPr>
        <w:t xml:space="preserve">ng statistical confidentiality      </w:t>
      </w:r>
      <w:r w:rsidR="00D45CCD" w:rsidRPr="00480263">
        <w:rPr>
          <w:i/>
          <w:sz w:val="22"/>
          <w:szCs w:val="22"/>
          <w:lang w:val="en-US"/>
        </w:rPr>
        <w:t xml:space="preserve">in </w:t>
      </w:r>
      <w:r w:rsidRPr="00480263">
        <w:rPr>
          <w:i/>
          <w:sz w:val="22"/>
          <w:szCs w:val="22"/>
          <w:lang w:val="en-US"/>
        </w:rPr>
        <w:t>accordance with the Law of Public Statistics</w:t>
      </w:r>
    </w:p>
    <w:p w:rsidR="009C6E1B" w:rsidRPr="00480263" w:rsidRDefault="009C6E1B" w:rsidP="009C6E1B">
      <w:pPr>
        <w:jc w:val="both"/>
        <w:rPr>
          <w:sz w:val="22"/>
          <w:szCs w:val="22"/>
          <w:lang w:val="en-US"/>
        </w:rPr>
      </w:pPr>
    </w:p>
    <w:p w:rsidR="009C6E1B" w:rsidRPr="00023DB2" w:rsidRDefault="009C6E1B" w:rsidP="009C6E1B">
      <w:pPr>
        <w:jc w:val="both"/>
        <w:rPr>
          <w:sz w:val="22"/>
          <w:szCs w:val="22"/>
        </w:rPr>
      </w:pPr>
      <w:r w:rsidRPr="00023DB2">
        <w:rPr>
          <w:sz w:val="22"/>
          <w:szCs w:val="22"/>
        </w:rPr>
        <w:t>Znak  *</w:t>
      </w:r>
      <w:r w:rsidRPr="00023DB2">
        <w:rPr>
          <w:sz w:val="22"/>
          <w:szCs w:val="22"/>
        </w:rPr>
        <w:tab/>
      </w:r>
      <w:r w:rsidRPr="00023DB2">
        <w:rPr>
          <w:i/>
          <w:sz w:val="22"/>
          <w:szCs w:val="22"/>
        </w:rPr>
        <w:tab/>
        <w:t xml:space="preserve">- </w:t>
      </w:r>
      <w:r w:rsidRPr="00023DB2">
        <w:rPr>
          <w:sz w:val="22"/>
          <w:szCs w:val="22"/>
        </w:rPr>
        <w:t>oznacza, że dane zostały zmienione w stosunku do wcześniej opublikowanych</w:t>
      </w:r>
    </w:p>
    <w:p w:rsidR="009C6E1B" w:rsidRDefault="009C6E1B" w:rsidP="009C6E1B">
      <w:pPr>
        <w:jc w:val="both"/>
        <w:rPr>
          <w:i/>
          <w:sz w:val="22"/>
          <w:szCs w:val="22"/>
        </w:rPr>
      </w:pPr>
      <w:r w:rsidRPr="00023DB2">
        <w:rPr>
          <w:sz w:val="22"/>
          <w:szCs w:val="22"/>
        </w:rPr>
        <w:tab/>
      </w:r>
      <w:r w:rsidRPr="00023DB2">
        <w:rPr>
          <w:sz w:val="22"/>
          <w:szCs w:val="22"/>
        </w:rPr>
        <w:tab/>
      </w:r>
      <w:r w:rsidRPr="00023DB2">
        <w:rPr>
          <w:i/>
          <w:sz w:val="22"/>
          <w:szCs w:val="22"/>
        </w:rPr>
        <w:t xml:space="preserve">  </w:t>
      </w:r>
      <w:r>
        <w:rPr>
          <w:i/>
          <w:sz w:val="22"/>
          <w:szCs w:val="22"/>
        </w:rPr>
        <w:t xml:space="preserve"> </w:t>
      </w:r>
      <w:r w:rsidRPr="00023DB2">
        <w:rPr>
          <w:i/>
          <w:sz w:val="22"/>
          <w:szCs w:val="22"/>
        </w:rPr>
        <w:t>data revised</w:t>
      </w:r>
    </w:p>
    <w:p w:rsidR="009C6E1B" w:rsidRPr="00044E57" w:rsidRDefault="00BB6606" w:rsidP="009C6E1B">
      <w:pPr>
        <w:spacing w:before="120"/>
        <w:jc w:val="both"/>
        <w:rPr>
          <w:sz w:val="22"/>
        </w:rPr>
      </w:pPr>
      <w:r w:rsidRPr="00044E57">
        <w:rPr>
          <w:sz w:val="22"/>
        </w:rPr>
        <w:t>"w tym</w:t>
      </w:r>
      <w:r>
        <w:rPr>
          <w:sz w:val="22"/>
          <w:szCs w:val="22"/>
        </w:rPr>
        <w:t>"</w:t>
      </w:r>
      <w:r w:rsidRPr="00044E57">
        <w:rPr>
          <w:sz w:val="22"/>
          <w:szCs w:val="22"/>
        </w:rPr>
        <w:t xml:space="preserve"> </w:t>
      </w:r>
      <w:r>
        <w:rPr>
          <w:sz w:val="22"/>
        </w:rPr>
        <w:t xml:space="preserve">           </w:t>
      </w:r>
      <w:r w:rsidR="009C6E1B">
        <w:rPr>
          <w:sz w:val="22"/>
        </w:rPr>
        <w:t xml:space="preserve"> </w:t>
      </w:r>
      <w:r w:rsidR="009C6E1B" w:rsidRPr="00044E57">
        <w:rPr>
          <w:sz w:val="22"/>
        </w:rPr>
        <w:t>- oznacza</w:t>
      </w:r>
      <w:r>
        <w:rPr>
          <w:sz w:val="22"/>
        </w:rPr>
        <w:t xml:space="preserve">, że </w:t>
      </w:r>
      <w:r w:rsidR="009C6E1B" w:rsidRPr="00044E57">
        <w:rPr>
          <w:sz w:val="22"/>
        </w:rPr>
        <w:t>nie podaje się wszystkich składników sumy</w:t>
      </w:r>
    </w:p>
    <w:p w:rsidR="009C6E1B" w:rsidRPr="00480263" w:rsidRDefault="00BB6606" w:rsidP="009C6E1B">
      <w:pPr>
        <w:jc w:val="both"/>
        <w:rPr>
          <w:i/>
          <w:sz w:val="22"/>
          <w:szCs w:val="22"/>
          <w:lang w:val="en-US"/>
        </w:rPr>
      </w:pPr>
      <w:r>
        <w:rPr>
          <w:i/>
          <w:sz w:val="22"/>
          <w:lang w:val="en-US"/>
        </w:rPr>
        <w:t>of which</w:t>
      </w:r>
      <w:r w:rsidRPr="00480263">
        <w:rPr>
          <w:i/>
          <w:sz w:val="22"/>
          <w:lang w:val="en-US"/>
        </w:rPr>
        <w:t xml:space="preserve"> </w:t>
      </w:r>
      <w:r w:rsidR="009C6E1B" w:rsidRPr="00BB6606">
        <w:rPr>
          <w:i/>
          <w:sz w:val="22"/>
          <w:lang w:val="en-US"/>
        </w:rPr>
        <w:t xml:space="preserve">              </w:t>
      </w:r>
      <w:r>
        <w:rPr>
          <w:i/>
          <w:sz w:val="22"/>
          <w:lang w:val="en-US"/>
        </w:rPr>
        <w:t xml:space="preserve">indicates </w:t>
      </w:r>
      <w:r w:rsidR="009C6E1B" w:rsidRPr="00480263">
        <w:rPr>
          <w:i/>
          <w:sz w:val="22"/>
          <w:lang w:val="en-US"/>
        </w:rPr>
        <w:t>that not all elements of the sum are given</w:t>
      </w:r>
    </w:p>
    <w:p w:rsidR="009C6E1B" w:rsidRPr="00480263" w:rsidRDefault="009C6E1B" w:rsidP="009C6E1B">
      <w:pPr>
        <w:spacing w:before="120"/>
        <w:jc w:val="both"/>
        <w:rPr>
          <w:i/>
          <w:sz w:val="22"/>
          <w:szCs w:val="22"/>
          <w:lang w:val="en-US"/>
        </w:rPr>
      </w:pPr>
      <w:r w:rsidRPr="00480263">
        <w:rPr>
          <w:i/>
          <w:sz w:val="22"/>
          <w:szCs w:val="22"/>
          <w:lang w:val="en-US"/>
        </w:rPr>
        <w:t xml:space="preserve">Comma (,)        - </w:t>
      </w:r>
      <w:r w:rsidR="00084680">
        <w:rPr>
          <w:i/>
          <w:sz w:val="22"/>
          <w:szCs w:val="22"/>
          <w:lang w:val="en-US"/>
        </w:rPr>
        <w:t xml:space="preserve"> </w:t>
      </w:r>
      <w:r w:rsidRPr="00480263">
        <w:rPr>
          <w:i/>
          <w:sz w:val="22"/>
          <w:szCs w:val="22"/>
          <w:lang w:val="en-US"/>
        </w:rPr>
        <w:t>used in figures represents the decimal point</w:t>
      </w:r>
    </w:p>
    <w:p w:rsidR="009C6E1B" w:rsidRPr="00480263" w:rsidRDefault="009C6E1B" w:rsidP="00CF3637">
      <w:pPr>
        <w:tabs>
          <w:tab w:val="left" w:pos="2205"/>
        </w:tabs>
        <w:rPr>
          <w:lang w:val="en-US"/>
        </w:rPr>
      </w:pPr>
      <w:r w:rsidRPr="00480263">
        <w:rPr>
          <w:lang w:val="en-US"/>
        </w:rPr>
        <w:tab/>
      </w:r>
    </w:p>
    <w:p w:rsidR="00D8669E" w:rsidRPr="0054655E" w:rsidRDefault="00D8669E" w:rsidP="009C6E1B">
      <w:pPr>
        <w:pStyle w:val="Nagwek4"/>
        <w:rPr>
          <w:rFonts w:ascii="Times New Roman" w:hAnsi="Times New Roman"/>
          <w:b/>
        </w:rPr>
      </w:pPr>
    </w:p>
    <w:p w:rsidR="00D8669E" w:rsidRPr="0054655E" w:rsidRDefault="00D8669E" w:rsidP="009C6E1B">
      <w:pPr>
        <w:pStyle w:val="Nagwek4"/>
        <w:rPr>
          <w:rFonts w:ascii="Times New Roman" w:hAnsi="Times New Roman"/>
          <w:b/>
        </w:rPr>
      </w:pPr>
    </w:p>
    <w:p w:rsidR="009C6E1B" w:rsidRPr="00023DB2" w:rsidRDefault="009C6E1B" w:rsidP="009C6E1B">
      <w:pPr>
        <w:pStyle w:val="Nagwek4"/>
        <w:rPr>
          <w:rFonts w:ascii="Times New Roman" w:hAnsi="Times New Roman"/>
          <w:b/>
          <w:lang w:val="pl-PL"/>
        </w:rPr>
      </w:pPr>
      <w:r w:rsidRPr="00023DB2">
        <w:rPr>
          <w:rFonts w:ascii="Times New Roman" w:hAnsi="Times New Roman"/>
          <w:b/>
          <w:lang w:val="pl-PL"/>
        </w:rPr>
        <w:t>Ważniejsze skróty</w:t>
      </w:r>
    </w:p>
    <w:p w:rsidR="009C6E1B" w:rsidRDefault="009C6E1B" w:rsidP="009C6E1B">
      <w:pPr>
        <w:pStyle w:val="Nagwek2"/>
        <w:rPr>
          <w:rFonts w:ascii="Times New Roman" w:hAnsi="Times New Roman"/>
          <w:b/>
          <w:lang w:val="pl-PL"/>
        </w:rPr>
      </w:pPr>
      <w:r w:rsidRPr="00023DB2">
        <w:rPr>
          <w:rFonts w:ascii="Times New Roman" w:hAnsi="Times New Roman"/>
          <w:b/>
          <w:lang w:val="pl-PL"/>
        </w:rPr>
        <w:t>Major abbreviations</w:t>
      </w:r>
    </w:p>
    <w:p w:rsidR="000A5563" w:rsidRPr="000A5563" w:rsidRDefault="000A5563" w:rsidP="000A5563">
      <w:pPr>
        <w:rPr>
          <w:lang w:eastAsia="x-none"/>
        </w:rPr>
      </w:pPr>
    </w:p>
    <w:tbl>
      <w:tblPr>
        <w:tblW w:w="9921" w:type="dxa"/>
        <w:tblLook w:val="04A0" w:firstRow="1" w:lastRow="0" w:firstColumn="1" w:lastColumn="0" w:noHBand="0" w:noVBand="1"/>
      </w:tblPr>
      <w:tblGrid>
        <w:gridCol w:w="2948"/>
        <w:gridCol w:w="3685"/>
        <w:gridCol w:w="3288"/>
      </w:tblGrid>
      <w:tr w:rsidR="00742EC0" w:rsidTr="00742EC0">
        <w:trPr>
          <w:trHeight w:val="624"/>
        </w:trPr>
        <w:tc>
          <w:tcPr>
            <w:tcW w:w="2948" w:type="dxa"/>
            <w:shd w:val="clear" w:color="auto" w:fill="auto"/>
          </w:tcPr>
          <w:p w:rsidR="00427749" w:rsidRPr="00742EC0" w:rsidRDefault="00427749" w:rsidP="00427749">
            <w:pPr>
              <w:rPr>
                <w:sz w:val="22"/>
              </w:rPr>
            </w:pPr>
            <w:r w:rsidRPr="00742EC0">
              <w:rPr>
                <w:sz w:val="22"/>
              </w:rPr>
              <w:t xml:space="preserve">tys. </w:t>
            </w:r>
            <w:r w:rsidRPr="00742EC0">
              <w:rPr>
                <w:sz w:val="22"/>
              </w:rPr>
              <w:tab/>
              <w:t>= tysiąc</w:t>
            </w:r>
          </w:p>
          <w:p w:rsidR="00427749" w:rsidRDefault="00427749" w:rsidP="00427749">
            <w:pPr>
              <w:rPr>
                <w:lang w:eastAsia="x-none"/>
              </w:rPr>
            </w:pPr>
            <w:r w:rsidRPr="00742EC0">
              <w:rPr>
                <w:i/>
                <w:sz w:val="22"/>
                <w:lang w:val="en-US"/>
              </w:rPr>
              <w:t>thous.</w:t>
            </w:r>
            <w:r w:rsidRPr="00742EC0">
              <w:rPr>
                <w:i/>
                <w:sz w:val="22"/>
                <w:lang w:val="en-US"/>
              </w:rPr>
              <w:tab/>
              <w:t xml:space="preserve">   thousand</w:t>
            </w:r>
          </w:p>
        </w:tc>
        <w:tc>
          <w:tcPr>
            <w:tcW w:w="3685" w:type="dxa"/>
            <w:shd w:val="clear" w:color="auto" w:fill="auto"/>
          </w:tcPr>
          <w:p w:rsidR="00427749" w:rsidRPr="00742EC0" w:rsidRDefault="00427749" w:rsidP="00427749">
            <w:pPr>
              <w:rPr>
                <w:sz w:val="22"/>
              </w:rPr>
            </w:pPr>
            <w:r w:rsidRPr="00742EC0">
              <w:rPr>
                <w:sz w:val="22"/>
              </w:rPr>
              <w:t>t</w:t>
            </w:r>
            <w:r w:rsidRPr="00742EC0">
              <w:rPr>
                <w:sz w:val="22"/>
              </w:rPr>
              <w:tab/>
              <w:t>= tona</w:t>
            </w:r>
          </w:p>
          <w:p w:rsidR="00427749" w:rsidRDefault="00427749" w:rsidP="00427749">
            <w:pPr>
              <w:rPr>
                <w:lang w:eastAsia="x-none"/>
              </w:rPr>
            </w:pPr>
            <w:r w:rsidRPr="00742EC0">
              <w:rPr>
                <w:i/>
                <w:sz w:val="22"/>
              </w:rPr>
              <w:t xml:space="preserve">                tonne</w:t>
            </w:r>
          </w:p>
        </w:tc>
        <w:tc>
          <w:tcPr>
            <w:tcW w:w="3288" w:type="dxa"/>
            <w:shd w:val="clear" w:color="auto" w:fill="auto"/>
          </w:tcPr>
          <w:p w:rsidR="00427749" w:rsidRPr="00742EC0" w:rsidRDefault="00427749" w:rsidP="00427749">
            <w:pPr>
              <w:rPr>
                <w:sz w:val="22"/>
              </w:rPr>
            </w:pPr>
            <w:r w:rsidRPr="00742EC0">
              <w:rPr>
                <w:sz w:val="22"/>
              </w:rPr>
              <w:t>hl          = hektolitr</w:t>
            </w:r>
          </w:p>
          <w:p w:rsidR="00427749" w:rsidRDefault="00427749" w:rsidP="00427749">
            <w:pPr>
              <w:rPr>
                <w:lang w:eastAsia="x-none"/>
              </w:rPr>
            </w:pPr>
            <w:r>
              <w:rPr>
                <w:lang w:eastAsia="x-none"/>
              </w:rPr>
              <w:t xml:space="preserve">               </w:t>
            </w:r>
            <w:r w:rsidRPr="00742EC0">
              <w:rPr>
                <w:i/>
                <w:sz w:val="22"/>
              </w:rPr>
              <w:t>hectolitre</w:t>
            </w:r>
          </w:p>
        </w:tc>
      </w:tr>
      <w:tr w:rsidR="00742EC0" w:rsidTr="00742EC0">
        <w:trPr>
          <w:trHeight w:val="624"/>
        </w:trPr>
        <w:tc>
          <w:tcPr>
            <w:tcW w:w="2948" w:type="dxa"/>
            <w:shd w:val="clear" w:color="auto" w:fill="auto"/>
          </w:tcPr>
          <w:p w:rsidR="00427749" w:rsidRPr="00742EC0" w:rsidRDefault="00427749" w:rsidP="00427749">
            <w:pPr>
              <w:rPr>
                <w:sz w:val="22"/>
              </w:rPr>
            </w:pPr>
            <w:r w:rsidRPr="00742EC0">
              <w:rPr>
                <w:sz w:val="22"/>
              </w:rPr>
              <w:t>mln</w:t>
            </w:r>
            <w:r w:rsidRPr="00742EC0">
              <w:rPr>
                <w:sz w:val="22"/>
              </w:rPr>
              <w:tab/>
              <w:t>= milion</w:t>
            </w:r>
          </w:p>
          <w:p w:rsidR="00427749" w:rsidRDefault="00427749" w:rsidP="00427749">
            <w:pPr>
              <w:rPr>
                <w:lang w:eastAsia="x-none"/>
              </w:rPr>
            </w:pPr>
            <w:r w:rsidRPr="00742EC0">
              <w:rPr>
                <w:i/>
                <w:sz w:val="22"/>
                <w:lang w:val="en-US"/>
              </w:rPr>
              <w:t xml:space="preserve">                million</w:t>
            </w:r>
          </w:p>
        </w:tc>
        <w:tc>
          <w:tcPr>
            <w:tcW w:w="3685" w:type="dxa"/>
            <w:shd w:val="clear" w:color="auto" w:fill="auto"/>
          </w:tcPr>
          <w:p w:rsidR="00427749" w:rsidRPr="00742EC0" w:rsidRDefault="00427749" w:rsidP="00427749">
            <w:pPr>
              <w:rPr>
                <w:sz w:val="22"/>
              </w:rPr>
            </w:pPr>
            <w:r w:rsidRPr="00742EC0">
              <w:rPr>
                <w:sz w:val="22"/>
              </w:rPr>
              <w:t>km        = kilometr</w:t>
            </w:r>
          </w:p>
          <w:p w:rsidR="00427749" w:rsidRDefault="00427749" w:rsidP="00427749">
            <w:pPr>
              <w:rPr>
                <w:lang w:eastAsia="x-none"/>
              </w:rPr>
            </w:pPr>
            <w:r w:rsidRPr="00742EC0">
              <w:rPr>
                <w:i/>
                <w:sz w:val="22"/>
              </w:rPr>
              <w:t xml:space="preserve">                kilometre</w:t>
            </w:r>
          </w:p>
        </w:tc>
        <w:tc>
          <w:tcPr>
            <w:tcW w:w="3288" w:type="dxa"/>
            <w:shd w:val="clear" w:color="auto" w:fill="auto"/>
          </w:tcPr>
          <w:p w:rsidR="00427749" w:rsidRPr="00742EC0" w:rsidRDefault="00427749" w:rsidP="00427749">
            <w:pPr>
              <w:rPr>
                <w:sz w:val="22"/>
              </w:rPr>
            </w:pPr>
            <w:r w:rsidRPr="00742EC0">
              <w:rPr>
                <w:sz w:val="22"/>
              </w:rPr>
              <w:t>dam</w:t>
            </w:r>
            <w:r w:rsidRPr="00742EC0">
              <w:rPr>
                <w:sz w:val="22"/>
                <w:vertAlign w:val="superscript"/>
              </w:rPr>
              <w:t>3</w:t>
            </w:r>
            <w:r w:rsidRPr="00742EC0">
              <w:rPr>
                <w:sz w:val="22"/>
              </w:rPr>
              <w:t xml:space="preserve">     = dekametr sześcienny</w:t>
            </w:r>
          </w:p>
          <w:p w:rsidR="00427749" w:rsidRDefault="00427749" w:rsidP="00427749">
            <w:pPr>
              <w:rPr>
                <w:lang w:eastAsia="x-none"/>
              </w:rPr>
            </w:pPr>
            <w:r w:rsidRPr="00742EC0">
              <w:rPr>
                <w:i/>
                <w:sz w:val="22"/>
              </w:rPr>
              <w:t xml:space="preserve">                cubic decametre</w:t>
            </w:r>
          </w:p>
        </w:tc>
      </w:tr>
      <w:tr w:rsidR="00742EC0" w:rsidTr="00742EC0">
        <w:trPr>
          <w:trHeight w:val="624"/>
        </w:trPr>
        <w:tc>
          <w:tcPr>
            <w:tcW w:w="2948" w:type="dxa"/>
            <w:shd w:val="clear" w:color="auto" w:fill="auto"/>
          </w:tcPr>
          <w:p w:rsidR="00427749" w:rsidRPr="00742EC0" w:rsidRDefault="00427749" w:rsidP="00427749">
            <w:pPr>
              <w:rPr>
                <w:sz w:val="22"/>
              </w:rPr>
            </w:pPr>
            <w:r w:rsidRPr="00742EC0">
              <w:rPr>
                <w:sz w:val="22"/>
              </w:rPr>
              <w:t>mld</w:t>
            </w:r>
            <w:r w:rsidRPr="00742EC0">
              <w:rPr>
                <w:sz w:val="22"/>
              </w:rPr>
              <w:tab/>
              <w:t>= miliard</w:t>
            </w:r>
          </w:p>
          <w:p w:rsidR="00427749" w:rsidRDefault="00427749" w:rsidP="00427749">
            <w:pPr>
              <w:rPr>
                <w:lang w:eastAsia="x-none"/>
              </w:rPr>
            </w:pPr>
            <w:r w:rsidRPr="00742EC0">
              <w:rPr>
                <w:i/>
                <w:sz w:val="22"/>
              </w:rPr>
              <w:t>bn</w:t>
            </w:r>
            <w:r w:rsidRPr="00742EC0">
              <w:rPr>
                <w:i/>
                <w:sz w:val="22"/>
              </w:rPr>
              <w:tab/>
              <w:t xml:space="preserve">   billion</w:t>
            </w:r>
          </w:p>
        </w:tc>
        <w:tc>
          <w:tcPr>
            <w:tcW w:w="3685" w:type="dxa"/>
            <w:shd w:val="clear" w:color="auto" w:fill="auto"/>
          </w:tcPr>
          <w:p w:rsidR="00427749" w:rsidRPr="00742EC0" w:rsidRDefault="00427749" w:rsidP="00427749">
            <w:pPr>
              <w:rPr>
                <w:sz w:val="22"/>
              </w:rPr>
            </w:pPr>
            <w:r w:rsidRPr="00742EC0">
              <w:rPr>
                <w:sz w:val="22"/>
              </w:rPr>
              <w:t>m</w:t>
            </w:r>
            <w:r w:rsidRPr="00742EC0">
              <w:rPr>
                <w:sz w:val="22"/>
                <w:vertAlign w:val="superscript"/>
              </w:rPr>
              <w:t>2</w:t>
            </w:r>
            <w:r w:rsidRPr="00742EC0">
              <w:rPr>
                <w:sz w:val="22"/>
              </w:rPr>
              <w:t xml:space="preserve">        = metr kwadratowy</w:t>
            </w:r>
          </w:p>
          <w:p w:rsidR="00427749" w:rsidRDefault="00427749" w:rsidP="00427749">
            <w:pPr>
              <w:rPr>
                <w:lang w:eastAsia="x-none"/>
              </w:rPr>
            </w:pPr>
            <w:r w:rsidRPr="00742EC0">
              <w:rPr>
                <w:sz w:val="22"/>
              </w:rPr>
              <w:t xml:space="preserve">               </w:t>
            </w:r>
            <w:r w:rsidRPr="00742EC0">
              <w:rPr>
                <w:i/>
                <w:sz w:val="22"/>
              </w:rPr>
              <w:t>square metre</w:t>
            </w:r>
          </w:p>
        </w:tc>
        <w:tc>
          <w:tcPr>
            <w:tcW w:w="3288" w:type="dxa"/>
            <w:shd w:val="clear" w:color="auto" w:fill="auto"/>
          </w:tcPr>
          <w:p w:rsidR="00427749" w:rsidRPr="00742EC0" w:rsidRDefault="00427749" w:rsidP="00427749">
            <w:pPr>
              <w:rPr>
                <w:sz w:val="22"/>
              </w:rPr>
            </w:pPr>
            <w:r w:rsidRPr="00742EC0">
              <w:rPr>
                <w:sz w:val="22"/>
              </w:rPr>
              <w:t>hm</w:t>
            </w:r>
            <w:r w:rsidRPr="00742EC0">
              <w:rPr>
                <w:sz w:val="22"/>
                <w:vertAlign w:val="superscript"/>
              </w:rPr>
              <w:t>3</w:t>
            </w:r>
            <w:r w:rsidRPr="00742EC0">
              <w:rPr>
                <w:sz w:val="22"/>
              </w:rPr>
              <w:t xml:space="preserve">      = hektometr sześcienny</w:t>
            </w:r>
          </w:p>
          <w:p w:rsidR="00427749" w:rsidRDefault="00427749" w:rsidP="00427749">
            <w:pPr>
              <w:rPr>
                <w:lang w:eastAsia="x-none"/>
              </w:rPr>
            </w:pPr>
            <w:r w:rsidRPr="00742EC0">
              <w:rPr>
                <w:i/>
                <w:sz w:val="22"/>
              </w:rPr>
              <w:t xml:space="preserve">               cubic hectometre</w:t>
            </w:r>
          </w:p>
        </w:tc>
      </w:tr>
      <w:tr w:rsidR="00742EC0" w:rsidTr="00742EC0">
        <w:trPr>
          <w:trHeight w:val="624"/>
        </w:trPr>
        <w:tc>
          <w:tcPr>
            <w:tcW w:w="2948" w:type="dxa"/>
            <w:shd w:val="clear" w:color="auto" w:fill="auto"/>
          </w:tcPr>
          <w:p w:rsidR="00427749" w:rsidRPr="00742EC0" w:rsidRDefault="00427749" w:rsidP="00427749">
            <w:pPr>
              <w:rPr>
                <w:sz w:val="22"/>
              </w:rPr>
            </w:pPr>
            <w:r w:rsidRPr="00742EC0">
              <w:rPr>
                <w:sz w:val="22"/>
              </w:rPr>
              <w:t>zł</w:t>
            </w:r>
            <w:r w:rsidRPr="00742EC0">
              <w:rPr>
                <w:sz w:val="22"/>
              </w:rPr>
              <w:tab/>
              <w:t>= złoty</w:t>
            </w:r>
          </w:p>
          <w:p w:rsidR="00427749" w:rsidRDefault="00427749" w:rsidP="00427749">
            <w:pPr>
              <w:rPr>
                <w:lang w:eastAsia="x-none"/>
              </w:rPr>
            </w:pPr>
            <w:r w:rsidRPr="00742EC0">
              <w:rPr>
                <w:i/>
                <w:sz w:val="22"/>
              </w:rPr>
              <w:t>zl</w:t>
            </w:r>
            <w:r w:rsidRPr="00742EC0">
              <w:rPr>
                <w:i/>
                <w:sz w:val="22"/>
              </w:rPr>
              <w:tab/>
              <w:t xml:space="preserve">   zloty</w:t>
            </w:r>
          </w:p>
        </w:tc>
        <w:tc>
          <w:tcPr>
            <w:tcW w:w="3685" w:type="dxa"/>
            <w:shd w:val="clear" w:color="auto" w:fill="auto"/>
          </w:tcPr>
          <w:p w:rsidR="00427749" w:rsidRPr="00742EC0" w:rsidRDefault="00427749" w:rsidP="00427749">
            <w:pPr>
              <w:rPr>
                <w:sz w:val="22"/>
              </w:rPr>
            </w:pPr>
            <w:r w:rsidRPr="00742EC0">
              <w:rPr>
                <w:sz w:val="22"/>
              </w:rPr>
              <w:t>km</w:t>
            </w:r>
            <w:r w:rsidRPr="00742EC0">
              <w:rPr>
                <w:sz w:val="22"/>
                <w:vertAlign w:val="superscript"/>
              </w:rPr>
              <w:t>2</w:t>
            </w:r>
            <w:r w:rsidRPr="00742EC0">
              <w:rPr>
                <w:sz w:val="22"/>
              </w:rPr>
              <w:t xml:space="preserve">      = kilometr kwadratowy</w:t>
            </w:r>
          </w:p>
          <w:p w:rsidR="00427749" w:rsidRPr="00742EC0" w:rsidRDefault="00427749" w:rsidP="00427749">
            <w:pPr>
              <w:rPr>
                <w:i/>
                <w:lang w:eastAsia="x-none"/>
              </w:rPr>
            </w:pPr>
            <w:r>
              <w:rPr>
                <w:lang w:eastAsia="x-none"/>
              </w:rPr>
              <w:t xml:space="preserve">              </w:t>
            </w:r>
            <w:r w:rsidRPr="00742EC0">
              <w:rPr>
                <w:i/>
                <w:lang w:eastAsia="x-none"/>
              </w:rPr>
              <w:t xml:space="preserve">square </w:t>
            </w:r>
            <w:r w:rsidRPr="00742EC0">
              <w:rPr>
                <w:i/>
                <w:sz w:val="22"/>
              </w:rPr>
              <w:t>kilometre</w:t>
            </w:r>
          </w:p>
        </w:tc>
        <w:tc>
          <w:tcPr>
            <w:tcW w:w="3288" w:type="dxa"/>
            <w:shd w:val="clear" w:color="auto" w:fill="auto"/>
          </w:tcPr>
          <w:p w:rsidR="00427749" w:rsidRPr="00742EC0" w:rsidRDefault="00427749" w:rsidP="00427749">
            <w:pPr>
              <w:rPr>
                <w:sz w:val="22"/>
              </w:rPr>
            </w:pPr>
            <w:r w:rsidRPr="00742EC0">
              <w:rPr>
                <w:sz w:val="22"/>
              </w:rPr>
              <w:t>MW     = megawat</w:t>
            </w:r>
          </w:p>
          <w:p w:rsidR="00427749" w:rsidRDefault="00427749" w:rsidP="00427749">
            <w:pPr>
              <w:rPr>
                <w:lang w:eastAsia="x-none"/>
              </w:rPr>
            </w:pPr>
            <w:r w:rsidRPr="00742EC0">
              <w:rPr>
                <w:i/>
                <w:sz w:val="22"/>
                <w:lang w:val="en-US"/>
              </w:rPr>
              <w:t xml:space="preserve">               megawatt</w:t>
            </w:r>
          </w:p>
        </w:tc>
      </w:tr>
      <w:tr w:rsidR="00742EC0" w:rsidTr="00742EC0">
        <w:trPr>
          <w:trHeight w:val="624"/>
        </w:trPr>
        <w:tc>
          <w:tcPr>
            <w:tcW w:w="2948" w:type="dxa"/>
            <w:shd w:val="clear" w:color="auto" w:fill="auto"/>
          </w:tcPr>
          <w:p w:rsidR="00427749" w:rsidRPr="00742EC0" w:rsidRDefault="00427749" w:rsidP="00427749">
            <w:pPr>
              <w:rPr>
                <w:sz w:val="22"/>
              </w:rPr>
            </w:pPr>
            <w:r w:rsidRPr="00742EC0">
              <w:rPr>
                <w:sz w:val="22"/>
              </w:rPr>
              <w:t>szt.</w:t>
            </w:r>
            <w:r w:rsidRPr="00742EC0">
              <w:rPr>
                <w:sz w:val="22"/>
              </w:rPr>
              <w:tab/>
              <w:t>= sztuka</w:t>
            </w:r>
          </w:p>
          <w:p w:rsidR="00427749" w:rsidRDefault="00427749" w:rsidP="00427749">
            <w:pPr>
              <w:rPr>
                <w:lang w:eastAsia="x-none"/>
              </w:rPr>
            </w:pPr>
            <w:r w:rsidRPr="00742EC0">
              <w:rPr>
                <w:i/>
                <w:sz w:val="22"/>
              </w:rPr>
              <w:t xml:space="preserve">                </w:t>
            </w:r>
            <w:r w:rsidRPr="00742EC0">
              <w:rPr>
                <w:i/>
                <w:sz w:val="22"/>
                <w:lang w:val="en-US"/>
              </w:rPr>
              <w:t>unit</w:t>
            </w:r>
          </w:p>
        </w:tc>
        <w:tc>
          <w:tcPr>
            <w:tcW w:w="3685" w:type="dxa"/>
            <w:shd w:val="clear" w:color="auto" w:fill="auto"/>
          </w:tcPr>
          <w:p w:rsidR="00427749" w:rsidRPr="00742EC0" w:rsidRDefault="00427749" w:rsidP="00427749">
            <w:pPr>
              <w:rPr>
                <w:sz w:val="22"/>
              </w:rPr>
            </w:pPr>
            <w:r w:rsidRPr="00742EC0">
              <w:rPr>
                <w:sz w:val="22"/>
              </w:rPr>
              <w:t>l            = litr</w:t>
            </w:r>
          </w:p>
          <w:p w:rsidR="00427749" w:rsidRDefault="00427749" w:rsidP="00427749">
            <w:pPr>
              <w:rPr>
                <w:lang w:eastAsia="x-none"/>
              </w:rPr>
            </w:pPr>
            <w:r w:rsidRPr="00742EC0">
              <w:rPr>
                <w:i/>
                <w:sz w:val="22"/>
              </w:rPr>
              <w:t xml:space="preserve">                litre</w:t>
            </w:r>
          </w:p>
        </w:tc>
        <w:tc>
          <w:tcPr>
            <w:tcW w:w="3288" w:type="dxa"/>
            <w:shd w:val="clear" w:color="auto" w:fill="auto"/>
          </w:tcPr>
          <w:p w:rsidR="00427749" w:rsidRPr="00742EC0" w:rsidRDefault="00427749" w:rsidP="00427749">
            <w:pPr>
              <w:rPr>
                <w:sz w:val="22"/>
              </w:rPr>
            </w:pPr>
            <w:r w:rsidRPr="00742EC0">
              <w:rPr>
                <w:sz w:val="22"/>
              </w:rPr>
              <w:t>GW·h  = gigawatogodzina</w:t>
            </w:r>
          </w:p>
          <w:p w:rsidR="00427749" w:rsidRDefault="00427749" w:rsidP="00427749">
            <w:pPr>
              <w:rPr>
                <w:lang w:eastAsia="x-none"/>
              </w:rPr>
            </w:pPr>
            <w:r w:rsidRPr="00742EC0">
              <w:rPr>
                <w:i/>
                <w:sz w:val="22"/>
              </w:rPr>
              <w:t xml:space="preserve">               gigawatt hour</w:t>
            </w:r>
          </w:p>
        </w:tc>
      </w:tr>
    </w:tbl>
    <w:p w:rsidR="000A5563" w:rsidRDefault="000A5563" w:rsidP="000A5563">
      <w:pPr>
        <w:rPr>
          <w:lang w:eastAsia="x-none"/>
        </w:rPr>
      </w:pPr>
    </w:p>
    <w:p w:rsidR="000C1A95" w:rsidRDefault="000C1A95" w:rsidP="000A5563">
      <w:pPr>
        <w:rPr>
          <w:lang w:eastAsia="x-none"/>
        </w:rPr>
      </w:pPr>
    </w:p>
    <w:p w:rsidR="000C1A95" w:rsidRPr="000A5563" w:rsidRDefault="000C1A95" w:rsidP="000A5563">
      <w:pPr>
        <w:rPr>
          <w:lang w:eastAsia="x-none"/>
        </w:rPr>
      </w:pPr>
    </w:p>
    <w:p w:rsidR="00F21152" w:rsidRDefault="00F21152" w:rsidP="009C6E1B">
      <w:pPr>
        <w:rPr>
          <w:b/>
          <w:sz w:val="22"/>
        </w:rPr>
      </w:pPr>
    </w:p>
    <w:p w:rsidR="001065E6" w:rsidRDefault="001065E6" w:rsidP="009C6E1B">
      <w:pPr>
        <w:rPr>
          <w:b/>
          <w:sz w:val="22"/>
        </w:rPr>
      </w:pPr>
    </w:p>
    <w:p w:rsidR="00D8669E" w:rsidRDefault="00D8669E" w:rsidP="009C6E1B">
      <w:pPr>
        <w:rPr>
          <w:b/>
          <w:sz w:val="22"/>
        </w:rPr>
      </w:pPr>
    </w:p>
    <w:p w:rsidR="009C6E1B" w:rsidRPr="00684FE1" w:rsidRDefault="009C6E1B" w:rsidP="009C6E1B">
      <w:pPr>
        <w:rPr>
          <w:b/>
          <w:sz w:val="22"/>
        </w:rPr>
      </w:pPr>
      <w:r w:rsidRPr="00684FE1">
        <w:rPr>
          <w:b/>
          <w:sz w:val="22"/>
        </w:rPr>
        <w:t>Przy publikowaniu danych GUS prosimy o podanie źródła.</w:t>
      </w:r>
    </w:p>
    <w:p w:rsidR="009C6E1B" w:rsidRPr="00480263" w:rsidRDefault="009C6E1B" w:rsidP="009C6E1B">
      <w:pPr>
        <w:pStyle w:val="Nagwek1"/>
        <w:rPr>
          <w:rFonts w:ascii="Times New Roman" w:hAnsi="Times New Roman"/>
        </w:rPr>
      </w:pPr>
      <w:r w:rsidRPr="00480263">
        <w:rPr>
          <w:rFonts w:ascii="Times New Roman" w:hAnsi="Times New Roman"/>
        </w:rPr>
        <w:t>When publishing the CSO data – please indicate the source.</w:t>
      </w:r>
    </w:p>
    <w:p w:rsidR="000444E4" w:rsidRDefault="000444E4" w:rsidP="0030545E">
      <w:pPr>
        <w:rPr>
          <w:b/>
          <w:sz w:val="22"/>
          <w:szCs w:val="22"/>
          <w:lang w:val="en-US"/>
        </w:rPr>
      </w:pPr>
    </w:p>
    <w:p w:rsidR="007E171D" w:rsidRPr="00A76D6B" w:rsidRDefault="007E171D" w:rsidP="0030545E">
      <w:pPr>
        <w:rPr>
          <w:b/>
          <w:sz w:val="22"/>
          <w:szCs w:val="22"/>
          <w:lang w:val="en-US"/>
        </w:rPr>
      </w:pPr>
    </w:p>
    <w:p w:rsidR="0030545E" w:rsidRPr="00694046" w:rsidRDefault="000444E4" w:rsidP="0030545E">
      <w:pPr>
        <w:rPr>
          <w:b/>
          <w:sz w:val="22"/>
          <w:szCs w:val="22"/>
        </w:rPr>
      </w:pPr>
      <w:r>
        <w:rPr>
          <w:b/>
          <w:sz w:val="22"/>
          <w:szCs w:val="22"/>
        </w:rPr>
        <w:lastRenderedPageBreak/>
        <w:t>U</w:t>
      </w:r>
      <w:r w:rsidR="0030545E" w:rsidRPr="00694046">
        <w:rPr>
          <w:b/>
          <w:sz w:val="22"/>
          <w:szCs w:val="22"/>
        </w:rPr>
        <w:t>WAGI OGÓLNE</w:t>
      </w:r>
    </w:p>
    <w:p w:rsidR="0030545E" w:rsidRPr="00431C39" w:rsidRDefault="0030545E" w:rsidP="0030545E">
      <w:pPr>
        <w:tabs>
          <w:tab w:val="left" w:pos="280"/>
          <w:tab w:val="left" w:pos="280"/>
        </w:tabs>
        <w:spacing w:line="300" w:lineRule="atLeast"/>
        <w:rPr>
          <w:sz w:val="12"/>
          <w:szCs w:val="18"/>
        </w:rPr>
      </w:pPr>
    </w:p>
    <w:p w:rsidR="0030545E" w:rsidRPr="005B464B" w:rsidRDefault="0030545E" w:rsidP="0010333A">
      <w:pPr>
        <w:tabs>
          <w:tab w:val="left" w:pos="280"/>
          <w:tab w:val="left" w:pos="280"/>
        </w:tabs>
        <w:jc w:val="both"/>
        <w:rPr>
          <w:color w:val="000000"/>
          <w:sz w:val="22"/>
          <w:szCs w:val="22"/>
        </w:rPr>
      </w:pPr>
      <w:r>
        <w:rPr>
          <w:color w:val="000000"/>
          <w:sz w:val="22"/>
          <w:szCs w:val="22"/>
        </w:rPr>
        <w:tab/>
      </w:r>
      <w:r w:rsidRPr="005B464B">
        <w:rPr>
          <w:color w:val="000000"/>
          <w:sz w:val="22"/>
          <w:szCs w:val="22"/>
        </w:rPr>
        <w:t xml:space="preserve">1. </w:t>
      </w:r>
      <w:r>
        <w:rPr>
          <w:color w:val="000000"/>
          <w:sz w:val="22"/>
          <w:szCs w:val="22"/>
        </w:rPr>
        <w:t>D</w:t>
      </w:r>
      <w:r w:rsidRPr="005B464B">
        <w:rPr>
          <w:color w:val="000000"/>
          <w:sz w:val="22"/>
          <w:szCs w:val="22"/>
        </w:rPr>
        <w:t xml:space="preserve">ane </w:t>
      </w:r>
      <w:r>
        <w:rPr>
          <w:color w:val="000000"/>
          <w:sz w:val="22"/>
          <w:szCs w:val="22"/>
        </w:rPr>
        <w:t>prezentowane</w:t>
      </w:r>
      <w:r w:rsidRPr="005B464B">
        <w:rPr>
          <w:color w:val="000000"/>
          <w:sz w:val="22"/>
          <w:szCs w:val="22"/>
        </w:rPr>
        <w:t xml:space="preserve"> w publikacji </w:t>
      </w:r>
      <w:r>
        <w:rPr>
          <w:color w:val="000000"/>
          <w:sz w:val="22"/>
          <w:szCs w:val="22"/>
        </w:rPr>
        <w:t>dotyczą podmiotów prowadzących działalność gospodarczą zaliczoną, zgodnie z Polską Klasyfikacją Działalności PKD 2007, do przemysłu tj. do sekcji:</w:t>
      </w:r>
      <w:r w:rsidRPr="00FE55CD">
        <w:rPr>
          <w:color w:val="000000"/>
          <w:sz w:val="22"/>
          <w:szCs w:val="22"/>
        </w:rPr>
        <w:t xml:space="preserve"> </w:t>
      </w:r>
      <w:r w:rsidR="00BC313B">
        <w:rPr>
          <w:color w:val="000000"/>
          <w:sz w:val="22"/>
          <w:szCs w:val="22"/>
        </w:rPr>
        <w:t>"Górnictwo i </w:t>
      </w:r>
      <w:r w:rsidRPr="005B464B">
        <w:rPr>
          <w:color w:val="000000"/>
          <w:sz w:val="22"/>
          <w:szCs w:val="22"/>
        </w:rPr>
        <w:t>wydobywanie", "Przetwórstwo przemysłowe", "Wytwarzanie i</w:t>
      </w:r>
      <w:r>
        <w:rPr>
          <w:color w:val="000000"/>
          <w:sz w:val="22"/>
          <w:szCs w:val="22"/>
        </w:rPr>
        <w:t xml:space="preserve"> </w:t>
      </w:r>
      <w:r w:rsidRPr="005B464B">
        <w:rPr>
          <w:color w:val="000000"/>
          <w:sz w:val="22"/>
          <w:szCs w:val="22"/>
        </w:rPr>
        <w:t>zaopatrywanie w energię elektryczną, gaz, parę wodną, gorącą wodę i powietrze do układów klimatyzacyjnych" oraz ”Dostawa wody; gospodarowanie ściekami i odpadami oraz działalność związana z</w:t>
      </w:r>
      <w:r>
        <w:rPr>
          <w:color w:val="000000"/>
          <w:sz w:val="22"/>
          <w:szCs w:val="22"/>
        </w:rPr>
        <w:t xml:space="preserve"> rekultywacją”, a </w:t>
      </w:r>
      <w:r w:rsidRPr="005B464B">
        <w:rPr>
          <w:color w:val="000000"/>
          <w:sz w:val="22"/>
          <w:szCs w:val="22"/>
        </w:rPr>
        <w:t>w zakresie produkcji wyrobów również podmiotów prowadzących inne rodzaje działalności - produkujących wyroby przemysłowe</w:t>
      </w:r>
      <w:r>
        <w:rPr>
          <w:color w:val="000000"/>
          <w:sz w:val="22"/>
          <w:szCs w:val="22"/>
        </w:rPr>
        <w:t>.</w:t>
      </w:r>
      <w:r w:rsidRPr="005B464B">
        <w:rPr>
          <w:color w:val="000000"/>
          <w:sz w:val="22"/>
          <w:szCs w:val="22"/>
        </w:rPr>
        <w:t xml:space="preserve"> PKD</w:t>
      </w:r>
      <w:r>
        <w:rPr>
          <w:color w:val="000000"/>
          <w:sz w:val="22"/>
          <w:szCs w:val="22"/>
        </w:rPr>
        <w:t xml:space="preserve"> </w:t>
      </w:r>
      <w:r w:rsidRPr="005B464B">
        <w:rPr>
          <w:color w:val="000000"/>
          <w:sz w:val="22"/>
          <w:szCs w:val="22"/>
        </w:rPr>
        <w:t>2007</w:t>
      </w:r>
      <w:r>
        <w:rPr>
          <w:color w:val="000000"/>
          <w:sz w:val="22"/>
          <w:szCs w:val="22"/>
        </w:rPr>
        <w:t xml:space="preserve"> została opracowana</w:t>
      </w:r>
      <w:r w:rsidRPr="005B464B">
        <w:rPr>
          <w:color w:val="000000"/>
          <w:sz w:val="22"/>
          <w:szCs w:val="22"/>
        </w:rPr>
        <w:t xml:space="preserve"> na podstawie Statystycznej</w:t>
      </w:r>
      <w:r>
        <w:rPr>
          <w:color w:val="000000"/>
          <w:sz w:val="22"/>
          <w:szCs w:val="22"/>
        </w:rPr>
        <w:t xml:space="preserve"> Klasyfikacji </w:t>
      </w:r>
      <w:r w:rsidRPr="005B464B">
        <w:rPr>
          <w:color w:val="000000"/>
          <w:sz w:val="22"/>
          <w:szCs w:val="22"/>
        </w:rPr>
        <w:t xml:space="preserve">Działalności </w:t>
      </w:r>
      <w:r>
        <w:rPr>
          <w:color w:val="000000"/>
          <w:sz w:val="22"/>
          <w:szCs w:val="22"/>
        </w:rPr>
        <w:t xml:space="preserve">Gospodarczej </w:t>
      </w:r>
      <w:r w:rsidRPr="005B464B">
        <w:rPr>
          <w:color w:val="000000"/>
          <w:sz w:val="22"/>
          <w:szCs w:val="22"/>
        </w:rPr>
        <w:t>we Wspólnocie Europejskiej - Statistical Classification of Economic Activities in the European C</w:t>
      </w:r>
      <w:r>
        <w:rPr>
          <w:color w:val="000000"/>
          <w:sz w:val="22"/>
          <w:szCs w:val="22"/>
        </w:rPr>
        <w:t xml:space="preserve">ommunity – NACE Rev. 2 i </w:t>
      </w:r>
      <w:r w:rsidRPr="005B464B">
        <w:rPr>
          <w:color w:val="000000"/>
          <w:sz w:val="22"/>
          <w:szCs w:val="22"/>
        </w:rPr>
        <w:t>wprowadzon</w:t>
      </w:r>
      <w:r>
        <w:rPr>
          <w:color w:val="000000"/>
          <w:sz w:val="22"/>
          <w:szCs w:val="22"/>
        </w:rPr>
        <w:t xml:space="preserve">a </w:t>
      </w:r>
      <w:r w:rsidR="00773A76">
        <w:rPr>
          <w:color w:val="000000"/>
          <w:sz w:val="22"/>
          <w:szCs w:val="22"/>
        </w:rPr>
        <w:t>z </w:t>
      </w:r>
      <w:r w:rsidRPr="005B464B">
        <w:rPr>
          <w:color w:val="000000"/>
          <w:sz w:val="22"/>
          <w:szCs w:val="22"/>
        </w:rPr>
        <w:t>dniem 1 stycznia 2008 r. rozporządzeniem Rady Ministrów z dnia 24 grud</w:t>
      </w:r>
      <w:r w:rsidR="000D7828">
        <w:rPr>
          <w:color w:val="000000"/>
          <w:sz w:val="22"/>
          <w:szCs w:val="22"/>
        </w:rPr>
        <w:t>nia 2007 r. (Dz.U. Nr 251, poz. </w:t>
      </w:r>
      <w:r w:rsidRPr="005B464B">
        <w:rPr>
          <w:color w:val="000000"/>
          <w:sz w:val="22"/>
          <w:szCs w:val="22"/>
        </w:rPr>
        <w:t>188</w:t>
      </w:r>
      <w:r>
        <w:rPr>
          <w:color w:val="000000"/>
          <w:sz w:val="22"/>
          <w:szCs w:val="22"/>
        </w:rPr>
        <w:t>5</w:t>
      </w:r>
      <w:r w:rsidR="000748FE">
        <w:rPr>
          <w:color w:val="000000"/>
          <w:sz w:val="22"/>
          <w:szCs w:val="22"/>
        </w:rPr>
        <w:t>)</w:t>
      </w:r>
      <w:r w:rsidRPr="005B464B">
        <w:rPr>
          <w:color w:val="000000"/>
          <w:sz w:val="22"/>
          <w:szCs w:val="22"/>
        </w:rPr>
        <w:t xml:space="preserve">. </w:t>
      </w:r>
    </w:p>
    <w:p w:rsidR="0030545E" w:rsidRPr="00431C39" w:rsidRDefault="0030545E" w:rsidP="0030545E">
      <w:pPr>
        <w:tabs>
          <w:tab w:val="left" w:pos="280"/>
          <w:tab w:val="left" w:pos="280"/>
        </w:tabs>
        <w:jc w:val="both"/>
        <w:rPr>
          <w:color w:val="000000"/>
          <w:sz w:val="12"/>
          <w:szCs w:val="18"/>
        </w:rPr>
      </w:pPr>
    </w:p>
    <w:p w:rsidR="0030545E" w:rsidRPr="00970E19" w:rsidRDefault="0030545E" w:rsidP="0030545E">
      <w:pPr>
        <w:tabs>
          <w:tab w:val="left" w:pos="280"/>
          <w:tab w:val="left" w:pos="280"/>
        </w:tabs>
        <w:jc w:val="both"/>
        <w:rPr>
          <w:color w:val="000000"/>
          <w:sz w:val="22"/>
          <w:szCs w:val="22"/>
        </w:rPr>
      </w:pPr>
      <w:r w:rsidRPr="005B464B">
        <w:rPr>
          <w:color w:val="000000"/>
          <w:sz w:val="22"/>
          <w:szCs w:val="22"/>
        </w:rPr>
        <w:tab/>
      </w:r>
      <w:r w:rsidRPr="00970E19">
        <w:rPr>
          <w:color w:val="000000"/>
          <w:sz w:val="22"/>
          <w:szCs w:val="22"/>
        </w:rPr>
        <w:t>Prezentowane dane dotyczą:</w:t>
      </w:r>
    </w:p>
    <w:p w:rsidR="0030545E" w:rsidRPr="00970E19" w:rsidRDefault="0030545E" w:rsidP="0030545E">
      <w:pPr>
        <w:tabs>
          <w:tab w:val="left" w:pos="280"/>
          <w:tab w:val="left" w:pos="280"/>
        </w:tabs>
        <w:jc w:val="both"/>
        <w:rPr>
          <w:color w:val="000000"/>
          <w:sz w:val="22"/>
          <w:szCs w:val="22"/>
        </w:rPr>
      </w:pPr>
      <w:r w:rsidRPr="00970E19">
        <w:rPr>
          <w:color w:val="000000"/>
          <w:sz w:val="22"/>
          <w:szCs w:val="22"/>
        </w:rPr>
        <w:t>- w t</w:t>
      </w:r>
      <w:r>
        <w:rPr>
          <w:color w:val="000000"/>
          <w:sz w:val="22"/>
          <w:szCs w:val="22"/>
        </w:rPr>
        <w:t>abl. 1</w:t>
      </w:r>
      <w:r w:rsidRPr="00970E19">
        <w:rPr>
          <w:color w:val="000000"/>
          <w:sz w:val="22"/>
          <w:szCs w:val="22"/>
        </w:rPr>
        <w:t xml:space="preserve">, </w:t>
      </w:r>
      <w:r w:rsidR="00D33DE0">
        <w:rPr>
          <w:color w:val="000000"/>
          <w:sz w:val="22"/>
          <w:szCs w:val="22"/>
        </w:rPr>
        <w:t>4</w:t>
      </w:r>
      <w:r w:rsidRPr="00970E19">
        <w:rPr>
          <w:color w:val="000000"/>
          <w:sz w:val="22"/>
          <w:szCs w:val="22"/>
        </w:rPr>
        <w:t>-</w:t>
      </w:r>
      <w:r w:rsidR="00D33DE0">
        <w:rPr>
          <w:color w:val="000000"/>
          <w:sz w:val="22"/>
          <w:szCs w:val="22"/>
        </w:rPr>
        <w:t>5</w:t>
      </w:r>
      <w:r>
        <w:rPr>
          <w:color w:val="000000"/>
          <w:sz w:val="22"/>
          <w:szCs w:val="22"/>
        </w:rPr>
        <w:t>,</w:t>
      </w:r>
      <w:r w:rsidRPr="00970E19">
        <w:rPr>
          <w:color w:val="000000"/>
          <w:sz w:val="22"/>
          <w:szCs w:val="22"/>
        </w:rPr>
        <w:t xml:space="preserve"> </w:t>
      </w:r>
      <w:r w:rsidR="00D33DE0">
        <w:rPr>
          <w:color w:val="000000"/>
          <w:sz w:val="22"/>
          <w:szCs w:val="22"/>
        </w:rPr>
        <w:t>8</w:t>
      </w:r>
      <w:r w:rsidRPr="00970E19">
        <w:rPr>
          <w:color w:val="000000"/>
          <w:sz w:val="22"/>
          <w:szCs w:val="22"/>
        </w:rPr>
        <w:t>-</w:t>
      </w:r>
      <w:r w:rsidR="00D67228">
        <w:rPr>
          <w:color w:val="000000"/>
          <w:sz w:val="22"/>
          <w:szCs w:val="22"/>
        </w:rPr>
        <w:t xml:space="preserve">11, </w:t>
      </w:r>
      <w:r w:rsidRPr="00970E19">
        <w:rPr>
          <w:color w:val="000000"/>
          <w:sz w:val="22"/>
          <w:szCs w:val="22"/>
        </w:rPr>
        <w:t>1</w:t>
      </w:r>
      <w:r w:rsidR="000B4FEE">
        <w:rPr>
          <w:color w:val="000000"/>
          <w:sz w:val="22"/>
          <w:szCs w:val="22"/>
        </w:rPr>
        <w:t>3</w:t>
      </w:r>
      <w:r w:rsidRPr="00970E19">
        <w:rPr>
          <w:color w:val="000000"/>
          <w:sz w:val="22"/>
          <w:szCs w:val="22"/>
        </w:rPr>
        <w:t xml:space="preserve"> – podmiotów o liczbie pracujących powyżej 9 osób,</w:t>
      </w:r>
    </w:p>
    <w:p w:rsidR="0030545E" w:rsidRPr="00970E19" w:rsidRDefault="0030545E" w:rsidP="0030545E">
      <w:pPr>
        <w:tabs>
          <w:tab w:val="left" w:pos="280"/>
          <w:tab w:val="left" w:pos="280"/>
        </w:tabs>
        <w:ind w:left="142" w:hanging="142"/>
        <w:jc w:val="both"/>
        <w:rPr>
          <w:color w:val="000000"/>
          <w:sz w:val="22"/>
          <w:szCs w:val="22"/>
        </w:rPr>
      </w:pPr>
      <w:r w:rsidRPr="00970E19">
        <w:rPr>
          <w:color w:val="000000"/>
          <w:sz w:val="22"/>
          <w:szCs w:val="22"/>
        </w:rPr>
        <w:t>- w tabl. 3</w:t>
      </w:r>
      <w:r w:rsidR="00D67228">
        <w:rPr>
          <w:color w:val="000000"/>
          <w:sz w:val="22"/>
          <w:szCs w:val="22"/>
        </w:rPr>
        <w:t>, 12</w:t>
      </w:r>
      <w:r w:rsidRPr="00970E19">
        <w:rPr>
          <w:color w:val="000000"/>
          <w:sz w:val="22"/>
          <w:szCs w:val="22"/>
        </w:rPr>
        <w:t xml:space="preserve"> – podmiotów, których liczba pracujących przekracza 49 osób oraz 10% reprezentacji podmiotów o liczbie pracujących od 10 do 49 osób,</w:t>
      </w:r>
    </w:p>
    <w:p w:rsidR="0030545E" w:rsidRPr="00970E19" w:rsidRDefault="0030545E" w:rsidP="0030545E">
      <w:pPr>
        <w:tabs>
          <w:tab w:val="left" w:pos="280"/>
          <w:tab w:val="left" w:pos="280"/>
        </w:tabs>
        <w:jc w:val="both"/>
        <w:rPr>
          <w:color w:val="000000"/>
          <w:sz w:val="22"/>
          <w:szCs w:val="22"/>
        </w:rPr>
      </w:pPr>
      <w:r w:rsidRPr="00970E19">
        <w:rPr>
          <w:color w:val="000000"/>
          <w:sz w:val="22"/>
          <w:szCs w:val="22"/>
        </w:rPr>
        <w:t>- w tabl. 1</w:t>
      </w:r>
      <w:r w:rsidR="004E51F7">
        <w:rPr>
          <w:color w:val="000000"/>
          <w:sz w:val="22"/>
          <w:szCs w:val="22"/>
        </w:rPr>
        <w:t>4</w:t>
      </w:r>
      <w:r w:rsidRPr="00970E19">
        <w:rPr>
          <w:color w:val="000000"/>
          <w:sz w:val="22"/>
          <w:szCs w:val="22"/>
        </w:rPr>
        <w:t xml:space="preserve"> i </w:t>
      </w:r>
      <w:r w:rsidR="004E51F7">
        <w:rPr>
          <w:color w:val="000000"/>
          <w:sz w:val="22"/>
          <w:szCs w:val="22"/>
        </w:rPr>
        <w:t>2</w:t>
      </w:r>
      <w:r w:rsidR="00A2384D">
        <w:rPr>
          <w:color w:val="000000"/>
          <w:sz w:val="22"/>
          <w:szCs w:val="22"/>
        </w:rPr>
        <w:t>1</w:t>
      </w:r>
      <w:r w:rsidRPr="00970E19">
        <w:rPr>
          <w:color w:val="000000"/>
          <w:sz w:val="22"/>
          <w:szCs w:val="22"/>
        </w:rPr>
        <w:t xml:space="preserve"> – podmiotów o liczbie pracujących powyżej 49 osób,</w:t>
      </w:r>
    </w:p>
    <w:p w:rsidR="0030545E" w:rsidRPr="00970E19" w:rsidRDefault="0030545E" w:rsidP="0030545E">
      <w:pPr>
        <w:tabs>
          <w:tab w:val="left" w:pos="142"/>
        </w:tabs>
        <w:ind w:left="142" w:hanging="142"/>
        <w:jc w:val="both"/>
        <w:rPr>
          <w:color w:val="000000"/>
          <w:sz w:val="22"/>
          <w:szCs w:val="22"/>
        </w:rPr>
      </w:pPr>
      <w:r w:rsidRPr="00970E19">
        <w:rPr>
          <w:color w:val="000000"/>
          <w:sz w:val="22"/>
          <w:szCs w:val="22"/>
        </w:rPr>
        <w:t xml:space="preserve">- w tabl. </w:t>
      </w:r>
      <w:r>
        <w:rPr>
          <w:color w:val="000000"/>
          <w:sz w:val="22"/>
          <w:szCs w:val="22"/>
        </w:rPr>
        <w:t>2</w:t>
      </w:r>
      <w:r w:rsidRPr="00970E19">
        <w:rPr>
          <w:color w:val="000000"/>
          <w:sz w:val="22"/>
          <w:szCs w:val="22"/>
        </w:rPr>
        <w:t xml:space="preserve">, </w:t>
      </w:r>
      <w:r w:rsidR="004E51F7">
        <w:rPr>
          <w:color w:val="000000"/>
          <w:sz w:val="22"/>
          <w:szCs w:val="22"/>
        </w:rPr>
        <w:t>15</w:t>
      </w:r>
      <w:r>
        <w:rPr>
          <w:color w:val="000000"/>
          <w:sz w:val="22"/>
          <w:szCs w:val="22"/>
        </w:rPr>
        <w:t>-</w:t>
      </w:r>
      <w:r w:rsidR="002C3B4E">
        <w:rPr>
          <w:color w:val="000000"/>
          <w:sz w:val="22"/>
          <w:szCs w:val="22"/>
        </w:rPr>
        <w:t>20</w:t>
      </w:r>
      <w:r w:rsidRPr="00970E19">
        <w:rPr>
          <w:color w:val="000000"/>
          <w:sz w:val="22"/>
          <w:szCs w:val="22"/>
        </w:rPr>
        <w:t>,</w:t>
      </w:r>
      <w:r>
        <w:rPr>
          <w:color w:val="000000"/>
          <w:sz w:val="22"/>
          <w:szCs w:val="22"/>
        </w:rPr>
        <w:t xml:space="preserve"> 2</w:t>
      </w:r>
      <w:r w:rsidR="002C3B4E">
        <w:rPr>
          <w:color w:val="000000"/>
          <w:sz w:val="22"/>
          <w:szCs w:val="22"/>
        </w:rPr>
        <w:t>2</w:t>
      </w:r>
      <w:r>
        <w:rPr>
          <w:color w:val="000000"/>
          <w:sz w:val="22"/>
          <w:szCs w:val="22"/>
        </w:rPr>
        <w:t>-</w:t>
      </w:r>
      <w:r w:rsidR="00172081">
        <w:rPr>
          <w:color w:val="000000"/>
          <w:sz w:val="22"/>
          <w:szCs w:val="22"/>
        </w:rPr>
        <w:t>2</w:t>
      </w:r>
      <w:r w:rsidR="002C3B4E">
        <w:rPr>
          <w:color w:val="000000"/>
          <w:sz w:val="22"/>
          <w:szCs w:val="22"/>
        </w:rPr>
        <w:t>3</w:t>
      </w:r>
      <w:r w:rsidRPr="00970E19">
        <w:rPr>
          <w:color w:val="000000"/>
          <w:sz w:val="22"/>
          <w:szCs w:val="22"/>
        </w:rPr>
        <w:t xml:space="preserve"> – podmiotów prowadzących księgi rachunkowe, o liczbie pracujących powyżej 49 osób,</w:t>
      </w:r>
    </w:p>
    <w:p w:rsidR="0030545E" w:rsidRPr="00970E19" w:rsidRDefault="00854A25" w:rsidP="0030545E">
      <w:pPr>
        <w:tabs>
          <w:tab w:val="left" w:pos="280"/>
          <w:tab w:val="left" w:pos="280"/>
        </w:tabs>
        <w:ind w:left="142" w:hanging="142"/>
        <w:jc w:val="both"/>
        <w:rPr>
          <w:sz w:val="22"/>
          <w:szCs w:val="22"/>
        </w:rPr>
      </w:pPr>
      <w:r>
        <w:rPr>
          <w:color w:val="000000"/>
          <w:sz w:val="22"/>
          <w:szCs w:val="22"/>
        </w:rPr>
        <w:t>- w tabl. 6 i 7</w:t>
      </w:r>
      <w:r w:rsidR="0030545E" w:rsidRPr="00970E19">
        <w:rPr>
          <w:color w:val="000000"/>
          <w:sz w:val="22"/>
          <w:szCs w:val="22"/>
        </w:rPr>
        <w:t xml:space="preserve"> – podmiotów - producentów wyrobów przemysłowych o liczbie pracujących powyżej 49 osób, </w:t>
      </w:r>
      <w:r w:rsidR="0030545E" w:rsidRPr="00970E19">
        <w:rPr>
          <w:sz w:val="22"/>
          <w:szCs w:val="22"/>
        </w:rPr>
        <w:t>w przypadku producentów energii elektrycznej - bez względu na liczbę pracujących. Dane roczne w tabl. 6 korygowane są w II kwartale o wyniki obejmujące producentów wyrobów przemysłowych, o</w:t>
      </w:r>
      <w:r w:rsidR="00411300">
        <w:rPr>
          <w:sz w:val="22"/>
          <w:szCs w:val="22"/>
        </w:rPr>
        <w:t> </w:t>
      </w:r>
      <w:r w:rsidR="0030545E" w:rsidRPr="00970E19">
        <w:rPr>
          <w:sz w:val="22"/>
          <w:szCs w:val="22"/>
        </w:rPr>
        <w:t>liczbie pracujących od 10 do 49 osób.</w:t>
      </w:r>
    </w:p>
    <w:p w:rsidR="0030545E" w:rsidRPr="00431C39" w:rsidRDefault="0030545E" w:rsidP="0030545E">
      <w:pPr>
        <w:tabs>
          <w:tab w:val="left" w:pos="280"/>
          <w:tab w:val="left" w:pos="280"/>
        </w:tabs>
        <w:ind w:left="142" w:hanging="142"/>
        <w:jc w:val="both"/>
        <w:rPr>
          <w:sz w:val="12"/>
          <w:szCs w:val="18"/>
        </w:rPr>
      </w:pPr>
    </w:p>
    <w:p w:rsidR="0030545E" w:rsidRPr="00E02310" w:rsidRDefault="0030545E" w:rsidP="0030545E">
      <w:pPr>
        <w:pStyle w:val="Tekstpodstawowy2"/>
        <w:spacing w:line="240" w:lineRule="auto"/>
        <w:rPr>
          <w:rFonts w:ascii="Times New Roman" w:hAnsi="Times New Roman"/>
          <w:color w:val="000000"/>
          <w:szCs w:val="22"/>
          <w:lang w:val="pl-PL"/>
        </w:rPr>
      </w:pPr>
      <w:r>
        <w:rPr>
          <w:rFonts w:ascii="Times New Roman" w:hAnsi="Times New Roman"/>
          <w:color w:val="000000"/>
          <w:szCs w:val="22"/>
          <w:lang w:val="pl-PL"/>
        </w:rPr>
        <w:tab/>
      </w:r>
      <w:r w:rsidRPr="005B464B">
        <w:rPr>
          <w:rFonts w:ascii="Times New Roman" w:hAnsi="Times New Roman"/>
          <w:color w:val="000000"/>
          <w:szCs w:val="22"/>
          <w:lang w:val="pl-PL"/>
        </w:rPr>
        <w:t xml:space="preserve">Grupowania wyrobów dokonuje się </w:t>
      </w:r>
      <w:r w:rsidR="00E02310">
        <w:rPr>
          <w:rFonts w:ascii="Times New Roman" w:hAnsi="Times New Roman"/>
          <w:color w:val="000000"/>
          <w:szCs w:val="22"/>
          <w:lang w:val="pl-PL"/>
        </w:rPr>
        <w:t xml:space="preserve">zgodnie z nomenklaturą PRODPOL, opracowaną </w:t>
      </w:r>
      <w:r w:rsidRPr="005B464B">
        <w:rPr>
          <w:rFonts w:ascii="Times New Roman" w:hAnsi="Times New Roman"/>
          <w:color w:val="000000"/>
          <w:szCs w:val="22"/>
          <w:lang w:val="pl-PL"/>
        </w:rPr>
        <w:t>na podstawie Polskiej Klasyfik</w:t>
      </w:r>
      <w:r w:rsidR="00E048C2">
        <w:rPr>
          <w:rFonts w:ascii="Times New Roman" w:hAnsi="Times New Roman"/>
          <w:color w:val="000000"/>
          <w:szCs w:val="22"/>
          <w:lang w:val="pl-PL"/>
        </w:rPr>
        <w:t>acji Wyrobów i Usług (PKWiU 2015</w:t>
      </w:r>
      <w:r w:rsidRPr="005B464B">
        <w:rPr>
          <w:rFonts w:ascii="Times New Roman" w:hAnsi="Times New Roman"/>
          <w:color w:val="000000"/>
          <w:szCs w:val="22"/>
          <w:lang w:val="pl-PL"/>
        </w:rPr>
        <w:t>)</w:t>
      </w:r>
      <w:r w:rsidR="00E048C2">
        <w:rPr>
          <w:rFonts w:ascii="Times New Roman" w:hAnsi="Times New Roman"/>
          <w:color w:val="000000"/>
          <w:szCs w:val="22"/>
          <w:lang w:val="pl-PL"/>
        </w:rPr>
        <w:t xml:space="preserve"> oraz Listy PRODCOM. PKWiU 2015</w:t>
      </w:r>
      <w:r w:rsidR="00E02310">
        <w:rPr>
          <w:rFonts w:ascii="Times New Roman" w:hAnsi="Times New Roman"/>
          <w:color w:val="000000"/>
          <w:szCs w:val="22"/>
          <w:lang w:val="pl-PL"/>
        </w:rPr>
        <w:t xml:space="preserve"> została wprowadzona </w:t>
      </w:r>
      <w:r w:rsidRPr="005B464B">
        <w:rPr>
          <w:rFonts w:ascii="Times New Roman" w:hAnsi="Times New Roman"/>
          <w:color w:val="000000"/>
          <w:szCs w:val="22"/>
          <w:lang w:val="pl-PL"/>
        </w:rPr>
        <w:t xml:space="preserve"> rozporządzeniem Rady Ministrów z dnia </w:t>
      </w:r>
      <w:r w:rsidR="00E048C2">
        <w:rPr>
          <w:rFonts w:ascii="Times New Roman" w:hAnsi="Times New Roman"/>
          <w:color w:val="000000"/>
          <w:szCs w:val="22"/>
          <w:lang w:val="pl-PL"/>
        </w:rPr>
        <w:t>4 września 2015</w:t>
      </w:r>
      <w:r w:rsidRPr="005B464B">
        <w:rPr>
          <w:rFonts w:ascii="Times New Roman" w:hAnsi="Times New Roman"/>
          <w:color w:val="000000"/>
          <w:szCs w:val="22"/>
          <w:lang w:val="pl-PL"/>
        </w:rPr>
        <w:t xml:space="preserve"> r. (Dz.</w:t>
      </w:r>
      <w:r>
        <w:rPr>
          <w:rFonts w:ascii="Times New Roman" w:hAnsi="Times New Roman"/>
          <w:color w:val="000000"/>
          <w:szCs w:val="22"/>
          <w:lang w:val="pl-PL"/>
        </w:rPr>
        <w:t> </w:t>
      </w:r>
      <w:r w:rsidR="00E048C2">
        <w:rPr>
          <w:rFonts w:ascii="Times New Roman" w:hAnsi="Times New Roman"/>
          <w:color w:val="000000"/>
          <w:szCs w:val="22"/>
          <w:lang w:val="pl-PL"/>
        </w:rPr>
        <w:t>U. z 2015 r., poz. 1676</w:t>
      </w:r>
      <w:r w:rsidRPr="00F84591">
        <w:rPr>
          <w:rFonts w:ascii="Times New Roman" w:hAnsi="Times New Roman"/>
          <w:color w:val="000000"/>
          <w:szCs w:val="22"/>
          <w:lang w:val="pl-PL"/>
        </w:rPr>
        <w:t>)</w:t>
      </w:r>
      <w:r w:rsidR="00E02310">
        <w:rPr>
          <w:rFonts w:ascii="Times New Roman" w:hAnsi="Times New Roman"/>
          <w:color w:val="000000"/>
          <w:szCs w:val="22"/>
          <w:lang w:val="pl-PL"/>
        </w:rPr>
        <w:t xml:space="preserve"> </w:t>
      </w:r>
      <w:r w:rsidR="00E048C2">
        <w:rPr>
          <w:rFonts w:ascii="Times New Roman" w:hAnsi="Times New Roman"/>
          <w:color w:val="000000"/>
          <w:szCs w:val="22"/>
          <w:lang w:val="pl-PL"/>
        </w:rPr>
        <w:t xml:space="preserve">do stosowania od dnia 1 stycznia 2016 r., w statystyce, ewidencji i dokumentacji oraz rachunkowości, a także w urzędowych rejestrach i systemach informacyjnych administracji publicznej. </w:t>
      </w:r>
    </w:p>
    <w:p w:rsidR="0030545E" w:rsidRPr="00431C39" w:rsidRDefault="0030545E" w:rsidP="0030545E">
      <w:pPr>
        <w:pStyle w:val="Tekstpodstawowy2"/>
        <w:spacing w:line="240" w:lineRule="auto"/>
        <w:rPr>
          <w:rFonts w:ascii="Times New Roman" w:hAnsi="Times New Roman"/>
          <w:color w:val="000000"/>
          <w:sz w:val="12"/>
          <w:szCs w:val="18"/>
          <w:lang w:val="pl-PL"/>
        </w:rPr>
      </w:pPr>
    </w:p>
    <w:p w:rsidR="0030545E" w:rsidRPr="005B464B" w:rsidRDefault="0030545E" w:rsidP="0030545E">
      <w:pPr>
        <w:tabs>
          <w:tab w:val="left" w:pos="280"/>
          <w:tab w:val="left" w:pos="280"/>
        </w:tabs>
        <w:jc w:val="both"/>
        <w:rPr>
          <w:color w:val="000000"/>
          <w:sz w:val="22"/>
          <w:szCs w:val="22"/>
        </w:rPr>
      </w:pPr>
      <w:r w:rsidRPr="00E02310">
        <w:rPr>
          <w:color w:val="000000"/>
          <w:sz w:val="22"/>
          <w:szCs w:val="22"/>
        </w:rPr>
        <w:tab/>
      </w:r>
      <w:r w:rsidRPr="005B464B">
        <w:rPr>
          <w:color w:val="000000"/>
          <w:sz w:val="22"/>
          <w:szCs w:val="22"/>
        </w:rPr>
        <w:t xml:space="preserve">2. Dane </w:t>
      </w:r>
      <w:r>
        <w:rPr>
          <w:color w:val="000000"/>
          <w:sz w:val="22"/>
          <w:szCs w:val="22"/>
        </w:rPr>
        <w:t xml:space="preserve">według sekcji, działów i grup PKD </w:t>
      </w:r>
      <w:r w:rsidRPr="005B464B">
        <w:rPr>
          <w:color w:val="000000"/>
          <w:sz w:val="22"/>
          <w:szCs w:val="22"/>
        </w:rPr>
        <w:t>opracowano metodą przedsiębiorstw oraz zgodnie z</w:t>
      </w:r>
      <w:r>
        <w:rPr>
          <w:color w:val="000000"/>
          <w:sz w:val="22"/>
          <w:szCs w:val="22"/>
        </w:rPr>
        <w:t> </w:t>
      </w:r>
      <w:r w:rsidRPr="005B464B">
        <w:rPr>
          <w:color w:val="000000"/>
          <w:sz w:val="22"/>
          <w:szCs w:val="22"/>
        </w:rPr>
        <w:t xml:space="preserve">każdorazowym stanem organizacyjnym. </w:t>
      </w:r>
    </w:p>
    <w:p w:rsidR="0030545E" w:rsidRPr="00431C39" w:rsidRDefault="0030545E" w:rsidP="0030545E">
      <w:pPr>
        <w:tabs>
          <w:tab w:val="left" w:pos="280"/>
          <w:tab w:val="left" w:pos="280"/>
        </w:tabs>
        <w:jc w:val="both"/>
        <w:rPr>
          <w:color w:val="000000"/>
          <w:sz w:val="12"/>
          <w:szCs w:val="18"/>
        </w:rPr>
      </w:pPr>
    </w:p>
    <w:p w:rsidR="0030545E" w:rsidRPr="005B464B" w:rsidRDefault="0030545E" w:rsidP="0030545E">
      <w:pPr>
        <w:tabs>
          <w:tab w:val="left" w:pos="280"/>
          <w:tab w:val="left" w:pos="280"/>
        </w:tabs>
        <w:jc w:val="both"/>
        <w:rPr>
          <w:color w:val="000000"/>
          <w:sz w:val="22"/>
          <w:szCs w:val="22"/>
        </w:rPr>
      </w:pPr>
      <w:r w:rsidRPr="005B464B">
        <w:rPr>
          <w:color w:val="000000"/>
          <w:sz w:val="22"/>
          <w:szCs w:val="22"/>
        </w:rPr>
        <w:tab/>
        <w:t xml:space="preserve">3. Wskaźniki dynamiki produkcji sprzedanej podano na podstawie wartości w cenach stałych. </w:t>
      </w:r>
      <w:r w:rsidR="000A1051">
        <w:rPr>
          <w:color w:val="000000"/>
          <w:sz w:val="22"/>
          <w:szCs w:val="22"/>
        </w:rPr>
        <w:t>Jako ceny stałe przyjęto</w:t>
      </w:r>
      <w:r>
        <w:rPr>
          <w:color w:val="000000"/>
          <w:sz w:val="22"/>
          <w:szCs w:val="22"/>
        </w:rPr>
        <w:t xml:space="preserve"> </w:t>
      </w:r>
      <w:r w:rsidRPr="005B464B">
        <w:rPr>
          <w:color w:val="000000"/>
          <w:sz w:val="22"/>
          <w:szCs w:val="22"/>
        </w:rPr>
        <w:t>ceny stałe 20</w:t>
      </w:r>
      <w:r>
        <w:rPr>
          <w:color w:val="000000"/>
          <w:sz w:val="22"/>
          <w:szCs w:val="22"/>
        </w:rPr>
        <w:t>10 r.</w:t>
      </w:r>
      <w:r w:rsidRPr="005B464B">
        <w:rPr>
          <w:color w:val="000000"/>
          <w:sz w:val="22"/>
          <w:szCs w:val="22"/>
        </w:rPr>
        <w:t xml:space="preserve"> (średnie ceny bieżące 20</w:t>
      </w:r>
      <w:r>
        <w:rPr>
          <w:color w:val="000000"/>
          <w:sz w:val="22"/>
          <w:szCs w:val="22"/>
        </w:rPr>
        <w:t>10</w:t>
      </w:r>
      <w:r w:rsidRPr="005B464B">
        <w:rPr>
          <w:color w:val="000000"/>
          <w:sz w:val="22"/>
          <w:szCs w:val="22"/>
        </w:rPr>
        <w:t xml:space="preserve"> r.)</w:t>
      </w:r>
      <w:r>
        <w:rPr>
          <w:color w:val="000000"/>
          <w:sz w:val="22"/>
          <w:szCs w:val="22"/>
        </w:rPr>
        <w:t>.</w:t>
      </w:r>
      <w:r w:rsidRPr="005B464B">
        <w:rPr>
          <w:color w:val="000000"/>
          <w:sz w:val="22"/>
          <w:szCs w:val="22"/>
        </w:rPr>
        <w:t xml:space="preserve"> Wskaźniki dynamiki przy podstawie przeciętna miesięczna 20</w:t>
      </w:r>
      <w:r>
        <w:rPr>
          <w:color w:val="000000"/>
          <w:sz w:val="22"/>
          <w:szCs w:val="22"/>
        </w:rPr>
        <w:t>10</w:t>
      </w:r>
      <w:r w:rsidRPr="005B464B">
        <w:rPr>
          <w:color w:val="000000"/>
          <w:sz w:val="22"/>
          <w:szCs w:val="22"/>
        </w:rPr>
        <w:t xml:space="preserve"> = 100 obliczono metodą nawiązania łańcuchowego.</w:t>
      </w:r>
    </w:p>
    <w:p w:rsidR="0030545E" w:rsidRDefault="0030545E" w:rsidP="0030545E">
      <w:pPr>
        <w:tabs>
          <w:tab w:val="left" w:pos="280"/>
          <w:tab w:val="left" w:pos="280"/>
        </w:tabs>
        <w:jc w:val="both"/>
        <w:rPr>
          <w:sz w:val="22"/>
          <w:szCs w:val="22"/>
        </w:rPr>
      </w:pPr>
      <w:r w:rsidRPr="005B464B">
        <w:rPr>
          <w:sz w:val="22"/>
          <w:szCs w:val="22"/>
        </w:rPr>
        <w:tab/>
        <w:t xml:space="preserve"> Wskaźniki produkcji wyrównane sezonowo przy pomocy </w:t>
      </w:r>
      <w:r w:rsidR="00893E18">
        <w:rPr>
          <w:sz w:val="22"/>
          <w:szCs w:val="22"/>
        </w:rPr>
        <w:t>programu JD</w:t>
      </w:r>
      <w:r w:rsidR="00E4163E">
        <w:rPr>
          <w:sz w:val="22"/>
          <w:szCs w:val="22"/>
        </w:rPr>
        <w:t>EMETRA</w:t>
      </w:r>
      <w:r w:rsidR="00893E18">
        <w:rPr>
          <w:sz w:val="22"/>
          <w:szCs w:val="22"/>
        </w:rPr>
        <w:t xml:space="preserve">+ i </w:t>
      </w:r>
      <w:r w:rsidRPr="005B464B">
        <w:rPr>
          <w:sz w:val="22"/>
          <w:szCs w:val="22"/>
        </w:rPr>
        <w:t>procedury TRAMO/SEATS</w:t>
      </w:r>
      <w:r w:rsidR="00893E18">
        <w:rPr>
          <w:sz w:val="22"/>
          <w:szCs w:val="22"/>
        </w:rPr>
        <w:t xml:space="preserve"> -</w:t>
      </w:r>
      <w:r w:rsidRPr="005B464B">
        <w:rPr>
          <w:sz w:val="22"/>
          <w:szCs w:val="22"/>
        </w:rPr>
        <w:t xml:space="preserve"> zawierają tr</w:t>
      </w:r>
      <w:r w:rsidR="000A1051">
        <w:rPr>
          <w:sz w:val="22"/>
          <w:szCs w:val="22"/>
        </w:rPr>
        <w:t xml:space="preserve">end oraz składnik nieregularny. </w:t>
      </w:r>
      <w:r w:rsidRPr="005B464B">
        <w:rPr>
          <w:sz w:val="22"/>
          <w:szCs w:val="22"/>
        </w:rPr>
        <w:t>Wyrównanie sezonowe polega na eliminacji efektu zmienności kalendarzowej</w:t>
      </w:r>
      <w:r>
        <w:rPr>
          <w:sz w:val="22"/>
          <w:szCs w:val="22"/>
        </w:rPr>
        <w:t xml:space="preserve"> </w:t>
      </w:r>
      <w:r w:rsidRPr="005B464B">
        <w:rPr>
          <w:sz w:val="22"/>
          <w:szCs w:val="22"/>
        </w:rPr>
        <w:t>i</w:t>
      </w:r>
      <w:r>
        <w:rPr>
          <w:sz w:val="22"/>
          <w:szCs w:val="22"/>
        </w:rPr>
        <w:t> </w:t>
      </w:r>
      <w:r w:rsidRPr="005B464B">
        <w:rPr>
          <w:sz w:val="22"/>
          <w:szCs w:val="22"/>
        </w:rPr>
        <w:t>zmienności dni roboczych (różnice czasu pracy w kolejnych miesiącach) oraz efektu sezonowości (coroczne, regularne odchylenia od trendu obserwowane w cyklu rocznym).</w:t>
      </w:r>
    </w:p>
    <w:p w:rsidR="0030545E" w:rsidRPr="00431C39" w:rsidRDefault="0030545E" w:rsidP="0030545E">
      <w:pPr>
        <w:tabs>
          <w:tab w:val="left" w:pos="280"/>
          <w:tab w:val="left" w:pos="280"/>
        </w:tabs>
        <w:jc w:val="both"/>
        <w:rPr>
          <w:sz w:val="12"/>
          <w:szCs w:val="18"/>
        </w:rPr>
      </w:pPr>
    </w:p>
    <w:p w:rsidR="00E5429D" w:rsidRPr="00E5429D" w:rsidRDefault="0030545E" w:rsidP="00431C39">
      <w:pPr>
        <w:tabs>
          <w:tab w:val="left" w:pos="280"/>
          <w:tab w:val="left" w:pos="280"/>
        </w:tabs>
        <w:jc w:val="both"/>
        <w:rPr>
          <w:sz w:val="22"/>
          <w:szCs w:val="22"/>
        </w:rPr>
      </w:pPr>
      <w:r w:rsidRPr="005B464B">
        <w:rPr>
          <w:sz w:val="22"/>
          <w:szCs w:val="22"/>
        </w:rPr>
        <w:tab/>
        <w:t xml:space="preserve">4. </w:t>
      </w:r>
      <w:r w:rsidR="00E5429D" w:rsidRPr="00E5429D">
        <w:rPr>
          <w:b/>
          <w:sz w:val="22"/>
          <w:szCs w:val="22"/>
        </w:rPr>
        <w:t>Produkcja sprzedana</w:t>
      </w:r>
      <w:r w:rsidR="00E5429D" w:rsidRPr="00E5429D">
        <w:rPr>
          <w:sz w:val="22"/>
          <w:szCs w:val="22"/>
        </w:rPr>
        <w:t xml:space="preserve"> dotyczy całokształtu działalności podmiotu gospodarczego, tj. zarówno działalności przemysłowej, jak i nieprzemysłowej.</w:t>
      </w:r>
    </w:p>
    <w:p w:rsidR="00E5429D" w:rsidRPr="00E5429D" w:rsidRDefault="00E5429D" w:rsidP="00E5429D">
      <w:pPr>
        <w:tabs>
          <w:tab w:val="left" w:pos="280"/>
          <w:tab w:val="left" w:pos="280"/>
        </w:tabs>
        <w:jc w:val="both"/>
        <w:rPr>
          <w:sz w:val="22"/>
          <w:szCs w:val="22"/>
        </w:rPr>
      </w:pPr>
      <w:r w:rsidRPr="00E5429D">
        <w:rPr>
          <w:sz w:val="22"/>
          <w:szCs w:val="22"/>
        </w:rPr>
        <w:tab/>
        <w:t>Produkcja sprzedana przemysłu obejmuje:</w:t>
      </w:r>
    </w:p>
    <w:p w:rsidR="00E5429D" w:rsidRPr="00E5429D" w:rsidRDefault="00E5429D" w:rsidP="00E5429D">
      <w:pPr>
        <w:numPr>
          <w:ilvl w:val="0"/>
          <w:numId w:val="4"/>
        </w:numPr>
        <w:tabs>
          <w:tab w:val="left" w:pos="280"/>
          <w:tab w:val="left" w:pos="280"/>
        </w:tabs>
        <w:ind w:left="284" w:hanging="284"/>
        <w:jc w:val="both"/>
        <w:rPr>
          <w:color w:val="000000"/>
          <w:sz w:val="22"/>
          <w:szCs w:val="22"/>
        </w:rPr>
      </w:pPr>
      <w:r w:rsidRPr="00E5429D">
        <w:rPr>
          <w:color w:val="000000"/>
          <w:sz w:val="22"/>
          <w:szCs w:val="22"/>
        </w:rPr>
        <w:t>wartość sprzedanych wyrobów gotowych, półfabrykatów i części własnej produkcji (niezależnie od tego, czy otrzymano za nie należne opłaty);</w:t>
      </w:r>
    </w:p>
    <w:p w:rsidR="00E5429D" w:rsidRPr="00E5429D" w:rsidRDefault="00E5429D" w:rsidP="00E5429D">
      <w:pPr>
        <w:numPr>
          <w:ilvl w:val="0"/>
          <w:numId w:val="4"/>
        </w:numPr>
        <w:tabs>
          <w:tab w:val="left" w:pos="280"/>
          <w:tab w:val="left" w:pos="280"/>
        </w:tabs>
        <w:jc w:val="both"/>
        <w:rPr>
          <w:sz w:val="22"/>
          <w:szCs w:val="22"/>
        </w:rPr>
      </w:pPr>
      <w:r w:rsidRPr="00E5429D">
        <w:rPr>
          <w:sz w:val="22"/>
          <w:szCs w:val="22"/>
        </w:rPr>
        <w:t>wartość robót i usług świadczonych odpłatnie, tj. zarówno przemysłowych, jak i nieprzemysłowych;</w:t>
      </w:r>
    </w:p>
    <w:p w:rsidR="00E5429D" w:rsidRPr="00E5429D" w:rsidRDefault="00E5429D" w:rsidP="00E5429D">
      <w:pPr>
        <w:numPr>
          <w:ilvl w:val="0"/>
          <w:numId w:val="4"/>
        </w:numPr>
        <w:tabs>
          <w:tab w:val="left" w:pos="280"/>
          <w:tab w:val="left" w:pos="280"/>
        </w:tabs>
        <w:ind w:left="284" w:hanging="284"/>
        <w:jc w:val="both"/>
        <w:rPr>
          <w:sz w:val="22"/>
          <w:szCs w:val="22"/>
        </w:rPr>
      </w:pPr>
      <w:r w:rsidRPr="00E5429D">
        <w:rPr>
          <w:sz w:val="22"/>
          <w:szCs w:val="22"/>
        </w:rPr>
        <w:t>zryczałtowaną odpłatność agenta w przypadku zawarcia umowy na warunkach zlecenia lub pełne przychody agenta w przypadku zawarcia umowy agencyjnej;</w:t>
      </w:r>
    </w:p>
    <w:p w:rsidR="002D348D" w:rsidRPr="002D348D" w:rsidRDefault="00E5429D" w:rsidP="002027A6">
      <w:pPr>
        <w:numPr>
          <w:ilvl w:val="0"/>
          <w:numId w:val="4"/>
        </w:numPr>
        <w:tabs>
          <w:tab w:val="left" w:pos="280"/>
          <w:tab w:val="left" w:pos="280"/>
        </w:tabs>
        <w:ind w:left="284" w:hanging="284"/>
        <w:jc w:val="both"/>
        <w:rPr>
          <w:sz w:val="22"/>
          <w:szCs w:val="22"/>
        </w:rPr>
      </w:pPr>
      <w:r w:rsidRPr="00E5429D">
        <w:rPr>
          <w:sz w:val="22"/>
          <w:szCs w:val="22"/>
        </w:rPr>
        <w:t>wartość produktów wytworzonych niezaliczonych do sprzedaży, traktowanych na równi ze sprzedażą, tj.: wartość własnych wyrobów przekazanych do własnych punktów sprzedaży detalicznej, jak również do własnych zakładów gastronomicznych i do własnych hurtowni, wartość wykonanych świadczeń na rzecz</w:t>
      </w:r>
    </w:p>
    <w:p w:rsidR="005274BB" w:rsidRDefault="002D348D" w:rsidP="005274BB">
      <w:pPr>
        <w:ind w:left="284"/>
        <w:jc w:val="both"/>
        <w:sectPr w:rsidR="005274BB" w:rsidSect="001E7026">
          <w:headerReference w:type="default" r:id="rId11"/>
          <w:pgSz w:w="11906" w:h="16838" w:code="9"/>
          <w:pgMar w:top="1134" w:right="964" w:bottom="992" w:left="1134" w:header="709" w:footer="709" w:gutter="0"/>
          <w:pgNumType w:start="8"/>
          <w:cols w:space="708"/>
          <w:docGrid w:linePitch="360"/>
        </w:sectPr>
      </w:pPr>
      <w:r>
        <w:rPr>
          <w:sz w:val="22"/>
          <w:szCs w:val="22"/>
        </w:rPr>
        <w:t>f</w:t>
      </w:r>
      <w:r w:rsidR="00E5429D" w:rsidRPr="00E5429D">
        <w:rPr>
          <w:sz w:val="22"/>
          <w:szCs w:val="22"/>
        </w:rPr>
        <w:t>unduszu świadczeń socjalnych, wykonanych i przekazanych wyrobów i usług własnej produkcji na powiększenie wartości własnych środków trwałych, nieodpłatnie przekazanych wyrobów i usług na potrzeby reprezentacji i reklamy</w:t>
      </w:r>
      <w:r w:rsidR="00E5429D" w:rsidRPr="00E5429D">
        <w:rPr>
          <w:color w:val="000000"/>
          <w:sz w:val="22"/>
          <w:szCs w:val="22"/>
        </w:rPr>
        <w:t>, przekazanych wyrobów i usług na potrzeby osobiste podatnika i pracowników oraz darowizny wyrobów i świadczonych usług bez pobrania zapłaty.</w:t>
      </w:r>
      <w:r w:rsidR="00E5429D" w:rsidRPr="00E5429D">
        <w:t xml:space="preserve"> </w:t>
      </w:r>
    </w:p>
    <w:p w:rsidR="0030545E" w:rsidRDefault="0030545E" w:rsidP="005274BB">
      <w:pPr>
        <w:ind w:left="284"/>
        <w:jc w:val="both"/>
        <w:rPr>
          <w:color w:val="000000"/>
          <w:sz w:val="22"/>
          <w:szCs w:val="22"/>
        </w:rPr>
      </w:pPr>
      <w:r>
        <w:rPr>
          <w:color w:val="000000"/>
          <w:sz w:val="22"/>
          <w:szCs w:val="22"/>
        </w:rPr>
        <w:lastRenderedPageBreak/>
        <w:t>5</w:t>
      </w:r>
      <w:r w:rsidRPr="005B464B">
        <w:rPr>
          <w:color w:val="000000"/>
          <w:sz w:val="22"/>
          <w:szCs w:val="22"/>
        </w:rPr>
        <w:t xml:space="preserve">. Dane o wartości produkcji sprzedanej prezentuje się bez </w:t>
      </w:r>
      <w:r>
        <w:rPr>
          <w:color w:val="000000"/>
          <w:sz w:val="22"/>
          <w:szCs w:val="22"/>
        </w:rPr>
        <w:t>podatku od towarów i usług (</w:t>
      </w:r>
      <w:r w:rsidRPr="005B464B">
        <w:rPr>
          <w:color w:val="000000"/>
          <w:sz w:val="22"/>
          <w:szCs w:val="22"/>
        </w:rPr>
        <w:t>VAT</w:t>
      </w:r>
      <w:r>
        <w:rPr>
          <w:color w:val="000000"/>
          <w:sz w:val="22"/>
          <w:szCs w:val="22"/>
        </w:rPr>
        <w:t>)</w:t>
      </w:r>
      <w:r w:rsidRPr="005B464B">
        <w:rPr>
          <w:color w:val="000000"/>
          <w:sz w:val="22"/>
          <w:szCs w:val="22"/>
        </w:rPr>
        <w:t xml:space="preserve"> i</w:t>
      </w:r>
      <w:r w:rsidR="00411300">
        <w:rPr>
          <w:color w:val="000000"/>
          <w:sz w:val="22"/>
          <w:szCs w:val="22"/>
        </w:rPr>
        <w:t> </w:t>
      </w:r>
      <w:r w:rsidRPr="005B464B">
        <w:rPr>
          <w:color w:val="000000"/>
          <w:sz w:val="22"/>
          <w:szCs w:val="22"/>
        </w:rPr>
        <w:t xml:space="preserve">podatku akcyzowego, </w:t>
      </w:r>
      <w:r w:rsidR="00237B3D" w:rsidRPr="005B464B">
        <w:rPr>
          <w:color w:val="000000"/>
          <w:sz w:val="22"/>
          <w:szCs w:val="22"/>
        </w:rPr>
        <w:t xml:space="preserve">natomiast </w:t>
      </w:r>
      <w:r w:rsidRPr="005B464B">
        <w:rPr>
          <w:color w:val="000000"/>
          <w:sz w:val="22"/>
          <w:szCs w:val="22"/>
        </w:rPr>
        <w:t>łącznie z</w:t>
      </w:r>
      <w:r>
        <w:rPr>
          <w:color w:val="000000"/>
          <w:sz w:val="22"/>
          <w:szCs w:val="22"/>
        </w:rPr>
        <w:t> </w:t>
      </w:r>
      <w:r w:rsidRPr="005B464B">
        <w:rPr>
          <w:color w:val="000000"/>
          <w:sz w:val="22"/>
          <w:szCs w:val="22"/>
        </w:rPr>
        <w:t xml:space="preserve">wartością dotacji </w:t>
      </w:r>
      <w:r>
        <w:rPr>
          <w:color w:val="000000"/>
          <w:sz w:val="22"/>
          <w:szCs w:val="22"/>
        </w:rPr>
        <w:t xml:space="preserve">przedmiotowych tj. dotacji do </w:t>
      </w:r>
      <w:r w:rsidR="00237B3D">
        <w:rPr>
          <w:color w:val="000000"/>
          <w:sz w:val="22"/>
          <w:szCs w:val="22"/>
        </w:rPr>
        <w:t>wyrobów i usług</w:t>
      </w:r>
      <w:r>
        <w:rPr>
          <w:color w:val="000000"/>
          <w:sz w:val="22"/>
          <w:szCs w:val="22"/>
        </w:rPr>
        <w:t xml:space="preserve"> – w tzw. </w:t>
      </w:r>
      <w:r w:rsidRPr="005B464B">
        <w:rPr>
          <w:color w:val="000000"/>
          <w:sz w:val="22"/>
          <w:szCs w:val="22"/>
        </w:rPr>
        <w:t>cenach bazowych.</w:t>
      </w:r>
    </w:p>
    <w:p w:rsidR="0030545E" w:rsidRPr="005B464B" w:rsidRDefault="0030545E" w:rsidP="0030545E">
      <w:pPr>
        <w:tabs>
          <w:tab w:val="left" w:pos="280"/>
          <w:tab w:val="left" w:pos="280"/>
        </w:tabs>
        <w:jc w:val="both"/>
        <w:rPr>
          <w:color w:val="000000"/>
          <w:sz w:val="22"/>
          <w:szCs w:val="22"/>
        </w:rPr>
      </w:pPr>
    </w:p>
    <w:p w:rsidR="0030545E" w:rsidRDefault="0030545E" w:rsidP="0030545E">
      <w:pPr>
        <w:ind w:firstLine="284"/>
        <w:jc w:val="both"/>
        <w:rPr>
          <w:sz w:val="22"/>
          <w:szCs w:val="22"/>
        </w:rPr>
      </w:pPr>
      <w:r>
        <w:rPr>
          <w:bCs/>
          <w:sz w:val="22"/>
          <w:szCs w:val="22"/>
        </w:rPr>
        <w:t>6</w:t>
      </w:r>
      <w:r w:rsidRPr="00D84025">
        <w:rPr>
          <w:bCs/>
          <w:sz w:val="22"/>
          <w:szCs w:val="22"/>
        </w:rPr>
        <w:t>.</w:t>
      </w:r>
      <w:r w:rsidRPr="00D84025">
        <w:rPr>
          <w:b/>
          <w:bCs/>
          <w:sz w:val="22"/>
          <w:szCs w:val="22"/>
        </w:rPr>
        <w:t xml:space="preserve"> </w:t>
      </w:r>
      <w:r w:rsidRPr="00C04B05">
        <w:rPr>
          <w:b/>
          <w:sz w:val="22"/>
          <w:szCs w:val="22"/>
        </w:rPr>
        <w:t>Wskaźnik nowe zamówienia w przemyśle</w:t>
      </w:r>
      <w:r w:rsidRPr="00D84025">
        <w:rPr>
          <w:sz w:val="22"/>
          <w:szCs w:val="22"/>
        </w:rPr>
        <w:t xml:space="preserve"> służy ocenie przyszłej produkcji i pokazuje rozwój popytu na wyroby i usługi przemysłowe w wybranych działach sekcj</w:t>
      </w:r>
      <w:r>
        <w:rPr>
          <w:sz w:val="22"/>
          <w:szCs w:val="22"/>
        </w:rPr>
        <w:t xml:space="preserve">i ,,Przetwórstwo przemysłowe’’ - </w:t>
      </w:r>
      <w:r w:rsidRPr="00D84025">
        <w:rPr>
          <w:sz w:val="22"/>
          <w:szCs w:val="22"/>
        </w:rPr>
        <w:t>dz</w:t>
      </w:r>
      <w:r>
        <w:rPr>
          <w:sz w:val="22"/>
          <w:szCs w:val="22"/>
        </w:rPr>
        <w:t>iały 13, 14, 17, 20, 21, 24</w:t>
      </w:r>
      <w:r w:rsidR="00583CE6">
        <w:rPr>
          <w:sz w:val="22"/>
          <w:szCs w:val="22"/>
        </w:rPr>
        <w:t xml:space="preserve"> </w:t>
      </w:r>
      <w:r w:rsidR="00583CE6">
        <w:rPr>
          <w:color w:val="000000"/>
          <w:sz w:val="22"/>
          <w:szCs w:val="22"/>
        </w:rPr>
        <w:t>–</w:t>
      </w:r>
      <w:r>
        <w:rPr>
          <w:sz w:val="22"/>
          <w:szCs w:val="22"/>
        </w:rPr>
        <w:t xml:space="preserve"> 30 według PKD 2007</w:t>
      </w:r>
      <w:r w:rsidRPr="00D84025">
        <w:rPr>
          <w:sz w:val="22"/>
          <w:szCs w:val="22"/>
        </w:rPr>
        <w:t xml:space="preserve">. Zamówienia w przemyśle określane </w:t>
      </w:r>
      <w:r w:rsidR="00583CE6">
        <w:rPr>
          <w:sz w:val="22"/>
          <w:szCs w:val="22"/>
        </w:rPr>
        <w:t>są jako wartość kontraktów (bez </w:t>
      </w:r>
      <w:r>
        <w:rPr>
          <w:sz w:val="22"/>
          <w:szCs w:val="22"/>
        </w:rPr>
        <w:t xml:space="preserve">podatku od towarów i usług – </w:t>
      </w:r>
      <w:r w:rsidRPr="00D84025">
        <w:rPr>
          <w:sz w:val="22"/>
          <w:szCs w:val="22"/>
        </w:rPr>
        <w:t>VAT) wiążących producenta i stronę trzecią w zakresie dostarczania wyrobów i</w:t>
      </w:r>
      <w:r>
        <w:rPr>
          <w:sz w:val="22"/>
          <w:szCs w:val="22"/>
        </w:rPr>
        <w:t> </w:t>
      </w:r>
      <w:r w:rsidRPr="00D84025">
        <w:rPr>
          <w:sz w:val="22"/>
          <w:szCs w:val="22"/>
        </w:rPr>
        <w:t>usług</w:t>
      </w:r>
      <w:r>
        <w:rPr>
          <w:sz w:val="22"/>
          <w:szCs w:val="22"/>
        </w:rPr>
        <w:t>.</w:t>
      </w:r>
    </w:p>
    <w:p w:rsidR="0030545E" w:rsidRPr="00D84025" w:rsidRDefault="0030545E" w:rsidP="0030545E">
      <w:pPr>
        <w:jc w:val="both"/>
        <w:rPr>
          <w:sz w:val="22"/>
          <w:szCs w:val="22"/>
        </w:rPr>
      </w:pPr>
    </w:p>
    <w:p w:rsidR="0030545E" w:rsidRPr="00D84025" w:rsidRDefault="0030545E" w:rsidP="0030545E">
      <w:pPr>
        <w:tabs>
          <w:tab w:val="left" w:pos="280"/>
          <w:tab w:val="left" w:pos="280"/>
        </w:tabs>
        <w:jc w:val="both"/>
        <w:rPr>
          <w:sz w:val="22"/>
          <w:szCs w:val="22"/>
        </w:rPr>
      </w:pPr>
      <w:r>
        <w:rPr>
          <w:sz w:val="22"/>
          <w:szCs w:val="22"/>
        </w:rPr>
        <w:tab/>
        <w:t>7</w:t>
      </w:r>
      <w:r w:rsidRPr="00D84025">
        <w:rPr>
          <w:sz w:val="22"/>
          <w:szCs w:val="22"/>
        </w:rPr>
        <w:t>.</w:t>
      </w:r>
      <w:r w:rsidRPr="00D84025">
        <w:rPr>
          <w:b/>
          <w:sz w:val="22"/>
          <w:szCs w:val="22"/>
        </w:rPr>
        <w:t xml:space="preserve"> Obrót w przemyśle</w:t>
      </w:r>
      <w:r w:rsidRPr="00D84025">
        <w:rPr>
          <w:sz w:val="22"/>
          <w:szCs w:val="22"/>
        </w:rPr>
        <w:t xml:space="preserve"> dotyczy całokształtu działalności podmiotu gospodarczego, tj. zarówno działalności przemysłowej, jak i nieprzemysłowej.</w:t>
      </w:r>
    </w:p>
    <w:p w:rsidR="0030545E" w:rsidRPr="00AE4A8C" w:rsidRDefault="0030545E" w:rsidP="0030545E">
      <w:pPr>
        <w:tabs>
          <w:tab w:val="left" w:pos="280"/>
          <w:tab w:val="left" w:pos="280"/>
        </w:tabs>
        <w:jc w:val="both"/>
        <w:rPr>
          <w:sz w:val="22"/>
          <w:szCs w:val="22"/>
        </w:rPr>
      </w:pPr>
      <w:r w:rsidRPr="00D84025">
        <w:rPr>
          <w:sz w:val="22"/>
          <w:szCs w:val="22"/>
        </w:rPr>
        <w:tab/>
      </w:r>
      <w:r w:rsidR="0047518C">
        <w:rPr>
          <w:sz w:val="22"/>
          <w:szCs w:val="22"/>
        </w:rPr>
        <w:t>Obejmuje on</w:t>
      </w:r>
      <w:r w:rsidRPr="00AE4A8C">
        <w:rPr>
          <w:sz w:val="22"/>
          <w:szCs w:val="22"/>
        </w:rPr>
        <w:t>:</w:t>
      </w:r>
    </w:p>
    <w:p w:rsidR="0030545E" w:rsidRPr="00D84025" w:rsidRDefault="0030545E" w:rsidP="00BD7F23">
      <w:pPr>
        <w:pStyle w:val="Tekstpodstawowywcity"/>
        <w:numPr>
          <w:ilvl w:val="0"/>
          <w:numId w:val="6"/>
        </w:numPr>
        <w:spacing w:line="240" w:lineRule="auto"/>
        <w:ind w:left="357" w:hanging="357"/>
        <w:rPr>
          <w:rFonts w:ascii="Times New Roman" w:hAnsi="Times New Roman"/>
          <w:szCs w:val="22"/>
          <w:lang w:val="pl-PL"/>
        </w:rPr>
      </w:pPr>
      <w:r w:rsidRPr="00D84025">
        <w:rPr>
          <w:rFonts w:ascii="Times New Roman" w:hAnsi="Times New Roman"/>
          <w:szCs w:val="22"/>
          <w:lang w:val="pl-PL"/>
        </w:rPr>
        <w:t xml:space="preserve">przychody netto ze </w:t>
      </w:r>
      <w:r w:rsidRPr="00356C1E">
        <w:rPr>
          <w:rFonts w:ascii="Times New Roman" w:hAnsi="Times New Roman"/>
          <w:szCs w:val="22"/>
          <w:lang w:val="pl-PL"/>
        </w:rPr>
        <w:t>sprzedaży w kraju i na eksport</w:t>
      </w:r>
      <w:r w:rsidRPr="005B464B">
        <w:rPr>
          <w:rFonts w:ascii="Times New Roman" w:hAnsi="Times New Roman"/>
          <w:szCs w:val="22"/>
          <w:lang w:val="pl-PL"/>
        </w:rPr>
        <w:t xml:space="preserve"> </w:t>
      </w:r>
      <w:r w:rsidRPr="00D84025">
        <w:rPr>
          <w:rFonts w:ascii="Times New Roman" w:hAnsi="Times New Roman"/>
          <w:szCs w:val="22"/>
          <w:lang w:val="pl-PL"/>
        </w:rPr>
        <w:t>wytworzonych przez jednostkę produktów (wyrobów gotowych, półfabrykatów oraz usług), a także opakowań, wyposażenia i usług obcych, jeżeli są one fakturowane odbiorcom łącznie z produktami;</w:t>
      </w:r>
    </w:p>
    <w:p w:rsidR="0030545E" w:rsidRPr="00D84025" w:rsidRDefault="0030545E" w:rsidP="00BD7F23">
      <w:pPr>
        <w:numPr>
          <w:ilvl w:val="0"/>
          <w:numId w:val="6"/>
        </w:numPr>
        <w:ind w:left="357" w:hanging="357"/>
        <w:jc w:val="both"/>
        <w:rPr>
          <w:sz w:val="22"/>
          <w:szCs w:val="22"/>
        </w:rPr>
      </w:pPr>
      <w:r w:rsidRPr="00D84025">
        <w:rPr>
          <w:sz w:val="22"/>
          <w:szCs w:val="22"/>
        </w:rPr>
        <w:t>przychody ze s</w:t>
      </w:r>
      <w:r>
        <w:rPr>
          <w:sz w:val="22"/>
          <w:szCs w:val="22"/>
        </w:rPr>
        <w:t>przedaży towarów i materiałów (</w:t>
      </w:r>
      <w:r w:rsidRPr="00D84025">
        <w:rPr>
          <w:sz w:val="22"/>
          <w:szCs w:val="22"/>
        </w:rPr>
        <w:t>tj. nabytych w celu odsprzedaży w stanie nieprzetworzonym rzeczowych aktywów obrotowych oraz produktów przez siebie wytworzonych jeśli sprzedawane są one w sieci własnych sklepów obok towarów obcej produkcji).</w:t>
      </w:r>
    </w:p>
    <w:p w:rsidR="0030545E" w:rsidRPr="00AE4A8C" w:rsidRDefault="0030545E" w:rsidP="0030545E">
      <w:pPr>
        <w:pStyle w:val="Normalny12"/>
        <w:spacing w:line="240" w:lineRule="auto"/>
        <w:rPr>
          <w:b/>
          <w:sz w:val="22"/>
          <w:szCs w:val="22"/>
          <w:lang w:val="pl-PL"/>
        </w:rPr>
      </w:pPr>
      <w:r w:rsidRPr="00CB4733">
        <w:rPr>
          <w:i w:val="0"/>
          <w:color w:val="000000"/>
          <w:sz w:val="22"/>
          <w:szCs w:val="22"/>
          <w:lang w:val="pl-PL"/>
        </w:rPr>
        <w:t xml:space="preserve">Dane o wartości obrotu prezentuje się bez </w:t>
      </w:r>
      <w:r>
        <w:rPr>
          <w:i w:val="0"/>
          <w:color w:val="000000"/>
          <w:sz w:val="22"/>
          <w:szCs w:val="22"/>
          <w:lang w:val="pl-PL"/>
        </w:rPr>
        <w:t>podatku od tow</w:t>
      </w:r>
      <w:r w:rsidR="001D5042">
        <w:rPr>
          <w:i w:val="0"/>
          <w:color w:val="000000"/>
          <w:sz w:val="22"/>
          <w:szCs w:val="22"/>
          <w:lang w:val="pl-PL"/>
        </w:rPr>
        <w:t>a</w:t>
      </w:r>
      <w:r>
        <w:rPr>
          <w:i w:val="0"/>
          <w:color w:val="000000"/>
          <w:sz w:val="22"/>
          <w:szCs w:val="22"/>
          <w:lang w:val="pl-PL"/>
        </w:rPr>
        <w:t>rów i usług (</w:t>
      </w:r>
      <w:r w:rsidRPr="00CB4733">
        <w:rPr>
          <w:i w:val="0"/>
          <w:color w:val="000000"/>
          <w:sz w:val="22"/>
          <w:szCs w:val="22"/>
          <w:lang w:val="pl-PL"/>
        </w:rPr>
        <w:t>VAT</w:t>
      </w:r>
      <w:r>
        <w:rPr>
          <w:i w:val="0"/>
          <w:color w:val="000000"/>
          <w:sz w:val="22"/>
          <w:szCs w:val="22"/>
          <w:lang w:val="pl-PL"/>
        </w:rPr>
        <w:t>)</w:t>
      </w:r>
      <w:r w:rsidRPr="00CB4733">
        <w:rPr>
          <w:i w:val="0"/>
          <w:color w:val="000000"/>
          <w:sz w:val="22"/>
          <w:szCs w:val="22"/>
          <w:lang w:val="pl-PL"/>
        </w:rPr>
        <w:t xml:space="preserve"> i podatku akcyzowego</w:t>
      </w:r>
      <w:r w:rsidRPr="005B464B">
        <w:rPr>
          <w:color w:val="000000"/>
          <w:sz w:val="22"/>
          <w:szCs w:val="22"/>
          <w:lang w:val="pl-PL"/>
        </w:rPr>
        <w:t>.</w:t>
      </w:r>
    </w:p>
    <w:p w:rsidR="0030545E" w:rsidRPr="005B464B" w:rsidRDefault="0030545E" w:rsidP="0030545E">
      <w:pPr>
        <w:tabs>
          <w:tab w:val="left" w:pos="280"/>
          <w:tab w:val="left" w:pos="280"/>
        </w:tabs>
        <w:jc w:val="both"/>
        <w:rPr>
          <w:color w:val="000000"/>
          <w:sz w:val="22"/>
          <w:szCs w:val="22"/>
        </w:rPr>
      </w:pPr>
    </w:p>
    <w:p w:rsidR="0030545E" w:rsidRPr="005B464B" w:rsidRDefault="0030545E" w:rsidP="0030545E">
      <w:pPr>
        <w:tabs>
          <w:tab w:val="left" w:pos="280"/>
          <w:tab w:val="left" w:pos="280"/>
        </w:tabs>
        <w:jc w:val="both"/>
        <w:rPr>
          <w:sz w:val="22"/>
          <w:szCs w:val="22"/>
        </w:rPr>
      </w:pPr>
      <w:r w:rsidRPr="005B464B">
        <w:rPr>
          <w:sz w:val="22"/>
          <w:szCs w:val="22"/>
        </w:rPr>
        <w:tab/>
      </w:r>
      <w:r>
        <w:rPr>
          <w:sz w:val="22"/>
          <w:szCs w:val="22"/>
        </w:rPr>
        <w:t>8</w:t>
      </w:r>
      <w:r w:rsidRPr="005B464B">
        <w:rPr>
          <w:sz w:val="22"/>
          <w:szCs w:val="22"/>
        </w:rPr>
        <w:t>.</w:t>
      </w:r>
      <w:r w:rsidR="007512B3">
        <w:rPr>
          <w:sz w:val="22"/>
          <w:szCs w:val="22"/>
        </w:rPr>
        <w:t xml:space="preserve"> </w:t>
      </w:r>
      <w:r w:rsidRPr="005B464B">
        <w:rPr>
          <w:b/>
          <w:sz w:val="22"/>
          <w:szCs w:val="22"/>
        </w:rPr>
        <w:t>Przeciętne wynagrodzenie miesięczne</w:t>
      </w:r>
      <w:r w:rsidRPr="005B464B">
        <w:rPr>
          <w:sz w:val="22"/>
          <w:szCs w:val="22"/>
        </w:rPr>
        <w:t xml:space="preserve"> nominalne przypadające na 1</w:t>
      </w:r>
      <w:r>
        <w:rPr>
          <w:sz w:val="22"/>
          <w:szCs w:val="22"/>
        </w:rPr>
        <w:t xml:space="preserve"> </w:t>
      </w:r>
      <w:r w:rsidRPr="005B464B">
        <w:rPr>
          <w:sz w:val="22"/>
          <w:szCs w:val="22"/>
        </w:rPr>
        <w:t>zatrudnionego obliczono przyjmując: wynagrodzenia osobowe, bez wynagrodzeń osób wykonujących pracę nakładczą oraz uczniów, a</w:t>
      </w:r>
      <w:r>
        <w:rPr>
          <w:sz w:val="22"/>
          <w:szCs w:val="22"/>
        </w:rPr>
        <w:t> </w:t>
      </w:r>
      <w:r w:rsidRPr="005B464B">
        <w:rPr>
          <w:sz w:val="22"/>
          <w:szCs w:val="22"/>
        </w:rPr>
        <w:t>także osób zatrudnionych za granicą, wypłaty z tytułu udziału w zysku lub w nadwyżce bilansowej w</w:t>
      </w:r>
      <w:r>
        <w:rPr>
          <w:sz w:val="22"/>
          <w:szCs w:val="22"/>
        </w:rPr>
        <w:t> </w:t>
      </w:r>
      <w:r w:rsidRPr="005B464B">
        <w:rPr>
          <w:sz w:val="22"/>
          <w:szCs w:val="22"/>
        </w:rPr>
        <w:t>spółdzielniach, dodatkowe wynagrodzenia roczne dla pracowników jednostek sfery budżetowej oraz honoraria wypłacane niekt</w:t>
      </w:r>
      <w:r>
        <w:rPr>
          <w:sz w:val="22"/>
          <w:szCs w:val="22"/>
        </w:rPr>
        <w:t>órym grupom pracowników za prace</w:t>
      </w:r>
      <w:r w:rsidRPr="005B464B">
        <w:rPr>
          <w:sz w:val="22"/>
          <w:szCs w:val="22"/>
        </w:rPr>
        <w:t xml:space="preserve"> wynikające z umowy o</w:t>
      </w:r>
      <w:r w:rsidR="00411300">
        <w:rPr>
          <w:sz w:val="22"/>
          <w:szCs w:val="22"/>
        </w:rPr>
        <w:t> </w:t>
      </w:r>
      <w:r w:rsidRPr="005B464B">
        <w:rPr>
          <w:sz w:val="22"/>
          <w:szCs w:val="22"/>
        </w:rPr>
        <w:t xml:space="preserve">pracę. </w:t>
      </w:r>
    </w:p>
    <w:p w:rsidR="0030545E" w:rsidRDefault="0030545E" w:rsidP="0030545E">
      <w:pPr>
        <w:tabs>
          <w:tab w:val="left" w:pos="280"/>
          <w:tab w:val="left" w:pos="280"/>
        </w:tabs>
        <w:jc w:val="both"/>
        <w:rPr>
          <w:sz w:val="22"/>
          <w:szCs w:val="22"/>
        </w:rPr>
      </w:pPr>
      <w:r w:rsidRPr="005B464B">
        <w:rPr>
          <w:sz w:val="22"/>
          <w:szCs w:val="22"/>
        </w:rPr>
        <w:t>Dane o przeciętnych wynagrodzeniach miesięcznych prezentuje się w ujęciu brutto.</w:t>
      </w:r>
    </w:p>
    <w:p w:rsidR="0030545E" w:rsidRPr="005B464B" w:rsidRDefault="0030545E" w:rsidP="0030545E">
      <w:pPr>
        <w:tabs>
          <w:tab w:val="left" w:pos="280"/>
          <w:tab w:val="left" w:pos="280"/>
        </w:tabs>
        <w:jc w:val="both"/>
        <w:rPr>
          <w:sz w:val="22"/>
          <w:szCs w:val="22"/>
        </w:rPr>
      </w:pPr>
    </w:p>
    <w:p w:rsidR="0030545E" w:rsidRDefault="0030545E" w:rsidP="0030545E">
      <w:pPr>
        <w:pStyle w:val="Tekstpodstawowy3"/>
        <w:tabs>
          <w:tab w:val="left" w:pos="278"/>
        </w:tabs>
        <w:spacing w:line="240" w:lineRule="auto"/>
        <w:jc w:val="both"/>
        <w:rPr>
          <w:lang w:val="pl-PL"/>
        </w:rPr>
      </w:pPr>
      <w:r w:rsidRPr="005B464B">
        <w:rPr>
          <w:lang w:val="pl-PL"/>
        </w:rPr>
        <w:tab/>
      </w:r>
      <w:r>
        <w:rPr>
          <w:lang w:val="pl-PL"/>
        </w:rPr>
        <w:t>9</w:t>
      </w:r>
      <w:r w:rsidRPr="005B464B">
        <w:rPr>
          <w:lang w:val="pl-PL"/>
        </w:rPr>
        <w:t>.</w:t>
      </w:r>
      <w:r w:rsidRPr="005B464B">
        <w:rPr>
          <w:b/>
          <w:lang w:val="pl-PL"/>
        </w:rPr>
        <w:t xml:space="preserve"> Czas przepracowany</w:t>
      </w:r>
      <w:r w:rsidRPr="005B464B">
        <w:rPr>
          <w:lang w:val="pl-PL"/>
        </w:rPr>
        <w:t xml:space="preserve"> to czas przepracowany w </w:t>
      </w:r>
      <w:r>
        <w:rPr>
          <w:lang w:val="pl-PL"/>
        </w:rPr>
        <w:t>godzinach normalnych</w:t>
      </w:r>
      <w:r w:rsidRPr="005B464B">
        <w:rPr>
          <w:lang w:val="pl-PL"/>
        </w:rPr>
        <w:t xml:space="preserve">, tzn. </w:t>
      </w:r>
      <w:r>
        <w:rPr>
          <w:lang w:val="pl-PL"/>
        </w:rPr>
        <w:t xml:space="preserve">w </w:t>
      </w:r>
      <w:r w:rsidRPr="005B464B">
        <w:rPr>
          <w:lang w:val="pl-PL"/>
        </w:rPr>
        <w:t xml:space="preserve">obowiązującym daną grupę pracowników </w:t>
      </w:r>
      <w:r>
        <w:rPr>
          <w:lang w:val="pl-PL"/>
        </w:rPr>
        <w:t xml:space="preserve">wymiarze czasu pracy </w:t>
      </w:r>
      <w:r w:rsidRPr="005B464B">
        <w:rPr>
          <w:lang w:val="pl-PL"/>
        </w:rPr>
        <w:t>oraz w godzinach nadliczbowych</w:t>
      </w:r>
      <w:r>
        <w:rPr>
          <w:lang w:val="pl-PL"/>
        </w:rPr>
        <w:t>, tzn. w czasie przepracowanym ponad obowiązujące pracownika normy czasu pracy</w:t>
      </w:r>
      <w:r w:rsidRPr="005B464B">
        <w:rPr>
          <w:lang w:val="pl-PL"/>
        </w:rPr>
        <w:t>.</w:t>
      </w:r>
    </w:p>
    <w:p w:rsidR="0030545E" w:rsidRDefault="0030545E" w:rsidP="0030545E">
      <w:pPr>
        <w:pStyle w:val="Tekstpodstawowy3"/>
        <w:tabs>
          <w:tab w:val="left" w:pos="278"/>
        </w:tabs>
        <w:spacing w:line="240" w:lineRule="auto"/>
        <w:jc w:val="both"/>
        <w:rPr>
          <w:lang w:val="pl-PL"/>
        </w:rPr>
      </w:pPr>
    </w:p>
    <w:p w:rsidR="0030545E" w:rsidRPr="005B464B" w:rsidRDefault="0030545E" w:rsidP="0030545E">
      <w:pPr>
        <w:pStyle w:val="Tekstpodstawowy3"/>
        <w:tabs>
          <w:tab w:val="left" w:pos="278"/>
        </w:tabs>
        <w:spacing w:line="240" w:lineRule="auto"/>
        <w:jc w:val="both"/>
        <w:rPr>
          <w:color w:val="000000"/>
          <w:szCs w:val="22"/>
          <w:lang w:val="pl-PL"/>
        </w:rPr>
      </w:pPr>
      <w:r w:rsidRPr="005B464B">
        <w:rPr>
          <w:szCs w:val="22"/>
          <w:lang w:val="pl-PL"/>
        </w:rPr>
        <w:tab/>
      </w:r>
      <w:r>
        <w:rPr>
          <w:szCs w:val="22"/>
          <w:lang w:val="pl-PL"/>
        </w:rPr>
        <w:t>10</w:t>
      </w:r>
      <w:r w:rsidRPr="005B464B">
        <w:rPr>
          <w:szCs w:val="22"/>
          <w:lang w:val="pl-PL"/>
        </w:rPr>
        <w:t xml:space="preserve">. </w:t>
      </w:r>
      <w:r w:rsidRPr="005B464B">
        <w:rPr>
          <w:b/>
          <w:szCs w:val="22"/>
          <w:lang w:val="pl-PL"/>
        </w:rPr>
        <w:t>Wskaźniki cen produkcji sprzedanej przemysłu</w:t>
      </w:r>
      <w:r w:rsidRPr="005B464B">
        <w:rPr>
          <w:szCs w:val="22"/>
          <w:lang w:val="pl-PL"/>
        </w:rPr>
        <w:t xml:space="preserve"> opracowano na podstawie miesięcznego badania cen wyrobów i usług faktycznie uzyskiwanych przez dobrane w sposób celowy podmioty gospodarcze zaklasyfikowane do sekcji: </w:t>
      </w:r>
      <w:r w:rsidRPr="005B464B">
        <w:rPr>
          <w:color w:val="000000"/>
          <w:szCs w:val="22"/>
          <w:lang w:val="pl-PL"/>
        </w:rPr>
        <w:t>"Górnictwo i wydobywanie", "Przetwórstwo przemysłowe", "Wytwarzanie i</w:t>
      </w:r>
      <w:r>
        <w:rPr>
          <w:color w:val="000000"/>
          <w:szCs w:val="22"/>
          <w:lang w:val="pl-PL"/>
        </w:rPr>
        <w:t> </w:t>
      </w:r>
      <w:r w:rsidRPr="005B464B">
        <w:rPr>
          <w:color w:val="000000"/>
          <w:szCs w:val="22"/>
          <w:lang w:val="pl-PL"/>
        </w:rPr>
        <w:t>zaopatrywanie w energię elektryczną, gaz, parę wodną, gorącą wodę i powietrze do</w:t>
      </w:r>
      <w:r w:rsidRPr="005B464B">
        <w:rPr>
          <w:color w:val="FF0000"/>
          <w:szCs w:val="22"/>
          <w:lang w:val="pl-PL"/>
        </w:rPr>
        <w:t xml:space="preserve"> </w:t>
      </w:r>
      <w:r w:rsidRPr="005B464B">
        <w:rPr>
          <w:color w:val="000000"/>
          <w:szCs w:val="22"/>
          <w:lang w:val="pl-PL"/>
        </w:rPr>
        <w:t>układów klimatyzacyjnych" oraz ”Dostawa wody; gospodarowanie ściekami i odpadami oraz działalność związana z</w:t>
      </w:r>
      <w:r>
        <w:rPr>
          <w:color w:val="000000"/>
          <w:szCs w:val="22"/>
          <w:lang w:val="pl-PL"/>
        </w:rPr>
        <w:t> </w:t>
      </w:r>
      <w:r w:rsidRPr="005B464B">
        <w:rPr>
          <w:color w:val="000000"/>
          <w:szCs w:val="22"/>
          <w:lang w:val="pl-PL"/>
        </w:rPr>
        <w:t xml:space="preserve">rekultywacją”. </w:t>
      </w:r>
    </w:p>
    <w:p w:rsidR="0030545E" w:rsidRPr="005B464B" w:rsidRDefault="0030545E" w:rsidP="0030545E">
      <w:pPr>
        <w:tabs>
          <w:tab w:val="left" w:pos="280"/>
          <w:tab w:val="left" w:pos="280"/>
        </w:tabs>
        <w:jc w:val="both"/>
        <w:rPr>
          <w:sz w:val="22"/>
          <w:szCs w:val="22"/>
        </w:rPr>
      </w:pPr>
      <w:r w:rsidRPr="005B464B">
        <w:rPr>
          <w:sz w:val="22"/>
          <w:szCs w:val="22"/>
        </w:rPr>
        <w:tab/>
        <w:t>Wskaźniki cen dla każdego rodzaju działalności, przy podstawie analogiczny okres roku poprzedniego = 100, obliczane są jako średnie wskaźników cen agregatów niższych szczebli ważone wartością ich sprzedaży z</w:t>
      </w:r>
      <w:r>
        <w:rPr>
          <w:sz w:val="22"/>
          <w:szCs w:val="22"/>
        </w:rPr>
        <w:t> </w:t>
      </w:r>
      <w:r w:rsidRPr="005B464B">
        <w:rPr>
          <w:sz w:val="22"/>
          <w:szCs w:val="22"/>
        </w:rPr>
        <w:t>20</w:t>
      </w:r>
      <w:r>
        <w:rPr>
          <w:sz w:val="22"/>
          <w:szCs w:val="22"/>
        </w:rPr>
        <w:t>10 </w:t>
      </w:r>
      <w:r w:rsidRPr="005B464B">
        <w:rPr>
          <w:sz w:val="22"/>
          <w:szCs w:val="22"/>
        </w:rPr>
        <w:t>r.</w:t>
      </w:r>
      <w:r>
        <w:rPr>
          <w:sz w:val="22"/>
          <w:szCs w:val="22"/>
        </w:rPr>
        <w:t>, która jest</w:t>
      </w:r>
      <w:r w:rsidRPr="005B464B">
        <w:rPr>
          <w:sz w:val="22"/>
          <w:szCs w:val="22"/>
        </w:rPr>
        <w:t xml:space="preserve"> aktual</w:t>
      </w:r>
      <w:r>
        <w:rPr>
          <w:sz w:val="22"/>
          <w:szCs w:val="22"/>
        </w:rPr>
        <w:t>izowana</w:t>
      </w:r>
      <w:r w:rsidRPr="005B464B">
        <w:rPr>
          <w:sz w:val="22"/>
          <w:szCs w:val="22"/>
        </w:rPr>
        <w:t xml:space="preserve"> miesięcznie o zmiany cen i zmiany struktury sprzedaży zachodzące w</w:t>
      </w:r>
      <w:r>
        <w:rPr>
          <w:sz w:val="22"/>
          <w:szCs w:val="22"/>
        </w:rPr>
        <w:t> </w:t>
      </w:r>
      <w:r w:rsidRPr="005B464B">
        <w:rPr>
          <w:sz w:val="22"/>
          <w:szCs w:val="22"/>
        </w:rPr>
        <w:t>kolejnych miesiącach roku, którego dotyczą wskaźniki cen.</w:t>
      </w:r>
    </w:p>
    <w:p w:rsidR="0030545E" w:rsidRDefault="0030545E" w:rsidP="0030545E">
      <w:pPr>
        <w:pStyle w:val="Tekstpodstawowy2"/>
        <w:spacing w:line="240" w:lineRule="auto"/>
        <w:rPr>
          <w:rFonts w:ascii="Times New Roman" w:hAnsi="Times New Roman"/>
          <w:color w:val="000000"/>
          <w:szCs w:val="22"/>
          <w:lang w:val="pl-PL"/>
        </w:rPr>
      </w:pPr>
      <w:r w:rsidRPr="005B464B">
        <w:rPr>
          <w:rFonts w:ascii="Times New Roman" w:hAnsi="Times New Roman"/>
          <w:szCs w:val="22"/>
          <w:lang w:val="pl-PL"/>
        </w:rPr>
        <w:tab/>
        <w:t>Wskaźniki cen obrazują dynamikę cen wynikającą z faktycznie wprowadzonych zmian cen, jak i zmian w</w:t>
      </w:r>
      <w:r>
        <w:rPr>
          <w:rFonts w:ascii="Times New Roman" w:hAnsi="Times New Roman"/>
          <w:szCs w:val="22"/>
          <w:lang w:val="pl-PL"/>
        </w:rPr>
        <w:t> </w:t>
      </w:r>
      <w:r w:rsidRPr="005B464B">
        <w:rPr>
          <w:rFonts w:ascii="Times New Roman" w:hAnsi="Times New Roman"/>
          <w:szCs w:val="22"/>
          <w:lang w:val="pl-PL"/>
        </w:rPr>
        <w:t xml:space="preserve">strukturze asortymentowej sprzedaży i strukturze </w:t>
      </w:r>
      <w:r w:rsidRPr="005B464B">
        <w:rPr>
          <w:rFonts w:ascii="Times New Roman" w:hAnsi="Times New Roman"/>
          <w:color w:val="000000"/>
          <w:szCs w:val="22"/>
          <w:lang w:val="pl-PL"/>
        </w:rPr>
        <w:t>odbiorców.</w:t>
      </w:r>
    </w:p>
    <w:p w:rsidR="0030545E" w:rsidRDefault="0030545E" w:rsidP="0030545E">
      <w:pPr>
        <w:pStyle w:val="Tekstpodstawowy2"/>
        <w:spacing w:line="240" w:lineRule="auto"/>
        <w:rPr>
          <w:rFonts w:ascii="Times New Roman" w:hAnsi="Times New Roman"/>
          <w:color w:val="000000"/>
          <w:szCs w:val="22"/>
          <w:lang w:val="pl-PL"/>
        </w:rPr>
      </w:pPr>
    </w:p>
    <w:p w:rsidR="006409C8" w:rsidRPr="00EC4D0E" w:rsidRDefault="0030545E" w:rsidP="00EC4D0E">
      <w:pPr>
        <w:pStyle w:val="Tekstpodstawowy2"/>
        <w:spacing w:line="240" w:lineRule="auto"/>
        <w:rPr>
          <w:rFonts w:ascii="Times New Roman" w:hAnsi="Times New Roman"/>
          <w:szCs w:val="22"/>
          <w:lang w:val="pl-PL"/>
        </w:rPr>
      </w:pPr>
      <w:r w:rsidRPr="005B464B">
        <w:rPr>
          <w:rFonts w:ascii="Times New Roman" w:hAnsi="Times New Roman"/>
          <w:color w:val="000000"/>
          <w:szCs w:val="22"/>
          <w:lang w:val="pl-PL"/>
        </w:rPr>
        <w:tab/>
        <w:t xml:space="preserve"> </w:t>
      </w:r>
      <w:r>
        <w:rPr>
          <w:rFonts w:ascii="Times New Roman" w:hAnsi="Times New Roman"/>
          <w:color w:val="000000"/>
          <w:szCs w:val="22"/>
          <w:lang w:val="pl-PL"/>
        </w:rPr>
        <w:t>11</w:t>
      </w:r>
      <w:r w:rsidRPr="005B464B">
        <w:rPr>
          <w:rFonts w:ascii="Times New Roman" w:hAnsi="Times New Roman"/>
          <w:color w:val="000000"/>
          <w:szCs w:val="22"/>
          <w:lang w:val="pl-PL"/>
        </w:rPr>
        <w:t xml:space="preserve">. Dane dotyczące wyników finansowych przedsiębiorstw </w:t>
      </w:r>
      <w:r w:rsidR="00AA7BA6">
        <w:rPr>
          <w:rFonts w:ascii="Times New Roman" w:hAnsi="Times New Roman"/>
          <w:color w:val="000000"/>
          <w:szCs w:val="22"/>
          <w:lang w:val="pl-PL"/>
        </w:rPr>
        <w:t>zgodne są z ustawą</w:t>
      </w:r>
      <w:r w:rsidR="0007060F">
        <w:rPr>
          <w:rFonts w:ascii="Times New Roman" w:hAnsi="Times New Roman"/>
          <w:color w:val="000000"/>
          <w:szCs w:val="22"/>
          <w:lang w:val="pl-PL"/>
        </w:rPr>
        <w:t xml:space="preserve"> o rachunkowości z </w:t>
      </w:r>
      <w:r w:rsidR="00AA7BA6">
        <w:rPr>
          <w:rFonts w:ascii="Times New Roman" w:hAnsi="Times New Roman"/>
          <w:color w:val="000000"/>
          <w:szCs w:val="22"/>
          <w:lang w:val="pl-PL"/>
        </w:rPr>
        <w:t>dnia 29 </w:t>
      </w:r>
      <w:r w:rsidRPr="005B464B">
        <w:rPr>
          <w:rFonts w:ascii="Times New Roman" w:hAnsi="Times New Roman"/>
          <w:color w:val="000000"/>
          <w:szCs w:val="22"/>
          <w:lang w:val="pl-PL"/>
        </w:rPr>
        <w:t>września</w:t>
      </w:r>
      <w:r w:rsidR="0007060F">
        <w:rPr>
          <w:rFonts w:ascii="Times New Roman" w:hAnsi="Times New Roman"/>
          <w:color w:val="000000"/>
          <w:szCs w:val="22"/>
          <w:lang w:val="pl-PL"/>
        </w:rPr>
        <w:t xml:space="preserve"> 1994 r. (tekst jednolity</w:t>
      </w:r>
      <w:r w:rsidRPr="005B464B">
        <w:rPr>
          <w:rFonts w:ascii="Times New Roman" w:hAnsi="Times New Roman"/>
          <w:color w:val="000000"/>
          <w:szCs w:val="22"/>
          <w:lang w:val="pl-PL"/>
        </w:rPr>
        <w:t xml:space="preserve"> –</w:t>
      </w:r>
      <w:r>
        <w:rPr>
          <w:rFonts w:ascii="Times New Roman" w:hAnsi="Times New Roman"/>
          <w:szCs w:val="22"/>
          <w:lang w:val="pl-PL"/>
        </w:rPr>
        <w:t xml:space="preserve"> Dz. U. </w:t>
      </w:r>
      <w:r w:rsidR="00092C6C">
        <w:rPr>
          <w:rFonts w:ascii="Times New Roman" w:hAnsi="Times New Roman"/>
          <w:szCs w:val="22"/>
          <w:lang w:val="pl-PL"/>
        </w:rPr>
        <w:t>201</w:t>
      </w:r>
      <w:r w:rsidR="007C0CA1">
        <w:rPr>
          <w:rFonts w:ascii="Times New Roman" w:hAnsi="Times New Roman"/>
          <w:szCs w:val="22"/>
          <w:lang w:val="pl-PL"/>
        </w:rPr>
        <w:t>6</w:t>
      </w:r>
      <w:r w:rsidRPr="005B464B">
        <w:rPr>
          <w:rFonts w:ascii="Times New Roman" w:hAnsi="Times New Roman"/>
          <w:szCs w:val="22"/>
          <w:lang w:val="pl-PL"/>
        </w:rPr>
        <w:t xml:space="preserve"> poz. </w:t>
      </w:r>
      <w:r w:rsidR="007C0CA1">
        <w:rPr>
          <w:rFonts w:ascii="Times New Roman" w:hAnsi="Times New Roman"/>
          <w:szCs w:val="22"/>
          <w:lang w:val="pl-PL"/>
        </w:rPr>
        <w:t>1047</w:t>
      </w:r>
      <w:r>
        <w:rPr>
          <w:rFonts w:ascii="Times New Roman" w:hAnsi="Times New Roman"/>
          <w:szCs w:val="22"/>
          <w:lang w:val="pl-PL"/>
        </w:rPr>
        <w:t>).</w:t>
      </w:r>
    </w:p>
    <w:p w:rsidR="00FE7F7E" w:rsidRPr="006409C8" w:rsidRDefault="00FE7F7E" w:rsidP="0030545E">
      <w:pPr>
        <w:tabs>
          <w:tab w:val="left" w:pos="280"/>
          <w:tab w:val="left" w:pos="280"/>
        </w:tabs>
        <w:rPr>
          <w:sz w:val="20"/>
          <w:szCs w:val="20"/>
        </w:rPr>
      </w:pPr>
    </w:p>
    <w:p w:rsidR="0030545E" w:rsidRPr="005B464B" w:rsidRDefault="00935FF0" w:rsidP="0030545E">
      <w:pPr>
        <w:tabs>
          <w:tab w:val="left" w:pos="280"/>
          <w:tab w:val="left" w:pos="280"/>
        </w:tabs>
        <w:rPr>
          <w:sz w:val="22"/>
          <w:szCs w:val="22"/>
        </w:rPr>
      </w:pPr>
      <w:r>
        <w:rPr>
          <w:sz w:val="22"/>
          <w:szCs w:val="22"/>
        </w:rPr>
        <w:tab/>
      </w:r>
      <w:r w:rsidR="0030545E" w:rsidRPr="005B464B">
        <w:rPr>
          <w:sz w:val="22"/>
          <w:szCs w:val="22"/>
        </w:rPr>
        <w:t>1</w:t>
      </w:r>
      <w:r w:rsidR="0030545E">
        <w:rPr>
          <w:sz w:val="22"/>
          <w:szCs w:val="22"/>
        </w:rPr>
        <w:t>2</w:t>
      </w:r>
      <w:r w:rsidR="0030545E" w:rsidRPr="005B464B">
        <w:rPr>
          <w:sz w:val="22"/>
          <w:szCs w:val="22"/>
        </w:rPr>
        <w:t xml:space="preserve">. </w:t>
      </w:r>
      <w:r w:rsidR="0030545E" w:rsidRPr="005B464B">
        <w:rPr>
          <w:b/>
          <w:sz w:val="22"/>
          <w:szCs w:val="22"/>
        </w:rPr>
        <w:t>Przychody z całokształtu działalności</w:t>
      </w:r>
      <w:r w:rsidR="0030545E" w:rsidRPr="005B464B">
        <w:rPr>
          <w:sz w:val="22"/>
          <w:szCs w:val="22"/>
        </w:rPr>
        <w:t xml:space="preserve"> </w:t>
      </w:r>
      <w:r w:rsidR="00426268">
        <w:rPr>
          <w:sz w:val="22"/>
          <w:szCs w:val="22"/>
        </w:rPr>
        <w:t xml:space="preserve">(kwoty otrzymane i należne) </w:t>
      </w:r>
      <w:r w:rsidR="0030545E" w:rsidRPr="005B464B">
        <w:rPr>
          <w:sz w:val="22"/>
          <w:szCs w:val="22"/>
        </w:rPr>
        <w:t>obejmują:</w:t>
      </w:r>
    </w:p>
    <w:p w:rsidR="000676FB" w:rsidRDefault="0030545E" w:rsidP="00E43EB2">
      <w:pPr>
        <w:pStyle w:val="Tekstpodstawowywcity"/>
        <w:numPr>
          <w:ilvl w:val="0"/>
          <w:numId w:val="2"/>
        </w:numPr>
        <w:spacing w:line="240" w:lineRule="auto"/>
        <w:ind w:left="357" w:hanging="357"/>
        <w:rPr>
          <w:rFonts w:ascii="Times New Roman" w:hAnsi="Times New Roman"/>
          <w:szCs w:val="22"/>
          <w:lang w:val="pl-PL"/>
        </w:rPr>
      </w:pPr>
      <w:r w:rsidRPr="005B464B">
        <w:rPr>
          <w:rFonts w:ascii="Times New Roman" w:hAnsi="Times New Roman"/>
          <w:szCs w:val="22"/>
          <w:lang w:val="pl-PL"/>
        </w:rPr>
        <w:t>przychody netto ze sprzedaży</w:t>
      </w:r>
      <w:r w:rsidR="007537D6">
        <w:rPr>
          <w:rFonts w:ascii="Times New Roman" w:hAnsi="Times New Roman"/>
          <w:szCs w:val="22"/>
          <w:lang w:val="pl-PL"/>
        </w:rPr>
        <w:t xml:space="preserve"> (łącznie z dotacjami do produktów), </w:t>
      </w:r>
      <w:r w:rsidRPr="005B464B">
        <w:rPr>
          <w:rFonts w:ascii="Times New Roman" w:hAnsi="Times New Roman"/>
          <w:szCs w:val="22"/>
          <w:lang w:val="pl-PL"/>
        </w:rPr>
        <w:t xml:space="preserve">wytworzonych przez </w:t>
      </w:r>
      <w:r w:rsidR="007537D6">
        <w:rPr>
          <w:rFonts w:ascii="Times New Roman" w:hAnsi="Times New Roman"/>
          <w:szCs w:val="22"/>
          <w:lang w:val="pl-PL"/>
        </w:rPr>
        <w:t>podmiot</w:t>
      </w:r>
      <w:r w:rsidRPr="005B464B">
        <w:rPr>
          <w:rFonts w:ascii="Times New Roman" w:hAnsi="Times New Roman"/>
          <w:szCs w:val="22"/>
          <w:lang w:val="pl-PL"/>
        </w:rPr>
        <w:t xml:space="preserve"> produktów (wyro</w:t>
      </w:r>
      <w:r w:rsidR="007537D6">
        <w:rPr>
          <w:rFonts w:ascii="Times New Roman" w:hAnsi="Times New Roman"/>
          <w:szCs w:val="22"/>
          <w:lang w:val="pl-PL"/>
        </w:rPr>
        <w:t>bów gotowych, półfabrykatów i</w:t>
      </w:r>
      <w:r w:rsidRPr="005B464B">
        <w:rPr>
          <w:rFonts w:ascii="Times New Roman" w:hAnsi="Times New Roman"/>
          <w:szCs w:val="22"/>
          <w:lang w:val="pl-PL"/>
        </w:rPr>
        <w:t xml:space="preserve"> usług), a także opakowań, wyposażenia i usług obcych, jeżeli są one </w:t>
      </w:r>
      <w:r w:rsidR="00E43EB2">
        <w:rPr>
          <w:rFonts w:ascii="Times New Roman" w:hAnsi="Times New Roman"/>
          <w:szCs w:val="22"/>
          <w:lang w:val="pl-PL"/>
        </w:rPr>
        <w:t>fakturowane odbiorcom łącznie z produktami;</w:t>
      </w:r>
    </w:p>
    <w:p w:rsidR="007537D6" w:rsidRPr="007537D6" w:rsidRDefault="0030545E" w:rsidP="007537D6">
      <w:pPr>
        <w:numPr>
          <w:ilvl w:val="0"/>
          <w:numId w:val="2"/>
        </w:numPr>
        <w:ind w:left="357" w:hanging="357"/>
        <w:jc w:val="both"/>
        <w:rPr>
          <w:sz w:val="22"/>
          <w:szCs w:val="22"/>
        </w:rPr>
      </w:pPr>
      <w:r w:rsidRPr="005B464B">
        <w:rPr>
          <w:sz w:val="22"/>
          <w:szCs w:val="22"/>
        </w:rPr>
        <w:t xml:space="preserve">przychody </w:t>
      </w:r>
      <w:r w:rsidR="007537D6">
        <w:rPr>
          <w:sz w:val="22"/>
          <w:szCs w:val="22"/>
        </w:rPr>
        <w:t xml:space="preserve">netto </w:t>
      </w:r>
      <w:r w:rsidRPr="005B464B">
        <w:rPr>
          <w:sz w:val="22"/>
          <w:szCs w:val="22"/>
        </w:rPr>
        <w:t>ze sprzedaży towarów i materiałów</w:t>
      </w:r>
      <w:r>
        <w:rPr>
          <w:sz w:val="22"/>
          <w:szCs w:val="22"/>
        </w:rPr>
        <w:t xml:space="preserve"> (</w:t>
      </w:r>
      <w:r w:rsidRPr="005B464B">
        <w:rPr>
          <w:sz w:val="22"/>
          <w:szCs w:val="22"/>
        </w:rPr>
        <w:t>tj. nabytych w celu odsprzedaży w stanie nieprzetworzonym rzeczowych aktywów obrotowych oraz produktów przez siebie wytworzonych</w:t>
      </w:r>
      <w:r w:rsidR="007537D6">
        <w:rPr>
          <w:sz w:val="22"/>
          <w:szCs w:val="22"/>
        </w:rPr>
        <w:t>,</w:t>
      </w:r>
      <w:r w:rsidRPr="005B464B">
        <w:rPr>
          <w:sz w:val="22"/>
          <w:szCs w:val="22"/>
        </w:rPr>
        <w:t xml:space="preserve"> jeśli sprzedawane są one w</w:t>
      </w:r>
      <w:r>
        <w:rPr>
          <w:sz w:val="22"/>
          <w:szCs w:val="22"/>
        </w:rPr>
        <w:t> </w:t>
      </w:r>
      <w:r w:rsidRPr="005B464B">
        <w:rPr>
          <w:sz w:val="22"/>
          <w:szCs w:val="22"/>
        </w:rPr>
        <w:t>sieci własnych sklepów obok towarów obcej produkcji</w:t>
      </w:r>
      <w:r>
        <w:rPr>
          <w:sz w:val="22"/>
          <w:szCs w:val="22"/>
        </w:rPr>
        <w:t>)</w:t>
      </w:r>
      <w:r w:rsidR="007537D6">
        <w:rPr>
          <w:sz w:val="22"/>
          <w:szCs w:val="22"/>
        </w:rPr>
        <w:t xml:space="preserve">, łącznie </w:t>
      </w:r>
      <w:r w:rsidR="007537D6" w:rsidRPr="007537D6">
        <w:rPr>
          <w:sz w:val="22"/>
          <w:szCs w:val="22"/>
        </w:rPr>
        <w:t>z kwotami należnymi z tytułu sprzedaży opakowań wielokrotnego użytku</w:t>
      </w:r>
      <w:r w:rsidR="00ED3AA5">
        <w:rPr>
          <w:sz w:val="22"/>
          <w:szCs w:val="22"/>
        </w:rPr>
        <w:t>;</w:t>
      </w:r>
    </w:p>
    <w:p w:rsidR="0030545E" w:rsidRPr="005B464B" w:rsidRDefault="0030545E" w:rsidP="00BD7F23">
      <w:pPr>
        <w:numPr>
          <w:ilvl w:val="0"/>
          <w:numId w:val="2"/>
        </w:numPr>
        <w:ind w:left="357" w:hanging="357"/>
        <w:jc w:val="both"/>
        <w:rPr>
          <w:sz w:val="22"/>
          <w:szCs w:val="22"/>
        </w:rPr>
      </w:pPr>
      <w:r w:rsidRPr="005B464B">
        <w:rPr>
          <w:sz w:val="22"/>
          <w:szCs w:val="22"/>
        </w:rPr>
        <w:t xml:space="preserve">pozostałe przychody operacyjne, tj. przychody związane pośrednio z </w:t>
      </w:r>
      <w:r w:rsidR="00284441">
        <w:rPr>
          <w:sz w:val="22"/>
          <w:szCs w:val="22"/>
        </w:rPr>
        <w:t xml:space="preserve">podstawową </w:t>
      </w:r>
      <w:r w:rsidRPr="005B464B">
        <w:rPr>
          <w:sz w:val="22"/>
          <w:szCs w:val="22"/>
        </w:rPr>
        <w:t>działalnością jednostki, a</w:t>
      </w:r>
      <w:r>
        <w:rPr>
          <w:sz w:val="22"/>
          <w:szCs w:val="22"/>
        </w:rPr>
        <w:t> </w:t>
      </w:r>
      <w:r w:rsidRPr="005B464B">
        <w:rPr>
          <w:sz w:val="22"/>
          <w:szCs w:val="22"/>
        </w:rPr>
        <w:t>w</w:t>
      </w:r>
      <w:r>
        <w:rPr>
          <w:sz w:val="22"/>
          <w:szCs w:val="22"/>
        </w:rPr>
        <w:t> </w:t>
      </w:r>
      <w:r w:rsidRPr="005B464B">
        <w:rPr>
          <w:sz w:val="22"/>
          <w:szCs w:val="22"/>
        </w:rPr>
        <w:t>szczególności: zysk ze zbycia n</w:t>
      </w:r>
      <w:r w:rsidR="00BA531F">
        <w:rPr>
          <w:sz w:val="22"/>
          <w:szCs w:val="22"/>
        </w:rPr>
        <w:t xml:space="preserve">iefinansowych aktywów trwałych </w:t>
      </w:r>
      <w:r w:rsidRPr="005B464B">
        <w:rPr>
          <w:sz w:val="22"/>
          <w:szCs w:val="22"/>
        </w:rPr>
        <w:t>(środków trwałych, środków trwałych w budowie, wartości niematerialnych i prawnych, inwestycji w nieruchomości i</w:t>
      </w:r>
      <w:r w:rsidR="00411300">
        <w:rPr>
          <w:sz w:val="22"/>
          <w:szCs w:val="22"/>
        </w:rPr>
        <w:t> </w:t>
      </w:r>
      <w:r w:rsidRPr="005B464B">
        <w:rPr>
          <w:sz w:val="22"/>
          <w:szCs w:val="22"/>
        </w:rPr>
        <w:t xml:space="preserve">prawa), otrzymane </w:t>
      </w:r>
      <w:r w:rsidRPr="005B464B">
        <w:rPr>
          <w:sz w:val="22"/>
          <w:szCs w:val="22"/>
        </w:rPr>
        <w:lastRenderedPageBreak/>
        <w:t>nieodpłatnie, w tym w drodze darowizny aktywa (środki pieniężne), odszkodowania, rozwiązane rezerwy, korekty odpisów aktualizujących wartość aktywów niefin</w:t>
      </w:r>
      <w:r w:rsidR="00BF61AB">
        <w:rPr>
          <w:sz w:val="22"/>
          <w:szCs w:val="22"/>
        </w:rPr>
        <w:t>ansowych, przychody z </w:t>
      </w:r>
      <w:r w:rsidRPr="005B464B">
        <w:rPr>
          <w:sz w:val="22"/>
          <w:szCs w:val="22"/>
        </w:rPr>
        <w:t>działalności socjalnej, przychody z najmu lub dzierżawy śro</w:t>
      </w:r>
      <w:r w:rsidR="00BF61AB">
        <w:rPr>
          <w:sz w:val="22"/>
          <w:szCs w:val="22"/>
        </w:rPr>
        <w:t>dków trwałych albo inwestycji w </w:t>
      </w:r>
      <w:r w:rsidR="00BA05AE">
        <w:rPr>
          <w:sz w:val="22"/>
          <w:szCs w:val="22"/>
        </w:rPr>
        <w:t>nieruchomości i prawa;</w:t>
      </w:r>
    </w:p>
    <w:p w:rsidR="0030545E" w:rsidRDefault="0030545E" w:rsidP="00BD7F23">
      <w:pPr>
        <w:numPr>
          <w:ilvl w:val="0"/>
          <w:numId w:val="2"/>
        </w:numPr>
        <w:ind w:left="357" w:hanging="357"/>
        <w:jc w:val="both"/>
        <w:rPr>
          <w:sz w:val="22"/>
          <w:szCs w:val="22"/>
        </w:rPr>
      </w:pPr>
      <w:r w:rsidRPr="005B464B">
        <w:rPr>
          <w:sz w:val="22"/>
          <w:szCs w:val="22"/>
        </w:rPr>
        <w:t xml:space="preserve">przychody finansowe, tj. </w:t>
      </w:r>
      <w:r w:rsidR="00ED3AA5" w:rsidRPr="00ED3AA5">
        <w:rPr>
          <w:sz w:val="22"/>
          <w:szCs w:val="22"/>
        </w:rPr>
        <w:t>przychody z tytułu dokonanych</w:t>
      </w:r>
      <w:r w:rsidR="00ED3AA5">
        <w:rPr>
          <w:sz w:val="22"/>
          <w:szCs w:val="22"/>
        </w:rPr>
        <w:t xml:space="preserve"> </w:t>
      </w:r>
      <w:r w:rsidR="00ED3AA5" w:rsidRPr="00ED3AA5">
        <w:rPr>
          <w:sz w:val="22"/>
          <w:szCs w:val="22"/>
        </w:rPr>
        <w:t>przez podmiot operacji finansowych: kwoty</w:t>
      </w:r>
      <w:r w:rsidRPr="005B464B">
        <w:rPr>
          <w:sz w:val="22"/>
          <w:szCs w:val="22"/>
        </w:rPr>
        <w:t xml:space="preserve"> należne z tytułu dywidend i udziałów w zysku, odsetki od udzielanych pożyczek, odsetki od lokat terminowych, odsetki za zwłokę, zysk </w:t>
      </w:r>
      <w:r w:rsidR="00ED3AA5">
        <w:rPr>
          <w:sz w:val="22"/>
          <w:szCs w:val="22"/>
        </w:rPr>
        <w:t>ze zbycia inwestycji</w:t>
      </w:r>
      <w:r w:rsidRPr="005B464B">
        <w:rPr>
          <w:sz w:val="22"/>
          <w:szCs w:val="22"/>
        </w:rPr>
        <w:t>, zmniejszenia odpisów aktualizacyjnych wartości inwestycji wobec całkowitego lub częściowego ustania przyczyn powodujących trwałą utratę ich wartości, nadwyżkę dodatnich różnic kursowych nad ujemnymi.</w:t>
      </w:r>
    </w:p>
    <w:p w:rsidR="0030545E" w:rsidRPr="005B464B" w:rsidRDefault="0030545E" w:rsidP="0030545E">
      <w:pPr>
        <w:ind w:left="357"/>
        <w:jc w:val="both"/>
        <w:rPr>
          <w:sz w:val="22"/>
          <w:szCs w:val="22"/>
        </w:rPr>
      </w:pPr>
    </w:p>
    <w:p w:rsidR="0030545E" w:rsidRPr="005B464B" w:rsidRDefault="0030545E" w:rsidP="0030545E">
      <w:pPr>
        <w:tabs>
          <w:tab w:val="left" w:pos="280"/>
          <w:tab w:val="left" w:pos="280"/>
        </w:tabs>
        <w:jc w:val="both"/>
        <w:rPr>
          <w:sz w:val="22"/>
          <w:szCs w:val="22"/>
        </w:rPr>
      </w:pPr>
      <w:r>
        <w:rPr>
          <w:sz w:val="22"/>
          <w:szCs w:val="22"/>
        </w:rPr>
        <w:tab/>
      </w:r>
      <w:r w:rsidRPr="005B464B">
        <w:rPr>
          <w:sz w:val="22"/>
          <w:szCs w:val="22"/>
        </w:rPr>
        <w:t>1</w:t>
      </w:r>
      <w:r>
        <w:rPr>
          <w:sz w:val="22"/>
          <w:szCs w:val="22"/>
        </w:rPr>
        <w:t>3</w:t>
      </w:r>
      <w:r w:rsidRPr="005B464B">
        <w:rPr>
          <w:sz w:val="22"/>
          <w:szCs w:val="22"/>
        </w:rPr>
        <w:t xml:space="preserve">. </w:t>
      </w:r>
      <w:r w:rsidRPr="005B464B">
        <w:rPr>
          <w:b/>
          <w:sz w:val="22"/>
          <w:szCs w:val="22"/>
        </w:rPr>
        <w:t>Koszty uzyskania przychodów z całokształtu działalności</w:t>
      </w:r>
      <w:r w:rsidRPr="005B464B">
        <w:rPr>
          <w:sz w:val="22"/>
          <w:szCs w:val="22"/>
        </w:rPr>
        <w:t xml:space="preserve"> obejmują:</w:t>
      </w:r>
    </w:p>
    <w:p w:rsidR="0030545E" w:rsidRDefault="0030545E" w:rsidP="00BD7F23">
      <w:pPr>
        <w:pStyle w:val="Tekstpodstawowy"/>
        <w:numPr>
          <w:ilvl w:val="0"/>
          <w:numId w:val="1"/>
        </w:numPr>
        <w:spacing w:line="240" w:lineRule="auto"/>
        <w:ind w:left="357" w:hanging="357"/>
        <w:rPr>
          <w:sz w:val="22"/>
          <w:szCs w:val="22"/>
          <w:lang w:val="pl-PL"/>
        </w:rPr>
      </w:pPr>
      <w:r w:rsidRPr="005B464B">
        <w:rPr>
          <w:sz w:val="22"/>
          <w:szCs w:val="22"/>
          <w:lang w:val="pl-PL"/>
        </w:rPr>
        <w:t>koszt własny sprzedanych produktów</w:t>
      </w:r>
      <w:r w:rsidR="007806C4">
        <w:rPr>
          <w:sz w:val="22"/>
          <w:szCs w:val="22"/>
          <w:lang w:val="pl-PL"/>
        </w:rPr>
        <w:t xml:space="preserve"> (wyrobów i usług), tj. koszty </w:t>
      </w:r>
      <w:r w:rsidRPr="005B464B">
        <w:rPr>
          <w:sz w:val="22"/>
          <w:szCs w:val="22"/>
          <w:lang w:val="pl-PL"/>
        </w:rPr>
        <w:t>ogółem pomniejszone o koszt wytworzenia świadczeń na własne potrzeby jednostki i skorygowane o</w:t>
      </w:r>
      <w:r>
        <w:rPr>
          <w:sz w:val="22"/>
          <w:szCs w:val="22"/>
          <w:lang w:val="pl-PL"/>
        </w:rPr>
        <w:t xml:space="preserve"> </w:t>
      </w:r>
      <w:r w:rsidRPr="005B464B">
        <w:rPr>
          <w:sz w:val="22"/>
          <w:szCs w:val="22"/>
          <w:lang w:val="pl-PL"/>
        </w:rPr>
        <w:t>zmianę stanu produktów;</w:t>
      </w:r>
    </w:p>
    <w:p w:rsidR="007806C4" w:rsidRPr="005B464B" w:rsidRDefault="007806C4" w:rsidP="007806C4">
      <w:pPr>
        <w:pStyle w:val="Tekstpodstawowy"/>
        <w:numPr>
          <w:ilvl w:val="0"/>
          <w:numId w:val="1"/>
        </w:numPr>
        <w:spacing w:line="240" w:lineRule="auto"/>
        <w:rPr>
          <w:sz w:val="22"/>
          <w:szCs w:val="22"/>
          <w:lang w:val="pl-PL"/>
        </w:rPr>
      </w:pPr>
      <w:r w:rsidRPr="007806C4">
        <w:rPr>
          <w:sz w:val="22"/>
          <w:szCs w:val="22"/>
          <w:lang w:val="pl-PL"/>
        </w:rPr>
        <w:t>wartość sprzedanych towarów i materiałów według cen</w:t>
      </w:r>
      <w:r>
        <w:rPr>
          <w:sz w:val="22"/>
          <w:szCs w:val="22"/>
          <w:lang w:val="pl-PL"/>
        </w:rPr>
        <w:t xml:space="preserve"> </w:t>
      </w:r>
      <w:r w:rsidRPr="007806C4">
        <w:rPr>
          <w:sz w:val="22"/>
          <w:szCs w:val="22"/>
          <w:lang w:val="pl-PL"/>
        </w:rPr>
        <w:t>zakupu (nabycia);</w:t>
      </w:r>
    </w:p>
    <w:p w:rsidR="0030545E" w:rsidRPr="005B464B" w:rsidRDefault="0030545E" w:rsidP="00BD7F23">
      <w:pPr>
        <w:numPr>
          <w:ilvl w:val="0"/>
          <w:numId w:val="1"/>
        </w:numPr>
        <w:ind w:left="357" w:hanging="357"/>
        <w:jc w:val="both"/>
        <w:rPr>
          <w:sz w:val="22"/>
          <w:szCs w:val="22"/>
        </w:rPr>
      </w:pPr>
      <w:r w:rsidRPr="005B464B">
        <w:rPr>
          <w:sz w:val="22"/>
          <w:szCs w:val="22"/>
        </w:rPr>
        <w:t>pozostałe koszty operacyjne, tj. koszty związane pośrednio z działalnością operacyjną</w:t>
      </w:r>
      <w:r w:rsidRPr="005B464B">
        <w:rPr>
          <w:b/>
          <w:sz w:val="22"/>
          <w:szCs w:val="22"/>
        </w:rPr>
        <w:t xml:space="preserve"> </w:t>
      </w:r>
      <w:r w:rsidRPr="005B464B">
        <w:rPr>
          <w:sz w:val="22"/>
          <w:szCs w:val="22"/>
        </w:rPr>
        <w:t>jednostki, a w</w:t>
      </w:r>
      <w:r>
        <w:rPr>
          <w:sz w:val="22"/>
          <w:szCs w:val="22"/>
        </w:rPr>
        <w:t> </w:t>
      </w:r>
      <w:r w:rsidRPr="005B464B">
        <w:rPr>
          <w:sz w:val="22"/>
          <w:szCs w:val="22"/>
        </w:rPr>
        <w:t xml:space="preserve">szczególności: stratę ze zbycia niefinansowych aktywów trwałych, </w:t>
      </w:r>
      <w:r w:rsidR="007806C4">
        <w:rPr>
          <w:sz w:val="22"/>
          <w:szCs w:val="22"/>
        </w:rPr>
        <w:t xml:space="preserve">tj. </w:t>
      </w:r>
      <w:r w:rsidR="007806C4" w:rsidRPr="007806C4">
        <w:rPr>
          <w:sz w:val="22"/>
          <w:szCs w:val="22"/>
        </w:rPr>
        <w:t>nad</w:t>
      </w:r>
      <w:r w:rsidR="007806C4">
        <w:rPr>
          <w:sz w:val="22"/>
          <w:szCs w:val="22"/>
        </w:rPr>
        <w:t xml:space="preserve">wyżkę </w:t>
      </w:r>
      <w:r w:rsidR="007806C4" w:rsidRPr="007806C4">
        <w:rPr>
          <w:sz w:val="22"/>
          <w:szCs w:val="22"/>
        </w:rPr>
        <w:t>wartości sprzedanych składników majątku trwałego</w:t>
      </w:r>
      <w:r w:rsidR="007806C4">
        <w:rPr>
          <w:sz w:val="22"/>
          <w:szCs w:val="22"/>
        </w:rPr>
        <w:t xml:space="preserve"> </w:t>
      </w:r>
      <w:r w:rsidR="007806C4" w:rsidRPr="007806C4">
        <w:rPr>
          <w:sz w:val="22"/>
          <w:szCs w:val="22"/>
        </w:rPr>
        <w:t>nad przychodami z ich sprzedaży,</w:t>
      </w:r>
      <w:r w:rsidR="007806C4">
        <w:rPr>
          <w:sz w:val="22"/>
          <w:szCs w:val="22"/>
        </w:rPr>
        <w:t xml:space="preserve"> </w:t>
      </w:r>
      <w:r w:rsidRPr="005B464B">
        <w:rPr>
          <w:sz w:val="22"/>
          <w:szCs w:val="22"/>
        </w:rPr>
        <w:t>amortyzację oddanych w</w:t>
      </w:r>
      <w:r w:rsidR="00411300">
        <w:rPr>
          <w:sz w:val="22"/>
          <w:szCs w:val="22"/>
        </w:rPr>
        <w:t> </w:t>
      </w:r>
      <w:r w:rsidRPr="005B464B">
        <w:rPr>
          <w:sz w:val="22"/>
          <w:szCs w:val="22"/>
        </w:rPr>
        <w:t>dzierżawę lub najem środków trwałych i środków trwałych w budowie, nieplanowane odpisy amortyzacyjne (odpisy z</w:t>
      </w:r>
      <w:r>
        <w:rPr>
          <w:sz w:val="22"/>
          <w:szCs w:val="22"/>
        </w:rPr>
        <w:t> </w:t>
      </w:r>
      <w:r w:rsidRPr="005B464B">
        <w:rPr>
          <w:sz w:val="22"/>
          <w:szCs w:val="22"/>
        </w:rPr>
        <w:t>tytułu trwałej utraty wartości), poniesione kary, grzywny, odszkodowania, odpisane w częś</w:t>
      </w:r>
      <w:r w:rsidR="007806C4">
        <w:rPr>
          <w:sz w:val="22"/>
          <w:szCs w:val="22"/>
        </w:rPr>
        <w:t xml:space="preserve">ci lub całość wierzytelności w </w:t>
      </w:r>
      <w:r w:rsidRPr="005B464B">
        <w:rPr>
          <w:sz w:val="22"/>
          <w:szCs w:val="22"/>
        </w:rPr>
        <w:t>związku z postępowaniem upadłościowym, układowym i naprawczym, utworzone rezerwy na p</w:t>
      </w:r>
      <w:r>
        <w:rPr>
          <w:sz w:val="22"/>
          <w:szCs w:val="22"/>
        </w:rPr>
        <w:t>e</w:t>
      </w:r>
      <w:r w:rsidRPr="005B464B">
        <w:rPr>
          <w:sz w:val="22"/>
          <w:szCs w:val="22"/>
        </w:rPr>
        <w:t>wne lub o dużym stopniu prawdopo</w:t>
      </w:r>
      <w:r w:rsidR="007806C4">
        <w:rPr>
          <w:sz w:val="22"/>
          <w:szCs w:val="22"/>
        </w:rPr>
        <w:t>dobieństwa przyszłe zobowiązania</w:t>
      </w:r>
      <w:r w:rsidRPr="005B464B">
        <w:rPr>
          <w:sz w:val="22"/>
          <w:szCs w:val="22"/>
        </w:rPr>
        <w:t xml:space="preserve"> (straty z transakcji gospodarczych w toku), odpisy aktualizujące wartość aktywów niefinansowych, koszty utrzymania obiektów działalności socjalnej, darowizny lub nieodpłatnie przekazane aktywa trwałe;</w:t>
      </w:r>
    </w:p>
    <w:p w:rsidR="0030545E" w:rsidRPr="005B464B" w:rsidRDefault="0030545E" w:rsidP="00BD7F23">
      <w:pPr>
        <w:numPr>
          <w:ilvl w:val="0"/>
          <w:numId w:val="1"/>
        </w:numPr>
        <w:ind w:left="357" w:hanging="357"/>
        <w:jc w:val="both"/>
        <w:rPr>
          <w:sz w:val="22"/>
          <w:szCs w:val="22"/>
        </w:rPr>
      </w:pPr>
      <w:r w:rsidRPr="005B464B">
        <w:rPr>
          <w:sz w:val="22"/>
          <w:szCs w:val="22"/>
        </w:rPr>
        <w:t>koszty finansowe, tj. m.in. odsetki od zaciągniętych kredytów i pożyczek, odsetki i dyskonto od wyemitowanych przez jednostkę obligacji, odsetki za zwłokę, stratę ze zbycia inwestycji, odpisy z</w:t>
      </w:r>
      <w:r w:rsidR="00411300">
        <w:rPr>
          <w:sz w:val="22"/>
          <w:szCs w:val="22"/>
        </w:rPr>
        <w:t> </w:t>
      </w:r>
      <w:r w:rsidRPr="005B464B">
        <w:rPr>
          <w:sz w:val="22"/>
          <w:szCs w:val="22"/>
        </w:rPr>
        <w:t>tytułu aktualizacji wartości inwestycji, nadwyżkę ujemnych różnic kursowych nad dodatnimi.</w:t>
      </w:r>
    </w:p>
    <w:p w:rsidR="0030545E" w:rsidRPr="00612EDE" w:rsidRDefault="0030545E" w:rsidP="0030545E">
      <w:pPr>
        <w:pStyle w:val="Nagwek"/>
        <w:tabs>
          <w:tab w:val="clear" w:pos="4536"/>
          <w:tab w:val="clear" w:pos="9072"/>
        </w:tabs>
        <w:rPr>
          <w:sz w:val="22"/>
          <w:szCs w:val="22"/>
          <w:lang w:val="pl-PL"/>
        </w:rPr>
      </w:pPr>
    </w:p>
    <w:p w:rsidR="0030545E" w:rsidRDefault="0030545E" w:rsidP="0030545E">
      <w:pPr>
        <w:tabs>
          <w:tab w:val="left" w:pos="280"/>
          <w:tab w:val="left" w:pos="280"/>
        </w:tabs>
        <w:jc w:val="both"/>
        <w:rPr>
          <w:sz w:val="22"/>
          <w:szCs w:val="22"/>
        </w:rPr>
      </w:pPr>
      <w:r w:rsidRPr="005B464B">
        <w:rPr>
          <w:sz w:val="22"/>
          <w:szCs w:val="22"/>
        </w:rPr>
        <w:tab/>
        <w:t>1</w:t>
      </w:r>
      <w:r>
        <w:rPr>
          <w:sz w:val="22"/>
          <w:szCs w:val="22"/>
        </w:rPr>
        <w:t>4</w:t>
      </w:r>
      <w:r w:rsidRPr="005B464B">
        <w:rPr>
          <w:sz w:val="22"/>
          <w:szCs w:val="22"/>
        </w:rPr>
        <w:t xml:space="preserve">. </w:t>
      </w:r>
      <w:r w:rsidRPr="005B464B">
        <w:rPr>
          <w:b/>
          <w:sz w:val="22"/>
          <w:szCs w:val="22"/>
        </w:rPr>
        <w:t>Wynik finansowy ze sprzedaży produktów, towarów i materiałów</w:t>
      </w:r>
      <w:r w:rsidRPr="005B464B">
        <w:rPr>
          <w:sz w:val="22"/>
          <w:szCs w:val="22"/>
        </w:rPr>
        <w:t xml:space="preserve"> stanowi różnicę między przychodami netto osiągniętymi ze sprzedaży </w:t>
      </w:r>
      <w:r>
        <w:rPr>
          <w:sz w:val="22"/>
          <w:szCs w:val="22"/>
        </w:rPr>
        <w:t>produktów, towarów i materiałów</w:t>
      </w:r>
      <w:r w:rsidR="00284441">
        <w:rPr>
          <w:sz w:val="22"/>
          <w:szCs w:val="22"/>
        </w:rPr>
        <w:t>,</w:t>
      </w:r>
      <w:r w:rsidRPr="005B464B">
        <w:rPr>
          <w:sz w:val="22"/>
          <w:szCs w:val="22"/>
        </w:rPr>
        <w:t xml:space="preserve"> a kosztami poniesionymi na ich uzyskanie (koszt własny sprzedanych produktów, towarów i materiałów).</w:t>
      </w:r>
    </w:p>
    <w:p w:rsidR="0030545E" w:rsidRPr="00612EDE" w:rsidRDefault="0030545E" w:rsidP="00FC74DD">
      <w:pPr>
        <w:jc w:val="both"/>
        <w:rPr>
          <w:sz w:val="22"/>
          <w:szCs w:val="22"/>
        </w:rPr>
      </w:pPr>
    </w:p>
    <w:p w:rsidR="0030545E" w:rsidRPr="005B464B" w:rsidRDefault="0030545E" w:rsidP="0030545E">
      <w:pPr>
        <w:tabs>
          <w:tab w:val="left" w:pos="278"/>
        </w:tabs>
        <w:jc w:val="both"/>
        <w:rPr>
          <w:sz w:val="22"/>
          <w:szCs w:val="22"/>
        </w:rPr>
      </w:pPr>
      <w:r w:rsidRPr="005B464B">
        <w:rPr>
          <w:sz w:val="22"/>
          <w:szCs w:val="22"/>
        </w:rPr>
        <w:tab/>
        <w:t>1</w:t>
      </w:r>
      <w:r w:rsidR="00FC74DD">
        <w:rPr>
          <w:sz w:val="22"/>
          <w:szCs w:val="22"/>
        </w:rPr>
        <w:t>5</w:t>
      </w:r>
      <w:r w:rsidRPr="005B464B">
        <w:rPr>
          <w:sz w:val="22"/>
          <w:szCs w:val="22"/>
        </w:rPr>
        <w:t xml:space="preserve">. </w:t>
      </w:r>
      <w:r w:rsidRPr="005B464B">
        <w:rPr>
          <w:b/>
          <w:sz w:val="22"/>
          <w:szCs w:val="22"/>
        </w:rPr>
        <w:t xml:space="preserve">Wynik finansowy brutto (zysk lub strata) </w:t>
      </w:r>
      <w:r w:rsidRPr="005B464B">
        <w:rPr>
          <w:sz w:val="22"/>
          <w:szCs w:val="22"/>
        </w:rPr>
        <w:t>jest to wynik na działalności gospodarczej, skorygowany o</w:t>
      </w:r>
      <w:r>
        <w:rPr>
          <w:sz w:val="22"/>
          <w:szCs w:val="22"/>
        </w:rPr>
        <w:t> </w:t>
      </w:r>
      <w:r w:rsidRPr="005B464B">
        <w:rPr>
          <w:sz w:val="22"/>
          <w:szCs w:val="22"/>
        </w:rPr>
        <w:t>wynik zdarzeń nadzwyczajnych.</w:t>
      </w:r>
    </w:p>
    <w:p w:rsidR="0030545E" w:rsidRPr="00612EDE" w:rsidRDefault="0030545E" w:rsidP="0030545E">
      <w:pPr>
        <w:tabs>
          <w:tab w:val="left" w:pos="278"/>
        </w:tabs>
        <w:jc w:val="both"/>
        <w:rPr>
          <w:sz w:val="22"/>
          <w:szCs w:val="22"/>
        </w:rPr>
      </w:pPr>
      <w:r w:rsidRPr="00612EDE">
        <w:rPr>
          <w:sz w:val="22"/>
          <w:szCs w:val="22"/>
        </w:rPr>
        <w:tab/>
      </w:r>
    </w:p>
    <w:p w:rsidR="0030545E" w:rsidRPr="005B464B" w:rsidRDefault="0030545E" w:rsidP="0030545E">
      <w:pPr>
        <w:tabs>
          <w:tab w:val="left" w:pos="278"/>
        </w:tabs>
        <w:jc w:val="both"/>
        <w:rPr>
          <w:sz w:val="22"/>
          <w:szCs w:val="22"/>
        </w:rPr>
      </w:pPr>
      <w:r w:rsidRPr="005B464B">
        <w:rPr>
          <w:sz w:val="22"/>
          <w:szCs w:val="22"/>
        </w:rPr>
        <w:tab/>
        <w:t>1</w:t>
      </w:r>
      <w:r w:rsidR="00FC74DD">
        <w:rPr>
          <w:sz w:val="22"/>
          <w:szCs w:val="22"/>
        </w:rPr>
        <w:t>6</w:t>
      </w:r>
      <w:r w:rsidRPr="005B464B">
        <w:rPr>
          <w:sz w:val="22"/>
          <w:szCs w:val="22"/>
        </w:rPr>
        <w:t xml:space="preserve">. </w:t>
      </w:r>
      <w:r w:rsidRPr="005B464B">
        <w:rPr>
          <w:b/>
          <w:sz w:val="22"/>
          <w:szCs w:val="22"/>
        </w:rPr>
        <w:t>Wynik finansowy netto (zysk lub strata)</w:t>
      </w:r>
      <w:r w:rsidRPr="005B464B">
        <w:rPr>
          <w:sz w:val="22"/>
          <w:szCs w:val="22"/>
        </w:rPr>
        <w:t xml:space="preserve"> otrzymuje się po pomniejszeniu wyniku finansowego brutto o</w:t>
      </w:r>
      <w:r>
        <w:rPr>
          <w:sz w:val="22"/>
          <w:szCs w:val="22"/>
        </w:rPr>
        <w:t> </w:t>
      </w:r>
      <w:r w:rsidR="00D21B4B">
        <w:rPr>
          <w:sz w:val="22"/>
          <w:szCs w:val="22"/>
        </w:rPr>
        <w:t>obowiązkowe obciążenia</w:t>
      </w:r>
      <w:r w:rsidR="00CB316A">
        <w:rPr>
          <w:sz w:val="22"/>
          <w:szCs w:val="22"/>
        </w:rPr>
        <w:t>,</w:t>
      </w:r>
      <w:r w:rsidR="00CB316A" w:rsidRPr="00CB316A">
        <w:rPr>
          <w:rFonts w:ascii="ArialMT" w:hAnsi="ArialMT" w:cs="ArialMT"/>
          <w:sz w:val="17"/>
          <w:szCs w:val="17"/>
        </w:rPr>
        <w:t xml:space="preserve"> </w:t>
      </w:r>
      <w:r w:rsidR="00CB316A" w:rsidRPr="00CB316A">
        <w:rPr>
          <w:sz w:val="22"/>
          <w:szCs w:val="22"/>
        </w:rPr>
        <w:t>które obejmują podatek dochodowy od osób</w:t>
      </w:r>
      <w:r w:rsidR="00CB316A">
        <w:rPr>
          <w:sz w:val="22"/>
          <w:szCs w:val="22"/>
        </w:rPr>
        <w:t xml:space="preserve"> </w:t>
      </w:r>
      <w:r w:rsidR="00CB316A" w:rsidRPr="00CB316A">
        <w:rPr>
          <w:sz w:val="22"/>
          <w:szCs w:val="22"/>
        </w:rPr>
        <w:t>prawnych i fizycznych oraz inne płatności wynikające</w:t>
      </w:r>
      <w:r w:rsidR="00CB316A">
        <w:rPr>
          <w:sz w:val="22"/>
          <w:szCs w:val="22"/>
        </w:rPr>
        <w:t xml:space="preserve"> </w:t>
      </w:r>
      <w:r w:rsidR="00CB316A" w:rsidRPr="00CB316A">
        <w:rPr>
          <w:sz w:val="22"/>
          <w:szCs w:val="22"/>
        </w:rPr>
        <w:t>z odrębnych przepisów.</w:t>
      </w:r>
    </w:p>
    <w:p w:rsidR="0030545E" w:rsidRPr="00612EDE" w:rsidRDefault="0030545E" w:rsidP="0030545E">
      <w:pPr>
        <w:tabs>
          <w:tab w:val="left" w:pos="278"/>
        </w:tabs>
        <w:jc w:val="both"/>
        <w:rPr>
          <w:sz w:val="22"/>
          <w:szCs w:val="22"/>
        </w:rPr>
      </w:pPr>
    </w:p>
    <w:p w:rsidR="0030545E" w:rsidRPr="005B464B" w:rsidRDefault="0030545E" w:rsidP="0030545E">
      <w:pPr>
        <w:tabs>
          <w:tab w:val="left" w:pos="278"/>
          <w:tab w:val="left" w:pos="280"/>
        </w:tabs>
        <w:jc w:val="both"/>
        <w:rPr>
          <w:sz w:val="22"/>
          <w:szCs w:val="22"/>
        </w:rPr>
      </w:pPr>
      <w:r w:rsidRPr="005B464B">
        <w:rPr>
          <w:sz w:val="22"/>
          <w:szCs w:val="22"/>
        </w:rPr>
        <w:tab/>
      </w:r>
      <w:r w:rsidR="00FC74DD">
        <w:rPr>
          <w:sz w:val="22"/>
          <w:szCs w:val="22"/>
        </w:rPr>
        <w:t>17</w:t>
      </w:r>
      <w:r w:rsidRPr="005B464B">
        <w:rPr>
          <w:sz w:val="22"/>
          <w:szCs w:val="22"/>
        </w:rPr>
        <w:t xml:space="preserve">. </w:t>
      </w:r>
      <w:r w:rsidRPr="005B464B">
        <w:rPr>
          <w:b/>
          <w:sz w:val="22"/>
          <w:szCs w:val="22"/>
        </w:rPr>
        <w:t>Wskaźniki poziomu kosztów:</w:t>
      </w:r>
    </w:p>
    <w:p w:rsidR="0030545E" w:rsidRPr="005B464B" w:rsidRDefault="0030545E" w:rsidP="00BD7F23">
      <w:pPr>
        <w:numPr>
          <w:ilvl w:val="0"/>
          <w:numId w:val="3"/>
        </w:numPr>
        <w:tabs>
          <w:tab w:val="left" w:pos="280"/>
          <w:tab w:val="left" w:pos="280"/>
          <w:tab w:val="left" w:pos="426"/>
        </w:tabs>
        <w:ind w:left="357" w:hanging="357"/>
        <w:jc w:val="both"/>
        <w:rPr>
          <w:sz w:val="22"/>
          <w:szCs w:val="22"/>
        </w:rPr>
      </w:pPr>
      <w:r w:rsidRPr="005B464B">
        <w:rPr>
          <w:sz w:val="22"/>
          <w:szCs w:val="22"/>
        </w:rPr>
        <w:t xml:space="preserve"> </w:t>
      </w:r>
      <w:r w:rsidR="00DC5EB6">
        <w:rPr>
          <w:sz w:val="22"/>
          <w:szCs w:val="22"/>
        </w:rPr>
        <w:t xml:space="preserve">z całokształtu działalności </w:t>
      </w:r>
      <w:r w:rsidRPr="005B464B">
        <w:rPr>
          <w:sz w:val="22"/>
          <w:szCs w:val="22"/>
        </w:rPr>
        <w:t>jest to relacja kosztów uzyskania przychodów</w:t>
      </w:r>
      <w:r w:rsidR="00DE7EA0">
        <w:rPr>
          <w:sz w:val="22"/>
          <w:szCs w:val="22"/>
        </w:rPr>
        <w:t xml:space="preserve"> z całokształtu działalności do </w:t>
      </w:r>
      <w:r w:rsidRPr="005B464B">
        <w:rPr>
          <w:sz w:val="22"/>
          <w:szCs w:val="22"/>
        </w:rPr>
        <w:t>przychodów z całokształtu działalności;</w:t>
      </w:r>
    </w:p>
    <w:p w:rsidR="0030545E" w:rsidRPr="005B464B" w:rsidRDefault="0030545E" w:rsidP="00BD7F23">
      <w:pPr>
        <w:numPr>
          <w:ilvl w:val="0"/>
          <w:numId w:val="3"/>
        </w:numPr>
        <w:tabs>
          <w:tab w:val="left" w:pos="280"/>
          <w:tab w:val="left" w:pos="280"/>
          <w:tab w:val="left" w:pos="426"/>
        </w:tabs>
        <w:ind w:left="357" w:hanging="357"/>
        <w:jc w:val="both"/>
        <w:rPr>
          <w:sz w:val="22"/>
          <w:szCs w:val="22"/>
        </w:rPr>
      </w:pPr>
      <w:r w:rsidRPr="005B464B">
        <w:rPr>
          <w:sz w:val="22"/>
          <w:szCs w:val="22"/>
        </w:rPr>
        <w:t xml:space="preserve"> ze sprzedaży produktów, towarów i materiałów jest to relacja kosztów uzyskania przychodów ze sprzedaży produktów, towarów i materiałów do przychodów </w:t>
      </w:r>
      <w:r>
        <w:rPr>
          <w:sz w:val="22"/>
          <w:szCs w:val="22"/>
        </w:rPr>
        <w:t xml:space="preserve">netto </w:t>
      </w:r>
      <w:r w:rsidRPr="005B464B">
        <w:rPr>
          <w:sz w:val="22"/>
          <w:szCs w:val="22"/>
        </w:rPr>
        <w:t>ze sprzedaży produktów, towarów i</w:t>
      </w:r>
      <w:r w:rsidR="00411300">
        <w:rPr>
          <w:sz w:val="22"/>
          <w:szCs w:val="22"/>
        </w:rPr>
        <w:t> </w:t>
      </w:r>
      <w:r w:rsidRPr="005B464B">
        <w:rPr>
          <w:sz w:val="22"/>
          <w:szCs w:val="22"/>
        </w:rPr>
        <w:t>materiałów.</w:t>
      </w:r>
    </w:p>
    <w:p w:rsidR="006409C8" w:rsidRDefault="006409C8" w:rsidP="0030545E">
      <w:pPr>
        <w:tabs>
          <w:tab w:val="left" w:pos="280"/>
          <w:tab w:val="left" w:pos="280"/>
          <w:tab w:val="left" w:pos="560"/>
        </w:tabs>
        <w:jc w:val="both"/>
        <w:rPr>
          <w:b/>
          <w:sz w:val="22"/>
          <w:szCs w:val="22"/>
        </w:rPr>
      </w:pPr>
    </w:p>
    <w:p w:rsidR="0030545E" w:rsidRDefault="006409C8" w:rsidP="0030545E">
      <w:pPr>
        <w:tabs>
          <w:tab w:val="left" w:pos="280"/>
          <w:tab w:val="left" w:pos="280"/>
          <w:tab w:val="left" w:pos="560"/>
        </w:tabs>
        <w:jc w:val="both"/>
        <w:rPr>
          <w:color w:val="000000"/>
          <w:sz w:val="22"/>
          <w:szCs w:val="22"/>
        </w:rPr>
      </w:pPr>
      <w:r>
        <w:rPr>
          <w:b/>
          <w:sz w:val="22"/>
          <w:szCs w:val="22"/>
        </w:rPr>
        <w:tab/>
      </w:r>
      <w:r w:rsidR="0030545E" w:rsidRPr="005B464B">
        <w:rPr>
          <w:sz w:val="22"/>
          <w:szCs w:val="22"/>
        </w:rPr>
        <w:t>1</w:t>
      </w:r>
      <w:r w:rsidR="00FC74DD">
        <w:rPr>
          <w:sz w:val="22"/>
          <w:szCs w:val="22"/>
        </w:rPr>
        <w:t>8</w:t>
      </w:r>
      <w:r w:rsidR="0030545E" w:rsidRPr="005B464B">
        <w:rPr>
          <w:sz w:val="22"/>
          <w:szCs w:val="22"/>
        </w:rPr>
        <w:t>.</w:t>
      </w:r>
      <w:r w:rsidR="0030545E">
        <w:rPr>
          <w:sz w:val="22"/>
          <w:szCs w:val="22"/>
        </w:rPr>
        <w:t xml:space="preserve"> </w:t>
      </w:r>
      <w:r w:rsidR="0030545E" w:rsidRPr="005B464B">
        <w:rPr>
          <w:b/>
          <w:sz w:val="22"/>
          <w:szCs w:val="22"/>
        </w:rPr>
        <w:t>Wskaźnik rentowności ze sprzedaży</w:t>
      </w:r>
      <w:r w:rsidR="0030545E" w:rsidRPr="005B464B">
        <w:rPr>
          <w:sz w:val="22"/>
          <w:szCs w:val="22"/>
        </w:rPr>
        <w:t xml:space="preserve"> je</w:t>
      </w:r>
      <w:r w:rsidR="0030545E">
        <w:rPr>
          <w:sz w:val="22"/>
          <w:szCs w:val="22"/>
        </w:rPr>
        <w:t>st to relacja wyniku</w:t>
      </w:r>
      <w:r w:rsidR="0030545E" w:rsidRPr="005B464B">
        <w:rPr>
          <w:sz w:val="22"/>
          <w:szCs w:val="22"/>
        </w:rPr>
        <w:t xml:space="preserve"> ze sprzedaży produktów</w:t>
      </w:r>
      <w:r w:rsidR="005723AF">
        <w:rPr>
          <w:sz w:val="22"/>
          <w:szCs w:val="22"/>
        </w:rPr>
        <w:t>,</w:t>
      </w:r>
      <w:r w:rsidR="0030545E" w:rsidRPr="005B464B">
        <w:rPr>
          <w:sz w:val="22"/>
          <w:szCs w:val="22"/>
        </w:rPr>
        <w:t xml:space="preserve"> towarów i</w:t>
      </w:r>
      <w:r w:rsidR="0030545E">
        <w:rPr>
          <w:sz w:val="22"/>
          <w:szCs w:val="22"/>
        </w:rPr>
        <w:t> </w:t>
      </w:r>
      <w:r w:rsidR="0030545E" w:rsidRPr="005B464B">
        <w:rPr>
          <w:sz w:val="22"/>
          <w:szCs w:val="22"/>
        </w:rPr>
        <w:t xml:space="preserve">materiałów do przychodów </w:t>
      </w:r>
      <w:r w:rsidR="0030545E" w:rsidRPr="005B464B">
        <w:rPr>
          <w:color w:val="000000"/>
          <w:sz w:val="22"/>
          <w:szCs w:val="22"/>
        </w:rPr>
        <w:t>netto ze sprzedaży produktów, towarów i materiałów.</w:t>
      </w:r>
    </w:p>
    <w:p w:rsidR="00DF2050" w:rsidRPr="005B464B" w:rsidRDefault="00DF2050" w:rsidP="0030545E">
      <w:pPr>
        <w:tabs>
          <w:tab w:val="left" w:pos="280"/>
          <w:tab w:val="left" w:pos="280"/>
          <w:tab w:val="left" w:pos="560"/>
        </w:tabs>
        <w:jc w:val="both"/>
        <w:rPr>
          <w:color w:val="000000"/>
          <w:sz w:val="22"/>
          <w:szCs w:val="22"/>
        </w:rPr>
      </w:pPr>
    </w:p>
    <w:p w:rsidR="0030545E" w:rsidRDefault="00FC74DD" w:rsidP="0030545E">
      <w:pPr>
        <w:tabs>
          <w:tab w:val="left" w:pos="278"/>
        </w:tabs>
        <w:jc w:val="both"/>
        <w:rPr>
          <w:sz w:val="22"/>
          <w:szCs w:val="22"/>
        </w:rPr>
      </w:pPr>
      <w:r>
        <w:rPr>
          <w:sz w:val="22"/>
          <w:szCs w:val="22"/>
        </w:rPr>
        <w:tab/>
        <w:t>19</w:t>
      </w:r>
      <w:r w:rsidR="0030545E" w:rsidRPr="005B464B">
        <w:rPr>
          <w:sz w:val="22"/>
          <w:szCs w:val="22"/>
        </w:rPr>
        <w:t>.</w:t>
      </w:r>
      <w:r w:rsidR="0030545E" w:rsidRPr="005B464B">
        <w:rPr>
          <w:b/>
          <w:sz w:val="22"/>
          <w:szCs w:val="22"/>
        </w:rPr>
        <w:t xml:space="preserve"> Wskaź</w:t>
      </w:r>
      <w:r w:rsidR="000A776E">
        <w:rPr>
          <w:b/>
          <w:sz w:val="22"/>
          <w:szCs w:val="22"/>
        </w:rPr>
        <w:t xml:space="preserve">nik </w:t>
      </w:r>
      <w:r w:rsidR="0030545E" w:rsidRPr="005B464B">
        <w:rPr>
          <w:b/>
          <w:sz w:val="22"/>
          <w:szCs w:val="22"/>
        </w:rPr>
        <w:t>rentowności obrotu brutto</w:t>
      </w:r>
      <w:r w:rsidR="0030545E" w:rsidRPr="005B464B">
        <w:rPr>
          <w:sz w:val="22"/>
          <w:szCs w:val="22"/>
        </w:rPr>
        <w:t xml:space="preserve"> jest to relacja wyniku finansowego brutto do przychodów z</w:t>
      </w:r>
      <w:r w:rsidR="0030545E">
        <w:rPr>
          <w:sz w:val="22"/>
          <w:szCs w:val="22"/>
        </w:rPr>
        <w:t> </w:t>
      </w:r>
      <w:r w:rsidR="0030545E" w:rsidRPr="005B464B">
        <w:rPr>
          <w:sz w:val="22"/>
          <w:szCs w:val="22"/>
        </w:rPr>
        <w:t>całokształtu działalności.</w:t>
      </w:r>
    </w:p>
    <w:p w:rsidR="00980047" w:rsidRDefault="0030545E" w:rsidP="0030545E">
      <w:pPr>
        <w:tabs>
          <w:tab w:val="left" w:pos="280"/>
          <w:tab w:val="left" w:pos="280"/>
          <w:tab w:val="left" w:pos="560"/>
        </w:tabs>
        <w:jc w:val="both"/>
        <w:rPr>
          <w:sz w:val="22"/>
          <w:szCs w:val="22"/>
        </w:rPr>
      </w:pPr>
      <w:r>
        <w:rPr>
          <w:sz w:val="22"/>
          <w:szCs w:val="22"/>
        </w:rPr>
        <w:tab/>
      </w:r>
    </w:p>
    <w:p w:rsidR="0030545E" w:rsidRDefault="00980047" w:rsidP="0030545E">
      <w:pPr>
        <w:tabs>
          <w:tab w:val="left" w:pos="280"/>
          <w:tab w:val="left" w:pos="280"/>
          <w:tab w:val="left" w:pos="560"/>
        </w:tabs>
        <w:jc w:val="both"/>
        <w:rPr>
          <w:sz w:val="22"/>
          <w:szCs w:val="22"/>
        </w:rPr>
      </w:pPr>
      <w:r>
        <w:rPr>
          <w:sz w:val="22"/>
          <w:szCs w:val="22"/>
        </w:rPr>
        <w:tab/>
      </w:r>
      <w:r w:rsidR="00FC74DD">
        <w:rPr>
          <w:sz w:val="22"/>
          <w:szCs w:val="22"/>
        </w:rPr>
        <w:t>20</w:t>
      </w:r>
      <w:r w:rsidR="0030545E" w:rsidRPr="005B464B">
        <w:rPr>
          <w:sz w:val="22"/>
          <w:szCs w:val="22"/>
        </w:rPr>
        <w:t xml:space="preserve">. </w:t>
      </w:r>
      <w:r w:rsidR="0030545E" w:rsidRPr="005B464B">
        <w:rPr>
          <w:b/>
          <w:sz w:val="22"/>
          <w:szCs w:val="22"/>
        </w:rPr>
        <w:t>Wskaźnik rentowności obrotu netto</w:t>
      </w:r>
      <w:r w:rsidR="0030545E" w:rsidRPr="005B464B">
        <w:rPr>
          <w:sz w:val="22"/>
          <w:szCs w:val="22"/>
        </w:rPr>
        <w:t xml:space="preserve"> jest to relacja wyniku finansowego netto do przychodów z całokształtu działalności.</w:t>
      </w:r>
    </w:p>
    <w:p w:rsidR="00A4288E" w:rsidRPr="005B464B" w:rsidRDefault="00A4288E" w:rsidP="0030545E">
      <w:pPr>
        <w:tabs>
          <w:tab w:val="left" w:pos="280"/>
          <w:tab w:val="left" w:pos="280"/>
          <w:tab w:val="left" w:pos="560"/>
        </w:tabs>
        <w:jc w:val="both"/>
        <w:rPr>
          <w:sz w:val="22"/>
          <w:szCs w:val="22"/>
        </w:rPr>
      </w:pPr>
    </w:p>
    <w:p w:rsidR="0030545E" w:rsidRDefault="0030545E" w:rsidP="0030545E">
      <w:pPr>
        <w:tabs>
          <w:tab w:val="left" w:pos="280"/>
          <w:tab w:val="left" w:pos="280"/>
          <w:tab w:val="left" w:pos="560"/>
        </w:tabs>
        <w:jc w:val="both"/>
        <w:rPr>
          <w:sz w:val="22"/>
          <w:szCs w:val="22"/>
        </w:rPr>
      </w:pPr>
      <w:r w:rsidRPr="005B464B">
        <w:rPr>
          <w:sz w:val="22"/>
          <w:szCs w:val="22"/>
        </w:rPr>
        <w:tab/>
      </w:r>
      <w:r w:rsidR="00FC74DD">
        <w:rPr>
          <w:sz w:val="22"/>
          <w:szCs w:val="22"/>
        </w:rPr>
        <w:t>21</w:t>
      </w:r>
      <w:r w:rsidRPr="005B464B">
        <w:rPr>
          <w:sz w:val="22"/>
          <w:szCs w:val="22"/>
        </w:rPr>
        <w:t xml:space="preserve">. </w:t>
      </w:r>
      <w:r w:rsidRPr="005B464B">
        <w:rPr>
          <w:b/>
          <w:sz w:val="22"/>
          <w:szCs w:val="22"/>
        </w:rPr>
        <w:t xml:space="preserve">Wskaźnik płynności finansowej I stopnia </w:t>
      </w:r>
      <w:r w:rsidRPr="005B464B">
        <w:rPr>
          <w:sz w:val="22"/>
          <w:szCs w:val="22"/>
        </w:rPr>
        <w:t>jest to relacja inwestycji kr</w:t>
      </w:r>
      <w:r>
        <w:rPr>
          <w:sz w:val="22"/>
          <w:szCs w:val="22"/>
        </w:rPr>
        <w:t>ó</w:t>
      </w:r>
      <w:r w:rsidRPr="005B464B">
        <w:rPr>
          <w:sz w:val="22"/>
          <w:szCs w:val="22"/>
        </w:rPr>
        <w:t>tkoterminowych do zobowiązań krótkoterminowych.</w:t>
      </w:r>
    </w:p>
    <w:p w:rsidR="004C647B" w:rsidRDefault="004C647B" w:rsidP="0030545E">
      <w:pPr>
        <w:tabs>
          <w:tab w:val="left" w:pos="280"/>
          <w:tab w:val="left" w:pos="280"/>
          <w:tab w:val="left" w:pos="560"/>
        </w:tabs>
        <w:jc w:val="both"/>
        <w:rPr>
          <w:sz w:val="22"/>
          <w:szCs w:val="22"/>
        </w:rPr>
      </w:pPr>
    </w:p>
    <w:p w:rsidR="0030545E" w:rsidRPr="005B464B" w:rsidRDefault="0030545E" w:rsidP="0030545E">
      <w:pPr>
        <w:tabs>
          <w:tab w:val="left" w:pos="280"/>
          <w:tab w:val="left" w:pos="280"/>
          <w:tab w:val="left" w:pos="560"/>
        </w:tabs>
        <w:jc w:val="both"/>
        <w:rPr>
          <w:sz w:val="22"/>
          <w:szCs w:val="22"/>
        </w:rPr>
      </w:pPr>
      <w:r w:rsidRPr="005B464B">
        <w:rPr>
          <w:sz w:val="22"/>
          <w:szCs w:val="22"/>
        </w:rPr>
        <w:tab/>
        <w:t>2</w:t>
      </w:r>
      <w:r w:rsidR="00FC74DD">
        <w:rPr>
          <w:sz w:val="22"/>
          <w:szCs w:val="22"/>
        </w:rPr>
        <w:t>2</w:t>
      </w:r>
      <w:r w:rsidRPr="005B464B">
        <w:rPr>
          <w:sz w:val="22"/>
          <w:szCs w:val="22"/>
        </w:rPr>
        <w:t xml:space="preserve">. </w:t>
      </w:r>
      <w:r w:rsidRPr="005B464B">
        <w:rPr>
          <w:b/>
          <w:sz w:val="22"/>
          <w:szCs w:val="22"/>
        </w:rPr>
        <w:t xml:space="preserve">Wskaźnik płynności finansowej II stopnia </w:t>
      </w:r>
      <w:r w:rsidRPr="005B464B">
        <w:rPr>
          <w:sz w:val="22"/>
          <w:szCs w:val="22"/>
        </w:rPr>
        <w:t>jest to relacja inwestycji kr</w:t>
      </w:r>
      <w:r>
        <w:rPr>
          <w:sz w:val="22"/>
          <w:szCs w:val="22"/>
        </w:rPr>
        <w:t>ótkoterminowych i</w:t>
      </w:r>
      <w:r w:rsidR="00411300">
        <w:rPr>
          <w:sz w:val="22"/>
          <w:szCs w:val="22"/>
        </w:rPr>
        <w:t> </w:t>
      </w:r>
      <w:r>
        <w:rPr>
          <w:sz w:val="22"/>
          <w:szCs w:val="22"/>
        </w:rPr>
        <w:t>należności kró</w:t>
      </w:r>
      <w:r w:rsidRPr="005B464B">
        <w:rPr>
          <w:sz w:val="22"/>
          <w:szCs w:val="22"/>
        </w:rPr>
        <w:t>tkoterminowych do zobowiązań krótkoterminowych.</w:t>
      </w:r>
    </w:p>
    <w:p w:rsidR="0030545E" w:rsidRPr="00612EDE" w:rsidRDefault="0030545E" w:rsidP="0030545E">
      <w:pPr>
        <w:numPr>
          <w:ilvl w:val="12"/>
          <w:numId w:val="0"/>
        </w:numPr>
        <w:tabs>
          <w:tab w:val="left" w:pos="560"/>
        </w:tabs>
        <w:ind w:left="454" w:hanging="454"/>
        <w:rPr>
          <w:sz w:val="22"/>
          <w:szCs w:val="22"/>
        </w:rPr>
      </w:pPr>
    </w:p>
    <w:p w:rsidR="00FC74DD" w:rsidRDefault="0030545E" w:rsidP="00FC74DD">
      <w:pPr>
        <w:tabs>
          <w:tab w:val="left" w:pos="280"/>
          <w:tab w:val="left" w:pos="280"/>
          <w:tab w:val="left" w:pos="560"/>
        </w:tabs>
        <w:jc w:val="both"/>
        <w:rPr>
          <w:sz w:val="22"/>
          <w:szCs w:val="22"/>
        </w:rPr>
      </w:pPr>
      <w:r w:rsidRPr="005B464B">
        <w:rPr>
          <w:sz w:val="22"/>
          <w:szCs w:val="22"/>
        </w:rPr>
        <w:lastRenderedPageBreak/>
        <w:tab/>
      </w:r>
      <w:r w:rsidR="00FC74DD" w:rsidRPr="005B464B">
        <w:rPr>
          <w:sz w:val="22"/>
          <w:szCs w:val="22"/>
        </w:rPr>
        <w:t>2</w:t>
      </w:r>
      <w:r w:rsidR="00FC74DD">
        <w:rPr>
          <w:sz w:val="22"/>
          <w:szCs w:val="22"/>
        </w:rPr>
        <w:t>3</w:t>
      </w:r>
      <w:r w:rsidR="00FC74DD" w:rsidRPr="005B464B">
        <w:rPr>
          <w:sz w:val="22"/>
          <w:szCs w:val="22"/>
        </w:rPr>
        <w:t xml:space="preserve">. </w:t>
      </w:r>
      <w:r w:rsidR="00FC74DD" w:rsidRPr="005B464B">
        <w:rPr>
          <w:b/>
          <w:sz w:val="22"/>
          <w:szCs w:val="22"/>
        </w:rPr>
        <w:t>Wskaźnik płynności finansowej I</w:t>
      </w:r>
      <w:r w:rsidR="00FC74DD">
        <w:rPr>
          <w:b/>
          <w:sz w:val="22"/>
          <w:szCs w:val="22"/>
        </w:rPr>
        <w:t>I</w:t>
      </w:r>
      <w:r w:rsidR="00FC74DD" w:rsidRPr="005B464B">
        <w:rPr>
          <w:b/>
          <w:sz w:val="22"/>
          <w:szCs w:val="22"/>
        </w:rPr>
        <w:t xml:space="preserve">I stopnia </w:t>
      </w:r>
      <w:r w:rsidR="00FC74DD" w:rsidRPr="005B464B">
        <w:rPr>
          <w:sz w:val="22"/>
          <w:szCs w:val="22"/>
        </w:rPr>
        <w:t xml:space="preserve">jest to relacja </w:t>
      </w:r>
      <w:r w:rsidR="00FC74DD">
        <w:rPr>
          <w:sz w:val="22"/>
          <w:szCs w:val="22"/>
        </w:rPr>
        <w:t>aktywów obrotowych jednostki (zapasów, należności</w:t>
      </w:r>
      <w:r w:rsidR="00FC74DD" w:rsidRPr="005B464B">
        <w:rPr>
          <w:sz w:val="22"/>
          <w:szCs w:val="22"/>
        </w:rPr>
        <w:t xml:space="preserve"> kr</w:t>
      </w:r>
      <w:r w:rsidR="00FC74DD">
        <w:rPr>
          <w:sz w:val="22"/>
          <w:szCs w:val="22"/>
        </w:rPr>
        <w:t>ótkoterminowych,</w:t>
      </w:r>
      <w:r w:rsidR="00FC74DD" w:rsidRPr="00FC74DD">
        <w:rPr>
          <w:sz w:val="22"/>
          <w:szCs w:val="22"/>
        </w:rPr>
        <w:t xml:space="preserve"> </w:t>
      </w:r>
      <w:r w:rsidR="00FC74DD">
        <w:rPr>
          <w:sz w:val="22"/>
          <w:szCs w:val="22"/>
        </w:rPr>
        <w:t xml:space="preserve">inwestycji </w:t>
      </w:r>
      <w:r w:rsidR="00FC74DD" w:rsidRPr="005B464B">
        <w:rPr>
          <w:sz w:val="22"/>
          <w:szCs w:val="22"/>
        </w:rPr>
        <w:t>kr</w:t>
      </w:r>
      <w:r w:rsidR="00FC74DD">
        <w:rPr>
          <w:sz w:val="22"/>
          <w:szCs w:val="22"/>
        </w:rPr>
        <w:t>ótkoterminowych i kró</w:t>
      </w:r>
      <w:r w:rsidR="00FC74DD" w:rsidRPr="005B464B">
        <w:rPr>
          <w:sz w:val="22"/>
          <w:szCs w:val="22"/>
        </w:rPr>
        <w:t>tkoterminowych</w:t>
      </w:r>
      <w:r w:rsidR="00FC74DD">
        <w:rPr>
          <w:sz w:val="22"/>
          <w:szCs w:val="22"/>
        </w:rPr>
        <w:t xml:space="preserve"> rozliczeń międzyokresowych </w:t>
      </w:r>
      <w:r w:rsidR="00FC74DD" w:rsidRPr="005B464B">
        <w:rPr>
          <w:sz w:val="22"/>
          <w:szCs w:val="22"/>
        </w:rPr>
        <w:t>do zobowiązań krótkoterminowych</w:t>
      </w:r>
      <w:r w:rsidR="00FC74DD">
        <w:rPr>
          <w:sz w:val="22"/>
          <w:szCs w:val="22"/>
        </w:rPr>
        <w:t xml:space="preserve"> (bez funduszy specjalnych)</w:t>
      </w:r>
      <w:r w:rsidR="00FC74DD" w:rsidRPr="005B464B">
        <w:rPr>
          <w:sz w:val="22"/>
          <w:szCs w:val="22"/>
        </w:rPr>
        <w:t>.</w:t>
      </w:r>
    </w:p>
    <w:p w:rsidR="00FC74DD" w:rsidRPr="005B464B" w:rsidRDefault="00FC74DD" w:rsidP="00FC74DD">
      <w:pPr>
        <w:tabs>
          <w:tab w:val="left" w:pos="280"/>
          <w:tab w:val="left" w:pos="280"/>
          <w:tab w:val="left" w:pos="560"/>
        </w:tabs>
        <w:jc w:val="both"/>
        <w:rPr>
          <w:sz w:val="22"/>
          <w:szCs w:val="22"/>
        </w:rPr>
      </w:pPr>
    </w:p>
    <w:p w:rsidR="0030545E" w:rsidRPr="005B464B" w:rsidRDefault="00FC74DD" w:rsidP="0030545E">
      <w:pPr>
        <w:tabs>
          <w:tab w:val="left" w:pos="280"/>
          <w:tab w:val="left" w:pos="280"/>
          <w:tab w:val="left" w:pos="560"/>
        </w:tabs>
        <w:jc w:val="both"/>
        <w:rPr>
          <w:sz w:val="22"/>
          <w:szCs w:val="22"/>
        </w:rPr>
      </w:pPr>
      <w:r>
        <w:rPr>
          <w:sz w:val="22"/>
          <w:szCs w:val="22"/>
        </w:rPr>
        <w:tab/>
      </w:r>
      <w:r w:rsidR="0030545E" w:rsidRPr="005B464B">
        <w:rPr>
          <w:sz w:val="22"/>
          <w:szCs w:val="22"/>
        </w:rPr>
        <w:t>2</w:t>
      </w:r>
      <w:r w:rsidR="00F51C2F">
        <w:rPr>
          <w:sz w:val="22"/>
          <w:szCs w:val="22"/>
        </w:rPr>
        <w:t>4</w:t>
      </w:r>
      <w:r w:rsidR="0030545E" w:rsidRPr="005B464B">
        <w:rPr>
          <w:sz w:val="22"/>
          <w:szCs w:val="22"/>
        </w:rPr>
        <w:t>.</w:t>
      </w:r>
      <w:r>
        <w:rPr>
          <w:sz w:val="22"/>
          <w:szCs w:val="22"/>
        </w:rPr>
        <w:t> </w:t>
      </w:r>
      <w:r w:rsidR="0030545E" w:rsidRPr="005B464B">
        <w:rPr>
          <w:b/>
          <w:sz w:val="22"/>
          <w:szCs w:val="22"/>
        </w:rPr>
        <w:t xml:space="preserve">Aktywa obrotowe </w:t>
      </w:r>
      <w:r w:rsidR="0030545E" w:rsidRPr="005B464B">
        <w:rPr>
          <w:sz w:val="22"/>
          <w:szCs w:val="22"/>
        </w:rPr>
        <w:t>są częścią kontrolowanych przez jednostkę zasobów majątkowych wykorzystywanych w działalności operacyjnej o wiarygodnie określonej wartości, powstałych w</w:t>
      </w:r>
      <w:r w:rsidR="0030545E">
        <w:rPr>
          <w:sz w:val="22"/>
          <w:szCs w:val="22"/>
        </w:rPr>
        <w:t xml:space="preserve"> </w:t>
      </w:r>
      <w:r w:rsidR="0030545E" w:rsidRPr="005B464B">
        <w:rPr>
          <w:sz w:val="22"/>
          <w:szCs w:val="22"/>
        </w:rPr>
        <w:t>wyniku przeszłych zdarzeń, które spowodują w przyszłości wpływ do jednostki korzyści ekonomicznych. Obejmują</w:t>
      </w:r>
      <w:r w:rsidR="0030545E">
        <w:rPr>
          <w:sz w:val="22"/>
          <w:szCs w:val="22"/>
        </w:rPr>
        <w:t>:</w:t>
      </w:r>
      <w:r w:rsidR="0030545E" w:rsidRPr="005B464B">
        <w:rPr>
          <w:sz w:val="22"/>
          <w:szCs w:val="22"/>
        </w:rPr>
        <w:t xml:space="preserve"> zapasy (rzeczowe aktywa obrotowe) oraz krótkoterminowe: należności, inwestycje oraz rozliczenia międzyokresowe.</w:t>
      </w:r>
    </w:p>
    <w:p w:rsidR="0030545E" w:rsidRPr="00612EDE" w:rsidRDefault="0030545E" w:rsidP="0030545E">
      <w:pPr>
        <w:tabs>
          <w:tab w:val="left" w:pos="280"/>
          <w:tab w:val="left" w:pos="280"/>
          <w:tab w:val="left" w:pos="560"/>
        </w:tabs>
        <w:jc w:val="both"/>
        <w:rPr>
          <w:sz w:val="22"/>
          <w:szCs w:val="22"/>
        </w:rPr>
      </w:pPr>
    </w:p>
    <w:p w:rsidR="0030545E" w:rsidRPr="005B464B" w:rsidRDefault="0030545E" w:rsidP="0030545E">
      <w:pPr>
        <w:tabs>
          <w:tab w:val="left" w:pos="280"/>
          <w:tab w:val="left" w:pos="280"/>
          <w:tab w:val="left" w:pos="560"/>
        </w:tabs>
        <w:jc w:val="both"/>
        <w:rPr>
          <w:sz w:val="22"/>
          <w:szCs w:val="22"/>
        </w:rPr>
      </w:pPr>
      <w:r w:rsidRPr="005B464B">
        <w:rPr>
          <w:sz w:val="22"/>
          <w:szCs w:val="22"/>
        </w:rPr>
        <w:tab/>
        <w:t>2</w:t>
      </w:r>
      <w:r w:rsidR="00F51C2F">
        <w:rPr>
          <w:sz w:val="22"/>
          <w:szCs w:val="22"/>
        </w:rPr>
        <w:t>5</w:t>
      </w:r>
      <w:r w:rsidRPr="005B464B">
        <w:rPr>
          <w:sz w:val="22"/>
          <w:szCs w:val="22"/>
        </w:rPr>
        <w:t xml:space="preserve">. </w:t>
      </w:r>
      <w:r w:rsidRPr="005B464B">
        <w:rPr>
          <w:b/>
          <w:sz w:val="22"/>
          <w:szCs w:val="22"/>
        </w:rPr>
        <w:t xml:space="preserve">Należności krótkoterminowe </w:t>
      </w:r>
      <w:r w:rsidRPr="005B464B">
        <w:rPr>
          <w:sz w:val="22"/>
          <w:szCs w:val="22"/>
        </w:rPr>
        <w:t>obejmują ogół należności z tytułu dostaw i usług oraz całość lub część należności z innych tytułów niezaliczonych do aktywów finansowych, a które stają się wymagalne w ciągu 12 miesięcy od dnia bilansowego.</w:t>
      </w:r>
    </w:p>
    <w:p w:rsidR="0030545E" w:rsidRDefault="0030545E" w:rsidP="0030545E">
      <w:pPr>
        <w:tabs>
          <w:tab w:val="left" w:pos="280"/>
          <w:tab w:val="left" w:pos="280"/>
          <w:tab w:val="left" w:pos="560"/>
        </w:tabs>
        <w:ind w:firstLine="45"/>
        <w:jc w:val="both"/>
        <w:rPr>
          <w:sz w:val="22"/>
          <w:szCs w:val="22"/>
        </w:rPr>
      </w:pPr>
    </w:p>
    <w:p w:rsidR="0030545E" w:rsidRPr="005B464B" w:rsidRDefault="0030545E" w:rsidP="0030545E">
      <w:pPr>
        <w:pStyle w:val="Tekstpodstawowywcity2"/>
        <w:tabs>
          <w:tab w:val="left" w:pos="278"/>
        </w:tabs>
        <w:spacing w:line="240" w:lineRule="auto"/>
        <w:ind w:left="0"/>
        <w:rPr>
          <w:rFonts w:ascii="Times New Roman" w:hAnsi="Times New Roman"/>
          <w:szCs w:val="22"/>
          <w:lang w:val="pl-PL"/>
        </w:rPr>
      </w:pPr>
      <w:r>
        <w:rPr>
          <w:rFonts w:ascii="Times New Roman" w:hAnsi="Times New Roman"/>
          <w:szCs w:val="22"/>
          <w:lang w:val="pl-PL"/>
        </w:rPr>
        <w:tab/>
      </w:r>
      <w:r w:rsidRPr="005B464B">
        <w:rPr>
          <w:rFonts w:ascii="Times New Roman" w:hAnsi="Times New Roman"/>
          <w:szCs w:val="22"/>
          <w:lang w:val="pl-PL"/>
        </w:rPr>
        <w:t>2</w:t>
      </w:r>
      <w:r w:rsidR="00F51C2F">
        <w:rPr>
          <w:rFonts w:ascii="Times New Roman" w:hAnsi="Times New Roman"/>
          <w:szCs w:val="22"/>
          <w:lang w:val="pl-PL"/>
        </w:rPr>
        <w:t>6</w:t>
      </w:r>
      <w:r w:rsidRPr="005B464B">
        <w:rPr>
          <w:rFonts w:ascii="Times New Roman" w:hAnsi="Times New Roman"/>
          <w:szCs w:val="22"/>
          <w:lang w:val="pl-PL"/>
        </w:rPr>
        <w:t xml:space="preserve">. </w:t>
      </w:r>
      <w:r w:rsidRPr="005B464B">
        <w:rPr>
          <w:rFonts w:ascii="Times New Roman" w:hAnsi="Times New Roman"/>
          <w:b/>
          <w:szCs w:val="22"/>
          <w:lang w:val="pl-PL"/>
        </w:rPr>
        <w:t>Zobowiązania krótkoterminowe</w:t>
      </w:r>
      <w:r w:rsidRPr="005B464B">
        <w:rPr>
          <w:rFonts w:ascii="Times New Roman" w:hAnsi="Times New Roman"/>
          <w:szCs w:val="22"/>
          <w:lang w:val="pl-PL"/>
        </w:rPr>
        <w:t xml:space="preserve"> (bez funduszy specjalnych)</w:t>
      </w:r>
      <w:r w:rsidRPr="005B464B">
        <w:rPr>
          <w:rFonts w:ascii="Times New Roman" w:hAnsi="Times New Roman"/>
          <w:color w:val="FF0000"/>
          <w:szCs w:val="22"/>
          <w:lang w:val="pl-PL"/>
        </w:rPr>
        <w:t xml:space="preserve"> </w:t>
      </w:r>
      <w:r w:rsidRPr="005B464B">
        <w:rPr>
          <w:rFonts w:ascii="Times New Roman" w:hAnsi="Times New Roman"/>
          <w:color w:val="000000"/>
          <w:szCs w:val="22"/>
          <w:lang w:val="pl-PL"/>
        </w:rPr>
        <w:t>są ogółem</w:t>
      </w:r>
      <w:r w:rsidRPr="005B464B">
        <w:rPr>
          <w:rFonts w:ascii="Times New Roman" w:hAnsi="Times New Roman"/>
          <w:color w:val="FF0000"/>
          <w:szCs w:val="22"/>
          <w:lang w:val="pl-PL"/>
        </w:rPr>
        <w:t xml:space="preserve"> </w:t>
      </w:r>
      <w:r>
        <w:rPr>
          <w:rFonts w:ascii="Times New Roman" w:hAnsi="Times New Roman"/>
          <w:szCs w:val="22"/>
          <w:lang w:val="pl-PL"/>
        </w:rPr>
        <w:t>zobowiązań z tytułu dostaw i </w:t>
      </w:r>
      <w:r w:rsidRPr="005B464B">
        <w:rPr>
          <w:rFonts w:ascii="Times New Roman" w:hAnsi="Times New Roman"/>
          <w:szCs w:val="22"/>
          <w:lang w:val="pl-PL"/>
        </w:rPr>
        <w:t xml:space="preserve">usług, a także </w:t>
      </w:r>
      <w:r w:rsidRPr="005B464B">
        <w:rPr>
          <w:rFonts w:ascii="Times New Roman" w:hAnsi="Times New Roman"/>
          <w:color w:val="000000"/>
          <w:szCs w:val="22"/>
          <w:lang w:val="pl-PL"/>
        </w:rPr>
        <w:t>całością lub częścią pozostałych</w:t>
      </w:r>
      <w:r w:rsidRPr="005B464B">
        <w:rPr>
          <w:rFonts w:ascii="Times New Roman" w:hAnsi="Times New Roman"/>
          <w:szCs w:val="22"/>
          <w:lang w:val="pl-PL"/>
        </w:rPr>
        <w:t xml:space="preserve"> zobowiązań, które stają się wymagalne w ciągu 12 miesięcy od dnia bilansowego.</w:t>
      </w:r>
    </w:p>
    <w:p w:rsidR="0030545E" w:rsidRPr="00612EDE" w:rsidRDefault="0030545E" w:rsidP="0030545E">
      <w:pPr>
        <w:pStyle w:val="Tekstpodstawowywcity2"/>
        <w:tabs>
          <w:tab w:val="left" w:pos="278"/>
        </w:tabs>
        <w:spacing w:line="240" w:lineRule="auto"/>
        <w:ind w:left="0"/>
        <w:rPr>
          <w:rFonts w:ascii="Times New Roman" w:hAnsi="Times New Roman"/>
          <w:sz w:val="32"/>
          <w:szCs w:val="32"/>
          <w:lang w:val="pl-PL"/>
        </w:rPr>
      </w:pPr>
    </w:p>
    <w:p w:rsidR="0030545E" w:rsidRPr="005B464B" w:rsidRDefault="0030545E" w:rsidP="0030545E">
      <w:pPr>
        <w:pStyle w:val="Tekstpodstawowy3"/>
        <w:spacing w:line="240" w:lineRule="auto"/>
        <w:jc w:val="both"/>
        <w:rPr>
          <w:szCs w:val="22"/>
          <w:lang w:val="pl-PL"/>
        </w:rPr>
      </w:pPr>
      <w:r w:rsidRPr="005B464B">
        <w:rPr>
          <w:szCs w:val="22"/>
          <w:lang w:val="pl-PL"/>
        </w:rPr>
        <w:t xml:space="preserve">    2</w:t>
      </w:r>
      <w:r w:rsidR="00F51C2F">
        <w:rPr>
          <w:szCs w:val="22"/>
          <w:lang w:val="pl-PL"/>
        </w:rPr>
        <w:t>7</w:t>
      </w:r>
      <w:r w:rsidRPr="005B464B">
        <w:rPr>
          <w:szCs w:val="22"/>
          <w:lang w:val="pl-PL"/>
        </w:rPr>
        <w:t xml:space="preserve">. </w:t>
      </w:r>
      <w:r w:rsidRPr="005B464B">
        <w:rPr>
          <w:b/>
          <w:szCs w:val="22"/>
          <w:lang w:val="pl-PL"/>
        </w:rPr>
        <w:t>Zobowiązania długoterminowe</w:t>
      </w:r>
      <w:r w:rsidRPr="005B464B">
        <w:rPr>
          <w:szCs w:val="22"/>
          <w:lang w:val="pl-PL"/>
        </w:rPr>
        <w:t xml:space="preserve"> są ogółem zobowiązań, których okres spłaty na dzień bilansowy jest dłuższy niż rok, z wyjątkiem zobowiązań z tytułu dostaw i usług.</w:t>
      </w:r>
    </w:p>
    <w:p w:rsidR="0030545E" w:rsidRPr="00612EDE" w:rsidRDefault="0030545E" w:rsidP="0030545E">
      <w:pPr>
        <w:pStyle w:val="Tekstpodstawowy3"/>
        <w:spacing w:line="240" w:lineRule="auto"/>
        <w:jc w:val="both"/>
        <w:rPr>
          <w:sz w:val="32"/>
          <w:szCs w:val="32"/>
          <w:lang w:val="pl-PL"/>
        </w:rPr>
      </w:pPr>
    </w:p>
    <w:p w:rsidR="0030545E" w:rsidRPr="005B464B" w:rsidRDefault="0030545E" w:rsidP="0030545E">
      <w:pPr>
        <w:pStyle w:val="Tekstpodstawowy3"/>
        <w:spacing w:line="240" w:lineRule="auto"/>
        <w:jc w:val="both"/>
        <w:rPr>
          <w:szCs w:val="22"/>
          <w:lang w:val="pl-PL"/>
        </w:rPr>
      </w:pPr>
      <w:r w:rsidRPr="005B464B">
        <w:rPr>
          <w:szCs w:val="22"/>
          <w:lang w:val="pl-PL"/>
        </w:rPr>
        <w:t xml:space="preserve">    2</w:t>
      </w:r>
      <w:r w:rsidR="00F51C2F">
        <w:rPr>
          <w:szCs w:val="22"/>
          <w:lang w:val="pl-PL"/>
        </w:rPr>
        <w:t>8</w:t>
      </w:r>
      <w:r w:rsidRPr="005B464B">
        <w:rPr>
          <w:szCs w:val="22"/>
          <w:lang w:val="pl-PL"/>
        </w:rPr>
        <w:t xml:space="preserve">. </w:t>
      </w:r>
      <w:r w:rsidRPr="005B464B">
        <w:rPr>
          <w:b/>
          <w:szCs w:val="22"/>
          <w:lang w:val="pl-PL"/>
        </w:rPr>
        <w:t>Liczby względne (wskaźniki, odsetki)</w:t>
      </w:r>
      <w:r w:rsidRPr="005B464B">
        <w:rPr>
          <w:szCs w:val="22"/>
          <w:lang w:val="pl-PL"/>
        </w:rPr>
        <w:t xml:space="preserve"> obliczono z reguły na podstawie danych bezwzględnych</w:t>
      </w:r>
      <w:r>
        <w:rPr>
          <w:szCs w:val="22"/>
          <w:lang w:val="pl-PL"/>
        </w:rPr>
        <w:t>,</w:t>
      </w:r>
      <w:r w:rsidRPr="005B464B">
        <w:rPr>
          <w:szCs w:val="22"/>
          <w:lang w:val="pl-PL"/>
        </w:rPr>
        <w:t xml:space="preserve"> wyrażonych z większą dokładnością niż podano w tablicach.</w:t>
      </w:r>
    </w:p>
    <w:p w:rsidR="0030545E" w:rsidRPr="00612EDE" w:rsidRDefault="0030545E" w:rsidP="0030545E">
      <w:pPr>
        <w:pStyle w:val="Tekstpodstawowy3"/>
        <w:spacing w:line="240" w:lineRule="auto"/>
        <w:jc w:val="both"/>
        <w:rPr>
          <w:sz w:val="32"/>
          <w:szCs w:val="32"/>
          <w:lang w:val="pl-PL"/>
        </w:rPr>
      </w:pPr>
    </w:p>
    <w:p w:rsidR="0030545E" w:rsidRPr="005B464B" w:rsidRDefault="00E53802" w:rsidP="0030545E">
      <w:pPr>
        <w:pStyle w:val="Tekstpodstawowy3"/>
        <w:spacing w:line="240" w:lineRule="auto"/>
        <w:jc w:val="both"/>
        <w:rPr>
          <w:szCs w:val="22"/>
          <w:lang w:val="pl-PL"/>
        </w:rPr>
      </w:pPr>
      <w:r>
        <w:rPr>
          <w:szCs w:val="22"/>
          <w:lang w:val="pl-PL"/>
        </w:rPr>
        <w:t xml:space="preserve">    </w:t>
      </w:r>
      <w:r w:rsidR="00F51C2F">
        <w:rPr>
          <w:szCs w:val="22"/>
          <w:lang w:val="pl-PL"/>
        </w:rPr>
        <w:t>29</w:t>
      </w:r>
      <w:r w:rsidR="0030545E" w:rsidRPr="005B464B">
        <w:rPr>
          <w:szCs w:val="22"/>
          <w:lang w:val="pl-PL"/>
        </w:rPr>
        <w:t xml:space="preserve">. </w:t>
      </w:r>
      <w:r w:rsidR="0030545E" w:rsidRPr="005B464B">
        <w:rPr>
          <w:color w:val="000000"/>
          <w:szCs w:val="22"/>
          <w:lang w:val="pl-PL"/>
        </w:rPr>
        <w:t>Sumy niektórych danych miesięcznych mogą nie być zgodne z danymi narastającymi.</w:t>
      </w:r>
    </w:p>
    <w:p w:rsidR="0030545E" w:rsidRPr="00612EDE" w:rsidRDefault="0030545E" w:rsidP="0030545E">
      <w:pPr>
        <w:pStyle w:val="Tekstpodstawowy3"/>
        <w:spacing w:line="240" w:lineRule="auto"/>
        <w:jc w:val="both"/>
        <w:rPr>
          <w:sz w:val="32"/>
          <w:szCs w:val="32"/>
          <w:lang w:val="pl-PL"/>
        </w:rPr>
      </w:pPr>
    </w:p>
    <w:p w:rsidR="0030545E" w:rsidRPr="005B464B" w:rsidRDefault="00E53802" w:rsidP="0030545E">
      <w:pPr>
        <w:pStyle w:val="Tekstpodstawowy3"/>
        <w:spacing w:line="240" w:lineRule="auto"/>
        <w:jc w:val="both"/>
        <w:rPr>
          <w:szCs w:val="22"/>
          <w:lang w:val="pl-PL"/>
        </w:rPr>
      </w:pPr>
      <w:r>
        <w:rPr>
          <w:szCs w:val="22"/>
          <w:lang w:val="pl-PL"/>
        </w:rPr>
        <w:t xml:space="preserve">    </w:t>
      </w:r>
      <w:r w:rsidR="00F51C2F">
        <w:rPr>
          <w:szCs w:val="22"/>
          <w:lang w:val="pl-PL"/>
        </w:rPr>
        <w:t>30</w:t>
      </w:r>
      <w:r w:rsidR="0030545E" w:rsidRPr="005B464B">
        <w:rPr>
          <w:szCs w:val="22"/>
          <w:lang w:val="pl-PL"/>
        </w:rPr>
        <w:t xml:space="preserve">. Ze względu na </w:t>
      </w:r>
      <w:r w:rsidR="0030545E">
        <w:rPr>
          <w:szCs w:val="22"/>
          <w:lang w:val="pl-PL"/>
        </w:rPr>
        <w:t>zaokrąglenia danych</w:t>
      </w:r>
      <w:r w:rsidR="0030545E" w:rsidRPr="005B464B">
        <w:rPr>
          <w:szCs w:val="22"/>
          <w:lang w:val="pl-PL"/>
        </w:rPr>
        <w:t>, w niektórych przypadkach sumy składników mogą się różnić od podanych wielkości "ogółem".</w:t>
      </w:r>
    </w:p>
    <w:p w:rsidR="0030545E" w:rsidRPr="00612EDE" w:rsidRDefault="0030545E" w:rsidP="0030545E">
      <w:pPr>
        <w:pStyle w:val="Tekstpodstawowy3"/>
        <w:spacing w:line="240" w:lineRule="auto"/>
        <w:jc w:val="both"/>
        <w:rPr>
          <w:szCs w:val="22"/>
          <w:lang w:val="pl-PL"/>
        </w:rPr>
      </w:pPr>
    </w:p>
    <w:p w:rsidR="0030545E" w:rsidRPr="00D84025" w:rsidRDefault="00E53802" w:rsidP="0030545E">
      <w:pPr>
        <w:pStyle w:val="Tekstpodstawowy3"/>
        <w:spacing w:line="240" w:lineRule="auto"/>
        <w:jc w:val="both"/>
        <w:rPr>
          <w:szCs w:val="22"/>
          <w:lang w:val="pl-PL"/>
        </w:rPr>
      </w:pPr>
      <w:r>
        <w:rPr>
          <w:szCs w:val="22"/>
          <w:lang w:val="pl-PL"/>
        </w:rPr>
        <w:t xml:space="preserve">    </w:t>
      </w:r>
      <w:r w:rsidR="00F51C2F">
        <w:rPr>
          <w:szCs w:val="22"/>
          <w:lang w:val="pl-PL"/>
        </w:rPr>
        <w:t>31</w:t>
      </w:r>
      <w:r w:rsidR="0030545E" w:rsidRPr="005B464B">
        <w:rPr>
          <w:szCs w:val="22"/>
          <w:lang w:val="pl-PL"/>
        </w:rPr>
        <w:t xml:space="preserve">. W stosunku do obowiązującej Polskiej Klasyfikacji Działalności 2007 (PKD 2007) zastosowano skróty. </w:t>
      </w:r>
      <w:r w:rsidR="0030545E" w:rsidRPr="00D84025">
        <w:rPr>
          <w:szCs w:val="22"/>
          <w:lang w:val="pl-PL"/>
        </w:rPr>
        <w:t>Zestawienie zastosowanych skrótów i pełnych nazw podaje się poniżej:</w:t>
      </w:r>
    </w:p>
    <w:p w:rsidR="0030545E" w:rsidRPr="00D84025" w:rsidRDefault="0030545E" w:rsidP="0030545E">
      <w:pPr>
        <w:numPr>
          <w:ilvl w:val="12"/>
          <w:numId w:val="0"/>
        </w:numPr>
        <w:ind w:left="454" w:hanging="454"/>
        <w:rPr>
          <w:sz w:val="22"/>
          <w:szCs w:val="22"/>
        </w:rPr>
      </w:pPr>
    </w:p>
    <w:tbl>
      <w:tblPr>
        <w:tblW w:w="9498" w:type="dxa"/>
        <w:tblInd w:w="70" w:type="dxa"/>
        <w:tblLayout w:type="fixed"/>
        <w:tblCellMar>
          <w:left w:w="70" w:type="dxa"/>
          <w:right w:w="70" w:type="dxa"/>
        </w:tblCellMar>
        <w:tblLook w:val="0000" w:firstRow="0" w:lastRow="0" w:firstColumn="0" w:lastColumn="0" w:noHBand="0" w:noVBand="0"/>
      </w:tblPr>
      <w:tblGrid>
        <w:gridCol w:w="4142"/>
        <w:gridCol w:w="5356"/>
      </w:tblGrid>
      <w:tr w:rsidR="0030545E" w:rsidRPr="005B464B" w:rsidTr="000A1511">
        <w:trPr>
          <w:trHeight w:hRule="exact" w:val="297"/>
        </w:trPr>
        <w:tc>
          <w:tcPr>
            <w:tcW w:w="4142" w:type="dxa"/>
          </w:tcPr>
          <w:p w:rsidR="0030545E" w:rsidRPr="005B464B" w:rsidRDefault="0030545E" w:rsidP="007D6DBB">
            <w:pPr>
              <w:ind w:left="-68" w:firstLine="68"/>
              <w:jc w:val="center"/>
              <w:rPr>
                <w:sz w:val="22"/>
                <w:szCs w:val="22"/>
              </w:rPr>
            </w:pPr>
            <w:r w:rsidRPr="005B464B">
              <w:rPr>
                <w:sz w:val="22"/>
                <w:szCs w:val="22"/>
              </w:rPr>
              <w:t>skrót</w:t>
            </w:r>
          </w:p>
        </w:tc>
        <w:tc>
          <w:tcPr>
            <w:tcW w:w="5356" w:type="dxa"/>
          </w:tcPr>
          <w:p w:rsidR="0030545E" w:rsidRPr="005B464B" w:rsidRDefault="0030545E" w:rsidP="007D6DBB">
            <w:pPr>
              <w:jc w:val="center"/>
              <w:rPr>
                <w:sz w:val="22"/>
                <w:szCs w:val="22"/>
              </w:rPr>
            </w:pPr>
            <w:r w:rsidRPr="005B464B">
              <w:rPr>
                <w:sz w:val="22"/>
                <w:szCs w:val="22"/>
              </w:rPr>
              <w:t>pełna nazwa</w:t>
            </w:r>
          </w:p>
        </w:tc>
      </w:tr>
      <w:tr w:rsidR="0030545E" w:rsidRPr="005B464B" w:rsidTr="000A1511">
        <w:trPr>
          <w:trHeight w:hRule="exact" w:val="603"/>
        </w:trPr>
        <w:tc>
          <w:tcPr>
            <w:tcW w:w="9498" w:type="dxa"/>
            <w:gridSpan w:val="2"/>
            <w:vAlign w:val="center"/>
          </w:tcPr>
          <w:p w:rsidR="0030545E" w:rsidRPr="005B464B" w:rsidRDefault="0030545E" w:rsidP="007D6DBB">
            <w:pPr>
              <w:jc w:val="center"/>
              <w:rPr>
                <w:b/>
                <w:sz w:val="22"/>
                <w:szCs w:val="22"/>
              </w:rPr>
            </w:pPr>
            <w:r w:rsidRPr="005B464B">
              <w:rPr>
                <w:b/>
                <w:sz w:val="22"/>
                <w:szCs w:val="22"/>
              </w:rPr>
              <w:t>sekcje PKD</w:t>
            </w:r>
          </w:p>
        </w:tc>
      </w:tr>
      <w:tr w:rsidR="0030545E" w:rsidRPr="005B464B" w:rsidTr="000E254B">
        <w:trPr>
          <w:trHeight w:hRule="exact" w:val="784"/>
        </w:trPr>
        <w:tc>
          <w:tcPr>
            <w:tcW w:w="4142" w:type="dxa"/>
            <w:vAlign w:val="center"/>
          </w:tcPr>
          <w:p w:rsidR="0030545E" w:rsidRDefault="0030545E" w:rsidP="007D6DBB">
            <w:pPr>
              <w:rPr>
                <w:sz w:val="22"/>
                <w:szCs w:val="22"/>
              </w:rPr>
            </w:pPr>
            <w:r w:rsidRPr="005B464B">
              <w:rPr>
                <w:sz w:val="22"/>
                <w:szCs w:val="22"/>
              </w:rPr>
              <w:t xml:space="preserve">Wytwarzanie i zaopatrywanie w energię elektryczną, gaz, parę wodną, gorącą wodę </w:t>
            </w:r>
          </w:p>
          <w:p w:rsidR="0030545E" w:rsidRPr="005B464B" w:rsidRDefault="0030545E" w:rsidP="007D6DBB">
            <w:pPr>
              <w:rPr>
                <w:sz w:val="22"/>
                <w:szCs w:val="22"/>
              </w:rPr>
            </w:pPr>
          </w:p>
        </w:tc>
        <w:tc>
          <w:tcPr>
            <w:tcW w:w="5356" w:type="dxa"/>
            <w:vAlign w:val="center"/>
          </w:tcPr>
          <w:p w:rsidR="0030545E" w:rsidRDefault="0030545E" w:rsidP="007D6DBB">
            <w:pPr>
              <w:rPr>
                <w:sz w:val="22"/>
                <w:szCs w:val="22"/>
              </w:rPr>
            </w:pPr>
            <w:r w:rsidRPr="005B464B">
              <w:rPr>
                <w:sz w:val="22"/>
                <w:szCs w:val="22"/>
              </w:rPr>
              <w:t xml:space="preserve">Wytwarzanie i zaopatrywanie w energię elektryczną, gaz, parę wodną, gorącą wodę </w:t>
            </w:r>
            <w:r>
              <w:rPr>
                <w:sz w:val="22"/>
                <w:szCs w:val="22"/>
              </w:rPr>
              <w:t>i</w:t>
            </w:r>
            <w:r w:rsidRPr="005B464B">
              <w:rPr>
                <w:sz w:val="22"/>
                <w:szCs w:val="22"/>
              </w:rPr>
              <w:t xml:space="preserve"> powietrze do układów klimatyzacyjnych</w:t>
            </w:r>
          </w:p>
          <w:p w:rsidR="0030545E" w:rsidRPr="005B464B" w:rsidRDefault="0030545E" w:rsidP="007D6DBB">
            <w:pPr>
              <w:rPr>
                <w:sz w:val="22"/>
                <w:szCs w:val="22"/>
              </w:rPr>
            </w:pPr>
          </w:p>
        </w:tc>
      </w:tr>
      <w:tr w:rsidR="00A45474" w:rsidRPr="005B464B" w:rsidTr="00A45474">
        <w:trPr>
          <w:trHeight w:hRule="exact" w:val="170"/>
        </w:trPr>
        <w:tc>
          <w:tcPr>
            <w:tcW w:w="4142" w:type="dxa"/>
            <w:vAlign w:val="center"/>
          </w:tcPr>
          <w:p w:rsidR="00A45474" w:rsidRPr="005B464B" w:rsidRDefault="00A45474" w:rsidP="00DA218F">
            <w:pPr>
              <w:rPr>
                <w:sz w:val="22"/>
                <w:szCs w:val="22"/>
              </w:rPr>
            </w:pPr>
          </w:p>
        </w:tc>
        <w:tc>
          <w:tcPr>
            <w:tcW w:w="5356" w:type="dxa"/>
            <w:vAlign w:val="center"/>
          </w:tcPr>
          <w:p w:rsidR="00A45474" w:rsidRPr="005B464B" w:rsidRDefault="00A45474" w:rsidP="00DA218F">
            <w:pPr>
              <w:rPr>
                <w:sz w:val="22"/>
                <w:szCs w:val="22"/>
              </w:rPr>
            </w:pPr>
          </w:p>
        </w:tc>
      </w:tr>
      <w:tr w:rsidR="00B5158B" w:rsidRPr="005B464B" w:rsidTr="00DA218F">
        <w:trPr>
          <w:trHeight w:hRule="exact" w:val="592"/>
        </w:trPr>
        <w:tc>
          <w:tcPr>
            <w:tcW w:w="4142" w:type="dxa"/>
            <w:vAlign w:val="center"/>
          </w:tcPr>
          <w:p w:rsidR="00B5158B" w:rsidRDefault="00B5158B" w:rsidP="00DA218F">
            <w:pPr>
              <w:rPr>
                <w:sz w:val="22"/>
                <w:szCs w:val="22"/>
              </w:rPr>
            </w:pPr>
            <w:r w:rsidRPr="005B464B">
              <w:rPr>
                <w:sz w:val="22"/>
                <w:szCs w:val="22"/>
              </w:rPr>
              <w:t xml:space="preserve">Dostawa wody; gospodarowanie ściekami </w:t>
            </w:r>
          </w:p>
          <w:p w:rsidR="00B5158B" w:rsidRDefault="00B5158B" w:rsidP="00DA218F">
            <w:pPr>
              <w:rPr>
                <w:sz w:val="22"/>
                <w:szCs w:val="22"/>
              </w:rPr>
            </w:pPr>
            <w:r w:rsidRPr="005B464B">
              <w:rPr>
                <w:sz w:val="22"/>
                <w:szCs w:val="22"/>
              </w:rPr>
              <w:t>i odpadami; rekultywacja</w:t>
            </w:r>
          </w:p>
          <w:p w:rsidR="00B5158B" w:rsidRPr="005B464B" w:rsidRDefault="00B5158B" w:rsidP="00DA218F">
            <w:pPr>
              <w:rPr>
                <w:sz w:val="22"/>
                <w:szCs w:val="22"/>
              </w:rPr>
            </w:pPr>
          </w:p>
        </w:tc>
        <w:tc>
          <w:tcPr>
            <w:tcW w:w="5356" w:type="dxa"/>
            <w:vAlign w:val="center"/>
          </w:tcPr>
          <w:p w:rsidR="00B5158B" w:rsidRDefault="00B5158B" w:rsidP="00DA218F">
            <w:pPr>
              <w:rPr>
                <w:sz w:val="22"/>
                <w:szCs w:val="22"/>
              </w:rPr>
            </w:pPr>
            <w:r w:rsidRPr="005B464B">
              <w:rPr>
                <w:sz w:val="22"/>
                <w:szCs w:val="22"/>
              </w:rPr>
              <w:t>Dostawa wody; gospodarowanie ściekami i odpadami oraz działalność związana z rekultywacją</w:t>
            </w:r>
          </w:p>
          <w:p w:rsidR="00B5158B" w:rsidRPr="005B464B" w:rsidRDefault="00B5158B" w:rsidP="00DA218F">
            <w:pPr>
              <w:rPr>
                <w:sz w:val="22"/>
                <w:szCs w:val="22"/>
              </w:rPr>
            </w:pPr>
          </w:p>
        </w:tc>
      </w:tr>
      <w:tr w:rsidR="00B5158B" w:rsidRPr="005B464B" w:rsidTr="00DA218F">
        <w:trPr>
          <w:trHeight w:hRule="exact" w:val="655"/>
        </w:trPr>
        <w:tc>
          <w:tcPr>
            <w:tcW w:w="9498" w:type="dxa"/>
            <w:gridSpan w:val="2"/>
            <w:vAlign w:val="center"/>
          </w:tcPr>
          <w:p w:rsidR="00B5158B" w:rsidRPr="005B464B" w:rsidRDefault="00B5158B" w:rsidP="00DA218F">
            <w:pPr>
              <w:jc w:val="center"/>
              <w:rPr>
                <w:b/>
                <w:sz w:val="22"/>
                <w:szCs w:val="22"/>
              </w:rPr>
            </w:pPr>
            <w:r w:rsidRPr="005B464B">
              <w:rPr>
                <w:b/>
                <w:sz w:val="22"/>
                <w:szCs w:val="22"/>
              </w:rPr>
              <w:t>działy PKD</w:t>
            </w:r>
          </w:p>
        </w:tc>
      </w:tr>
      <w:tr w:rsidR="00B5158B" w:rsidRPr="005B464B" w:rsidTr="00DA218F">
        <w:trPr>
          <w:trHeight w:val="315"/>
        </w:trPr>
        <w:tc>
          <w:tcPr>
            <w:tcW w:w="4142" w:type="dxa"/>
            <w:vAlign w:val="center"/>
          </w:tcPr>
          <w:p w:rsidR="00B5158B" w:rsidRPr="005B464B" w:rsidRDefault="00B5158B" w:rsidP="00A46AE5">
            <w:pPr>
              <w:rPr>
                <w:sz w:val="22"/>
                <w:szCs w:val="22"/>
              </w:rPr>
            </w:pPr>
            <w:r>
              <w:rPr>
                <w:sz w:val="22"/>
                <w:szCs w:val="22"/>
              </w:rPr>
              <w:t>Produkcja skór</w:t>
            </w:r>
            <w:r w:rsidRPr="005B464B">
              <w:rPr>
                <w:sz w:val="22"/>
                <w:szCs w:val="22"/>
              </w:rPr>
              <w:t xml:space="preserve"> i wyrobów skórzanych</w:t>
            </w:r>
          </w:p>
          <w:p w:rsidR="00B5158B" w:rsidRPr="005B464B" w:rsidRDefault="00B5158B" w:rsidP="00DA218F">
            <w:pPr>
              <w:rPr>
                <w:sz w:val="22"/>
                <w:szCs w:val="22"/>
              </w:rPr>
            </w:pPr>
          </w:p>
        </w:tc>
        <w:tc>
          <w:tcPr>
            <w:tcW w:w="5356" w:type="dxa"/>
            <w:vAlign w:val="center"/>
          </w:tcPr>
          <w:p w:rsidR="00B5158B" w:rsidRDefault="00B5158B" w:rsidP="00DA218F">
            <w:pPr>
              <w:rPr>
                <w:sz w:val="22"/>
                <w:szCs w:val="22"/>
              </w:rPr>
            </w:pPr>
            <w:r w:rsidRPr="005B464B">
              <w:rPr>
                <w:sz w:val="22"/>
                <w:szCs w:val="22"/>
              </w:rPr>
              <w:t>Produkcja skór wyprawionych i wyrobów ze skór wyprawionych</w:t>
            </w:r>
          </w:p>
          <w:p w:rsidR="00B5158B" w:rsidRPr="005B464B" w:rsidRDefault="00B5158B" w:rsidP="00DA218F">
            <w:pPr>
              <w:rPr>
                <w:sz w:val="22"/>
                <w:szCs w:val="22"/>
              </w:rPr>
            </w:pPr>
          </w:p>
        </w:tc>
      </w:tr>
      <w:tr w:rsidR="00B5158B" w:rsidRPr="005B464B" w:rsidTr="00DA218F">
        <w:trPr>
          <w:trHeight w:val="739"/>
        </w:trPr>
        <w:tc>
          <w:tcPr>
            <w:tcW w:w="4142" w:type="dxa"/>
            <w:vAlign w:val="center"/>
          </w:tcPr>
          <w:p w:rsidR="00B5158B" w:rsidRDefault="00B5158B" w:rsidP="00DA218F">
            <w:pPr>
              <w:rPr>
                <w:sz w:val="22"/>
                <w:szCs w:val="22"/>
              </w:rPr>
            </w:pPr>
            <w:r w:rsidRPr="005B464B">
              <w:rPr>
                <w:sz w:val="22"/>
                <w:szCs w:val="22"/>
              </w:rPr>
              <w:t xml:space="preserve">Produkcja wyrobów z drewna, korka, słomy i wikliny </w:t>
            </w:r>
          </w:p>
          <w:p w:rsidR="00B5158B" w:rsidRPr="005B464B" w:rsidRDefault="00B5158B" w:rsidP="00DA218F">
            <w:pPr>
              <w:rPr>
                <w:sz w:val="22"/>
                <w:szCs w:val="22"/>
              </w:rPr>
            </w:pPr>
          </w:p>
        </w:tc>
        <w:tc>
          <w:tcPr>
            <w:tcW w:w="5356" w:type="dxa"/>
            <w:vAlign w:val="center"/>
          </w:tcPr>
          <w:p w:rsidR="00B5158B" w:rsidRPr="005B464B" w:rsidRDefault="00B5158B" w:rsidP="00DA218F">
            <w:pPr>
              <w:rPr>
                <w:sz w:val="22"/>
                <w:szCs w:val="22"/>
              </w:rPr>
            </w:pPr>
            <w:r>
              <w:rPr>
                <w:sz w:val="22"/>
                <w:szCs w:val="22"/>
              </w:rPr>
              <w:t>P</w:t>
            </w:r>
            <w:r w:rsidRPr="005B464B">
              <w:rPr>
                <w:sz w:val="22"/>
                <w:szCs w:val="22"/>
              </w:rPr>
              <w:t>rodukcja drewna wyrobów z drewna oraz korka, z</w:t>
            </w:r>
            <w:r>
              <w:rPr>
                <w:sz w:val="22"/>
                <w:szCs w:val="22"/>
              </w:rPr>
              <w:t> w</w:t>
            </w:r>
            <w:r w:rsidRPr="005B464B">
              <w:rPr>
                <w:sz w:val="22"/>
                <w:szCs w:val="22"/>
              </w:rPr>
              <w:t>yłączeniem mebli; produkcja wyrobów ze słomy i</w:t>
            </w:r>
            <w:r>
              <w:rPr>
                <w:sz w:val="22"/>
                <w:szCs w:val="22"/>
              </w:rPr>
              <w:t> </w:t>
            </w:r>
            <w:r w:rsidRPr="005B464B">
              <w:rPr>
                <w:sz w:val="22"/>
                <w:szCs w:val="22"/>
              </w:rPr>
              <w:t>materiałów używanych do wyplatania</w:t>
            </w:r>
          </w:p>
        </w:tc>
      </w:tr>
      <w:tr w:rsidR="00A45474" w:rsidRPr="005B464B" w:rsidTr="00DA218F">
        <w:trPr>
          <w:trHeight w:val="470"/>
        </w:trPr>
        <w:tc>
          <w:tcPr>
            <w:tcW w:w="4142" w:type="dxa"/>
            <w:vAlign w:val="center"/>
          </w:tcPr>
          <w:p w:rsidR="00A45474" w:rsidRPr="005B464B" w:rsidRDefault="00A45474" w:rsidP="00DA218F">
            <w:pPr>
              <w:rPr>
                <w:sz w:val="22"/>
                <w:szCs w:val="22"/>
              </w:rPr>
            </w:pPr>
          </w:p>
        </w:tc>
        <w:tc>
          <w:tcPr>
            <w:tcW w:w="5356" w:type="dxa"/>
            <w:vAlign w:val="center"/>
          </w:tcPr>
          <w:p w:rsidR="00A45474" w:rsidRPr="005B464B" w:rsidRDefault="00A45474" w:rsidP="00DA218F">
            <w:pPr>
              <w:rPr>
                <w:sz w:val="22"/>
                <w:szCs w:val="22"/>
              </w:rPr>
            </w:pPr>
          </w:p>
        </w:tc>
      </w:tr>
      <w:tr w:rsidR="00B5158B" w:rsidRPr="005B464B" w:rsidTr="00DA218F">
        <w:trPr>
          <w:trHeight w:val="470"/>
        </w:trPr>
        <w:tc>
          <w:tcPr>
            <w:tcW w:w="4142" w:type="dxa"/>
            <w:vAlign w:val="center"/>
          </w:tcPr>
          <w:p w:rsidR="00B5158B" w:rsidRDefault="00B5158B" w:rsidP="00DA218F">
            <w:pPr>
              <w:rPr>
                <w:sz w:val="22"/>
                <w:szCs w:val="22"/>
              </w:rPr>
            </w:pPr>
            <w:r w:rsidRPr="005B464B">
              <w:rPr>
                <w:sz w:val="22"/>
                <w:szCs w:val="22"/>
              </w:rPr>
              <w:t>Produkcja koksu i produktów rafinacji ropy naftowej</w:t>
            </w:r>
          </w:p>
          <w:p w:rsidR="00CA4D4A" w:rsidRPr="005B464B" w:rsidRDefault="00CA4D4A" w:rsidP="00DA218F">
            <w:pPr>
              <w:rPr>
                <w:sz w:val="22"/>
                <w:szCs w:val="22"/>
              </w:rPr>
            </w:pPr>
          </w:p>
        </w:tc>
        <w:tc>
          <w:tcPr>
            <w:tcW w:w="5356" w:type="dxa"/>
            <w:vAlign w:val="center"/>
          </w:tcPr>
          <w:p w:rsidR="00B5158B" w:rsidRDefault="00B5158B" w:rsidP="00DA218F">
            <w:pPr>
              <w:rPr>
                <w:sz w:val="22"/>
                <w:szCs w:val="22"/>
              </w:rPr>
            </w:pPr>
            <w:r w:rsidRPr="005B464B">
              <w:rPr>
                <w:sz w:val="22"/>
                <w:szCs w:val="22"/>
              </w:rPr>
              <w:t>Wytwarzanie i przetwarzanie koksu i produktów rafinacji ropy naftowej</w:t>
            </w:r>
          </w:p>
          <w:p w:rsidR="00CA4D4A" w:rsidRPr="005B464B" w:rsidRDefault="00CA4D4A" w:rsidP="00DA218F">
            <w:pPr>
              <w:rPr>
                <w:sz w:val="22"/>
                <w:szCs w:val="22"/>
              </w:rPr>
            </w:pPr>
          </w:p>
        </w:tc>
      </w:tr>
      <w:tr w:rsidR="00B5158B" w:rsidRPr="005B464B" w:rsidTr="00DA218F">
        <w:trPr>
          <w:trHeight w:val="463"/>
        </w:trPr>
        <w:tc>
          <w:tcPr>
            <w:tcW w:w="4142" w:type="dxa"/>
            <w:vAlign w:val="center"/>
          </w:tcPr>
          <w:p w:rsidR="00B5158B" w:rsidRDefault="00B5158B" w:rsidP="00DA218F">
            <w:pPr>
              <w:rPr>
                <w:sz w:val="22"/>
                <w:szCs w:val="22"/>
              </w:rPr>
            </w:pPr>
            <w:r w:rsidRPr="005B464B">
              <w:rPr>
                <w:sz w:val="22"/>
                <w:szCs w:val="22"/>
              </w:rPr>
              <w:lastRenderedPageBreak/>
              <w:t>Produkcja wyrobów farmaceutycznych</w:t>
            </w:r>
          </w:p>
          <w:p w:rsidR="00B5158B" w:rsidRPr="005B464B" w:rsidRDefault="00B5158B" w:rsidP="00DA218F">
            <w:pPr>
              <w:rPr>
                <w:sz w:val="22"/>
                <w:szCs w:val="22"/>
              </w:rPr>
            </w:pPr>
          </w:p>
          <w:p w:rsidR="00B5158B" w:rsidRPr="005B464B" w:rsidRDefault="00B5158B" w:rsidP="00DA218F">
            <w:pPr>
              <w:rPr>
                <w:sz w:val="22"/>
                <w:szCs w:val="22"/>
              </w:rPr>
            </w:pPr>
          </w:p>
        </w:tc>
        <w:tc>
          <w:tcPr>
            <w:tcW w:w="5356" w:type="dxa"/>
            <w:vAlign w:val="center"/>
          </w:tcPr>
          <w:p w:rsidR="00B5158B" w:rsidRDefault="00B5158B" w:rsidP="00DA218F">
            <w:pPr>
              <w:rPr>
                <w:sz w:val="22"/>
                <w:szCs w:val="22"/>
              </w:rPr>
            </w:pPr>
            <w:r w:rsidRPr="005B464B">
              <w:rPr>
                <w:sz w:val="22"/>
                <w:szCs w:val="22"/>
              </w:rPr>
              <w:t>Produkcja podstawowych substancji farmaceutycznych oraz leków i pozostałych wyrobów farmaceutycznych</w:t>
            </w:r>
          </w:p>
          <w:p w:rsidR="00B5158B" w:rsidRPr="005B464B" w:rsidRDefault="00B5158B" w:rsidP="00DA218F">
            <w:pPr>
              <w:rPr>
                <w:sz w:val="22"/>
                <w:szCs w:val="22"/>
              </w:rPr>
            </w:pPr>
          </w:p>
        </w:tc>
      </w:tr>
      <w:tr w:rsidR="00B5158B" w:rsidRPr="005B464B" w:rsidTr="00DA218F">
        <w:trPr>
          <w:trHeight w:val="463"/>
        </w:trPr>
        <w:tc>
          <w:tcPr>
            <w:tcW w:w="4142" w:type="dxa"/>
            <w:vAlign w:val="center"/>
          </w:tcPr>
          <w:p w:rsidR="00B5158B" w:rsidRDefault="00B5158B" w:rsidP="00DA218F">
            <w:pPr>
              <w:rPr>
                <w:sz w:val="22"/>
                <w:szCs w:val="22"/>
              </w:rPr>
            </w:pPr>
            <w:r w:rsidRPr="005B464B">
              <w:rPr>
                <w:sz w:val="22"/>
                <w:szCs w:val="22"/>
              </w:rPr>
              <w:t>Produkcja wyrobów z metali</w:t>
            </w:r>
          </w:p>
          <w:p w:rsidR="00B5158B" w:rsidRPr="005B464B" w:rsidRDefault="00B5158B" w:rsidP="00DA218F">
            <w:pPr>
              <w:rPr>
                <w:sz w:val="22"/>
                <w:szCs w:val="22"/>
              </w:rPr>
            </w:pPr>
          </w:p>
          <w:p w:rsidR="00B5158B" w:rsidRPr="005B464B" w:rsidRDefault="00B5158B" w:rsidP="00DA218F">
            <w:pPr>
              <w:rPr>
                <w:sz w:val="22"/>
                <w:szCs w:val="22"/>
              </w:rPr>
            </w:pPr>
          </w:p>
        </w:tc>
        <w:tc>
          <w:tcPr>
            <w:tcW w:w="5356" w:type="dxa"/>
            <w:vAlign w:val="center"/>
          </w:tcPr>
          <w:p w:rsidR="00B5158B" w:rsidRDefault="00B5158B" w:rsidP="00DA218F">
            <w:pPr>
              <w:rPr>
                <w:sz w:val="22"/>
                <w:szCs w:val="22"/>
              </w:rPr>
            </w:pPr>
            <w:r w:rsidRPr="005B464B">
              <w:rPr>
                <w:sz w:val="22"/>
                <w:szCs w:val="22"/>
              </w:rPr>
              <w:t>Produkcja</w:t>
            </w:r>
            <w:r>
              <w:rPr>
                <w:sz w:val="22"/>
                <w:szCs w:val="22"/>
              </w:rPr>
              <w:t xml:space="preserve"> metalowych wyrobów gotowych, z </w:t>
            </w:r>
            <w:r w:rsidRPr="005B464B">
              <w:rPr>
                <w:sz w:val="22"/>
                <w:szCs w:val="22"/>
              </w:rPr>
              <w:t>wyłączeniem maszyn i urządzeń</w:t>
            </w:r>
          </w:p>
          <w:p w:rsidR="00B5158B" w:rsidRPr="005B464B" w:rsidRDefault="00B5158B" w:rsidP="00DA218F">
            <w:pPr>
              <w:rPr>
                <w:sz w:val="22"/>
                <w:szCs w:val="22"/>
              </w:rPr>
            </w:pPr>
          </w:p>
        </w:tc>
      </w:tr>
      <w:tr w:rsidR="00B5158B" w:rsidRPr="005B464B" w:rsidTr="00DA218F">
        <w:trPr>
          <w:trHeight w:val="364"/>
        </w:trPr>
        <w:tc>
          <w:tcPr>
            <w:tcW w:w="4142" w:type="dxa"/>
            <w:vAlign w:val="center"/>
          </w:tcPr>
          <w:p w:rsidR="00B5158B" w:rsidRPr="005B464B" w:rsidRDefault="00B5158B" w:rsidP="00DA218F">
            <w:pPr>
              <w:rPr>
                <w:sz w:val="22"/>
                <w:szCs w:val="22"/>
              </w:rPr>
            </w:pPr>
            <w:r w:rsidRPr="005B464B">
              <w:rPr>
                <w:sz w:val="22"/>
                <w:szCs w:val="22"/>
              </w:rPr>
              <w:t>Produkcja maszyn i urządzeń</w:t>
            </w:r>
          </w:p>
          <w:p w:rsidR="00B5158B" w:rsidRPr="005B464B" w:rsidRDefault="00B5158B" w:rsidP="00DA218F">
            <w:pPr>
              <w:rPr>
                <w:sz w:val="22"/>
                <w:szCs w:val="22"/>
              </w:rPr>
            </w:pPr>
          </w:p>
        </w:tc>
        <w:tc>
          <w:tcPr>
            <w:tcW w:w="5356" w:type="dxa"/>
            <w:vAlign w:val="center"/>
          </w:tcPr>
          <w:p w:rsidR="00B5158B" w:rsidRDefault="00B5158B" w:rsidP="00DA218F">
            <w:pPr>
              <w:rPr>
                <w:sz w:val="22"/>
                <w:szCs w:val="22"/>
              </w:rPr>
            </w:pPr>
            <w:r w:rsidRPr="005B464B">
              <w:rPr>
                <w:sz w:val="22"/>
                <w:szCs w:val="22"/>
              </w:rPr>
              <w:t>Produkcja maszyn i urządzeń, gdzie indziej niesklasyfikowana</w:t>
            </w:r>
          </w:p>
          <w:p w:rsidR="00B5158B" w:rsidRPr="005B464B" w:rsidRDefault="00B5158B" w:rsidP="00DA218F">
            <w:pPr>
              <w:rPr>
                <w:sz w:val="22"/>
                <w:szCs w:val="22"/>
              </w:rPr>
            </w:pPr>
          </w:p>
        </w:tc>
      </w:tr>
      <w:tr w:rsidR="00B5158B" w:rsidRPr="005B464B" w:rsidTr="00DA218F">
        <w:trPr>
          <w:trHeight w:val="790"/>
        </w:trPr>
        <w:tc>
          <w:tcPr>
            <w:tcW w:w="4142" w:type="dxa"/>
          </w:tcPr>
          <w:p w:rsidR="00B5158B" w:rsidRDefault="00B5158B" w:rsidP="00DA218F">
            <w:pPr>
              <w:rPr>
                <w:sz w:val="22"/>
                <w:szCs w:val="22"/>
              </w:rPr>
            </w:pPr>
            <w:r>
              <w:rPr>
                <w:sz w:val="22"/>
                <w:szCs w:val="22"/>
              </w:rPr>
              <w:t>Produkcja pojazdów samochodowych,</w:t>
            </w:r>
          </w:p>
          <w:p w:rsidR="00B5158B" w:rsidRPr="005B464B" w:rsidRDefault="00B5158B" w:rsidP="00DA218F">
            <w:pPr>
              <w:rPr>
                <w:sz w:val="22"/>
                <w:szCs w:val="22"/>
              </w:rPr>
            </w:pPr>
            <w:r>
              <w:rPr>
                <w:sz w:val="22"/>
                <w:szCs w:val="22"/>
              </w:rPr>
              <w:t>przyczep i naczep</w:t>
            </w:r>
          </w:p>
        </w:tc>
        <w:tc>
          <w:tcPr>
            <w:tcW w:w="5356" w:type="dxa"/>
          </w:tcPr>
          <w:p w:rsidR="00B5158B" w:rsidRDefault="00B5158B" w:rsidP="00DA218F">
            <w:pPr>
              <w:rPr>
                <w:sz w:val="22"/>
                <w:szCs w:val="22"/>
              </w:rPr>
            </w:pPr>
            <w:r>
              <w:rPr>
                <w:sz w:val="22"/>
                <w:szCs w:val="22"/>
              </w:rPr>
              <w:t xml:space="preserve">Produkcja pojazdów samochodowych, przyczep i naczep, </w:t>
            </w:r>
          </w:p>
          <w:p w:rsidR="00B5158B" w:rsidRPr="005B464B" w:rsidRDefault="00B5158B" w:rsidP="00DA218F">
            <w:pPr>
              <w:rPr>
                <w:sz w:val="22"/>
                <w:szCs w:val="22"/>
              </w:rPr>
            </w:pPr>
            <w:r>
              <w:rPr>
                <w:sz w:val="22"/>
                <w:szCs w:val="22"/>
              </w:rPr>
              <w:t>z wyłączeniem motocykli</w:t>
            </w:r>
          </w:p>
        </w:tc>
      </w:tr>
      <w:tr w:rsidR="00B5158B" w:rsidRPr="005B464B" w:rsidTr="00DA218F">
        <w:trPr>
          <w:trHeight w:val="468"/>
        </w:trPr>
        <w:tc>
          <w:tcPr>
            <w:tcW w:w="4142" w:type="dxa"/>
            <w:vAlign w:val="center"/>
          </w:tcPr>
          <w:p w:rsidR="00B5158B" w:rsidRDefault="00B5158B" w:rsidP="00DA218F">
            <w:pPr>
              <w:rPr>
                <w:sz w:val="22"/>
                <w:szCs w:val="22"/>
              </w:rPr>
            </w:pPr>
            <w:r w:rsidRPr="005B464B">
              <w:rPr>
                <w:sz w:val="22"/>
                <w:szCs w:val="22"/>
              </w:rPr>
              <w:t>Gospodarka odpadami; odzysk surowców</w:t>
            </w:r>
          </w:p>
          <w:p w:rsidR="00B5158B" w:rsidRPr="005B464B" w:rsidRDefault="00B5158B" w:rsidP="00DA218F">
            <w:pPr>
              <w:rPr>
                <w:sz w:val="22"/>
                <w:szCs w:val="22"/>
              </w:rPr>
            </w:pPr>
          </w:p>
        </w:tc>
        <w:tc>
          <w:tcPr>
            <w:tcW w:w="5356" w:type="dxa"/>
            <w:vAlign w:val="center"/>
          </w:tcPr>
          <w:p w:rsidR="00B5158B" w:rsidRPr="005B464B" w:rsidRDefault="00B5158B" w:rsidP="00DA218F">
            <w:pPr>
              <w:rPr>
                <w:sz w:val="22"/>
                <w:szCs w:val="22"/>
              </w:rPr>
            </w:pPr>
            <w:r w:rsidRPr="005B464B">
              <w:rPr>
                <w:sz w:val="22"/>
                <w:szCs w:val="22"/>
              </w:rPr>
              <w:t>Działalność związana ze zbieraniem, przetwarzaniem i unieszkodliwianiem odpadów; odzysk surowców</w:t>
            </w:r>
          </w:p>
        </w:tc>
      </w:tr>
      <w:tr w:rsidR="00B5158B" w:rsidRPr="005B464B" w:rsidTr="00DA218F">
        <w:trPr>
          <w:trHeight w:val="717"/>
        </w:trPr>
        <w:tc>
          <w:tcPr>
            <w:tcW w:w="9498" w:type="dxa"/>
            <w:gridSpan w:val="2"/>
            <w:vAlign w:val="center"/>
          </w:tcPr>
          <w:p w:rsidR="00B5158B" w:rsidRPr="005B464B" w:rsidRDefault="00B5158B" w:rsidP="00DA218F">
            <w:pPr>
              <w:jc w:val="center"/>
              <w:rPr>
                <w:b/>
                <w:sz w:val="22"/>
                <w:szCs w:val="22"/>
              </w:rPr>
            </w:pPr>
            <w:r w:rsidRPr="005B464B">
              <w:rPr>
                <w:b/>
                <w:sz w:val="22"/>
                <w:szCs w:val="22"/>
              </w:rPr>
              <w:t>grupy PKD</w:t>
            </w:r>
          </w:p>
        </w:tc>
      </w:tr>
      <w:tr w:rsidR="00B5158B" w:rsidRPr="005B464B" w:rsidTr="00DA218F">
        <w:trPr>
          <w:trHeight w:val="131"/>
        </w:trPr>
        <w:tc>
          <w:tcPr>
            <w:tcW w:w="4142" w:type="dxa"/>
            <w:vAlign w:val="center"/>
          </w:tcPr>
          <w:p w:rsidR="00B5158B" w:rsidRDefault="00B5158B" w:rsidP="00DA218F">
            <w:pPr>
              <w:rPr>
                <w:sz w:val="22"/>
                <w:szCs w:val="22"/>
              </w:rPr>
            </w:pPr>
            <w:r w:rsidRPr="005B464B">
              <w:rPr>
                <w:sz w:val="22"/>
                <w:szCs w:val="22"/>
              </w:rPr>
              <w:t>Wyprawa skór, garbowanie; wyprawa i barwienie skór futerkowych; produkcja wyrobów kaletniczych i rymarskich</w:t>
            </w:r>
          </w:p>
          <w:p w:rsidR="00B5158B" w:rsidRPr="005B464B" w:rsidRDefault="00B5158B" w:rsidP="00DA218F">
            <w:pPr>
              <w:rPr>
                <w:sz w:val="22"/>
                <w:szCs w:val="22"/>
              </w:rPr>
            </w:pPr>
          </w:p>
          <w:p w:rsidR="00B5158B" w:rsidRPr="005B464B" w:rsidRDefault="00B5158B" w:rsidP="00DA218F">
            <w:pPr>
              <w:rPr>
                <w:sz w:val="22"/>
                <w:szCs w:val="22"/>
              </w:rPr>
            </w:pPr>
          </w:p>
        </w:tc>
        <w:tc>
          <w:tcPr>
            <w:tcW w:w="5356" w:type="dxa"/>
            <w:vAlign w:val="center"/>
          </w:tcPr>
          <w:p w:rsidR="00B5158B" w:rsidRDefault="00B5158B" w:rsidP="00DA218F">
            <w:pPr>
              <w:rPr>
                <w:sz w:val="22"/>
                <w:szCs w:val="22"/>
              </w:rPr>
            </w:pPr>
            <w:r w:rsidRPr="005B464B">
              <w:rPr>
                <w:sz w:val="22"/>
                <w:szCs w:val="22"/>
              </w:rPr>
              <w:t>Wyprawa skór, garbowanie; wyprawa i barwienie skór futerkowych; produkcja toreb bagażowych, toreb ręcznych i </w:t>
            </w:r>
            <w:r>
              <w:rPr>
                <w:sz w:val="22"/>
                <w:szCs w:val="22"/>
              </w:rPr>
              <w:t xml:space="preserve">podobnych wyrobów </w:t>
            </w:r>
            <w:r w:rsidRPr="005B464B">
              <w:rPr>
                <w:sz w:val="22"/>
                <w:szCs w:val="22"/>
              </w:rPr>
              <w:t>kaletniczych; produkcja wyrobów rymarskich</w:t>
            </w:r>
          </w:p>
          <w:p w:rsidR="00B5158B" w:rsidRPr="005B464B" w:rsidRDefault="00B5158B" w:rsidP="00DA218F">
            <w:pPr>
              <w:rPr>
                <w:sz w:val="22"/>
                <w:szCs w:val="22"/>
              </w:rPr>
            </w:pPr>
          </w:p>
        </w:tc>
      </w:tr>
      <w:tr w:rsidR="00B5158B" w:rsidRPr="005B464B" w:rsidTr="00DA218F">
        <w:trPr>
          <w:trHeight w:val="465"/>
        </w:trPr>
        <w:tc>
          <w:tcPr>
            <w:tcW w:w="4142" w:type="dxa"/>
            <w:vAlign w:val="center"/>
          </w:tcPr>
          <w:p w:rsidR="00B5158B" w:rsidRDefault="00B5158B" w:rsidP="00DA218F">
            <w:pPr>
              <w:rPr>
                <w:sz w:val="22"/>
                <w:szCs w:val="22"/>
              </w:rPr>
            </w:pPr>
            <w:r w:rsidRPr="005B464B">
              <w:rPr>
                <w:sz w:val="22"/>
                <w:szCs w:val="22"/>
              </w:rPr>
              <w:t>Produkcja wyrobów z drewna, korka, słomy</w:t>
            </w:r>
          </w:p>
          <w:p w:rsidR="00B5158B" w:rsidRDefault="00B5158B" w:rsidP="00DA218F">
            <w:pPr>
              <w:rPr>
                <w:sz w:val="22"/>
                <w:szCs w:val="22"/>
              </w:rPr>
            </w:pPr>
          </w:p>
          <w:p w:rsidR="00B5158B" w:rsidRPr="005B464B" w:rsidRDefault="00B5158B" w:rsidP="00DA218F">
            <w:pPr>
              <w:rPr>
                <w:sz w:val="22"/>
                <w:szCs w:val="22"/>
              </w:rPr>
            </w:pPr>
            <w:r w:rsidRPr="005B464B">
              <w:rPr>
                <w:sz w:val="22"/>
                <w:szCs w:val="22"/>
              </w:rPr>
              <w:t xml:space="preserve"> </w:t>
            </w:r>
          </w:p>
        </w:tc>
        <w:tc>
          <w:tcPr>
            <w:tcW w:w="5356" w:type="dxa"/>
            <w:vAlign w:val="center"/>
          </w:tcPr>
          <w:p w:rsidR="00B5158B" w:rsidRDefault="00B5158B" w:rsidP="00DA218F">
            <w:pPr>
              <w:rPr>
                <w:sz w:val="22"/>
                <w:szCs w:val="22"/>
              </w:rPr>
            </w:pPr>
            <w:r w:rsidRPr="005B464B">
              <w:rPr>
                <w:sz w:val="22"/>
                <w:szCs w:val="22"/>
              </w:rPr>
              <w:t>Produkcja wyrobów z drewna, korka, słomy i materiałów używanych do wyplatania</w:t>
            </w:r>
          </w:p>
          <w:p w:rsidR="00B5158B" w:rsidRPr="005B464B" w:rsidRDefault="00B5158B" w:rsidP="00DA218F">
            <w:pPr>
              <w:rPr>
                <w:sz w:val="22"/>
                <w:szCs w:val="22"/>
              </w:rPr>
            </w:pPr>
          </w:p>
        </w:tc>
      </w:tr>
      <w:tr w:rsidR="00B5158B" w:rsidRPr="005B464B" w:rsidTr="00DA218F">
        <w:trPr>
          <w:trHeight w:val="471"/>
        </w:trPr>
        <w:tc>
          <w:tcPr>
            <w:tcW w:w="4142" w:type="dxa"/>
            <w:vAlign w:val="center"/>
          </w:tcPr>
          <w:p w:rsidR="00B5158B" w:rsidRDefault="00B5158B" w:rsidP="00DA218F">
            <w:pPr>
              <w:rPr>
                <w:sz w:val="22"/>
                <w:szCs w:val="22"/>
              </w:rPr>
            </w:pPr>
            <w:r w:rsidRPr="005B464B">
              <w:rPr>
                <w:sz w:val="22"/>
                <w:szCs w:val="22"/>
              </w:rPr>
              <w:t>Produkcja podstawowych chemikaliów, nawozów, tworzyw sztucznych i kauczuku</w:t>
            </w:r>
          </w:p>
          <w:p w:rsidR="00B5158B" w:rsidRPr="005B464B" w:rsidRDefault="00B5158B" w:rsidP="00DA218F">
            <w:pPr>
              <w:rPr>
                <w:sz w:val="22"/>
                <w:szCs w:val="22"/>
              </w:rPr>
            </w:pPr>
          </w:p>
        </w:tc>
        <w:tc>
          <w:tcPr>
            <w:tcW w:w="5356" w:type="dxa"/>
            <w:vAlign w:val="center"/>
          </w:tcPr>
          <w:p w:rsidR="00B5158B" w:rsidRDefault="00B5158B" w:rsidP="00DA218F">
            <w:pPr>
              <w:rPr>
                <w:sz w:val="22"/>
                <w:szCs w:val="22"/>
              </w:rPr>
            </w:pPr>
            <w:r w:rsidRPr="005B464B">
              <w:rPr>
                <w:sz w:val="22"/>
                <w:szCs w:val="22"/>
              </w:rPr>
              <w:t>Produkcja podstawowych chemikaliów, nawozów i</w:t>
            </w:r>
            <w:r>
              <w:rPr>
                <w:sz w:val="22"/>
                <w:szCs w:val="22"/>
              </w:rPr>
              <w:t xml:space="preserve"> związków azotowych, </w:t>
            </w:r>
            <w:r w:rsidRPr="005B464B">
              <w:rPr>
                <w:sz w:val="22"/>
                <w:szCs w:val="22"/>
              </w:rPr>
              <w:t>tworzyw sztucznych i kauczuku syntetycznego w formach podstawowych</w:t>
            </w:r>
          </w:p>
          <w:p w:rsidR="00B5158B" w:rsidRPr="005B464B" w:rsidRDefault="00B5158B" w:rsidP="00DA218F">
            <w:pPr>
              <w:rPr>
                <w:sz w:val="22"/>
                <w:szCs w:val="22"/>
              </w:rPr>
            </w:pPr>
          </w:p>
        </w:tc>
      </w:tr>
      <w:tr w:rsidR="00B5158B" w:rsidRPr="005B464B" w:rsidTr="00DA218F">
        <w:trPr>
          <w:trHeight w:val="471"/>
        </w:trPr>
        <w:tc>
          <w:tcPr>
            <w:tcW w:w="4142" w:type="dxa"/>
            <w:vAlign w:val="center"/>
          </w:tcPr>
          <w:p w:rsidR="00B5158B" w:rsidRDefault="00B5158B" w:rsidP="00DA218F">
            <w:pPr>
              <w:rPr>
                <w:sz w:val="22"/>
                <w:szCs w:val="22"/>
              </w:rPr>
            </w:pPr>
            <w:r w:rsidRPr="005B464B">
              <w:rPr>
                <w:sz w:val="22"/>
                <w:szCs w:val="22"/>
              </w:rPr>
              <w:t>Produkcja farb i lakierów</w:t>
            </w:r>
          </w:p>
          <w:p w:rsidR="00B5158B" w:rsidRPr="005B464B" w:rsidRDefault="00B5158B" w:rsidP="00DA218F">
            <w:pPr>
              <w:rPr>
                <w:sz w:val="22"/>
                <w:szCs w:val="22"/>
              </w:rPr>
            </w:pPr>
          </w:p>
          <w:p w:rsidR="00B5158B" w:rsidRPr="005B464B" w:rsidRDefault="00B5158B" w:rsidP="00DA218F">
            <w:pPr>
              <w:rPr>
                <w:sz w:val="22"/>
                <w:szCs w:val="22"/>
              </w:rPr>
            </w:pPr>
          </w:p>
        </w:tc>
        <w:tc>
          <w:tcPr>
            <w:tcW w:w="5356" w:type="dxa"/>
            <w:vAlign w:val="center"/>
          </w:tcPr>
          <w:p w:rsidR="00B5158B" w:rsidRDefault="00B5158B" w:rsidP="00DA218F">
            <w:pPr>
              <w:rPr>
                <w:sz w:val="22"/>
                <w:szCs w:val="22"/>
              </w:rPr>
            </w:pPr>
            <w:r w:rsidRPr="005B464B">
              <w:rPr>
                <w:sz w:val="22"/>
                <w:szCs w:val="22"/>
              </w:rPr>
              <w:t>Produkcja farb, lakierów i podobnych powłok, farb drukarskich i</w:t>
            </w:r>
            <w:r>
              <w:rPr>
                <w:sz w:val="22"/>
                <w:szCs w:val="22"/>
              </w:rPr>
              <w:t> </w:t>
            </w:r>
            <w:r w:rsidRPr="005B464B">
              <w:rPr>
                <w:sz w:val="22"/>
                <w:szCs w:val="22"/>
              </w:rPr>
              <w:t>mas uszczelniających</w:t>
            </w:r>
          </w:p>
          <w:p w:rsidR="00B5158B" w:rsidRPr="005B464B" w:rsidRDefault="00B5158B" w:rsidP="00DA218F">
            <w:pPr>
              <w:rPr>
                <w:sz w:val="22"/>
                <w:szCs w:val="22"/>
              </w:rPr>
            </w:pPr>
          </w:p>
        </w:tc>
      </w:tr>
      <w:tr w:rsidR="00B5158B" w:rsidRPr="005B464B" w:rsidTr="00DA218F">
        <w:trPr>
          <w:trHeight w:val="471"/>
        </w:trPr>
        <w:tc>
          <w:tcPr>
            <w:tcW w:w="4142" w:type="dxa"/>
            <w:vAlign w:val="center"/>
          </w:tcPr>
          <w:p w:rsidR="00B5158B" w:rsidRDefault="00B5158B" w:rsidP="00DA218F">
            <w:pPr>
              <w:rPr>
                <w:sz w:val="22"/>
                <w:szCs w:val="22"/>
              </w:rPr>
            </w:pPr>
            <w:r w:rsidRPr="005B464B">
              <w:rPr>
                <w:sz w:val="22"/>
                <w:szCs w:val="22"/>
              </w:rPr>
              <w:t>Produkcja mydła, środków myjących i wyrobów kosmetycznych</w:t>
            </w:r>
          </w:p>
          <w:p w:rsidR="00B5158B" w:rsidRPr="005B464B" w:rsidRDefault="00B5158B" w:rsidP="00DA218F">
            <w:pPr>
              <w:rPr>
                <w:sz w:val="22"/>
                <w:szCs w:val="22"/>
              </w:rPr>
            </w:pPr>
          </w:p>
        </w:tc>
        <w:tc>
          <w:tcPr>
            <w:tcW w:w="5356" w:type="dxa"/>
            <w:vAlign w:val="center"/>
          </w:tcPr>
          <w:p w:rsidR="00B5158B" w:rsidRDefault="00B5158B" w:rsidP="00DA218F">
            <w:pPr>
              <w:rPr>
                <w:sz w:val="22"/>
                <w:szCs w:val="22"/>
              </w:rPr>
            </w:pPr>
            <w:r w:rsidRPr="005B464B">
              <w:rPr>
                <w:sz w:val="22"/>
                <w:szCs w:val="22"/>
              </w:rPr>
              <w:t>P</w:t>
            </w:r>
            <w:r>
              <w:rPr>
                <w:sz w:val="22"/>
                <w:szCs w:val="22"/>
              </w:rPr>
              <w:t>r</w:t>
            </w:r>
            <w:r w:rsidRPr="005B464B">
              <w:rPr>
                <w:sz w:val="22"/>
                <w:szCs w:val="22"/>
              </w:rPr>
              <w:t>odukcja mydła i detergentów, środków myjących i</w:t>
            </w:r>
            <w:r>
              <w:rPr>
                <w:sz w:val="22"/>
                <w:szCs w:val="22"/>
              </w:rPr>
              <w:t> </w:t>
            </w:r>
            <w:r w:rsidRPr="005B464B">
              <w:rPr>
                <w:sz w:val="22"/>
                <w:szCs w:val="22"/>
              </w:rPr>
              <w:t>czyszczących, wyrobów kosmetycznych i toaletowych</w:t>
            </w:r>
          </w:p>
          <w:p w:rsidR="00B5158B" w:rsidRPr="005B464B" w:rsidRDefault="00B5158B" w:rsidP="00DA218F">
            <w:pPr>
              <w:rPr>
                <w:sz w:val="22"/>
                <w:szCs w:val="22"/>
              </w:rPr>
            </w:pPr>
          </w:p>
        </w:tc>
      </w:tr>
      <w:tr w:rsidR="00B5158B" w:rsidRPr="005B464B" w:rsidTr="00DA218F">
        <w:trPr>
          <w:trHeight w:val="700"/>
        </w:trPr>
        <w:tc>
          <w:tcPr>
            <w:tcW w:w="4142" w:type="dxa"/>
            <w:vAlign w:val="center"/>
          </w:tcPr>
          <w:p w:rsidR="00B5158B" w:rsidRDefault="00B5158B" w:rsidP="00DA218F">
            <w:pPr>
              <w:rPr>
                <w:sz w:val="22"/>
                <w:szCs w:val="22"/>
              </w:rPr>
            </w:pPr>
            <w:r w:rsidRPr="005B464B">
              <w:rPr>
                <w:sz w:val="22"/>
                <w:szCs w:val="22"/>
              </w:rPr>
              <w:t>Produkcja wyrobów ściernych i</w:t>
            </w:r>
            <w:r>
              <w:rPr>
                <w:sz w:val="22"/>
                <w:szCs w:val="22"/>
              </w:rPr>
              <w:t xml:space="preserve"> </w:t>
            </w:r>
            <w:r w:rsidRPr="005B464B">
              <w:rPr>
                <w:sz w:val="22"/>
                <w:szCs w:val="22"/>
              </w:rPr>
              <w:t>pozostałych wyrobów z mineralnych surowców niemetalicznych</w:t>
            </w:r>
          </w:p>
          <w:p w:rsidR="00B5158B" w:rsidRPr="005B464B" w:rsidRDefault="00B5158B" w:rsidP="00DA218F">
            <w:pPr>
              <w:rPr>
                <w:sz w:val="22"/>
                <w:szCs w:val="22"/>
              </w:rPr>
            </w:pPr>
          </w:p>
        </w:tc>
        <w:tc>
          <w:tcPr>
            <w:tcW w:w="5356" w:type="dxa"/>
            <w:vAlign w:val="center"/>
          </w:tcPr>
          <w:p w:rsidR="00B5158B" w:rsidRDefault="00B5158B" w:rsidP="00DA218F">
            <w:pPr>
              <w:rPr>
                <w:sz w:val="22"/>
                <w:szCs w:val="22"/>
              </w:rPr>
            </w:pPr>
            <w:r w:rsidRPr="005B464B">
              <w:rPr>
                <w:sz w:val="22"/>
                <w:szCs w:val="22"/>
              </w:rPr>
              <w:t>Produkcja wyrobów ściernych i pozostałych wyrobów z mineralnych surowców niemetalicznych, gdzie indziej niesklasyfikowana</w:t>
            </w:r>
          </w:p>
          <w:p w:rsidR="00B5158B" w:rsidRPr="005B464B" w:rsidRDefault="00B5158B" w:rsidP="00DA218F">
            <w:pPr>
              <w:rPr>
                <w:sz w:val="22"/>
                <w:szCs w:val="22"/>
              </w:rPr>
            </w:pPr>
          </w:p>
        </w:tc>
      </w:tr>
      <w:tr w:rsidR="00B5158B" w:rsidRPr="005B464B" w:rsidTr="00DA218F">
        <w:trPr>
          <w:trHeight w:val="578"/>
        </w:trPr>
        <w:tc>
          <w:tcPr>
            <w:tcW w:w="4142" w:type="dxa"/>
            <w:vAlign w:val="center"/>
          </w:tcPr>
          <w:p w:rsidR="00B5158B" w:rsidRDefault="00B5158B" w:rsidP="00DA218F">
            <w:pPr>
              <w:rPr>
                <w:sz w:val="22"/>
                <w:szCs w:val="22"/>
              </w:rPr>
            </w:pPr>
            <w:r w:rsidRPr="005B464B">
              <w:rPr>
                <w:sz w:val="22"/>
                <w:szCs w:val="22"/>
              </w:rPr>
              <w:t>Produkcja wytwornic pary, z</w:t>
            </w:r>
            <w:r>
              <w:rPr>
                <w:sz w:val="22"/>
                <w:szCs w:val="22"/>
              </w:rPr>
              <w:t xml:space="preserve"> </w:t>
            </w:r>
            <w:r w:rsidRPr="005B464B">
              <w:rPr>
                <w:sz w:val="22"/>
                <w:szCs w:val="22"/>
              </w:rPr>
              <w:t>wyłączeniem kotłów c.o.</w:t>
            </w:r>
          </w:p>
          <w:p w:rsidR="00B5158B" w:rsidRPr="005B464B" w:rsidRDefault="00B5158B" w:rsidP="00DA218F">
            <w:pPr>
              <w:rPr>
                <w:sz w:val="22"/>
                <w:szCs w:val="22"/>
              </w:rPr>
            </w:pPr>
          </w:p>
        </w:tc>
        <w:tc>
          <w:tcPr>
            <w:tcW w:w="5356" w:type="dxa"/>
            <w:vAlign w:val="center"/>
          </w:tcPr>
          <w:p w:rsidR="00B5158B" w:rsidRDefault="00B5158B" w:rsidP="00DA218F">
            <w:pPr>
              <w:pStyle w:val="Nagwek"/>
              <w:tabs>
                <w:tab w:val="clear" w:pos="4536"/>
                <w:tab w:val="clear" w:pos="9072"/>
              </w:tabs>
              <w:rPr>
                <w:sz w:val="22"/>
                <w:szCs w:val="22"/>
                <w:lang w:val="pl-PL" w:eastAsia="pl-PL"/>
              </w:rPr>
            </w:pPr>
            <w:r w:rsidRPr="005B464B">
              <w:rPr>
                <w:sz w:val="22"/>
                <w:szCs w:val="22"/>
                <w:lang w:val="pl-PL" w:eastAsia="pl-PL"/>
              </w:rPr>
              <w:t>Produkcja wytwornic pary, z wyłączeniem kotłów do centralnego ogrzewania gorącą wodą</w:t>
            </w:r>
          </w:p>
          <w:p w:rsidR="00B5158B" w:rsidRPr="005B464B" w:rsidRDefault="00B5158B" w:rsidP="00DA218F">
            <w:pPr>
              <w:pStyle w:val="Nagwek"/>
              <w:tabs>
                <w:tab w:val="clear" w:pos="4536"/>
                <w:tab w:val="clear" w:pos="9072"/>
              </w:tabs>
              <w:rPr>
                <w:sz w:val="22"/>
                <w:szCs w:val="22"/>
                <w:lang w:val="pl-PL" w:eastAsia="pl-PL"/>
              </w:rPr>
            </w:pPr>
          </w:p>
        </w:tc>
      </w:tr>
      <w:tr w:rsidR="00B5158B" w:rsidRPr="005B464B" w:rsidTr="00DA218F">
        <w:trPr>
          <w:trHeight w:val="587"/>
        </w:trPr>
        <w:tc>
          <w:tcPr>
            <w:tcW w:w="4142" w:type="dxa"/>
            <w:vAlign w:val="center"/>
          </w:tcPr>
          <w:p w:rsidR="00B5158B" w:rsidRDefault="00B5158B" w:rsidP="00DA218F">
            <w:pPr>
              <w:rPr>
                <w:sz w:val="22"/>
                <w:szCs w:val="22"/>
              </w:rPr>
            </w:pPr>
            <w:r w:rsidRPr="005B464B">
              <w:rPr>
                <w:sz w:val="22"/>
                <w:szCs w:val="22"/>
              </w:rPr>
              <w:t>Produkcja wyrobów nożowniczych i narzędzi</w:t>
            </w:r>
          </w:p>
          <w:p w:rsidR="00B5158B" w:rsidRPr="005B464B" w:rsidRDefault="00B5158B" w:rsidP="00DA218F">
            <w:pPr>
              <w:rPr>
                <w:sz w:val="22"/>
                <w:szCs w:val="22"/>
              </w:rPr>
            </w:pPr>
          </w:p>
        </w:tc>
        <w:tc>
          <w:tcPr>
            <w:tcW w:w="5356" w:type="dxa"/>
            <w:vAlign w:val="center"/>
          </w:tcPr>
          <w:p w:rsidR="00B5158B" w:rsidRDefault="00B5158B" w:rsidP="00DA218F">
            <w:pPr>
              <w:rPr>
                <w:sz w:val="22"/>
                <w:szCs w:val="22"/>
              </w:rPr>
            </w:pPr>
            <w:r w:rsidRPr="005B464B">
              <w:rPr>
                <w:sz w:val="22"/>
                <w:szCs w:val="22"/>
              </w:rPr>
              <w:t>Produkcja wyrobów nożowniczych, sztućców, narzędzi i wyrobów  metalowych ogólnego przeznaczenia</w:t>
            </w:r>
          </w:p>
          <w:p w:rsidR="00B5158B" w:rsidRPr="005B464B" w:rsidRDefault="00B5158B" w:rsidP="00DA218F">
            <w:pPr>
              <w:rPr>
                <w:sz w:val="22"/>
                <w:szCs w:val="22"/>
              </w:rPr>
            </w:pPr>
          </w:p>
        </w:tc>
      </w:tr>
      <w:tr w:rsidR="00B5158B" w:rsidRPr="005B464B" w:rsidTr="00DA218F">
        <w:trPr>
          <w:trHeight w:val="17"/>
        </w:trPr>
        <w:tc>
          <w:tcPr>
            <w:tcW w:w="4142" w:type="dxa"/>
          </w:tcPr>
          <w:p w:rsidR="00B5158B" w:rsidRDefault="00B5158B" w:rsidP="00DA218F">
            <w:pPr>
              <w:rPr>
                <w:sz w:val="22"/>
                <w:szCs w:val="22"/>
              </w:rPr>
            </w:pPr>
            <w:r w:rsidRPr="005B464B">
              <w:rPr>
                <w:sz w:val="22"/>
                <w:szCs w:val="22"/>
              </w:rPr>
              <w:t>Produkcja pojazdów samochodowych</w:t>
            </w:r>
          </w:p>
          <w:p w:rsidR="00B5158B" w:rsidRPr="005B464B" w:rsidRDefault="00B5158B" w:rsidP="00DA218F">
            <w:pPr>
              <w:rPr>
                <w:sz w:val="22"/>
                <w:szCs w:val="22"/>
              </w:rPr>
            </w:pPr>
          </w:p>
        </w:tc>
        <w:tc>
          <w:tcPr>
            <w:tcW w:w="5356" w:type="dxa"/>
          </w:tcPr>
          <w:p w:rsidR="00B5158B" w:rsidRDefault="00B5158B" w:rsidP="00DA218F">
            <w:pPr>
              <w:rPr>
                <w:sz w:val="22"/>
                <w:szCs w:val="22"/>
              </w:rPr>
            </w:pPr>
            <w:r w:rsidRPr="005B464B">
              <w:rPr>
                <w:sz w:val="22"/>
                <w:szCs w:val="22"/>
              </w:rPr>
              <w:t>Produkcja pojazdów samochodowych, z wyłączeniem motocykli</w:t>
            </w:r>
          </w:p>
          <w:p w:rsidR="00B5158B" w:rsidRPr="005B464B" w:rsidRDefault="00B5158B" w:rsidP="00DA218F">
            <w:pPr>
              <w:rPr>
                <w:sz w:val="22"/>
                <w:szCs w:val="22"/>
              </w:rPr>
            </w:pPr>
          </w:p>
        </w:tc>
      </w:tr>
      <w:tr w:rsidR="00B5158B" w:rsidRPr="005B464B" w:rsidTr="00DA218F">
        <w:trPr>
          <w:trHeight w:val="565"/>
        </w:trPr>
        <w:tc>
          <w:tcPr>
            <w:tcW w:w="4142" w:type="dxa"/>
            <w:vAlign w:val="center"/>
          </w:tcPr>
          <w:p w:rsidR="00B5158B" w:rsidRDefault="00B5158B" w:rsidP="00DA218F">
            <w:pPr>
              <w:rPr>
                <w:sz w:val="22"/>
                <w:szCs w:val="22"/>
              </w:rPr>
            </w:pPr>
            <w:r>
              <w:rPr>
                <w:sz w:val="22"/>
                <w:szCs w:val="22"/>
              </w:rPr>
              <w:t xml:space="preserve">Produkcja statków powietrznych </w:t>
            </w:r>
          </w:p>
          <w:p w:rsidR="00B5158B" w:rsidRPr="005B464B" w:rsidRDefault="00B5158B" w:rsidP="00DA218F">
            <w:pPr>
              <w:rPr>
                <w:sz w:val="22"/>
                <w:szCs w:val="22"/>
              </w:rPr>
            </w:pPr>
            <w:r>
              <w:rPr>
                <w:sz w:val="22"/>
                <w:szCs w:val="22"/>
              </w:rPr>
              <w:t>i kosmicznych</w:t>
            </w:r>
          </w:p>
        </w:tc>
        <w:tc>
          <w:tcPr>
            <w:tcW w:w="5356" w:type="dxa"/>
            <w:vAlign w:val="center"/>
          </w:tcPr>
          <w:p w:rsidR="00B5158B" w:rsidRDefault="00B5158B" w:rsidP="00DA218F">
            <w:pPr>
              <w:rPr>
                <w:sz w:val="22"/>
                <w:szCs w:val="22"/>
              </w:rPr>
            </w:pPr>
            <w:r>
              <w:rPr>
                <w:sz w:val="22"/>
                <w:szCs w:val="22"/>
              </w:rPr>
              <w:t xml:space="preserve">Produkcja statków powietrznych, statków kosmicznych </w:t>
            </w:r>
          </w:p>
          <w:p w:rsidR="00B5158B" w:rsidRPr="005B464B" w:rsidRDefault="00B5158B" w:rsidP="00DA218F">
            <w:pPr>
              <w:rPr>
                <w:sz w:val="22"/>
                <w:szCs w:val="22"/>
              </w:rPr>
            </w:pPr>
            <w:r>
              <w:rPr>
                <w:sz w:val="22"/>
                <w:szCs w:val="22"/>
              </w:rPr>
              <w:t>i podobnych maszyn</w:t>
            </w:r>
          </w:p>
        </w:tc>
      </w:tr>
      <w:tr w:rsidR="00B5158B" w:rsidTr="00DA218F">
        <w:trPr>
          <w:trHeight w:val="565"/>
        </w:trPr>
        <w:tc>
          <w:tcPr>
            <w:tcW w:w="4142" w:type="dxa"/>
            <w:vAlign w:val="center"/>
          </w:tcPr>
          <w:p w:rsidR="00B5158B" w:rsidRDefault="00B5158B" w:rsidP="00DA218F">
            <w:pPr>
              <w:rPr>
                <w:sz w:val="22"/>
                <w:szCs w:val="22"/>
              </w:rPr>
            </w:pPr>
            <w:r>
              <w:rPr>
                <w:sz w:val="22"/>
                <w:szCs w:val="22"/>
              </w:rPr>
              <w:t>Produkcja pozostałych wyrobów</w:t>
            </w:r>
          </w:p>
        </w:tc>
        <w:tc>
          <w:tcPr>
            <w:tcW w:w="5356" w:type="dxa"/>
            <w:vAlign w:val="center"/>
          </w:tcPr>
          <w:p w:rsidR="00B5158B" w:rsidRDefault="00B5158B" w:rsidP="00DA218F">
            <w:pPr>
              <w:rPr>
                <w:sz w:val="22"/>
                <w:szCs w:val="22"/>
              </w:rPr>
            </w:pPr>
            <w:r>
              <w:rPr>
                <w:sz w:val="22"/>
                <w:szCs w:val="22"/>
              </w:rPr>
              <w:t>Produkcja wyrobów, gdzie indziej niesklasyfikowana</w:t>
            </w:r>
          </w:p>
        </w:tc>
      </w:tr>
    </w:tbl>
    <w:p w:rsidR="005D4C3D" w:rsidRPr="00A76D6B" w:rsidRDefault="005D4C3D" w:rsidP="0030545E">
      <w:pPr>
        <w:tabs>
          <w:tab w:val="left" w:pos="280"/>
          <w:tab w:val="left" w:pos="280"/>
        </w:tabs>
        <w:spacing w:line="240" w:lineRule="atLeast"/>
        <w:rPr>
          <w:b/>
          <w:i/>
          <w:sz w:val="22"/>
          <w:szCs w:val="22"/>
        </w:rPr>
        <w:sectPr w:rsidR="005D4C3D" w:rsidRPr="00A76D6B" w:rsidSect="001E7026">
          <w:headerReference w:type="even" r:id="rId12"/>
          <w:headerReference w:type="default" r:id="rId13"/>
          <w:footerReference w:type="default" r:id="rId14"/>
          <w:pgSz w:w="11906" w:h="16838" w:code="9"/>
          <w:pgMar w:top="1134" w:right="964" w:bottom="992" w:left="1134" w:header="709" w:footer="709" w:gutter="0"/>
          <w:pgNumType w:start="8"/>
          <w:cols w:space="708"/>
          <w:docGrid w:linePitch="360"/>
        </w:sectPr>
      </w:pPr>
    </w:p>
    <w:p w:rsidR="00A45474" w:rsidRPr="00A76D6B" w:rsidRDefault="00A45474" w:rsidP="0030545E">
      <w:pPr>
        <w:tabs>
          <w:tab w:val="left" w:pos="280"/>
          <w:tab w:val="left" w:pos="280"/>
        </w:tabs>
        <w:spacing w:line="240" w:lineRule="atLeast"/>
        <w:rPr>
          <w:b/>
          <w:i/>
          <w:sz w:val="22"/>
          <w:szCs w:val="22"/>
        </w:rPr>
      </w:pPr>
    </w:p>
    <w:p w:rsidR="00981F5B" w:rsidRPr="00A76D6B" w:rsidRDefault="00981F5B" w:rsidP="0030545E">
      <w:pPr>
        <w:tabs>
          <w:tab w:val="left" w:pos="280"/>
          <w:tab w:val="left" w:pos="280"/>
        </w:tabs>
        <w:spacing w:line="240" w:lineRule="atLeast"/>
        <w:rPr>
          <w:b/>
          <w:i/>
          <w:sz w:val="22"/>
          <w:szCs w:val="22"/>
        </w:rPr>
        <w:sectPr w:rsidR="00981F5B" w:rsidRPr="00A76D6B" w:rsidSect="00981F5B">
          <w:headerReference w:type="even" r:id="rId15"/>
          <w:headerReference w:type="default" r:id="rId16"/>
          <w:footerReference w:type="even" r:id="rId17"/>
          <w:footerReference w:type="default" r:id="rId18"/>
          <w:type w:val="continuous"/>
          <w:pgSz w:w="11906" w:h="16838" w:code="9"/>
          <w:pgMar w:top="1134" w:right="964" w:bottom="992" w:left="1134" w:header="709" w:footer="709" w:gutter="0"/>
          <w:pgNumType w:start="11"/>
          <w:cols w:space="708"/>
          <w:titlePg/>
          <w:docGrid w:linePitch="360"/>
        </w:sectPr>
      </w:pPr>
    </w:p>
    <w:p w:rsidR="0030545E" w:rsidRPr="005B464B" w:rsidRDefault="0030545E" w:rsidP="0030545E">
      <w:pPr>
        <w:tabs>
          <w:tab w:val="left" w:pos="280"/>
          <w:tab w:val="left" w:pos="280"/>
        </w:tabs>
        <w:spacing w:line="240" w:lineRule="atLeast"/>
        <w:rPr>
          <w:b/>
          <w:i/>
          <w:sz w:val="22"/>
          <w:szCs w:val="22"/>
          <w:lang w:val="en-GB"/>
        </w:rPr>
      </w:pPr>
      <w:r w:rsidRPr="005B464B">
        <w:rPr>
          <w:b/>
          <w:i/>
          <w:sz w:val="22"/>
          <w:szCs w:val="22"/>
          <w:lang w:val="en-GB"/>
        </w:rPr>
        <w:lastRenderedPageBreak/>
        <w:t>GENERAL NOTES</w:t>
      </w:r>
    </w:p>
    <w:p w:rsidR="0030545E" w:rsidRPr="000872C9" w:rsidRDefault="0030545E" w:rsidP="0030545E">
      <w:pPr>
        <w:tabs>
          <w:tab w:val="left" w:pos="280"/>
          <w:tab w:val="left" w:pos="280"/>
        </w:tabs>
        <w:spacing w:line="240" w:lineRule="atLeast"/>
        <w:rPr>
          <w:i/>
          <w:sz w:val="20"/>
          <w:szCs w:val="22"/>
          <w:lang w:val="en-GB"/>
        </w:rPr>
      </w:pPr>
    </w:p>
    <w:p w:rsidR="0030545E" w:rsidRPr="005B464B" w:rsidRDefault="0030545E" w:rsidP="0030545E">
      <w:pPr>
        <w:tabs>
          <w:tab w:val="left" w:pos="280"/>
          <w:tab w:val="left" w:pos="280"/>
        </w:tabs>
        <w:spacing w:line="300" w:lineRule="atLeast"/>
        <w:jc w:val="both"/>
        <w:rPr>
          <w:i/>
          <w:color w:val="000000"/>
          <w:sz w:val="22"/>
          <w:szCs w:val="22"/>
          <w:lang w:val="en-GB"/>
        </w:rPr>
      </w:pPr>
      <w:r w:rsidRPr="005B464B">
        <w:rPr>
          <w:i/>
          <w:sz w:val="22"/>
          <w:szCs w:val="22"/>
          <w:lang w:val="en-GB"/>
        </w:rPr>
        <w:tab/>
        <w:t>1</w:t>
      </w:r>
      <w:r w:rsidRPr="005B464B">
        <w:rPr>
          <w:i/>
          <w:color w:val="000000"/>
          <w:sz w:val="22"/>
          <w:szCs w:val="22"/>
          <w:lang w:val="en-GB"/>
        </w:rPr>
        <w:t xml:space="preserve">. </w:t>
      </w:r>
      <w:r>
        <w:rPr>
          <w:i/>
          <w:color w:val="000000"/>
          <w:sz w:val="22"/>
          <w:szCs w:val="22"/>
          <w:lang w:val="en-GB"/>
        </w:rPr>
        <w:t xml:space="preserve">The data presented in this publication concern entities performing business activities categorised, in accordance with the Polish </w:t>
      </w:r>
      <w:r w:rsidRPr="005B464B">
        <w:rPr>
          <w:i/>
          <w:color w:val="000000"/>
          <w:sz w:val="22"/>
          <w:szCs w:val="22"/>
          <w:lang w:val="en-GB"/>
        </w:rPr>
        <w:t xml:space="preserve">Classification of Activities 2007 (PKD 2007), </w:t>
      </w:r>
      <w:r>
        <w:rPr>
          <w:i/>
          <w:color w:val="000000"/>
          <w:sz w:val="22"/>
          <w:szCs w:val="22"/>
          <w:lang w:val="en-GB"/>
        </w:rPr>
        <w:t xml:space="preserve">as industry, i.e. into </w:t>
      </w:r>
      <w:r w:rsidRPr="005B464B">
        <w:rPr>
          <w:i/>
          <w:color w:val="000000"/>
          <w:sz w:val="22"/>
          <w:szCs w:val="22"/>
          <w:lang w:val="en-GB"/>
        </w:rPr>
        <w:t xml:space="preserve">the following  sections: "Mining and quarrying", "Manufacturing", "Electricity, gas, steam and air conditioning supply” and also “Water supply; sewerage, waste management and remediation activities” and in regard to </w:t>
      </w:r>
      <w:r>
        <w:rPr>
          <w:i/>
          <w:color w:val="000000"/>
          <w:sz w:val="22"/>
          <w:szCs w:val="22"/>
          <w:lang w:val="en-GB"/>
        </w:rPr>
        <w:t>manufacture</w:t>
      </w:r>
      <w:r w:rsidRPr="005B464B">
        <w:rPr>
          <w:i/>
          <w:color w:val="000000"/>
          <w:sz w:val="22"/>
          <w:szCs w:val="22"/>
          <w:lang w:val="en-GB"/>
        </w:rPr>
        <w:t xml:space="preserve"> of products </w:t>
      </w:r>
      <w:r>
        <w:rPr>
          <w:i/>
          <w:color w:val="000000"/>
          <w:sz w:val="22"/>
          <w:szCs w:val="22"/>
          <w:lang w:val="en-GB"/>
        </w:rPr>
        <w:t xml:space="preserve">they </w:t>
      </w:r>
      <w:r w:rsidRPr="005B464B">
        <w:rPr>
          <w:i/>
          <w:color w:val="000000"/>
          <w:sz w:val="22"/>
          <w:szCs w:val="22"/>
          <w:lang w:val="en-GB"/>
        </w:rPr>
        <w:t xml:space="preserve">also </w:t>
      </w:r>
      <w:r>
        <w:rPr>
          <w:i/>
          <w:color w:val="000000"/>
          <w:sz w:val="22"/>
          <w:szCs w:val="22"/>
          <w:lang w:val="en-GB"/>
        </w:rPr>
        <w:t xml:space="preserve">concern </w:t>
      </w:r>
      <w:r w:rsidRPr="005B464B">
        <w:rPr>
          <w:i/>
          <w:color w:val="000000"/>
          <w:sz w:val="22"/>
          <w:szCs w:val="22"/>
          <w:lang w:val="en-GB"/>
        </w:rPr>
        <w:t xml:space="preserve">economic entities </w:t>
      </w:r>
      <w:r>
        <w:rPr>
          <w:i/>
          <w:color w:val="000000"/>
          <w:sz w:val="22"/>
          <w:szCs w:val="22"/>
          <w:lang w:val="en-GB"/>
        </w:rPr>
        <w:t xml:space="preserve">performing </w:t>
      </w:r>
      <w:r w:rsidRPr="005B464B">
        <w:rPr>
          <w:i/>
          <w:color w:val="000000"/>
          <w:sz w:val="22"/>
          <w:szCs w:val="22"/>
          <w:lang w:val="en-GB"/>
        </w:rPr>
        <w:t>other kind</w:t>
      </w:r>
      <w:r>
        <w:rPr>
          <w:i/>
          <w:color w:val="000000"/>
          <w:sz w:val="22"/>
          <w:szCs w:val="22"/>
          <w:lang w:val="en-GB"/>
        </w:rPr>
        <w:t>s</w:t>
      </w:r>
      <w:r w:rsidRPr="005B464B">
        <w:rPr>
          <w:i/>
          <w:color w:val="000000"/>
          <w:sz w:val="22"/>
          <w:szCs w:val="22"/>
          <w:lang w:val="en-GB"/>
        </w:rPr>
        <w:t xml:space="preserve"> of activities </w:t>
      </w:r>
      <w:r>
        <w:rPr>
          <w:i/>
          <w:color w:val="000000"/>
          <w:sz w:val="22"/>
          <w:szCs w:val="22"/>
          <w:lang w:val="en-GB"/>
        </w:rPr>
        <w:t>- manufacturing</w:t>
      </w:r>
      <w:r w:rsidRPr="005B464B">
        <w:rPr>
          <w:i/>
          <w:color w:val="000000"/>
          <w:sz w:val="22"/>
          <w:szCs w:val="22"/>
          <w:lang w:val="en-GB"/>
        </w:rPr>
        <w:t xml:space="preserve"> indust</w:t>
      </w:r>
      <w:r>
        <w:rPr>
          <w:i/>
          <w:color w:val="000000"/>
          <w:sz w:val="22"/>
          <w:szCs w:val="22"/>
          <w:lang w:val="en-GB"/>
        </w:rPr>
        <w:t>r</w:t>
      </w:r>
      <w:r w:rsidRPr="005B464B">
        <w:rPr>
          <w:i/>
          <w:color w:val="000000"/>
          <w:sz w:val="22"/>
          <w:szCs w:val="22"/>
          <w:lang w:val="en-GB"/>
        </w:rPr>
        <w:t>ial products.</w:t>
      </w:r>
      <w:r>
        <w:rPr>
          <w:i/>
          <w:color w:val="000000"/>
          <w:sz w:val="22"/>
          <w:szCs w:val="22"/>
          <w:lang w:val="en-GB"/>
        </w:rPr>
        <w:t xml:space="preserve"> PKD 2007 was </w:t>
      </w:r>
      <w:r w:rsidRPr="005B464B">
        <w:rPr>
          <w:i/>
          <w:color w:val="000000"/>
          <w:sz w:val="22"/>
          <w:szCs w:val="22"/>
          <w:lang w:val="en-GB"/>
        </w:rPr>
        <w:t>compiled on the basis of</w:t>
      </w:r>
      <w:r>
        <w:rPr>
          <w:i/>
          <w:color w:val="000000"/>
          <w:sz w:val="22"/>
          <w:szCs w:val="22"/>
          <w:lang w:val="en-GB"/>
        </w:rPr>
        <w:t xml:space="preserve"> </w:t>
      </w:r>
      <w:r w:rsidRPr="005B464B">
        <w:rPr>
          <w:i/>
          <w:color w:val="000000"/>
          <w:sz w:val="22"/>
          <w:szCs w:val="22"/>
          <w:lang w:val="en-GB"/>
        </w:rPr>
        <w:t xml:space="preserve">Statistical Classification of Economic Activities in the </w:t>
      </w:r>
      <w:r>
        <w:rPr>
          <w:i/>
          <w:color w:val="000000"/>
          <w:sz w:val="22"/>
          <w:szCs w:val="22"/>
          <w:lang w:val="en-GB"/>
        </w:rPr>
        <w:t>Eur</w:t>
      </w:r>
      <w:r w:rsidR="001D5042">
        <w:rPr>
          <w:i/>
          <w:color w:val="000000"/>
          <w:sz w:val="22"/>
          <w:szCs w:val="22"/>
          <w:lang w:val="en-GB"/>
        </w:rPr>
        <w:t>o</w:t>
      </w:r>
      <w:r>
        <w:rPr>
          <w:i/>
          <w:color w:val="000000"/>
          <w:sz w:val="22"/>
          <w:szCs w:val="22"/>
          <w:lang w:val="en-GB"/>
        </w:rPr>
        <w:t>pean Community – NACE Rev. 2</w:t>
      </w:r>
      <w:r w:rsidRPr="005B464B">
        <w:rPr>
          <w:i/>
          <w:color w:val="000000"/>
          <w:sz w:val="22"/>
          <w:szCs w:val="22"/>
          <w:lang w:val="en-GB"/>
        </w:rPr>
        <w:t xml:space="preserve"> </w:t>
      </w:r>
      <w:r>
        <w:rPr>
          <w:i/>
          <w:color w:val="000000"/>
          <w:sz w:val="22"/>
          <w:szCs w:val="22"/>
          <w:lang w:val="en-GB"/>
        </w:rPr>
        <w:t xml:space="preserve">and </w:t>
      </w:r>
      <w:r w:rsidRPr="005B464B">
        <w:rPr>
          <w:i/>
          <w:color w:val="000000"/>
          <w:sz w:val="22"/>
          <w:szCs w:val="22"/>
          <w:lang w:val="en-GB"/>
        </w:rPr>
        <w:t xml:space="preserve">introduced on </w:t>
      </w:r>
      <w:smartTag w:uri="urn:schemas-microsoft-com:office:smarttags" w:element="date">
        <w:smartTagPr>
          <w:attr w:name="Year" w:val="2008"/>
          <w:attr w:name="Day" w:val="1"/>
          <w:attr w:name="Month" w:val="1"/>
        </w:smartTagPr>
        <w:r w:rsidRPr="005B464B">
          <w:rPr>
            <w:i/>
            <w:color w:val="000000"/>
            <w:sz w:val="22"/>
            <w:szCs w:val="22"/>
            <w:lang w:val="en-GB"/>
          </w:rPr>
          <w:t>1</w:t>
        </w:r>
        <w:r w:rsidRPr="005B464B">
          <w:rPr>
            <w:i/>
            <w:color w:val="000000"/>
            <w:sz w:val="22"/>
            <w:szCs w:val="22"/>
            <w:vertAlign w:val="superscript"/>
            <w:lang w:val="en-GB"/>
          </w:rPr>
          <w:t>st</w:t>
        </w:r>
        <w:r w:rsidRPr="005B464B">
          <w:rPr>
            <w:i/>
            <w:color w:val="000000"/>
            <w:sz w:val="22"/>
            <w:szCs w:val="22"/>
            <w:lang w:val="en-GB"/>
          </w:rPr>
          <w:t xml:space="preserve"> January 200</w:t>
        </w:r>
        <w:r>
          <w:rPr>
            <w:i/>
            <w:color w:val="000000"/>
            <w:sz w:val="22"/>
            <w:szCs w:val="22"/>
            <w:lang w:val="en-GB"/>
          </w:rPr>
          <w:t>8</w:t>
        </w:r>
      </w:smartTag>
      <w:r>
        <w:rPr>
          <w:i/>
          <w:color w:val="000000"/>
          <w:sz w:val="22"/>
          <w:szCs w:val="22"/>
          <w:lang w:val="en-GB"/>
        </w:rPr>
        <w:t xml:space="preserve"> by the decree of </w:t>
      </w:r>
      <w:r w:rsidRPr="005B464B">
        <w:rPr>
          <w:i/>
          <w:color w:val="000000"/>
          <w:sz w:val="22"/>
          <w:szCs w:val="22"/>
          <w:lang w:val="en-GB"/>
        </w:rPr>
        <w:t xml:space="preserve">Council of Ministers dated </w:t>
      </w:r>
      <w:smartTag w:uri="urn:schemas-microsoft-com:office:smarttags" w:element="date">
        <w:smartTagPr>
          <w:attr w:name="Year" w:val="2007"/>
          <w:attr w:name="Day" w:val="24"/>
          <w:attr w:name="Month" w:val="12"/>
        </w:smartTagPr>
        <w:r w:rsidRPr="005B464B">
          <w:rPr>
            <w:i/>
            <w:color w:val="000000"/>
            <w:sz w:val="22"/>
            <w:szCs w:val="22"/>
            <w:lang w:val="en-GB"/>
          </w:rPr>
          <w:t>2</w:t>
        </w:r>
        <w:r>
          <w:rPr>
            <w:i/>
            <w:color w:val="000000"/>
            <w:sz w:val="22"/>
            <w:szCs w:val="22"/>
            <w:lang w:val="en-GB"/>
          </w:rPr>
          <w:t>4</w:t>
        </w:r>
        <w:r w:rsidRPr="005B464B">
          <w:rPr>
            <w:i/>
            <w:color w:val="000000"/>
            <w:sz w:val="22"/>
            <w:szCs w:val="22"/>
            <w:lang w:val="en-GB"/>
          </w:rPr>
          <w:t xml:space="preserve"> </w:t>
        </w:r>
        <w:r>
          <w:rPr>
            <w:i/>
            <w:color w:val="000000"/>
            <w:sz w:val="22"/>
            <w:szCs w:val="22"/>
            <w:lang w:val="en-GB"/>
          </w:rPr>
          <w:t>December</w:t>
        </w:r>
        <w:r w:rsidRPr="005B464B">
          <w:rPr>
            <w:i/>
            <w:color w:val="000000"/>
            <w:sz w:val="22"/>
            <w:szCs w:val="22"/>
            <w:lang w:val="en-GB"/>
          </w:rPr>
          <w:t xml:space="preserve"> 200</w:t>
        </w:r>
        <w:r>
          <w:rPr>
            <w:i/>
            <w:color w:val="000000"/>
            <w:sz w:val="22"/>
            <w:szCs w:val="22"/>
            <w:lang w:val="en-GB"/>
          </w:rPr>
          <w:t>7</w:t>
        </w:r>
      </w:smartTag>
      <w:r w:rsidRPr="005B464B">
        <w:rPr>
          <w:i/>
          <w:color w:val="000000"/>
          <w:sz w:val="22"/>
          <w:szCs w:val="22"/>
          <w:lang w:val="en-GB"/>
        </w:rPr>
        <w:t xml:space="preserve"> (Journal of Laws No. 251, item 1885).</w:t>
      </w:r>
    </w:p>
    <w:p w:rsidR="0030545E" w:rsidRPr="000872C9" w:rsidRDefault="0030545E" w:rsidP="0030545E">
      <w:pPr>
        <w:tabs>
          <w:tab w:val="left" w:pos="280"/>
          <w:tab w:val="left" w:pos="280"/>
        </w:tabs>
        <w:spacing w:line="300" w:lineRule="atLeast"/>
        <w:jc w:val="both"/>
        <w:rPr>
          <w:i/>
          <w:color w:val="000000"/>
          <w:sz w:val="18"/>
          <w:szCs w:val="22"/>
          <w:lang w:val="en-GB"/>
        </w:rPr>
      </w:pPr>
    </w:p>
    <w:p w:rsidR="0030545E" w:rsidRPr="005B464B" w:rsidRDefault="0030545E" w:rsidP="0030545E">
      <w:pPr>
        <w:tabs>
          <w:tab w:val="left" w:pos="280"/>
          <w:tab w:val="left" w:pos="280"/>
        </w:tabs>
        <w:spacing w:line="300" w:lineRule="atLeast"/>
        <w:jc w:val="both"/>
        <w:rPr>
          <w:i/>
          <w:color w:val="000000"/>
          <w:sz w:val="22"/>
          <w:szCs w:val="22"/>
          <w:lang w:val="en-GB"/>
        </w:rPr>
      </w:pPr>
      <w:r>
        <w:rPr>
          <w:i/>
          <w:color w:val="000000"/>
          <w:sz w:val="22"/>
          <w:szCs w:val="22"/>
          <w:lang w:val="en-GB"/>
        </w:rPr>
        <w:tab/>
      </w:r>
      <w:r w:rsidRPr="005B464B">
        <w:rPr>
          <w:i/>
          <w:color w:val="000000"/>
          <w:sz w:val="22"/>
          <w:szCs w:val="22"/>
          <w:lang w:val="en-GB"/>
        </w:rPr>
        <w:t>Presented data concern:</w:t>
      </w:r>
    </w:p>
    <w:p w:rsidR="0030545E" w:rsidRDefault="0030545E" w:rsidP="0030545E">
      <w:pPr>
        <w:tabs>
          <w:tab w:val="left" w:pos="280"/>
          <w:tab w:val="left" w:pos="280"/>
        </w:tabs>
        <w:spacing w:line="300" w:lineRule="atLeast"/>
        <w:jc w:val="both"/>
        <w:rPr>
          <w:i/>
          <w:color w:val="000000"/>
          <w:sz w:val="22"/>
          <w:szCs w:val="22"/>
          <w:lang w:val="en-GB"/>
        </w:rPr>
      </w:pPr>
      <w:r w:rsidRPr="005B464B">
        <w:rPr>
          <w:i/>
          <w:color w:val="000000"/>
          <w:sz w:val="22"/>
          <w:szCs w:val="22"/>
          <w:lang w:val="en-GB"/>
        </w:rPr>
        <w:t>- i</w:t>
      </w:r>
      <w:r>
        <w:rPr>
          <w:i/>
          <w:color w:val="000000"/>
          <w:sz w:val="22"/>
          <w:szCs w:val="22"/>
          <w:lang w:val="en-GB"/>
        </w:rPr>
        <w:t>n tables 1</w:t>
      </w:r>
      <w:r w:rsidRPr="005B464B">
        <w:rPr>
          <w:i/>
          <w:color w:val="000000"/>
          <w:sz w:val="22"/>
          <w:szCs w:val="22"/>
          <w:lang w:val="en-GB"/>
        </w:rPr>
        <w:t xml:space="preserve">, </w:t>
      </w:r>
      <w:r w:rsidR="00467061">
        <w:rPr>
          <w:i/>
          <w:color w:val="000000"/>
          <w:sz w:val="22"/>
          <w:szCs w:val="22"/>
          <w:lang w:val="en-GB"/>
        </w:rPr>
        <w:t>4-5, 8</w:t>
      </w:r>
      <w:r w:rsidR="00E67B99">
        <w:rPr>
          <w:i/>
          <w:color w:val="000000"/>
          <w:sz w:val="22"/>
          <w:szCs w:val="22"/>
          <w:lang w:val="en-GB"/>
        </w:rPr>
        <w:t>-</w:t>
      </w:r>
      <w:r w:rsidR="007B372A">
        <w:rPr>
          <w:i/>
          <w:color w:val="000000"/>
          <w:sz w:val="22"/>
          <w:szCs w:val="22"/>
          <w:lang w:val="en-GB"/>
        </w:rPr>
        <w:t xml:space="preserve">11, </w:t>
      </w:r>
      <w:r w:rsidR="00E67B99">
        <w:rPr>
          <w:i/>
          <w:color w:val="000000"/>
          <w:sz w:val="22"/>
          <w:szCs w:val="22"/>
          <w:lang w:val="en-GB"/>
        </w:rPr>
        <w:t>13</w:t>
      </w:r>
      <w:r>
        <w:rPr>
          <w:i/>
          <w:color w:val="000000"/>
          <w:sz w:val="22"/>
          <w:szCs w:val="22"/>
          <w:lang w:val="en-GB"/>
        </w:rPr>
        <w:t xml:space="preserve"> –</w:t>
      </w:r>
      <w:r w:rsidRPr="005B464B">
        <w:rPr>
          <w:i/>
          <w:color w:val="000000"/>
          <w:sz w:val="22"/>
          <w:szCs w:val="22"/>
          <w:lang w:val="en-GB"/>
        </w:rPr>
        <w:t xml:space="preserve"> entities </w:t>
      </w:r>
      <w:r>
        <w:rPr>
          <w:i/>
          <w:color w:val="000000"/>
          <w:sz w:val="22"/>
          <w:szCs w:val="22"/>
          <w:lang w:val="en-GB"/>
        </w:rPr>
        <w:t xml:space="preserve">employing more than </w:t>
      </w:r>
      <w:r w:rsidRPr="005B464B">
        <w:rPr>
          <w:i/>
          <w:color w:val="000000"/>
          <w:sz w:val="22"/>
          <w:szCs w:val="22"/>
          <w:lang w:val="en-GB"/>
        </w:rPr>
        <w:t>9 persons,</w:t>
      </w:r>
    </w:p>
    <w:p w:rsidR="0030545E" w:rsidRPr="005B464B" w:rsidRDefault="003B4ED6" w:rsidP="0030545E">
      <w:pPr>
        <w:tabs>
          <w:tab w:val="left" w:pos="280"/>
          <w:tab w:val="left" w:pos="280"/>
        </w:tabs>
        <w:spacing w:line="300" w:lineRule="atLeast"/>
        <w:ind w:left="142" w:hanging="142"/>
        <w:jc w:val="both"/>
        <w:rPr>
          <w:i/>
          <w:color w:val="000000"/>
          <w:sz w:val="22"/>
          <w:szCs w:val="22"/>
          <w:lang w:val="en-GB"/>
        </w:rPr>
      </w:pPr>
      <w:r>
        <w:rPr>
          <w:i/>
          <w:color w:val="000000"/>
          <w:sz w:val="22"/>
          <w:szCs w:val="22"/>
          <w:lang w:val="en-GB"/>
        </w:rPr>
        <w:t>- in table</w:t>
      </w:r>
      <w:r w:rsidR="007B372A">
        <w:rPr>
          <w:i/>
          <w:color w:val="000000"/>
          <w:sz w:val="22"/>
          <w:szCs w:val="22"/>
          <w:lang w:val="en-GB"/>
        </w:rPr>
        <w:t>s</w:t>
      </w:r>
      <w:r w:rsidR="0030545E">
        <w:rPr>
          <w:i/>
          <w:color w:val="000000"/>
          <w:sz w:val="22"/>
          <w:szCs w:val="22"/>
          <w:lang w:val="en-GB"/>
        </w:rPr>
        <w:t xml:space="preserve"> 3</w:t>
      </w:r>
      <w:r w:rsidR="007B372A">
        <w:rPr>
          <w:i/>
          <w:color w:val="000000"/>
          <w:sz w:val="22"/>
          <w:szCs w:val="22"/>
          <w:lang w:val="en-GB"/>
        </w:rPr>
        <w:t xml:space="preserve"> and 12</w:t>
      </w:r>
      <w:r w:rsidR="0030545E">
        <w:rPr>
          <w:i/>
          <w:color w:val="000000"/>
          <w:sz w:val="22"/>
          <w:szCs w:val="22"/>
          <w:lang w:val="en-GB"/>
        </w:rPr>
        <w:t xml:space="preserve"> – entities employing more than 4</w:t>
      </w:r>
      <w:r w:rsidR="0030545E" w:rsidRPr="005B464B">
        <w:rPr>
          <w:i/>
          <w:color w:val="000000"/>
          <w:sz w:val="22"/>
          <w:szCs w:val="22"/>
          <w:lang w:val="en-GB"/>
        </w:rPr>
        <w:t>9 persons</w:t>
      </w:r>
      <w:r w:rsidR="0030545E">
        <w:rPr>
          <w:i/>
          <w:color w:val="000000"/>
          <w:sz w:val="22"/>
          <w:szCs w:val="22"/>
          <w:lang w:val="en-GB"/>
        </w:rPr>
        <w:t xml:space="preserve"> and a 10% representation of entities with the number of employees within the range 10 to 49,</w:t>
      </w:r>
    </w:p>
    <w:p w:rsidR="0030545E" w:rsidRPr="005B464B" w:rsidRDefault="0030545E" w:rsidP="0030545E">
      <w:pPr>
        <w:tabs>
          <w:tab w:val="left" w:pos="280"/>
          <w:tab w:val="left" w:pos="280"/>
        </w:tabs>
        <w:spacing w:line="300" w:lineRule="atLeast"/>
        <w:jc w:val="both"/>
        <w:rPr>
          <w:i/>
          <w:color w:val="000000"/>
          <w:sz w:val="22"/>
          <w:szCs w:val="22"/>
          <w:lang w:val="en-GB"/>
        </w:rPr>
      </w:pPr>
      <w:r w:rsidRPr="005B464B">
        <w:rPr>
          <w:i/>
          <w:color w:val="000000"/>
          <w:sz w:val="22"/>
          <w:szCs w:val="22"/>
          <w:lang w:val="en-GB"/>
        </w:rPr>
        <w:t>- in tables 1</w:t>
      </w:r>
      <w:r w:rsidR="00E67B99">
        <w:rPr>
          <w:i/>
          <w:color w:val="000000"/>
          <w:sz w:val="22"/>
          <w:szCs w:val="22"/>
          <w:lang w:val="en-GB"/>
        </w:rPr>
        <w:t>4</w:t>
      </w:r>
      <w:r>
        <w:rPr>
          <w:i/>
          <w:color w:val="000000"/>
          <w:sz w:val="22"/>
          <w:szCs w:val="22"/>
          <w:lang w:val="en-GB"/>
        </w:rPr>
        <w:t xml:space="preserve"> and </w:t>
      </w:r>
      <w:r w:rsidR="003953BA">
        <w:rPr>
          <w:i/>
          <w:color w:val="000000"/>
          <w:sz w:val="22"/>
          <w:szCs w:val="22"/>
          <w:lang w:val="en-GB"/>
        </w:rPr>
        <w:t>2</w:t>
      </w:r>
      <w:r w:rsidR="00A2384D">
        <w:rPr>
          <w:i/>
          <w:color w:val="000000"/>
          <w:sz w:val="22"/>
          <w:szCs w:val="22"/>
          <w:lang w:val="en-GB"/>
        </w:rPr>
        <w:t>1</w:t>
      </w:r>
      <w:r>
        <w:rPr>
          <w:i/>
          <w:color w:val="000000"/>
          <w:sz w:val="22"/>
          <w:szCs w:val="22"/>
          <w:lang w:val="en-GB"/>
        </w:rPr>
        <w:t xml:space="preserve"> – </w:t>
      </w:r>
      <w:r w:rsidRPr="005B464B">
        <w:rPr>
          <w:i/>
          <w:color w:val="000000"/>
          <w:sz w:val="22"/>
          <w:szCs w:val="22"/>
          <w:lang w:val="en-GB"/>
        </w:rPr>
        <w:t xml:space="preserve">entities </w:t>
      </w:r>
      <w:r>
        <w:rPr>
          <w:i/>
          <w:color w:val="000000"/>
          <w:sz w:val="22"/>
          <w:szCs w:val="22"/>
          <w:lang w:val="en-GB"/>
        </w:rPr>
        <w:t xml:space="preserve">employing more than </w:t>
      </w:r>
      <w:r w:rsidRPr="005B464B">
        <w:rPr>
          <w:i/>
          <w:color w:val="000000"/>
          <w:sz w:val="22"/>
          <w:szCs w:val="22"/>
          <w:lang w:val="en-GB"/>
        </w:rPr>
        <w:t>49 persons,</w:t>
      </w:r>
    </w:p>
    <w:p w:rsidR="0030545E" w:rsidRPr="005B464B" w:rsidRDefault="0030545E" w:rsidP="0030545E">
      <w:pPr>
        <w:pStyle w:val="Tekstpodstawowy"/>
        <w:tabs>
          <w:tab w:val="left" w:pos="284"/>
        </w:tabs>
        <w:spacing w:line="300" w:lineRule="atLeast"/>
        <w:ind w:left="142" w:hanging="142"/>
        <w:rPr>
          <w:i/>
          <w:color w:val="000000"/>
          <w:sz w:val="22"/>
          <w:szCs w:val="22"/>
          <w:lang w:val="en-GB"/>
        </w:rPr>
      </w:pPr>
      <w:r w:rsidRPr="005B464B">
        <w:rPr>
          <w:i/>
          <w:color w:val="000000"/>
          <w:sz w:val="22"/>
          <w:szCs w:val="22"/>
          <w:lang w:val="en-GB"/>
        </w:rPr>
        <w:t xml:space="preserve">- in tables </w:t>
      </w:r>
      <w:r>
        <w:rPr>
          <w:i/>
          <w:color w:val="000000"/>
          <w:sz w:val="22"/>
          <w:szCs w:val="22"/>
          <w:lang w:val="en-GB"/>
        </w:rPr>
        <w:t>2</w:t>
      </w:r>
      <w:r w:rsidRPr="005B464B">
        <w:rPr>
          <w:i/>
          <w:color w:val="000000"/>
          <w:sz w:val="22"/>
          <w:szCs w:val="22"/>
          <w:lang w:val="en-GB"/>
        </w:rPr>
        <w:t>, 1</w:t>
      </w:r>
      <w:r w:rsidR="00E67B99">
        <w:rPr>
          <w:i/>
          <w:color w:val="000000"/>
          <w:sz w:val="22"/>
          <w:szCs w:val="22"/>
          <w:lang w:val="en-GB"/>
        </w:rPr>
        <w:t>5</w:t>
      </w:r>
      <w:r>
        <w:rPr>
          <w:i/>
          <w:color w:val="000000"/>
          <w:sz w:val="22"/>
          <w:szCs w:val="22"/>
          <w:lang w:val="en-GB"/>
        </w:rPr>
        <w:t>-</w:t>
      </w:r>
      <w:r w:rsidR="00A2384D">
        <w:rPr>
          <w:i/>
          <w:color w:val="000000"/>
          <w:sz w:val="22"/>
          <w:szCs w:val="22"/>
          <w:lang w:val="en-GB"/>
        </w:rPr>
        <w:t>20</w:t>
      </w:r>
      <w:r>
        <w:rPr>
          <w:i/>
          <w:color w:val="000000"/>
          <w:sz w:val="22"/>
          <w:szCs w:val="22"/>
          <w:lang w:val="en-GB"/>
        </w:rPr>
        <w:t>, 2</w:t>
      </w:r>
      <w:r w:rsidR="00A2384D">
        <w:rPr>
          <w:i/>
          <w:color w:val="000000"/>
          <w:sz w:val="22"/>
          <w:szCs w:val="22"/>
          <w:lang w:val="en-GB"/>
        </w:rPr>
        <w:t>2</w:t>
      </w:r>
      <w:r>
        <w:rPr>
          <w:i/>
          <w:color w:val="000000"/>
          <w:sz w:val="22"/>
          <w:szCs w:val="22"/>
          <w:lang w:val="en-GB"/>
        </w:rPr>
        <w:t>-2</w:t>
      </w:r>
      <w:r w:rsidR="00A2384D">
        <w:rPr>
          <w:i/>
          <w:color w:val="000000"/>
          <w:sz w:val="22"/>
          <w:szCs w:val="22"/>
          <w:lang w:val="en-GB"/>
        </w:rPr>
        <w:t>3</w:t>
      </w:r>
      <w:r>
        <w:rPr>
          <w:i/>
          <w:color w:val="000000"/>
          <w:sz w:val="22"/>
          <w:szCs w:val="22"/>
          <w:lang w:val="en-GB"/>
        </w:rPr>
        <w:t xml:space="preserve"> –</w:t>
      </w:r>
      <w:r w:rsidRPr="005B464B">
        <w:rPr>
          <w:i/>
          <w:color w:val="000000"/>
          <w:sz w:val="22"/>
          <w:szCs w:val="22"/>
          <w:lang w:val="en-GB"/>
        </w:rPr>
        <w:t xml:space="preserve"> entities keeping accounting le</w:t>
      </w:r>
      <w:r>
        <w:rPr>
          <w:i/>
          <w:color w:val="000000"/>
          <w:sz w:val="22"/>
          <w:szCs w:val="22"/>
          <w:lang w:val="en-GB"/>
        </w:rPr>
        <w:t>dgers and employing more than</w:t>
      </w:r>
      <w:r w:rsidRPr="005B464B">
        <w:rPr>
          <w:i/>
          <w:color w:val="000000"/>
          <w:sz w:val="22"/>
          <w:szCs w:val="22"/>
          <w:lang w:val="en-GB"/>
        </w:rPr>
        <w:t xml:space="preserve"> 49 persons,</w:t>
      </w:r>
    </w:p>
    <w:p w:rsidR="0030545E" w:rsidRDefault="0030545E" w:rsidP="0030545E">
      <w:pPr>
        <w:tabs>
          <w:tab w:val="left" w:pos="280"/>
          <w:tab w:val="left" w:pos="280"/>
        </w:tabs>
        <w:spacing w:line="300" w:lineRule="atLeast"/>
        <w:ind w:left="142" w:hanging="142"/>
        <w:jc w:val="both"/>
        <w:rPr>
          <w:i/>
          <w:color w:val="000000"/>
          <w:sz w:val="22"/>
          <w:szCs w:val="22"/>
          <w:lang w:val="en-GB"/>
        </w:rPr>
      </w:pPr>
      <w:r>
        <w:rPr>
          <w:i/>
          <w:color w:val="000000"/>
          <w:sz w:val="22"/>
          <w:szCs w:val="22"/>
          <w:lang w:val="en-GB"/>
        </w:rPr>
        <w:t xml:space="preserve">- </w:t>
      </w:r>
      <w:r w:rsidRPr="005B464B">
        <w:rPr>
          <w:i/>
          <w:color w:val="000000"/>
          <w:sz w:val="22"/>
          <w:szCs w:val="22"/>
          <w:lang w:val="en-GB"/>
        </w:rPr>
        <w:t xml:space="preserve">in tables </w:t>
      </w:r>
      <w:r w:rsidR="00A36FAA">
        <w:rPr>
          <w:i/>
          <w:color w:val="000000"/>
          <w:sz w:val="22"/>
          <w:szCs w:val="22"/>
          <w:lang w:val="en-GB"/>
        </w:rPr>
        <w:t>6 and 7</w:t>
      </w:r>
      <w:r>
        <w:rPr>
          <w:i/>
          <w:color w:val="000000"/>
          <w:sz w:val="22"/>
          <w:szCs w:val="22"/>
          <w:lang w:val="en-GB"/>
        </w:rPr>
        <w:t xml:space="preserve"> – </w:t>
      </w:r>
      <w:r w:rsidRPr="005B464B">
        <w:rPr>
          <w:i/>
          <w:color w:val="000000"/>
          <w:sz w:val="22"/>
          <w:szCs w:val="22"/>
          <w:lang w:val="en-GB"/>
        </w:rPr>
        <w:t xml:space="preserve">producers of industrial products </w:t>
      </w:r>
      <w:r>
        <w:rPr>
          <w:i/>
          <w:color w:val="000000"/>
          <w:sz w:val="22"/>
          <w:szCs w:val="22"/>
          <w:lang w:val="en-GB"/>
        </w:rPr>
        <w:t>employing more than 49</w:t>
      </w:r>
      <w:r w:rsidRPr="005B464B">
        <w:rPr>
          <w:i/>
          <w:color w:val="000000"/>
          <w:sz w:val="22"/>
          <w:szCs w:val="22"/>
          <w:lang w:val="en-GB"/>
        </w:rPr>
        <w:t xml:space="preserve"> persons</w:t>
      </w:r>
      <w:r>
        <w:rPr>
          <w:i/>
          <w:color w:val="000000"/>
          <w:sz w:val="22"/>
          <w:szCs w:val="22"/>
          <w:lang w:val="en-GB"/>
        </w:rPr>
        <w:t xml:space="preserve">, but </w:t>
      </w:r>
      <w:r w:rsidRPr="009C347D">
        <w:rPr>
          <w:i/>
          <w:sz w:val="22"/>
          <w:szCs w:val="22"/>
          <w:lang w:val="en-GB"/>
        </w:rPr>
        <w:t>in the case of</w:t>
      </w:r>
      <w:r w:rsidRPr="009C347D">
        <w:rPr>
          <w:i/>
          <w:color w:val="000000"/>
          <w:sz w:val="22"/>
          <w:szCs w:val="22"/>
          <w:lang w:val="en-GB"/>
        </w:rPr>
        <w:t xml:space="preserve"> producers of electricity - regardless of the number of employees. In the second quarter of the year, the annual data presented in table 6 are subject to revision </w:t>
      </w:r>
      <w:r>
        <w:rPr>
          <w:i/>
          <w:color w:val="000000"/>
          <w:sz w:val="22"/>
          <w:szCs w:val="22"/>
          <w:lang w:val="en-GB"/>
        </w:rPr>
        <w:t xml:space="preserve">taking into account </w:t>
      </w:r>
      <w:r w:rsidRPr="009C347D">
        <w:rPr>
          <w:i/>
          <w:color w:val="000000"/>
          <w:sz w:val="22"/>
          <w:szCs w:val="22"/>
          <w:lang w:val="en-GB"/>
        </w:rPr>
        <w:t xml:space="preserve">the results from producers of industrial </w:t>
      </w:r>
      <w:r w:rsidRPr="005B464B">
        <w:rPr>
          <w:i/>
          <w:color w:val="000000"/>
          <w:sz w:val="22"/>
          <w:szCs w:val="22"/>
          <w:lang w:val="en-GB"/>
        </w:rPr>
        <w:t xml:space="preserve">products, </w:t>
      </w:r>
      <w:r>
        <w:rPr>
          <w:i/>
          <w:color w:val="000000"/>
          <w:sz w:val="22"/>
          <w:szCs w:val="22"/>
          <w:lang w:val="en-GB"/>
        </w:rPr>
        <w:t>with</w:t>
      </w:r>
      <w:r w:rsidRPr="005B464B">
        <w:rPr>
          <w:i/>
          <w:color w:val="000000"/>
          <w:sz w:val="22"/>
          <w:szCs w:val="22"/>
          <w:lang w:val="en-GB"/>
        </w:rPr>
        <w:t xml:space="preserve"> the number</w:t>
      </w:r>
      <w:r>
        <w:rPr>
          <w:i/>
          <w:color w:val="000000"/>
          <w:sz w:val="22"/>
          <w:szCs w:val="22"/>
          <w:lang w:val="en-GB"/>
        </w:rPr>
        <w:t xml:space="preserve"> of employees within the range 10 to 49</w:t>
      </w:r>
      <w:r w:rsidRPr="005B464B">
        <w:rPr>
          <w:i/>
          <w:color w:val="000000"/>
          <w:sz w:val="22"/>
          <w:szCs w:val="22"/>
          <w:lang w:val="en-GB"/>
        </w:rPr>
        <w:t>.</w:t>
      </w:r>
    </w:p>
    <w:p w:rsidR="0030545E" w:rsidRPr="000872C9" w:rsidRDefault="0030545E" w:rsidP="0030545E">
      <w:pPr>
        <w:tabs>
          <w:tab w:val="left" w:pos="280"/>
          <w:tab w:val="left" w:pos="280"/>
        </w:tabs>
        <w:spacing w:line="300" w:lineRule="atLeast"/>
        <w:ind w:left="142" w:hanging="142"/>
        <w:jc w:val="both"/>
        <w:rPr>
          <w:i/>
          <w:color w:val="000000"/>
          <w:sz w:val="12"/>
          <w:lang w:val="en-GB"/>
        </w:rPr>
      </w:pPr>
    </w:p>
    <w:p w:rsidR="000A0E74" w:rsidRPr="000A0E74" w:rsidRDefault="0030545E" w:rsidP="000A0E74">
      <w:pPr>
        <w:tabs>
          <w:tab w:val="left" w:pos="280"/>
          <w:tab w:val="left" w:pos="280"/>
        </w:tabs>
        <w:spacing w:line="300" w:lineRule="atLeast"/>
        <w:jc w:val="both"/>
        <w:rPr>
          <w:i/>
          <w:color w:val="000000"/>
          <w:sz w:val="22"/>
          <w:szCs w:val="22"/>
          <w:lang w:val="en-US"/>
        </w:rPr>
      </w:pPr>
      <w:r w:rsidRPr="005B464B">
        <w:rPr>
          <w:i/>
          <w:color w:val="000000"/>
          <w:sz w:val="22"/>
          <w:szCs w:val="22"/>
          <w:lang w:val="en-GB"/>
        </w:rPr>
        <w:t xml:space="preserve"> </w:t>
      </w:r>
      <w:r w:rsidRPr="005B464B">
        <w:rPr>
          <w:i/>
          <w:color w:val="000000"/>
          <w:sz w:val="22"/>
          <w:szCs w:val="22"/>
          <w:lang w:val="en-GB"/>
        </w:rPr>
        <w:tab/>
      </w:r>
      <w:r w:rsidR="00747826">
        <w:rPr>
          <w:i/>
          <w:color w:val="000000"/>
          <w:sz w:val="22"/>
          <w:szCs w:val="22"/>
          <w:lang w:val="en-GB"/>
        </w:rPr>
        <w:t>Products are grouped</w:t>
      </w:r>
      <w:r w:rsidRPr="005B464B">
        <w:rPr>
          <w:i/>
          <w:color w:val="000000"/>
          <w:sz w:val="22"/>
          <w:szCs w:val="22"/>
          <w:lang w:val="en-GB"/>
        </w:rPr>
        <w:t xml:space="preserve"> accord</w:t>
      </w:r>
      <w:r w:rsidR="00747826">
        <w:rPr>
          <w:i/>
          <w:color w:val="000000"/>
          <w:sz w:val="22"/>
          <w:szCs w:val="22"/>
          <w:lang w:val="en-GB"/>
        </w:rPr>
        <w:t>ing to PR</w:t>
      </w:r>
      <w:r w:rsidR="00D16CF9">
        <w:rPr>
          <w:i/>
          <w:color w:val="000000"/>
          <w:sz w:val="22"/>
          <w:szCs w:val="22"/>
          <w:lang w:val="en-GB"/>
        </w:rPr>
        <w:t>O</w:t>
      </w:r>
      <w:r w:rsidR="00747826">
        <w:rPr>
          <w:i/>
          <w:color w:val="000000"/>
          <w:sz w:val="22"/>
          <w:szCs w:val="22"/>
          <w:lang w:val="en-GB"/>
        </w:rPr>
        <w:t>DPOL</w:t>
      </w:r>
      <w:r w:rsidRPr="005B464B">
        <w:rPr>
          <w:i/>
          <w:color w:val="000000"/>
          <w:sz w:val="22"/>
          <w:szCs w:val="22"/>
          <w:lang w:val="en-GB"/>
        </w:rPr>
        <w:t xml:space="preserve"> </w:t>
      </w:r>
      <w:r w:rsidR="00747826">
        <w:rPr>
          <w:i/>
          <w:color w:val="000000"/>
          <w:sz w:val="22"/>
          <w:szCs w:val="22"/>
          <w:lang w:val="en-GB"/>
        </w:rPr>
        <w:t>n</w:t>
      </w:r>
      <w:r w:rsidR="00747826" w:rsidRPr="005B464B">
        <w:rPr>
          <w:i/>
          <w:color w:val="000000"/>
          <w:sz w:val="22"/>
          <w:szCs w:val="22"/>
          <w:lang w:val="en-GB"/>
        </w:rPr>
        <w:t xml:space="preserve">omenclature </w:t>
      </w:r>
      <w:r w:rsidR="008B23B1">
        <w:rPr>
          <w:i/>
          <w:color w:val="000000"/>
          <w:sz w:val="22"/>
          <w:szCs w:val="22"/>
          <w:lang w:val="en-GB"/>
        </w:rPr>
        <w:t xml:space="preserve">compiled </w:t>
      </w:r>
      <w:r w:rsidR="00747826">
        <w:rPr>
          <w:i/>
          <w:color w:val="000000"/>
          <w:sz w:val="22"/>
          <w:szCs w:val="22"/>
          <w:lang w:val="en-GB"/>
        </w:rPr>
        <w:t>on the basis of</w:t>
      </w:r>
      <w:r w:rsidRPr="005B464B">
        <w:rPr>
          <w:i/>
          <w:color w:val="000000"/>
          <w:sz w:val="22"/>
          <w:szCs w:val="22"/>
          <w:lang w:val="en-GB"/>
        </w:rPr>
        <w:t xml:space="preserve"> the Polish Classification of </w:t>
      </w:r>
      <w:r w:rsidR="00AC5157">
        <w:rPr>
          <w:i/>
          <w:color w:val="000000"/>
          <w:sz w:val="22"/>
          <w:szCs w:val="22"/>
          <w:lang w:val="en-GB"/>
        </w:rPr>
        <w:t>Goods</w:t>
      </w:r>
      <w:r w:rsidR="000A0E74">
        <w:rPr>
          <w:i/>
          <w:color w:val="000000"/>
          <w:sz w:val="22"/>
          <w:szCs w:val="22"/>
          <w:lang w:val="en-GB"/>
        </w:rPr>
        <w:t xml:space="preserve"> and Services (PKWiU 2015</w:t>
      </w:r>
      <w:r w:rsidR="00AC5157">
        <w:rPr>
          <w:i/>
          <w:color w:val="000000"/>
          <w:sz w:val="22"/>
          <w:szCs w:val="22"/>
          <w:lang w:val="en-GB"/>
        </w:rPr>
        <w:t xml:space="preserve">) and PRODCOM List. </w:t>
      </w:r>
      <w:r w:rsidR="00AC5157" w:rsidRPr="005B464B">
        <w:rPr>
          <w:i/>
          <w:color w:val="000000"/>
          <w:sz w:val="22"/>
          <w:szCs w:val="22"/>
          <w:lang w:val="en-GB"/>
        </w:rPr>
        <w:t>PKWiU 20</w:t>
      </w:r>
      <w:r w:rsidR="000A0E74">
        <w:rPr>
          <w:i/>
          <w:color w:val="000000"/>
          <w:sz w:val="22"/>
          <w:szCs w:val="22"/>
          <w:lang w:val="en-GB"/>
        </w:rPr>
        <w:t>15</w:t>
      </w:r>
      <w:r w:rsidR="00AC5157" w:rsidRPr="005B464B">
        <w:rPr>
          <w:i/>
          <w:color w:val="000000"/>
          <w:sz w:val="22"/>
          <w:szCs w:val="22"/>
          <w:lang w:val="en-GB"/>
        </w:rPr>
        <w:t xml:space="preserve"> </w:t>
      </w:r>
      <w:r w:rsidR="00AC5157">
        <w:rPr>
          <w:i/>
          <w:color w:val="000000"/>
          <w:sz w:val="22"/>
          <w:szCs w:val="22"/>
          <w:lang w:val="en-GB"/>
        </w:rPr>
        <w:t xml:space="preserve">was </w:t>
      </w:r>
      <w:r w:rsidRPr="005B464B">
        <w:rPr>
          <w:i/>
          <w:color w:val="000000"/>
          <w:sz w:val="22"/>
          <w:szCs w:val="22"/>
          <w:lang w:val="en-GB"/>
        </w:rPr>
        <w:t xml:space="preserve">introduced </w:t>
      </w:r>
      <w:r>
        <w:rPr>
          <w:i/>
          <w:color w:val="000000"/>
          <w:sz w:val="22"/>
          <w:szCs w:val="22"/>
          <w:lang w:val="en-GB"/>
        </w:rPr>
        <w:t>by the decree of</w:t>
      </w:r>
      <w:r w:rsidRPr="005B464B">
        <w:rPr>
          <w:i/>
          <w:color w:val="000000"/>
          <w:sz w:val="22"/>
          <w:szCs w:val="22"/>
          <w:lang w:val="en-GB"/>
        </w:rPr>
        <w:t xml:space="preserve"> Council </w:t>
      </w:r>
      <w:r w:rsidRPr="000A0E74">
        <w:rPr>
          <w:i/>
          <w:color w:val="000000"/>
          <w:sz w:val="22"/>
          <w:szCs w:val="22"/>
          <w:lang w:val="en-GB"/>
        </w:rPr>
        <w:t xml:space="preserve">of Ministers, dated </w:t>
      </w:r>
      <w:r w:rsidR="000A0E74" w:rsidRPr="000A0E74">
        <w:rPr>
          <w:i/>
          <w:color w:val="000000"/>
          <w:sz w:val="22"/>
          <w:szCs w:val="22"/>
          <w:lang w:val="en-GB"/>
        </w:rPr>
        <w:t>4 September 2015</w:t>
      </w:r>
      <w:r w:rsidR="003B4ED6">
        <w:rPr>
          <w:i/>
          <w:color w:val="000000"/>
          <w:sz w:val="22"/>
          <w:szCs w:val="22"/>
          <w:lang w:val="en-GB"/>
        </w:rPr>
        <w:t xml:space="preserve"> (Journal of Laws</w:t>
      </w:r>
      <w:r w:rsidR="00812250">
        <w:rPr>
          <w:i/>
          <w:color w:val="000000"/>
          <w:sz w:val="22"/>
          <w:szCs w:val="22"/>
          <w:lang w:val="en-GB"/>
        </w:rPr>
        <w:t xml:space="preserve"> </w:t>
      </w:r>
      <w:r w:rsidR="000A0E74" w:rsidRPr="000A0E74">
        <w:rPr>
          <w:i/>
          <w:color w:val="000000"/>
          <w:sz w:val="22"/>
          <w:szCs w:val="22"/>
          <w:lang w:val="en-GB"/>
        </w:rPr>
        <w:t>of 2015, item 1676)</w:t>
      </w:r>
      <w:r w:rsidR="000A0E74" w:rsidRPr="000A0E74">
        <w:rPr>
          <w:rFonts w:ascii="Arial-ItalicMT" w:hAnsi="Arial-ItalicMT" w:cs="Arial-ItalicMT"/>
          <w:i/>
          <w:iCs/>
          <w:sz w:val="22"/>
          <w:szCs w:val="22"/>
          <w:lang w:val="en-US"/>
        </w:rPr>
        <w:t xml:space="preserve"> </w:t>
      </w:r>
      <w:r w:rsidR="00AF77F2">
        <w:rPr>
          <w:i/>
          <w:iCs/>
          <w:sz w:val="22"/>
          <w:szCs w:val="22"/>
          <w:lang w:val="en-US"/>
        </w:rPr>
        <w:t>that takes effect</w:t>
      </w:r>
      <w:r w:rsidR="000A0E74" w:rsidRPr="000A0E74">
        <w:rPr>
          <w:i/>
          <w:iCs/>
          <w:sz w:val="22"/>
          <w:szCs w:val="22"/>
          <w:lang w:val="en-US"/>
        </w:rPr>
        <w:t xml:space="preserve"> from 1 January 2016, in</w:t>
      </w:r>
      <w:r w:rsidR="000A0E74">
        <w:rPr>
          <w:i/>
          <w:iCs/>
          <w:sz w:val="22"/>
          <w:szCs w:val="22"/>
          <w:lang w:val="en-US"/>
        </w:rPr>
        <w:t xml:space="preserve"> </w:t>
      </w:r>
      <w:r w:rsidR="000A0E74" w:rsidRPr="000A0E74">
        <w:rPr>
          <w:i/>
          <w:iCs/>
          <w:sz w:val="22"/>
          <w:szCs w:val="22"/>
          <w:lang w:val="en-US"/>
        </w:rPr>
        <w:t>statistics, registration, documentation and accounting, and also in</w:t>
      </w:r>
      <w:r w:rsidR="000A0E74">
        <w:rPr>
          <w:i/>
          <w:iCs/>
          <w:sz w:val="22"/>
          <w:szCs w:val="22"/>
          <w:lang w:val="en-US"/>
        </w:rPr>
        <w:t xml:space="preserve"> </w:t>
      </w:r>
      <w:r w:rsidR="000A0E74" w:rsidRPr="000A0E74">
        <w:rPr>
          <w:i/>
          <w:iCs/>
          <w:sz w:val="22"/>
          <w:szCs w:val="22"/>
          <w:lang w:val="en-US"/>
        </w:rPr>
        <w:t>official registers and public administration information systems</w:t>
      </w:r>
      <w:r w:rsidR="000A0E74">
        <w:rPr>
          <w:i/>
          <w:iCs/>
          <w:sz w:val="22"/>
          <w:szCs w:val="22"/>
          <w:lang w:val="en-US"/>
        </w:rPr>
        <w:t>.</w:t>
      </w:r>
    </w:p>
    <w:p w:rsidR="000A0E74" w:rsidRPr="000872C9" w:rsidRDefault="000A0E74" w:rsidP="000A0E74">
      <w:pPr>
        <w:autoSpaceDE w:val="0"/>
        <w:autoSpaceDN w:val="0"/>
        <w:adjustRightInd w:val="0"/>
        <w:rPr>
          <w:rFonts w:ascii="Arial-ItalicMT" w:hAnsi="Arial-ItalicMT" w:cs="Arial-ItalicMT"/>
          <w:i/>
          <w:iCs/>
          <w:sz w:val="12"/>
          <w:szCs w:val="12"/>
          <w:lang w:val="en-US"/>
        </w:rPr>
      </w:pPr>
    </w:p>
    <w:p w:rsidR="0030545E" w:rsidRPr="005B464B" w:rsidRDefault="0030545E" w:rsidP="0030545E">
      <w:pPr>
        <w:tabs>
          <w:tab w:val="left" w:pos="280"/>
          <w:tab w:val="left" w:pos="280"/>
        </w:tabs>
        <w:spacing w:line="300" w:lineRule="atLeast"/>
        <w:jc w:val="both"/>
        <w:rPr>
          <w:i/>
          <w:color w:val="000000"/>
          <w:sz w:val="22"/>
          <w:szCs w:val="22"/>
          <w:lang w:val="en-GB"/>
        </w:rPr>
      </w:pPr>
      <w:r w:rsidRPr="005B464B">
        <w:rPr>
          <w:i/>
          <w:color w:val="000000"/>
          <w:sz w:val="22"/>
          <w:szCs w:val="22"/>
          <w:lang w:val="en-GB"/>
        </w:rPr>
        <w:tab/>
        <w:t xml:space="preserve">2. Data </w:t>
      </w:r>
      <w:r>
        <w:rPr>
          <w:i/>
          <w:color w:val="000000"/>
          <w:sz w:val="22"/>
          <w:szCs w:val="22"/>
          <w:lang w:val="en-GB"/>
        </w:rPr>
        <w:t xml:space="preserve">by the NACE sections, divisions and groups </w:t>
      </w:r>
      <w:r w:rsidR="00F75EBF">
        <w:rPr>
          <w:i/>
          <w:color w:val="000000"/>
          <w:sz w:val="22"/>
          <w:szCs w:val="22"/>
          <w:lang w:val="en-GB"/>
        </w:rPr>
        <w:t xml:space="preserve">are compiled </w:t>
      </w:r>
      <w:r w:rsidRPr="005B464B">
        <w:rPr>
          <w:i/>
          <w:color w:val="000000"/>
          <w:sz w:val="22"/>
          <w:szCs w:val="22"/>
          <w:lang w:val="en-GB"/>
        </w:rPr>
        <w:t>using the enterprise method and according to the respective organizational status of units.</w:t>
      </w:r>
    </w:p>
    <w:p w:rsidR="0030545E" w:rsidRPr="000872C9" w:rsidRDefault="0030545E" w:rsidP="0030545E">
      <w:pPr>
        <w:tabs>
          <w:tab w:val="left" w:pos="280"/>
          <w:tab w:val="left" w:pos="280"/>
        </w:tabs>
        <w:spacing w:line="300" w:lineRule="atLeast"/>
        <w:jc w:val="both"/>
        <w:rPr>
          <w:i/>
          <w:color w:val="000000"/>
          <w:sz w:val="12"/>
          <w:szCs w:val="22"/>
          <w:lang w:val="en-GB"/>
        </w:rPr>
      </w:pPr>
    </w:p>
    <w:p w:rsidR="0030545E" w:rsidRPr="0053361E" w:rsidRDefault="0030545E" w:rsidP="0030545E">
      <w:pPr>
        <w:tabs>
          <w:tab w:val="left" w:pos="280"/>
          <w:tab w:val="left" w:pos="280"/>
        </w:tabs>
        <w:spacing w:line="300" w:lineRule="atLeast"/>
        <w:jc w:val="both"/>
        <w:rPr>
          <w:i/>
          <w:sz w:val="22"/>
          <w:szCs w:val="22"/>
          <w:lang w:val="en-GB"/>
        </w:rPr>
      </w:pPr>
      <w:r>
        <w:rPr>
          <w:i/>
          <w:color w:val="000000"/>
          <w:sz w:val="22"/>
          <w:szCs w:val="22"/>
          <w:lang w:val="en-GB"/>
        </w:rPr>
        <w:tab/>
      </w:r>
      <w:r w:rsidRPr="005B464B">
        <w:rPr>
          <w:i/>
          <w:color w:val="000000"/>
          <w:sz w:val="22"/>
          <w:szCs w:val="22"/>
          <w:lang w:val="en-GB"/>
        </w:rPr>
        <w:t>3.</w:t>
      </w:r>
      <w:r>
        <w:rPr>
          <w:i/>
          <w:color w:val="000000"/>
          <w:sz w:val="22"/>
          <w:szCs w:val="22"/>
          <w:lang w:val="en-GB"/>
        </w:rPr>
        <w:t xml:space="preserve"> </w:t>
      </w:r>
      <w:r w:rsidRPr="005B464B">
        <w:rPr>
          <w:i/>
          <w:color w:val="000000"/>
          <w:sz w:val="22"/>
          <w:szCs w:val="22"/>
          <w:lang w:val="en-GB"/>
        </w:rPr>
        <w:t xml:space="preserve">Indices of sold production are presented on the basis of value at constant prices. </w:t>
      </w:r>
      <w:r w:rsidR="00EB549A">
        <w:rPr>
          <w:i/>
          <w:color w:val="000000"/>
          <w:sz w:val="22"/>
          <w:szCs w:val="22"/>
          <w:lang w:val="en-GB"/>
        </w:rPr>
        <w:t>T</w:t>
      </w:r>
      <w:r>
        <w:rPr>
          <w:i/>
          <w:color w:val="000000"/>
          <w:sz w:val="22"/>
          <w:szCs w:val="22"/>
          <w:lang w:val="en-GB"/>
        </w:rPr>
        <w:t xml:space="preserve">he </w:t>
      </w:r>
      <w:r w:rsidRPr="005B464B">
        <w:rPr>
          <w:i/>
          <w:color w:val="000000"/>
          <w:sz w:val="22"/>
          <w:szCs w:val="22"/>
          <w:lang w:val="en-GB"/>
        </w:rPr>
        <w:t xml:space="preserve">constant prices </w:t>
      </w:r>
      <w:r w:rsidR="00EB549A">
        <w:rPr>
          <w:i/>
          <w:color w:val="000000"/>
          <w:sz w:val="22"/>
          <w:szCs w:val="22"/>
          <w:lang w:val="en-GB"/>
        </w:rPr>
        <w:t>shall be the</w:t>
      </w:r>
      <w:r>
        <w:rPr>
          <w:i/>
          <w:color w:val="000000"/>
          <w:sz w:val="22"/>
          <w:szCs w:val="22"/>
          <w:lang w:val="en-GB"/>
        </w:rPr>
        <w:t xml:space="preserve"> 2010 </w:t>
      </w:r>
      <w:r w:rsidR="00EB549A" w:rsidRPr="005B464B">
        <w:rPr>
          <w:i/>
          <w:color w:val="000000"/>
          <w:sz w:val="22"/>
          <w:szCs w:val="22"/>
          <w:lang w:val="en-GB"/>
        </w:rPr>
        <w:t xml:space="preserve">constant prices </w:t>
      </w:r>
      <w:r w:rsidRPr="005B464B">
        <w:rPr>
          <w:i/>
          <w:color w:val="000000"/>
          <w:sz w:val="22"/>
          <w:szCs w:val="22"/>
          <w:lang w:val="en-GB"/>
        </w:rPr>
        <w:t>(</w:t>
      </w:r>
      <w:r>
        <w:rPr>
          <w:i/>
          <w:color w:val="000000"/>
          <w:sz w:val="22"/>
          <w:szCs w:val="22"/>
          <w:lang w:val="en-GB"/>
        </w:rPr>
        <w:t xml:space="preserve">the </w:t>
      </w:r>
      <w:r w:rsidRPr="005B464B">
        <w:rPr>
          <w:i/>
          <w:color w:val="000000"/>
          <w:sz w:val="22"/>
          <w:szCs w:val="22"/>
          <w:lang w:val="en-GB"/>
        </w:rPr>
        <w:t>20</w:t>
      </w:r>
      <w:r>
        <w:rPr>
          <w:i/>
          <w:color w:val="000000"/>
          <w:sz w:val="22"/>
          <w:szCs w:val="22"/>
          <w:lang w:val="en-GB"/>
        </w:rPr>
        <w:t>10</w:t>
      </w:r>
      <w:r w:rsidRPr="005B464B">
        <w:rPr>
          <w:i/>
          <w:color w:val="000000"/>
          <w:sz w:val="22"/>
          <w:szCs w:val="22"/>
          <w:lang w:val="en-GB"/>
        </w:rPr>
        <w:t xml:space="preserve"> average current prices</w:t>
      </w:r>
      <w:r w:rsidRPr="0053361E">
        <w:rPr>
          <w:i/>
          <w:sz w:val="22"/>
          <w:szCs w:val="22"/>
          <w:lang w:val="en-GB"/>
        </w:rPr>
        <w:t>). Indices with the base</w:t>
      </w:r>
      <w:r>
        <w:rPr>
          <w:i/>
          <w:sz w:val="22"/>
          <w:szCs w:val="22"/>
          <w:lang w:val="en-GB"/>
        </w:rPr>
        <w:t xml:space="preserve"> of </w:t>
      </w:r>
      <w:r w:rsidRPr="0053361E">
        <w:rPr>
          <w:i/>
          <w:sz w:val="22"/>
          <w:szCs w:val="22"/>
          <w:lang w:val="en-GB"/>
        </w:rPr>
        <w:t xml:space="preserve"> the monthly average of 20</w:t>
      </w:r>
      <w:r>
        <w:rPr>
          <w:i/>
          <w:sz w:val="22"/>
          <w:szCs w:val="22"/>
          <w:lang w:val="en-GB"/>
        </w:rPr>
        <w:t>10</w:t>
      </w:r>
      <w:r w:rsidRPr="0053361E">
        <w:rPr>
          <w:i/>
          <w:sz w:val="22"/>
          <w:szCs w:val="22"/>
          <w:lang w:val="en-GB"/>
        </w:rPr>
        <w:t xml:space="preserve"> = 100 were calculated using the chain-base index method. </w:t>
      </w:r>
    </w:p>
    <w:p w:rsidR="0030545E" w:rsidRDefault="0030545E" w:rsidP="0030545E">
      <w:pPr>
        <w:tabs>
          <w:tab w:val="left" w:pos="280"/>
          <w:tab w:val="left" w:pos="280"/>
        </w:tabs>
        <w:spacing w:line="300" w:lineRule="atLeast"/>
        <w:jc w:val="both"/>
        <w:rPr>
          <w:i/>
          <w:sz w:val="22"/>
          <w:szCs w:val="22"/>
          <w:lang w:val="en-GB"/>
        </w:rPr>
      </w:pPr>
      <w:r w:rsidRPr="005B464B">
        <w:rPr>
          <w:i/>
          <w:color w:val="000000"/>
          <w:sz w:val="22"/>
          <w:szCs w:val="22"/>
          <w:lang w:val="en-GB"/>
        </w:rPr>
        <w:tab/>
        <w:t>Indices of production seasonally adjusted u</w:t>
      </w:r>
      <w:r>
        <w:rPr>
          <w:i/>
          <w:color w:val="000000"/>
          <w:sz w:val="22"/>
          <w:szCs w:val="22"/>
          <w:lang w:val="en-GB"/>
        </w:rPr>
        <w:t>sin</w:t>
      </w:r>
      <w:r w:rsidRPr="005B464B">
        <w:rPr>
          <w:i/>
          <w:color w:val="000000"/>
          <w:sz w:val="22"/>
          <w:szCs w:val="22"/>
          <w:lang w:val="en-GB"/>
        </w:rPr>
        <w:t xml:space="preserve">g the </w:t>
      </w:r>
      <w:r w:rsidR="006E3C18">
        <w:rPr>
          <w:i/>
          <w:color w:val="000000"/>
          <w:sz w:val="22"/>
          <w:szCs w:val="22"/>
          <w:lang w:val="en-GB"/>
        </w:rPr>
        <w:t>JDEMETRA+ software and TRAMO/SEATS method -</w:t>
      </w:r>
      <w:r w:rsidRPr="005B464B">
        <w:rPr>
          <w:i/>
          <w:color w:val="000000"/>
          <w:sz w:val="22"/>
          <w:szCs w:val="22"/>
          <w:lang w:val="en-GB"/>
        </w:rPr>
        <w:t xml:space="preserve"> contain the trend and irregular component. Seasonal adjustment consists in elimination of the calendar variability effect and</w:t>
      </w:r>
      <w:r w:rsidRPr="005B464B">
        <w:rPr>
          <w:i/>
          <w:sz w:val="22"/>
          <w:szCs w:val="22"/>
          <w:lang w:val="en-GB"/>
        </w:rPr>
        <w:t xml:space="preserve"> the variability of working days (changes of working time in succeeding months) and seasonality effect (annual, regular deviations</w:t>
      </w:r>
      <w:r>
        <w:rPr>
          <w:i/>
          <w:sz w:val="22"/>
          <w:szCs w:val="22"/>
          <w:lang w:val="en-GB"/>
        </w:rPr>
        <w:t xml:space="preserve"> from the</w:t>
      </w:r>
      <w:r w:rsidRPr="005B464B">
        <w:rPr>
          <w:i/>
          <w:sz w:val="22"/>
          <w:szCs w:val="22"/>
          <w:lang w:val="en-GB"/>
        </w:rPr>
        <w:t xml:space="preserve"> trend, observed in annual cycle).</w:t>
      </w:r>
    </w:p>
    <w:p w:rsidR="0030545E" w:rsidRPr="000872C9" w:rsidRDefault="0030545E" w:rsidP="000872C9">
      <w:pPr>
        <w:tabs>
          <w:tab w:val="left" w:pos="280"/>
          <w:tab w:val="left" w:pos="280"/>
        </w:tabs>
        <w:spacing w:line="300" w:lineRule="atLeast"/>
        <w:jc w:val="both"/>
        <w:rPr>
          <w:i/>
          <w:sz w:val="12"/>
          <w:szCs w:val="22"/>
          <w:lang w:val="en-GB"/>
        </w:rPr>
      </w:pPr>
    </w:p>
    <w:p w:rsidR="003B4ED6" w:rsidRDefault="00CA2B41" w:rsidP="000872C9">
      <w:pPr>
        <w:tabs>
          <w:tab w:val="left" w:pos="280"/>
          <w:tab w:val="left" w:pos="280"/>
        </w:tabs>
        <w:spacing w:line="160" w:lineRule="atLeast"/>
        <w:jc w:val="both"/>
        <w:rPr>
          <w:i/>
          <w:sz w:val="22"/>
          <w:szCs w:val="22"/>
          <w:lang w:val="en-GB"/>
        </w:rPr>
      </w:pPr>
      <w:r>
        <w:rPr>
          <w:b/>
          <w:i/>
          <w:sz w:val="22"/>
          <w:szCs w:val="22"/>
          <w:lang w:val="en-GB"/>
        </w:rPr>
        <w:tab/>
        <w:t xml:space="preserve">4. </w:t>
      </w:r>
      <w:r w:rsidR="00E01C90" w:rsidRPr="005B464B">
        <w:rPr>
          <w:b/>
          <w:i/>
          <w:sz w:val="22"/>
          <w:szCs w:val="22"/>
          <w:lang w:val="en-GB"/>
        </w:rPr>
        <w:t>Sold production</w:t>
      </w:r>
      <w:r w:rsidR="00E01C90" w:rsidRPr="005B464B">
        <w:rPr>
          <w:i/>
          <w:sz w:val="22"/>
          <w:szCs w:val="22"/>
          <w:lang w:val="en-GB"/>
        </w:rPr>
        <w:t xml:space="preserve"> concerns the total activity of an economic entity, i.e. bot</w:t>
      </w:r>
      <w:r w:rsidR="003B4ED6">
        <w:rPr>
          <w:i/>
          <w:sz w:val="22"/>
          <w:szCs w:val="22"/>
          <w:lang w:val="en-GB"/>
        </w:rPr>
        <w:t xml:space="preserve">h industrial and non-industrial </w:t>
      </w:r>
      <w:r w:rsidR="00E01C90" w:rsidRPr="005B464B">
        <w:rPr>
          <w:i/>
          <w:sz w:val="22"/>
          <w:szCs w:val="22"/>
          <w:lang w:val="en-GB"/>
        </w:rPr>
        <w:t xml:space="preserve">production. </w:t>
      </w:r>
    </w:p>
    <w:p w:rsidR="00E01C90" w:rsidRPr="003B4ED6" w:rsidRDefault="00E01C90" w:rsidP="003B4ED6">
      <w:pPr>
        <w:tabs>
          <w:tab w:val="left" w:pos="280"/>
          <w:tab w:val="left" w:pos="280"/>
        </w:tabs>
        <w:spacing w:line="160" w:lineRule="atLeast"/>
        <w:ind w:left="360"/>
        <w:jc w:val="both"/>
        <w:rPr>
          <w:i/>
          <w:sz w:val="22"/>
          <w:szCs w:val="22"/>
          <w:lang w:val="en-GB"/>
        </w:rPr>
      </w:pPr>
      <w:r w:rsidRPr="003B4ED6">
        <w:rPr>
          <w:i/>
          <w:sz w:val="22"/>
          <w:szCs w:val="22"/>
          <w:lang w:val="en-GB"/>
        </w:rPr>
        <w:t>Sold production of industry includes:</w:t>
      </w:r>
    </w:p>
    <w:p w:rsidR="00E01C90" w:rsidRPr="005B464B" w:rsidRDefault="00E01C90" w:rsidP="00E01C90">
      <w:pPr>
        <w:numPr>
          <w:ilvl w:val="0"/>
          <w:numId w:val="5"/>
        </w:numPr>
        <w:tabs>
          <w:tab w:val="left" w:pos="280"/>
          <w:tab w:val="left" w:pos="280"/>
        </w:tabs>
        <w:spacing w:line="300" w:lineRule="atLeast"/>
        <w:ind w:left="284" w:hanging="284"/>
        <w:jc w:val="both"/>
        <w:rPr>
          <w:i/>
          <w:color w:val="000000"/>
          <w:sz w:val="22"/>
          <w:szCs w:val="22"/>
          <w:lang w:val="en-GB"/>
        </w:rPr>
      </w:pPr>
      <w:r w:rsidRPr="005B464B">
        <w:rPr>
          <w:i/>
          <w:color w:val="000000"/>
          <w:sz w:val="22"/>
          <w:szCs w:val="22"/>
          <w:lang w:val="en-GB"/>
        </w:rPr>
        <w:t xml:space="preserve">the value of finished </w:t>
      </w:r>
      <w:r>
        <w:rPr>
          <w:i/>
          <w:color w:val="000000"/>
          <w:sz w:val="22"/>
          <w:szCs w:val="22"/>
          <w:lang w:val="en-GB"/>
        </w:rPr>
        <w:t xml:space="preserve">products </w:t>
      </w:r>
      <w:r w:rsidRPr="005B464B">
        <w:rPr>
          <w:i/>
          <w:color w:val="000000"/>
          <w:sz w:val="22"/>
          <w:szCs w:val="22"/>
          <w:lang w:val="en-GB"/>
        </w:rPr>
        <w:t xml:space="preserve">sold, semi-finished products and parts of own production (regardless of whether due payments for them </w:t>
      </w:r>
      <w:r>
        <w:rPr>
          <w:i/>
          <w:color w:val="000000"/>
          <w:sz w:val="22"/>
          <w:szCs w:val="22"/>
          <w:lang w:val="en-GB"/>
        </w:rPr>
        <w:t>have been</w:t>
      </w:r>
      <w:r w:rsidRPr="005B464B">
        <w:rPr>
          <w:i/>
          <w:color w:val="000000"/>
          <w:sz w:val="22"/>
          <w:szCs w:val="22"/>
          <w:lang w:val="en-GB"/>
        </w:rPr>
        <w:t xml:space="preserve"> received</w:t>
      </w:r>
      <w:r>
        <w:rPr>
          <w:i/>
          <w:color w:val="000000"/>
          <w:sz w:val="22"/>
          <w:szCs w:val="22"/>
          <w:lang w:val="en-GB"/>
        </w:rPr>
        <w:t xml:space="preserve"> or not</w:t>
      </w:r>
      <w:r w:rsidRPr="005B464B">
        <w:rPr>
          <w:i/>
          <w:color w:val="000000"/>
          <w:sz w:val="22"/>
          <w:szCs w:val="22"/>
          <w:lang w:val="en-GB"/>
        </w:rPr>
        <w:t>);</w:t>
      </w:r>
    </w:p>
    <w:p w:rsidR="00E01C90" w:rsidRPr="005B464B" w:rsidRDefault="00E01C90" w:rsidP="00E01C90">
      <w:pPr>
        <w:numPr>
          <w:ilvl w:val="0"/>
          <w:numId w:val="5"/>
        </w:numPr>
        <w:tabs>
          <w:tab w:val="left" w:pos="280"/>
          <w:tab w:val="left" w:pos="280"/>
        </w:tabs>
        <w:spacing w:line="300" w:lineRule="atLeast"/>
        <w:ind w:left="284" w:hanging="284"/>
        <w:jc w:val="both"/>
        <w:rPr>
          <w:i/>
          <w:sz w:val="22"/>
          <w:szCs w:val="22"/>
          <w:lang w:val="en-GB"/>
        </w:rPr>
      </w:pPr>
      <w:r w:rsidRPr="005B464B">
        <w:rPr>
          <w:i/>
          <w:sz w:val="22"/>
          <w:szCs w:val="22"/>
          <w:lang w:val="en-GB"/>
        </w:rPr>
        <w:t>the value of paid work and services rendered, i.e. both industrial and non-industrial;</w:t>
      </w:r>
    </w:p>
    <w:p w:rsidR="00E01C90" w:rsidRDefault="00E01C90" w:rsidP="00E01C90">
      <w:pPr>
        <w:numPr>
          <w:ilvl w:val="0"/>
          <w:numId w:val="5"/>
        </w:numPr>
        <w:tabs>
          <w:tab w:val="left" w:pos="280"/>
          <w:tab w:val="left" w:pos="280"/>
        </w:tabs>
        <w:spacing w:line="300" w:lineRule="atLeast"/>
        <w:ind w:left="284" w:hanging="284"/>
        <w:jc w:val="both"/>
        <w:rPr>
          <w:i/>
          <w:sz w:val="22"/>
          <w:szCs w:val="22"/>
          <w:lang w:val="en-GB"/>
        </w:rPr>
      </w:pPr>
      <w:r>
        <w:rPr>
          <w:i/>
          <w:sz w:val="22"/>
          <w:szCs w:val="22"/>
          <w:lang w:val="en-GB"/>
        </w:rPr>
        <w:t xml:space="preserve">flat </w:t>
      </w:r>
      <w:r w:rsidRPr="005B464B">
        <w:rPr>
          <w:i/>
          <w:sz w:val="22"/>
          <w:szCs w:val="22"/>
          <w:lang w:val="en-GB"/>
        </w:rPr>
        <w:t>agent</w:t>
      </w:r>
      <w:r>
        <w:rPr>
          <w:i/>
          <w:sz w:val="22"/>
          <w:szCs w:val="22"/>
          <w:lang w:val="en-GB"/>
        </w:rPr>
        <w:t>’s</w:t>
      </w:r>
      <w:r w:rsidRPr="005B464B">
        <w:rPr>
          <w:i/>
          <w:sz w:val="22"/>
          <w:szCs w:val="22"/>
          <w:lang w:val="en-GB"/>
        </w:rPr>
        <w:t xml:space="preserve"> fee in the case of concluding an agreement on commission terms </w:t>
      </w:r>
      <w:r>
        <w:rPr>
          <w:i/>
          <w:sz w:val="22"/>
          <w:szCs w:val="22"/>
          <w:lang w:val="en-GB"/>
        </w:rPr>
        <w:t>or</w:t>
      </w:r>
      <w:r w:rsidRPr="005B464B">
        <w:rPr>
          <w:i/>
          <w:sz w:val="22"/>
          <w:szCs w:val="22"/>
          <w:lang w:val="en-GB"/>
        </w:rPr>
        <w:t xml:space="preserve"> full agent</w:t>
      </w:r>
      <w:r>
        <w:rPr>
          <w:i/>
          <w:sz w:val="22"/>
          <w:szCs w:val="22"/>
          <w:lang w:val="en-GB"/>
        </w:rPr>
        <w:t>’s</w:t>
      </w:r>
      <w:r w:rsidRPr="005B464B">
        <w:rPr>
          <w:i/>
          <w:sz w:val="22"/>
          <w:szCs w:val="22"/>
          <w:lang w:val="en-GB"/>
        </w:rPr>
        <w:t xml:space="preserve"> fee in the case of concluding an agency agreement</w:t>
      </w:r>
      <w:r>
        <w:rPr>
          <w:i/>
          <w:sz w:val="22"/>
          <w:szCs w:val="22"/>
          <w:lang w:val="en-GB"/>
        </w:rPr>
        <w:t>;</w:t>
      </w:r>
    </w:p>
    <w:p w:rsidR="00E01C90" w:rsidRPr="009B1AEE" w:rsidRDefault="00E01C90" w:rsidP="00E01C90">
      <w:pPr>
        <w:numPr>
          <w:ilvl w:val="0"/>
          <w:numId w:val="5"/>
        </w:numPr>
        <w:tabs>
          <w:tab w:val="left" w:pos="280"/>
        </w:tabs>
        <w:spacing w:line="300" w:lineRule="atLeast"/>
        <w:ind w:left="284" w:hanging="284"/>
        <w:jc w:val="both"/>
        <w:rPr>
          <w:i/>
          <w:sz w:val="22"/>
          <w:szCs w:val="22"/>
          <w:lang w:val="en-GB"/>
        </w:rPr>
      </w:pPr>
      <w:r w:rsidRPr="005B464B">
        <w:rPr>
          <w:i/>
          <w:sz w:val="22"/>
          <w:szCs w:val="22"/>
          <w:lang w:val="en-GB"/>
        </w:rPr>
        <w:t>the value of the manufactured products not categorised as sale</w:t>
      </w:r>
      <w:r>
        <w:rPr>
          <w:i/>
          <w:sz w:val="22"/>
          <w:szCs w:val="22"/>
          <w:lang w:val="en-GB"/>
        </w:rPr>
        <w:t>, but included in</w:t>
      </w:r>
      <w:r w:rsidRPr="005B464B">
        <w:rPr>
          <w:i/>
          <w:sz w:val="22"/>
          <w:szCs w:val="22"/>
          <w:lang w:val="en-GB"/>
        </w:rPr>
        <w:t xml:space="preserve"> sale</w:t>
      </w:r>
      <w:r>
        <w:rPr>
          <w:i/>
          <w:sz w:val="22"/>
          <w:szCs w:val="22"/>
          <w:lang w:val="en-GB"/>
        </w:rPr>
        <w:t>s</w:t>
      </w:r>
      <w:r w:rsidRPr="005B464B">
        <w:rPr>
          <w:i/>
          <w:sz w:val="22"/>
          <w:szCs w:val="22"/>
          <w:lang w:val="en-GB"/>
        </w:rPr>
        <w:t xml:space="preserve">, namely, the value of own </w:t>
      </w:r>
      <w:r>
        <w:rPr>
          <w:i/>
          <w:sz w:val="22"/>
          <w:szCs w:val="22"/>
          <w:lang w:val="en-GB"/>
        </w:rPr>
        <w:t>products</w:t>
      </w:r>
      <w:r w:rsidRPr="005B464B">
        <w:rPr>
          <w:i/>
          <w:sz w:val="22"/>
          <w:szCs w:val="22"/>
          <w:lang w:val="en-GB"/>
        </w:rPr>
        <w:t xml:space="preserve"> supplied to own retail sales outlets, own catering est</w:t>
      </w:r>
      <w:r>
        <w:rPr>
          <w:i/>
          <w:sz w:val="22"/>
          <w:szCs w:val="22"/>
          <w:lang w:val="en-GB"/>
        </w:rPr>
        <w:t>ablishments, own warehouses, the</w:t>
      </w:r>
      <w:r w:rsidR="00F75EBF">
        <w:rPr>
          <w:i/>
          <w:sz w:val="22"/>
          <w:szCs w:val="22"/>
          <w:lang w:val="en-GB"/>
        </w:rPr>
        <w:t xml:space="preserve"> </w:t>
      </w:r>
      <w:r w:rsidRPr="009B1AEE">
        <w:rPr>
          <w:i/>
          <w:sz w:val="22"/>
          <w:szCs w:val="22"/>
          <w:lang w:val="en-GB"/>
        </w:rPr>
        <w:t xml:space="preserve">value of benefits transferred to the social benefits fund, the value of own products (goods and services) </w:t>
      </w:r>
      <w:r w:rsidRPr="009B1AEE">
        <w:rPr>
          <w:i/>
          <w:sz w:val="22"/>
          <w:szCs w:val="22"/>
          <w:lang w:val="en-GB"/>
        </w:rPr>
        <w:lastRenderedPageBreak/>
        <w:t>manufactured and transferred for increasing the value of own fixed assets, the value of goods and services transferred free of charge for the purpose of representation and advertisement, the value of goods and</w:t>
      </w:r>
      <w:r w:rsidRPr="009B1AEE">
        <w:rPr>
          <w:sz w:val="22"/>
          <w:szCs w:val="22"/>
          <w:lang w:val="en-GB"/>
        </w:rPr>
        <w:t xml:space="preserve"> </w:t>
      </w:r>
      <w:r w:rsidRPr="009B1AEE">
        <w:rPr>
          <w:i/>
          <w:sz w:val="22"/>
          <w:szCs w:val="22"/>
          <w:lang w:val="en-GB"/>
        </w:rPr>
        <w:t>ser</w:t>
      </w:r>
      <w:r w:rsidR="007570B9">
        <w:rPr>
          <w:i/>
          <w:sz w:val="22"/>
          <w:szCs w:val="22"/>
          <w:lang w:val="en-GB"/>
        </w:rPr>
        <w:t>vices provided for the tax payer</w:t>
      </w:r>
      <w:r w:rsidRPr="009B1AEE">
        <w:rPr>
          <w:i/>
          <w:sz w:val="22"/>
          <w:szCs w:val="22"/>
          <w:lang w:val="en-GB"/>
        </w:rPr>
        <w:t>’s and staff’s personal needs as well as donations of goods and services rendered free of charge.</w:t>
      </w:r>
    </w:p>
    <w:p w:rsidR="0030545E" w:rsidRPr="005B464B" w:rsidRDefault="0030545E" w:rsidP="00E01C90">
      <w:pPr>
        <w:tabs>
          <w:tab w:val="left" w:pos="280"/>
          <w:tab w:val="left" w:pos="280"/>
        </w:tabs>
        <w:spacing w:line="160" w:lineRule="atLeast"/>
        <w:jc w:val="both"/>
        <w:rPr>
          <w:i/>
          <w:sz w:val="22"/>
          <w:szCs w:val="22"/>
          <w:lang w:val="en-GB"/>
        </w:rPr>
      </w:pPr>
    </w:p>
    <w:p w:rsidR="0030545E" w:rsidRDefault="0030545E" w:rsidP="0030545E">
      <w:pPr>
        <w:tabs>
          <w:tab w:val="left" w:pos="280"/>
          <w:tab w:val="left" w:pos="280"/>
        </w:tabs>
        <w:spacing w:line="300" w:lineRule="atLeast"/>
        <w:jc w:val="both"/>
        <w:rPr>
          <w:i/>
          <w:color w:val="000000"/>
          <w:sz w:val="22"/>
          <w:szCs w:val="22"/>
          <w:lang w:val="en-GB"/>
        </w:rPr>
      </w:pPr>
      <w:r w:rsidRPr="005B464B">
        <w:rPr>
          <w:i/>
          <w:sz w:val="22"/>
          <w:szCs w:val="22"/>
          <w:lang w:val="en-GB"/>
        </w:rPr>
        <w:tab/>
        <w:t>5</w:t>
      </w:r>
      <w:r w:rsidRPr="005B464B">
        <w:rPr>
          <w:i/>
          <w:color w:val="000000"/>
          <w:sz w:val="22"/>
          <w:szCs w:val="22"/>
          <w:lang w:val="en-GB"/>
        </w:rPr>
        <w:t xml:space="preserve">. Data on the value of sold production of </w:t>
      </w:r>
      <w:r>
        <w:rPr>
          <w:i/>
          <w:color w:val="000000"/>
          <w:sz w:val="22"/>
          <w:szCs w:val="22"/>
          <w:lang w:val="en-GB"/>
        </w:rPr>
        <w:t xml:space="preserve">the </w:t>
      </w:r>
      <w:r w:rsidRPr="005B464B">
        <w:rPr>
          <w:i/>
          <w:color w:val="000000"/>
          <w:sz w:val="22"/>
          <w:szCs w:val="22"/>
          <w:lang w:val="en-GB"/>
        </w:rPr>
        <w:t xml:space="preserve">industry </w:t>
      </w:r>
      <w:r>
        <w:rPr>
          <w:i/>
          <w:color w:val="000000"/>
          <w:sz w:val="22"/>
          <w:szCs w:val="22"/>
          <w:lang w:val="en-GB"/>
        </w:rPr>
        <w:t>are presented without value added tax</w:t>
      </w:r>
      <w:r w:rsidRPr="005B464B">
        <w:rPr>
          <w:i/>
          <w:color w:val="000000"/>
          <w:sz w:val="22"/>
          <w:szCs w:val="22"/>
          <w:lang w:val="en-GB"/>
        </w:rPr>
        <w:t xml:space="preserve"> </w:t>
      </w:r>
      <w:r>
        <w:rPr>
          <w:i/>
          <w:color w:val="000000"/>
          <w:sz w:val="22"/>
          <w:szCs w:val="22"/>
          <w:lang w:val="en-GB"/>
        </w:rPr>
        <w:t>(</w:t>
      </w:r>
      <w:r w:rsidRPr="005B464B">
        <w:rPr>
          <w:i/>
          <w:color w:val="000000"/>
          <w:sz w:val="22"/>
          <w:szCs w:val="22"/>
          <w:lang w:val="en-GB"/>
        </w:rPr>
        <w:t>VAT</w:t>
      </w:r>
      <w:r>
        <w:rPr>
          <w:i/>
          <w:color w:val="000000"/>
          <w:sz w:val="22"/>
          <w:szCs w:val="22"/>
          <w:lang w:val="en-GB"/>
        </w:rPr>
        <w:t>)</w:t>
      </w:r>
      <w:r w:rsidRPr="005B464B">
        <w:rPr>
          <w:i/>
          <w:color w:val="000000"/>
          <w:sz w:val="22"/>
          <w:szCs w:val="22"/>
          <w:lang w:val="en-GB"/>
        </w:rPr>
        <w:t xml:space="preserve"> and </w:t>
      </w:r>
      <w:r w:rsidR="00237B3D">
        <w:rPr>
          <w:i/>
          <w:color w:val="000000"/>
          <w:sz w:val="22"/>
          <w:szCs w:val="22"/>
          <w:lang w:val="en-GB"/>
        </w:rPr>
        <w:t xml:space="preserve">the </w:t>
      </w:r>
      <w:r w:rsidRPr="005B464B">
        <w:rPr>
          <w:i/>
          <w:color w:val="000000"/>
          <w:sz w:val="22"/>
          <w:szCs w:val="22"/>
          <w:lang w:val="en-GB"/>
        </w:rPr>
        <w:t xml:space="preserve">excise tax, but including the value of subsidies </w:t>
      </w:r>
      <w:r>
        <w:rPr>
          <w:i/>
          <w:color w:val="000000"/>
          <w:sz w:val="22"/>
          <w:szCs w:val="22"/>
          <w:lang w:val="en-GB"/>
        </w:rPr>
        <w:t>on</w:t>
      </w:r>
      <w:r w:rsidRPr="005B464B">
        <w:rPr>
          <w:i/>
          <w:color w:val="000000"/>
          <w:sz w:val="22"/>
          <w:szCs w:val="22"/>
          <w:lang w:val="en-GB"/>
        </w:rPr>
        <w:t xml:space="preserve"> products and services,</w:t>
      </w:r>
      <w:r>
        <w:rPr>
          <w:i/>
          <w:color w:val="000000"/>
          <w:sz w:val="22"/>
          <w:szCs w:val="22"/>
          <w:lang w:val="en-GB"/>
        </w:rPr>
        <w:t xml:space="preserve"> </w:t>
      </w:r>
      <w:r w:rsidRPr="005B464B">
        <w:rPr>
          <w:i/>
          <w:color w:val="000000"/>
          <w:sz w:val="22"/>
          <w:szCs w:val="22"/>
          <w:lang w:val="en-GB"/>
        </w:rPr>
        <w:t xml:space="preserve">in so-called basic prices. </w:t>
      </w:r>
    </w:p>
    <w:p w:rsidR="0030545E" w:rsidRPr="005B464B" w:rsidRDefault="0030545E" w:rsidP="0030545E">
      <w:pPr>
        <w:tabs>
          <w:tab w:val="left" w:pos="280"/>
          <w:tab w:val="left" w:pos="280"/>
        </w:tabs>
        <w:spacing w:line="300" w:lineRule="atLeast"/>
        <w:jc w:val="both"/>
        <w:rPr>
          <w:i/>
          <w:color w:val="000000"/>
          <w:sz w:val="22"/>
          <w:szCs w:val="22"/>
          <w:lang w:val="en-GB"/>
        </w:rPr>
      </w:pPr>
    </w:p>
    <w:p w:rsidR="0030545E" w:rsidRPr="0030545E" w:rsidRDefault="0030545E" w:rsidP="0030545E">
      <w:pPr>
        <w:spacing w:line="300" w:lineRule="atLeast"/>
        <w:jc w:val="both"/>
        <w:rPr>
          <w:i/>
          <w:iCs/>
          <w:sz w:val="22"/>
          <w:szCs w:val="22"/>
          <w:lang w:val="en-US"/>
        </w:rPr>
      </w:pPr>
      <w:r w:rsidRPr="0030545E">
        <w:rPr>
          <w:bCs/>
          <w:i/>
          <w:iCs/>
          <w:sz w:val="22"/>
          <w:szCs w:val="22"/>
          <w:lang w:val="en-US"/>
        </w:rPr>
        <w:t xml:space="preserve">     6</w:t>
      </w:r>
      <w:r w:rsidR="005322E0">
        <w:rPr>
          <w:bCs/>
          <w:i/>
          <w:iCs/>
          <w:sz w:val="22"/>
          <w:szCs w:val="22"/>
          <w:lang w:val="en-US"/>
        </w:rPr>
        <w:t>.</w:t>
      </w:r>
      <w:r w:rsidRPr="0030545E">
        <w:rPr>
          <w:b/>
          <w:i/>
          <w:iCs/>
          <w:sz w:val="22"/>
          <w:szCs w:val="22"/>
          <w:lang w:val="en-US"/>
        </w:rPr>
        <w:t xml:space="preserve"> Indicator of new orders in industry </w:t>
      </w:r>
      <w:r w:rsidRPr="0030545E">
        <w:rPr>
          <w:i/>
          <w:iCs/>
          <w:sz w:val="22"/>
          <w:szCs w:val="22"/>
          <w:lang w:val="en-US"/>
        </w:rPr>
        <w:t>serves to assess the future production and shows development of demand for industrial products (goods and services) in the selected divisions of the ’’Manufa</w:t>
      </w:r>
      <w:r w:rsidRPr="0030545E">
        <w:rPr>
          <w:sz w:val="22"/>
          <w:szCs w:val="22"/>
          <w:lang w:val="en-US"/>
        </w:rPr>
        <w:t>c</w:t>
      </w:r>
      <w:r w:rsidRPr="0030545E">
        <w:rPr>
          <w:i/>
          <w:iCs/>
          <w:sz w:val="22"/>
          <w:szCs w:val="22"/>
          <w:lang w:val="en-US"/>
        </w:rPr>
        <w:t xml:space="preserve">turing’’ section </w:t>
      </w:r>
      <w:r w:rsidR="00114AB1">
        <w:rPr>
          <w:i/>
          <w:iCs/>
          <w:sz w:val="22"/>
          <w:szCs w:val="22"/>
          <w:lang w:val="en-US"/>
        </w:rPr>
        <w:t xml:space="preserve">- </w:t>
      </w:r>
      <w:r w:rsidRPr="0030545E">
        <w:rPr>
          <w:i/>
          <w:iCs/>
          <w:sz w:val="22"/>
          <w:szCs w:val="22"/>
          <w:lang w:val="en-US"/>
        </w:rPr>
        <w:t xml:space="preserve">divisions no. 13, 14, 17, 20, 21, 24 </w:t>
      </w:r>
      <w:r w:rsidR="00506B48">
        <w:rPr>
          <w:i/>
          <w:iCs/>
          <w:sz w:val="22"/>
          <w:szCs w:val="22"/>
          <w:lang w:val="en-US"/>
        </w:rPr>
        <w:t xml:space="preserve">- </w:t>
      </w:r>
      <w:r w:rsidRPr="0030545E">
        <w:rPr>
          <w:i/>
          <w:iCs/>
          <w:sz w:val="22"/>
          <w:szCs w:val="22"/>
          <w:lang w:val="en-US"/>
        </w:rPr>
        <w:t xml:space="preserve">30 </w:t>
      </w:r>
      <w:r w:rsidR="00336ABA">
        <w:rPr>
          <w:i/>
          <w:iCs/>
          <w:sz w:val="22"/>
          <w:szCs w:val="22"/>
          <w:lang w:val="en-US"/>
        </w:rPr>
        <w:t>according to the</w:t>
      </w:r>
      <w:r w:rsidRPr="0030545E">
        <w:rPr>
          <w:i/>
          <w:iCs/>
          <w:sz w:val="22"/>
          <w:szCs w:val="22"/>
          <w:lang w:val="en-US"/>
        </w:rPr>
        <w:t xml:space="preserve"> NACE 2007. New orders in industry are defined as the value of contracts (without value added tax – VAT) binding on a producer and a third party in respect of supply of products (goods and services).</w:t>
      </w:r>
    </w:p>
    <w:p w:rsidR="0030545E" w:rsidRPr="0030545E" w:rsidRDefault="0030545E" w:rsidP="0030545E">
      <w:pPr>
        <w:spacing w:line="300" w:lineRule="atLeast"/>
        <w:jc w:val="both"/>
        <w:rPr>
          <w:sz w:val="22"/>
          <w:szCs w:val="22"/>
          <w:lang w:val="en-US"/>
        </w:rPr>
      </w:pPr>
    </w:p>
    <w:p w:rsidR="0030545E" w:rsidRPr="00AE4A8C" w:rsidRDefault="0030545E" w:rsidP="0030545E">
      <w:pPr>
        <w:pStyle w:val="Normalny12"/>
        <w:rPr>
          <w:sz w:val="22"/>
          <w:szCs w:val="22"/>
        </w:rPr>
      </w:pPr>
      <w:r>
        <w:rPr>
          <w:sz w:val="22"/>
          <w:szCs w:val="22"/>
        </w:rPr>
        <w:t xml:space="preserve">     7</w:t>
      </w:r>
      <w:r w:rsidRPr="008905F3">
        <w:rPr>
          <w:sz w:val="22"/>
          <w:szCs w:val="22"/>
        </w:rPr>
        <w:t>.</w:t>
      </w:r>
      <w:r w:rsidRPr="00AE4A8C">
        <w:rPr>
          <w:b/>
          <w:sz w:val="22"/>
          <w:szCs w:val="22"/>
        </w:rPr>
        <w:t xml:space="preserve"> </w:t>
      </w:r>
      <w:r w:rsidRPr="00087477">
        <w:rPr>
          <w:b/>
          <w:sz w:val="22"/>
          <w:szCs w:val="22"/>
        </w:rPr>
        <w:t>Turnover</w:t>
      </w:r>
      <w:r>
        <w:rPr>
          <w:b/>
          <w:sz w:val="22"/>
          <w:szCs w:val="22"/>
        </w:rPr>
        <w:t xml:space="preserve"> of</w:t>
      </w:r>
      <w:r w:rsidRPr="00087477">
        <w:rPr>
          <w:b/>
          <w:iCs/>
          <w:sz w:val="22"/>
          <w:szCs w:val="22"/>
        </w:rPr>
        <w:t xml:space="preserve"> industry</w:t>
      </w:r>
      <w:r>
        <w:rPr>
          <w:b/>
          <w:i w:val="0"/>
          <w:iCs/>
          <w:sz w:val="22"/>
          <w:szCs w:val="22"/>
        </w:rPr>
        <w:t xml:space="preserve"> </w:t>
      </w:r>
      <w:r w:rsidRPr="00AE4A8C">
        <w:rPr>
          <w:sz w:val="22"/>
          <w:szCs w:val="22"/>
        </w:rPr>
        <w:t xml:space="preserve">concerns the total activity of an economic entity, i.e. both industrial and non-industrial </w:t>
      </w:r>
      <w:r>
        <w:rPr>
          <w:sz w:val="22"/>
          <w:szCs w:val="22"/>
        </w:rPr>
        <w:t xml:space="preserve">activity and </w:t>
      </w:r>
      <w:r w:rsidRPr="00AE4A8C">
        <w:rPr>
          <w:sz w:val="22"/>
          <w:szCs w:val="22"/>
        </w:rPr>
        <w:t>includes:</w:t>
      </w:r>
    </w:p>
    <w:p w:rsidR="0030545E" w:rsidRPr="00AE4A8C" w:rsidRDefault="0030545E" w:rsidP="0030545E">
      <w:pPr>
        <w:pStyle w:val="Normalny12"/>
        <w:ind w:left="284" w:hanging="284"/>
        <w:rPr>
          <w:sz w:val="22"/>
          <w:szCs w:val="22"/>
        </w:rPr>
      </w:pPr>
      <w:r w:rsidRPr="00AE4A8C">
        <w:rPr>
          <w:sz w:val="22"/>
          <w:szCs w:val="22"/>
        </w:rPr>
        <w:t xml:space="preserve">1) net revenues from sale of products </w:t>
      </w:r>
      <w:r w:rsidRPr="005B464B">
        <w:rPr>
          <w:sz w:val="22"/>
          <w:szCs w:val="22"/>
        </w:rPr>
        <w:t xml:space="preserve">within country and for export </w:t>
      </w:r>
      <w:r>
        <w:rPr>
          <w:sz w:val="22"/>
          <w:szCs w:val="22"/>
        </w:rPr>
        <w:t xml:space="preserve">which have been </w:t>
      </w:r>
      <w:r w:rsidRPr="00AE4A8C">
        <w:rPr>
          <w:sz w:val="22"/>
          <w:szCs w:val="22"/>
        </w:rPr>
        <w:t xml:space="preserve">manufactured by </w:t>
      </w:r>
      <w:r>
        <w:rPr>
          <w:sz w:val="22"/>
          <w:szCs w:val="22"/>
        </w:rPr>
        <w:t>an</w:t>
      </w:r>
      <w:r w:rsidRPr="00AE4A8C">
        <w:rPr>
          <w:sz w:val="22"/>
          <w:szCs w:val="22"/>
        </w:rPr>
        <w:t xml:space="preserve"> entity (</w:t>
      </w:r>
      <w:r>
        <w:rPr>
          <w:sz w:val="22"/>
          <w:szCs w:val="22"/>
        </w:rPr>
        <w:t xml:space="preserve">finished </w:t>
      </w:r>
      <w:r w:rsidRPr="00AE4A8C">
        <w:rPr>
          <w:sz w:val="22"/>
          <w:szCs w:val="22"/>
        </w:rPr>
        <w:t xml:space="preserve">goods, semi-finished goods and services) as well as packaging, equipment and </w:t>
      </w:r>
      <w:r>
        <w:rPr>
          <w:sz w:val="22"/>
          <w:szCs w:val="22"/>
        </w:rPr>
        <w:t xml:space="preserve">external </w:t>
      </w:r>
      <w:r w:rsidR="00C7047C">
        <w:rPr>
          <w:sz w:val="22"/>
          <w:szCs w:val="22"/>
        </w:rPr>
        <w:t>services if </w:t>
      </w:r>
      <w:r>
        <w:rPr>
          <w:sz w:val="22"/>
          <w:szCs w:val="22"/>
        </w:rPr>
        <w:t xml:space="preserve">they are </w:t>
      </w:r>
      <w:r w:rsidRPr="00AE4A8C">
        <w:rPr>
          <w:sz w:val="22"/>
          <w:szCs w:val="22"/>
        </w:rPr>
        <w:t xml:space="preserve">invoiced </w:t>
      </w:r>
      <w:r>
        <w:rPr>
          <w:sz w:val="22"/>
          <w:szCs w:val="22"/>
        </w:rPr>
        <w:t xml:space="preserve">to </w:t>
      </w:r>
      <w:r w:rsidRPr="00AE4A8C">
        <w:rPr>
          <w:sz w:val="22"/>
          <w:szCs w:val="22"/>
        </w:rPr>
        <w:t xml:space="preserve">the customers together with products; </w:t>
      </w:r>
    </w:p>
    <w:p w:rsidR="0030545E" w:rsidRPr="00AE4A8C" w:rsidRDefault="0030545E" w:rsidP="0030545E">
      <w:pPr>
        <w:pStyle w:val="Normalny12"/>
        <w:ind w:left="284" w:hanging="284"/>
        <w:rPr>
          <w:sz w:val="22"/>
          <w:szCs w:val="22"/>
        </w:rPr>
      </w:pPr>
      <w:r w:rsidRPr="00AE4A8C">
        <w:rPr>
          <w:sz w:val="22"/>
          <w:szCs w:val="22"/>
        </w:rPr>
        <w:t xml:space="preserve">2) revenues from sale of goods and materials </w:t>
      </w:r>
      <w:r>
        <w:rPr>
          <w:sz w:val="22"/>
          <w:szCs w:val="22"/>
        </w:rPr>
        <w:t>(</w:t>
      </w:r>
      <w:r w:rsidRPr="00AE4A8C">
        <w:rPr>
          <w:sz w:val="22"/>
          <w:szCs w:val="22"/>
        </w:rPr>
        <w:t xml:space="preserve">i.e. </w:t>
      </w:r>
      <w:r w:rsidR="00487B0C">
        <w:rPr>
          <w:sz w:val="22"/>
          <w:szCs w:val="22"/>
        </w:rPr>
        <w:t xml:space="preserve">tangible </w:t>
      </w:r>
      <w:r w:rsidRPr="00AE4A8C">
        <w:rPr>
          <w:sz w:val="22"/>
          <w:szCs w:val="22"/>
        </w:rPr>
        <w:t xml:space="preserve">current assets purchased for resale in a non-processed condition and products manufactured by the entity if they are sold </w:t>
      </w:r>
      <w:r>
        <w:rPr>
          <w:sz w:val="22"/>
          <w:szCs w:val="22"/>
        </w:rPr>
        <w:t>in its own</w:t>
      </w:r>
      <w:r w:rsidRPr="00AE4A8C">
        <w:rPr>
          <w:sz w:val="22"/>
          <w:szCs w:val="22"/>
        </w:rPr>
        <w:t xml:space="preserve"> shops network along with goods manufactured by other </w:t>
      </w:r>
      <w:r>
        <w:rPr>
          <w:sz w:val="22"/>
          <w:szCs w:val="22"/>
        </w:rPr>
        <w:t>producers)</w:t>
      </w:r>
      <w:r w:rsidRPr="00AE4A8C">
        <w:rPr>
          <w:sz w:val="22"/>
          <w:szCs w:val="22"/>
        </w:rPr>
        <w:t>.</w:t>
      </w:r>
    </w:p>
    <w:p w:rsidR="0030545E" w:rsidRDefault="0030545E" w:rsidP="0030545E">
      <w:pPr>
        <w:pStyle w:val="Tekstpodstawowy"/>
        <w:spacing w:line="300" w:lineRule="atLeast"/>
        <w:rPr>
          <w:i/>
          <w:color w:val="000000"/>
          <w:sz w:val="22"/>
          <w:szCs w:val="22"/>
          <w:lang w:val="en-GB"/>
        </w:rPr>
      </w:pPr>
      <w:r w:rsidRPr="00891A77">
        <w:rPr>
          <w:i/>
          <w:color w:val="000000"/>
          <w:sz w:val="22"/>
          <w:szCs w:val="22"/>
          <w:lang w:val="en-GB"/>
        </w:rPr>
        <w:t xml:space="preserve">Data on the value of </w:t>
      </w:r>
      <w:r>
        <w:rPr>
          <w:i/>
          <w:color w:val="000000"/>
          <w:sz w:val="22"/>
          <w:szCs w:val="22"/>
          <w:lang w:val="en-GB"/>
        </w:rPr>
        <w:t xml:space="preserve">turnover </w:t>
      </w:r>
      <w:r w:rsidRPr="00891A77">
        <w:rPr>
          <w:i/>
          <w:color w:val="000000"/>
          <w:sz w:val="22"/>
          <w:szCs w:val="22"/>
          <w:lang w:val="en-GB"/>
        </w:rPr>
        <w:t xml:space="preserve">of </w:t>
      </w:r>
      <w:r>
        <w:rPr>
          <w:i/>
          <w:color w:val="000000"/>
          <w:sz w:val="22"/>
          <w:szCs w:val="22"/>
          <w:lang w:val="en-GB"/>
        </w:rPr>
        <w:t>the industry are presented without value added tax</w:t>
      </w:r>
      <w:r w:rsidRPr="00891A77">
        <w:rPr>
          <w:i/>
          <w:color w:val="000000"/>
          <w:sz w:val="22"/>
          <w:szCs w:val="22"/>
          <w:lang w:val="en-GB"/>
        </w:rPr>
        <w:t xml:space="preserve"> </w:t>
      </w:r>
      <w:r>
        <w:rPr>
          <w:i/>
          <w:color w:val="000000"/>
          <w:sz w:val="22"/>
          <w:szCs w:val="22"/>
          <w:lang w:val="en-GB"/>
        </w:rPr>
        <w:t>(</w:t>
      </w:r>
      <w:r w:rsidRPr="00891A77">
        <w:rPr>
          <w:i/>
          <w:color w:val="000000"/>
          <w:sz w:val="22"/>
          <w:szCs w:val="22"/>
          <w:lang w:val="en-GB"/>
        </w:rPr>
        <w:t>VAT</w:t>
      </w:r>
      <w:r>
        <w:rPr>
          <w:i/>
          <w:color w:val="000000"/>
          <w:sz w:val="22"/>
          <w:szCs w:val="22"/>
          <w:lang w:val="en-GB"/>
        </w:rPr>
        <w:t>)</w:t>
      </w:r>
      <w:r w:rsidRPr="00891A77">
        <w:rPr>
          <w:i/>
          <w:color w:val="000000"/>
          <w:sz w:val="22"/>
          <w:szCs w:val="22"/>
          <w:lang w:val="en-GB"/>
        </w:rPr>
        <w:t xml:space="preserve"> and excise tax.</w:t>
      </w:r>
    </w:p>
    <w:p w:rsidR="0030545E" w:rsidRDefault="0030545E" w:rsidP="0030545E">
      <w:pPr>
        <w:pStyle w:val="Normalny12"/>
        <w:rPr>
          <w:sz w:val="22"/>
          <w:szCs w:val="22"/>
        </w:rPr>
      </w:pPr>
    </w:p>
    <w:p w:rsidR="0030545E" w:rsidRPr="005B464B" w:rsidRDefault="0030545E" w:rsidP="0030545E">
      <w:pPr>
        <w:pStyle w:val="Normalny12"/>
        <w:rPr>
          <w:sz w:val="22"/>
          <w:szCs w:val="22"/>
        </w:rPr>
      </w:pPr>
      <w:r w:rsidRPr="005B464B">
        <w:rPr>
          <w:sz w:val="22"/>
          <w:szCs w:val="22"/>
        </w:rPr>
        <w:tab/>
      </w:r>
      <w:r>
        <w:rPr>
          <w:sz w:val="22"/>
          <w:szCs w:val="22"/>
        </w:rPr>
        <w:t xml:space="preserve"> 8</w:t>
      </w:r>
      <w:r w:rsidRPr="005B464B">
        <w:rPr>
          <w:sz w:val="22"/>
          <w:szCs w:val="22"/>
        </w:rPr>
        <w:t xml:space="preserve">. </w:t>
      </w:r>
      <w:r w:rsidRPr="005B464B">
        <w:rPr>
          <w:b/>
          <w:sz w:val="22"/>
          <w:szCs w:val="22"/>
        </w:rPr>
        <w:t>Average monthly nominal wage and salary</w:t>
      </w:r>
      <w:r w:rsidRPr="005B464B">
        <w:rPr>
          <w:sz w:val="22"/>
          <w:szCs w:val="22"/>
        </w:rPr>
        <w:t xml:space="preserve"> per employee are computed assuming the following: personal wages and salaries (excluding wages and salaries of outworkers and apprentices as well as persons employed abroad), payments </w:t>
      </w:r>
      <w:r w:rsidR="00487B0C">
        <w:rPr>
          <w:sz w:val="22"/>
          <w:szCs w:val="22"/>
        </w:rPr>
        <w:t>due to share in</w:t>
      </w:r>
      <w:r w:rsidRPr="005B464B">
        <w:rPr>
          <w:sz w:val="22"/>
          <w:szCs w:val="22"/>
        </w:rPr>
        <w:t xml:space="preserve"> profit or the balance surplus </w:t>
      </w:r>
      <w:r>
        <w:rPr>
          <w:sz w:val="22"/>
          <w:szCs w:val="22"/>
        </w:rPr>
        <w:t>in</w:t>
      </w:r>
      <w:r w:rsidRPr="005B464B">
        <w:rPr>
          <w:sz w:val="22"/>
          <w:szCs w:val="22"/>
        </w:rPr>
        <w:t xml:space="preserve"> co</w:t>
      </w:r>
      <w:r>
        <w:rPr>
          <w:sz w:val="22"/>
          <w:szCs w:val="22"/>
        </w:rPr>
        <w:t>-</w:t>
      </w:r>
      <w:r w:rsidRPr="005B464B">
        <w:rPr>
          <w:sz w:val="22"/>
          <w:szCs w:val="22"/>
        </w:rPr>
        <w:t xml:space="preserve">operatives, </w:t>
      </w:r>
      <w:r>
        <w:rPr>
          <w:sz w:val="22"/>
          <w:szCs w:val="22"/>
        </w:rPr>
        <w:t>extra</w:t>
      </w:r>
      <w:r w:rsidRPr="005B464B">
        <w:rPr>
          <w:sz w:val="22"/>
          <w:szCs w:val="22"/>
        </w:rPr>
        <w:t xml:space="preserve"> annual wages and salaries for employees of budget</w:t>
      </w:r>
      <w:r>
        <w:rPr>
          <w:sz w:val="22"/>
          <w:szCs w:val="22"/>
        </w:rPr>
        <w:t>ary</w:t>
      </w:r>
      <w:r w:rsidRPr="005B464B">
        <w:rPr>
          <w:sz w:val="22"/>
          <w:szCs w:val="22"/>
        </w:rPr>
        <w:t xml:space="preserve"> sphere entities, fees paid to selected groups of employees for performing work in accordance with labour contract. </w:t>
      </w:r>
    </w:p>
    <w:p w:rsidR="0030545E" w:rsidRPr="005B464B" w:rsidRDefault="0030545E" w:rsidP="0030545E">
      <w:pPr>
        <w:pStyle w:val="Normalny12"/>
        <w:rPr>
          <w:sz w:val="22"/>
          <w:szCs w:val="22"/>
        </w:rPr>
      </w:pPr>
      <w:r w:rsidRPr="005B464B">
        <w:rPr>
          <w:sz w:val="22"/>
          <w:szCs w:val="22"/>
        </w:rPr>
        <w:tab/>
        <w:t xml:space="preserve">Data on average monthly wages and salaries </w:t>
      </w:r>
      <w:r>
        <w:rPr>
          <w:sz w:val="22"/>
          <w:szCs w:val="22"/>
        </w:rPr>
        <w:t>are</w:t>
      </w:r>
      <w:r w:rsidRPr="005B464B">
        <w:rPr>
          <w:sz w:val="22"/>
          <w:szCs w:val="22"/>
        </w:rPr>
        <w:t xml:space="preserve"> presented in gross terms.</w:t>
      </w:r>
    </w:p>
    <w:p w:rsidR="0030545E" w:rsidRPr="005B464B" w:rsidRDefault="0030545E" w:rsidP="0030545E">
      <w:pPr>
        <w:pStyle w:val="Tekstpodstawowy"/>
        <w:tabs>
          <w:tab w:val="left" w:pos="284"/>
        </w:tabs>
        <w:spacing w:line="300" w:lineRule="atLeast"/>
        <w:rPr>
          <w:i/>
          <w:sz w:val="22"/>
          <w:szCs w:val="22"/>
          <w:lang w:val="en-GB"/>
        </w:rPr>
      </w:pPr>
    </w:p>
    <w:p w:rsidR="0030545E" w:rsidRPr="005C0EB3" w:rsidRDefault="0030545E" w:rsidP="0030545E">
      <w:pPr>
        <w:tabs>
          <w:tab w:val="left" w:pos="280"/>
          <w:tab w:val="left" w:pos="280"/>
        </w:tabs>
        <w:spacing w:line="300" w:lineRule="atLeast"/>
        <w:jc w:val="both"/>
        <w:rPr>
          <w:i/>
          <w:sz w:val="22"/>
          <w:szCs w:val="22"/>
          <w:lang w:val="en-GB"/>
        </w:rPr>
      </w:pPr>
      <w:r w:rsidRPr="005B464B">
        <w:rPr>
          <w:i/>
          <w:sz w:val="22"/>
          <w:szCs w:val="22"/>
          <w:lang w:val="en-GB"/>
        </w:rPr>
        <w:tab/>
      </w:r>
      <w:r>
        <w:rPr>
          <w:i/>
          <w:sz w:val="22"/>
          <w:szCs w:val="22"/>
          <w:lang w:val="en-GB"/>
        </w:rPr>
        <w:t>9</w:t>
      </w:r>
      <w:r w:rsidRPr="005B464B">
        <w:rPr>
          <w:i/>
          <w:sz w:val="22"/>
          <w:szCs w:val="22"/>
          <w:lang w:val="en-GB"/>
        </w:rPr>
        <w:t xml:space="preserve">. </w:t>
      </w:r>
      <w:r w:rsidRPr="005C0EB3">
        <w:rPr>
          <w:b/>
          <w:i/>
          <w:sz w:val="22"/>
          <w:szCs w:val="22"/>
          <w:lang w:val="en-GB"/>
        </w:rPr>
        <w:t xml:space="preserve">Time worked </w:t>
      </w:r>
      <w:r w:rsidRPr="005C0EB3">
        <w:rPr>
          <w:i/>
          <w:sz w:val="22"/>
          <w:szCs w:val="22"/>
          <w:lang w:val="en-GB"/>
        </w:rPr>
        <w:t xml:space="preserve">is the time </w:t>
      </w:r>
      <w:r>
        <w:rPr>
          <w:i/>
          <w:sz w:val="22"/>
          <w:szCs w:val="22"/>
          <w:lang w:val="en-GB"/>
        </w:rPr>
        <w:t xml:space="preserve">spent in </w:t>
      </w:r>
      <w:r w:rsidRPr="005C0EB3">
        <w:rPr>
          <w:i/>
          <w:sz w:val="22"/>
          <w:szCs w:val="22"/>
          <w:lang w:val="en-GB"/>
        </w:rPr>
        <w:t xml:space="preserve">service in normal </w:t>
      </w:r>
      <w:r>
        <w:rPr>
          <w:i/>
          <w:sz w:val="22"/>
          <w:szCs w:val="22"/>
          <w:lang w:val="en-GB"/>
        </w:rPr>
        <w:t>hours’ work,</w:t>
      </w:r>
      <w:r w:rsidRPr="005C0EB3">
        <w:rPr>
          <w:i/>
          <w:sz w:val="22"/>
          <w:szCs w:val="22"/>
          <w:lang w:val="en-GB"/>
        </w:rPr>
        <w:t xml:space="preserve"> i</w:t>
      </w:r>
      <w:r>
        <w:rPr>
          <w:i/>
          <w:sz w:val="22"/>
          <w:szCs w:val="22"/>
          <w:lang w:val="en-GB"/>
        </w:rPr>
        <w:t>.</w:t>
      </w:r>
      <w:r w:rsidRPr="005C0EB3">
        <w:rPr>
          <w:i/>
          <w:sz w:val="22"/>
          <w:szCs w:val="22"/>
          <w:lang w:val="en-GB"/>
        </w:rPr>
        <w:t>e</w:t>
      </w:r>
      <w:r>
        <w:rPr>
          <w:i/>
          <w:sz w:val="22"/>
          <w:szCs w:val="22"/>
          <w:lang w:val="en-GB"/>
        </w:rPr>
        <w:t>.</w:t>
      </w:r>
      <w:r w:rsidRPr="005C0EB3">
        <w:rPr>
          <w:i/>
          <w:sz w:val="22"/>
          <w:szCs w:val="22"/>
          <w:lang w:val="en-GB"/>
        </w:rPr>
        <w:t xml:space="preserve"> </w:t>
      </w:r>
      <w:r>
        <w:rPr>
          <w:i/>
          <w:sz w:val="22"/>
          <w:szCs w:val="22"/>
          <w:lang w:val="en-GB"/>
        </w:rPr>
        <w:t>during the working hours applicable for a given group of employees</w:t>
      </w:r>
      <w:r w:rsidRPr="005C0EB3">
        <w:rPr>
          <w:i/>
          <w:sz w:val="22"/>
          <w:szCs w:val="22"/>
          <w:lang w:val="en-GB"/>
        </w:rPr>
        <w:t xml:space="preserve"> and overtime, i</w:t>
      </w:r>
      <w:r>
        <w:rPr>
          <w:i/>
          <w:sz w:val="22"/>
          <w:szCs w:val="22"/>
          <w:lang w:val="en-GB"/>
        </w:rPr>
        <w:t>.</w:t>
      </w:r>
      <w:r w:rsidRPr="005C0EB3">
        <w:rPr>
          <w:i/>
          <w:sz w:val="22"/>
          <w:szCs w:val="22"/>
          <w:lang w:val="en-GB"/>
        </w:rPr>
        <w:t>e</w:t>
      </w:r>
      <w:r>
        <w:rPr>
          <w:i/>
          <w:sz w:val="22"/>
          <w:szCs w:val="22"/>
          <w:lang w:val="en-GB"/>
        </w:rPr>
        <w:t>.</w:t>
      </w:r>
      <w:r w:rsidRPr="005C0EB3">
        <w:rPr>
          <w:i/>
          <w:sz w:val="22"/>
          <w:szCs w:val="22"/>
          <w:lang w:val="en-GB"/>
        </w:rPr>
        <w:t xml:space="preserve"> time worked over an employee's statutory standard working hours.</w:t>
      </w:r>
    </w:p>
    <w:p w:rsidR="0030545E" w:rsidRDefault="0030545E" w:rsidP="0030545E">
      <w:pPr>
        <w:tabs>
          <w:tab w:val="left" w:pos="280"/>
          <w:tab w:val="left" w:pos="280"/>
        </w:tabs>
        <w:spacing w:line="300" w:lineRule="atLeast"/>
        <w:jc w:val="both"/>
        <w:rPr>
          <w:i/>
          <w:sz w:val="22"/>
          <w:szCs w:val="22"/>
          <w:lang w:val="en-GB"/>
        </w:rPr>
      </w:pPr>
    </w:p>
    <w:p w:rsidR="0030545E" w:rsidRDefault="0030545E" w:rsidP="0030545E">
      <w:pPr>
        <w:pStyle w:val="Tekstpodstawowy"/>
        <w:tabs>
          <w:tab w:val="left" w:pos="284"/>
        </w:tabs>
        <w:spacing w:line="300" w:lineRule="atLeast"/>
        <w:rPr>
          <w:i/>
          <w:color w:val="000000"/>
          <w:sz w:val="22"/>
          <w:szCs w:val="22"/>
          <w:lang w:val="en-GB"/>
        </w:rPr>
      </w:pPr>
      <w:r w:rsidRPr="005B464B">
        <w:rPr>
          <w:i/>
          <w:sz w:val="22"/>
          <w:szCs w:val="22"/>
          <w:lang w:val="en-GB"/>
        </w:rPr>
        <w:tab/>
      </w:r>
      <w:r>
        <w:rPr>
          <w:i/>
          <w:sz w:val="22"/>
          <w:szCs w:val="22"/>
          <w:lang w:val="en-GB"/>
        </w:rPr>
        <w:t>10</w:t>
      </w:r>
      <w:r w:rsidRPr="005B464B">
        <w:rPr>
          <w:i/>
          <w:sz w:val="22"/>
          <w:szCs w:val="22"/>
          <w:lang w:val="en-GB"/>
        </w:rPr>
        <w:t xml:space="preserve">. </w:t>
      </w:r>
      <w:r w:rsidRPr="005B464B">
        <w:rPr>
          <w:b/>
          <w:i/>
          <w:sz w:val="22"/>
          <w:szCs w:val="22"/>
          <w:lang w:val="en-GB"/>
        </w:rPr>
        <w:t>Price indices of sold production of industry</w:t>
      </w:r>
      <w:r w:rsidRPr="005B464B">
        <w:rPr>
          <w:i/>
          <w:sz w:val="22"/>
          <w:szCs w:val="22"/>
          <w:lang w:val="en-GB"/>
        </w:rPr>
        <w:t xml:space="preserve"> are calculated on the basis of monthly representati</w:t>
      </w:r>
      <w:r>
        <w:rPr>
          <w:i/>
          <w:sz w:val="22"/>
          <w:szCs w:val="22"/>
          <w:lang w:val="en-GB"/>
        </w:rPr>
        <w:t>ve</w:t>
      </w:r>
      <w:r w:rsidRPr="005B464B">
        <w:rPr>
          <w:i/>
          <w:sz w:val="22"/>
          <w:szCs w:val="22"/>
          <w:lang w:val="en-GB"/>
        </w:rPr>
        <w:t xml:space="preserve"> survey on prices of products and services actually received by specifically selected economic un</w:t>
      </w:r>
      <w:r w:rsidR="00687459">
        <w:rPr>
          <w:i/>
          <w:sz w:val="22"/>
          <w:szCs w:val="22"/>
          <w:lang w:val="en-GB"/>
        </w:rPr>
        <w:t xml:space="preserve">its, included in the sections: </w:t>
      </w:r>
      <w:r w:rsidRPr="005B464B">
        <w:rPr>
          <w:i/>
          <w:sz w:val="22"/>
          <w:szCs w:val="22"/>
          <w:lang w:val="en-GB"/>
        </w:rPr>
        <w:t xml:space="preserve">"Mining and quarrying", "Manufacturing", </w:t>
      </w:r>
      <w:r w:rsidRPr="005B464B">
        <w:rPr>
          <w:i/>
          <w:color w:val="000000"/>
          <w:sz w:val="22"/>
          <w:szCs w:val="22"/>
          <w:lang w:val="en-GB"/>
        </w:rPr>
        <w:t>"Electricity, gas, steam and air conditioning supply” and also “Water supply; sewerage, waste management and remediation activities”.</w:t>
      </w:r>
    </w:p>
    <w:p w:rsidR="0030545E" w:rsidRPr="005B464B" w:rsidRDefault="0030545E" w:rsidP="0030545E">
      <w:pPr>
        <w:pStyle w:val="Tekstpodstawowy"/>
        <w:tabs>
          <w:tab w:val="left" w:pos="284"/>
        </w:tabs>
        <w:spacing w:line="300" w:lineRule="atLeast"/>
        <w:rPr>
          <w:i/>
          <w:sz w:val="22"/>
          <w:szCs w:val="22"/>
          <w:lang w:val="en-GB"/>
        </w:rPr>
      </w:pPr>
      <w:r>
        <w:rPr>
          <w:i/>
          <w:color w:val="000000"/>
          <w:sz w:val="22"/>
          <w:szCs w:val="22"/>
          <w:lang w:val="en-GB"/>
        </w:rPr>
        <w:tab/>
      </w:r>
      <w:r w:rsidRPr="005B464B">
        <w:rPr>
          <w:i/>
          <w:color w:val="000000"/>
          <w:sz w:val="22"/>
          <w:szCs w:val="22"/>
          <w:lang w:val="en-GB"/>
        </w:rPr>
        <w:t xml:space="preserve"> Price indices for each type of activity, </w:t>
      </w:r>
      <w:r>
        <w:rPr>
          <w:i/>
          <w:color w:val="000000"/>
          <w:sz w:val="22"/>
          <w:szCs w:val="22"/>
          <w:lang w:val="en-GB"/>
        </w:rPr>
        <w:t>with the</w:t>
      </w:r>
      <w:r w:rsidRPr="005B464B">
        <w:rPr>
          <w:i/>
          <w:color w:val="000000"/>
          <w:sz w:val="22"/>
          <w:szCs w:val="22"/>
          <w:lang w:val="en-GB"/>
        </w:rPr>
        <w:t xml:space="preserve"> base</w:t>
      </w:r>
      <w:r w:rsidRPr="005B464B">
        <w:rPr>
          <w:i/>
          <w:sz w:val="22"/>
          <w:szCs w:val="22"/>
          <w:lang w:val="en-GB"/>
        </w:rPr>
        <w:t xml:space="preserve"> corresponding period of previous year=100, are </w:t>
      </w:r>
      <w:r>
        <w:rPr>
          <w:i/>
          <w:sz w:val="22"/>
          <w:szCs w:val="22"/>
          <w:lang w:val="en-GB"/>
        </w:rPr>
        <w:t>computed</w:t>
      </w:r>
      <w:r w:rsidRPr="005B464B">
        <w:rPr>
          <w:i/>
          <w:sz w:val="22"/>
          <w:szCs w:val="22"/>
          <w:lang w:val="en-GB"/>
        </w:rPr>
        <w:t xml:space="preserve"> as averages of price indices of aggregates at lower levels weighted by their sale</w:t>
      </w:r>
      <w:r>
        <w:rPr>
          <w:i/>
          <w:sz w:val="22"/>
          <w:szCs w:val="22"/>
          <w:lang w:val="en-GB"/>
        </w:rPr>
        <w:t>s</w:t>
      </w:r>
      <w:r w:rsidRPr="005B464B">
        <w:rPr>
          <w:i/>
          <w:sz w:val="22"/>
          <w:szCs w:val="22"/>
          <w:lang w:val="en-GB"/>
        </w:rPr>
        <w:t xml:space="preserve"> value of 20</w:t>
      </w:r>
      <w:r>
        <w:rPr>
          <w:i/>
          <w:sz w:val="22"/>
          <w:szCs w:val="22"/>
          <w:lang w:val="en-GB"/>
        </w:rPr>
        <w:t>10</w:t>
      </w:r>
      <w:r>
        <w:rPr>
          <w:i/>
          <w:color w:val="000000"/>
          <w:sz w:val="22"/>
          <w:szCs w:val="22"/>
          <w:lang w:val="en-GB"/>
        </w:rPr>
        <w:t>, which is</w:t>
      </w:r>
      <w:r w:rsidRPr="005B464B">
        <w:rPr>
          <w:i/>
          <w:sz w:val="22"/>
          <w:szCs w:val="22"/>
          <w:lang w:val="en-GB"/>
        </w:rPr>
        <w:t xml:space="preserve"> updated monthly by the price and sale structure changes, occurring in subsequent months of a year, to which the price indices refer. </w:t>
      </w:r>
    </w:p>
    <w:p w:rsidR="0030545E" w:rsidRPr="005B464B" w:rsidRDefault="0030545E" w:rsidP="0030545E">
      <w:pPr>
        <w:pStyle w:val="Tekstpodstawowy"/>
        <w:tabs>
          <w:tab w:val="left" w:pos="284"/>
        </w:tabs>
        <w:spacing w:line="300" w:lineRule="atLeast"/>
        <w:rPr>
          <w:i/>
          <w:color w:val="000000"/>
          <w:sz w:val="22"/>
          <w:szCs w:val="22"/>
          <w:lang w:val="en-GB"/>
        </w:rPr>
      </w:pPr>
      <w:r w:rsidRPr="005B464B">
        <w:rPr>
          <w:i/>
          <w:sz w:val="22"/>
          <w:szCs w:val="22"/>
          <w:lang w:val="en-GB"/>
        </w:rPr>
        <w:tab/>
        <w:t xml:space="preserve">The price indices illustrate </w:t>
      </w:r>
      <w:r>
        <w:rPr>
          <w:i/>
          <w:sz w:val="22"/>
          <w:szCs w:val="22"/>
          <w:lang w:val="en-GB"/>
        </w:rPr>
        <w:t xml:space="preserve">changes in </w:t>
      </w:r>
      <w:r w:rsidRPr="005B464B">
        <w:rPr>
          <w:i/>
          <w:sz w:val="22"/>
          <w:szCs w:val="22"/>
          <w:lang w:val="en-GB"/>
        </w:rPr>
        <w:t xml:space="preserve">prices resulting from actually </w:t>
      </w:r>
      <w:r w:rsidRPr="005B464B">
        <w:rPr>
          <w:i/>
          <w:color w:val="000000"/>
          <w:sz w:val="22"/>
          <w:szCs w:val="22"/>
          <w:lang w:val="en-GB"/>
        </w:rPr>
        <w:t>introduced price changes and changes in the co</w:t>
      </w:r>
      <w:r w:rsidR="001D5042">
        <w:rPr>
          <w:i/>
          <w:color w:val="000000"/>
          <w:sz w:val="22"/>
          <w:szCs w:val="22"/>
          <w:lang w:val="en-GB"/>
        </w:rPr>
        <w:t>m</w:t>
      </w:r>
      <w:r w:rsidRPr="005B464B">
        <w:rPr>
          <w:i/>
          <w:color w:val="000000"/>
          <w:sz w:val="22"/>
          <w:szCs w:val="22"/>
          <w:lang w:val="en-GB"/>
        </w:rPr>
        <w:t>modity structure of sales and  the structure of customers.</w:t>
      </w:r>
    </w:p>
    <w:p w:rsidR="000B2623" w:rsidRDefault="0030545E" w:rsidP="0030545E">
      <w:pPr>
        <w:pStyle w:val="Tekstpodstawowy"/>
        <w:tabs>
          <w:tab w:val="left" w:pos="284"/>
        </w:tabs>
        <w:spacing w:line="300" w:lineRule="atLeast"/>
        <w:rPr>
          <w:i/>
          <w:sz w:val="22"/>
          <w:szCs w:val="22"/>
          <w:lang w:val="en-GB"/>
        </w:rPr>
      </w:pPr>
      <w:r w:rsidRPr="005B464B">
        <w:rPr>
          <w:i/>
          <w:sz w:val="22"/>
          <w:szCs w:val="22"/>
          <w:lang w:val="en-GB"/>
        </w:rPr>
        <w:tab/>
      </w:r>
    </w:p>
    <w:p w:rsidR="0030545E" w:rsidRDefault="00836832" w:rsidP="0030545E">
      <w:pPr>
        <w:pStyle w:val="Tekstpodstawowy"/>
        <w:tabs>
          <w:tab w:val="left" w:pos="284"/>
        </w:tabs>
        <w:spacing w:line="300" w:lineRule="atLeast"/>
        <w:rPr>
          <w:i/>
          <w:sz w:val="22"/>
          <w:szCs w:val="22"/>
          <w:lang w:val="en-GB"/>
        </w:rPr>
      </w:pPr>
      <w:r>
        <w:rPr>
          <w:i/>
          <w:sz w:val="22"/>
          <w:szCs w:val="22"/>
          <w:lang w:val="en-GB"/>
        </w:rPr>
        <w:tab/>
      </w:r>
      <w:r w:rsidR="0030545E">
        <w:rPr>
          <w:i/>
          <w:sz w:val="22"/>
          <w:szCs w:val="22"/>
          <w:lang w:val="en-GB"/>
        </w:rPr>
        <w:t>11</w:t>
      </w:r>
      <w:r w:rsidR="0030545E" w:rsidRPr="005B464B">
        <w:rPr>
          <w:i/>
          <w:sz w:val="22"/>
          <w:szCs w:val="22"/>
          <w:lang w:val="en-GB"/>
        </w:rPr>
        <w:t>. Data on financial r</w:t>
      </w:r>
      <w:r w:rsidR="00CF4C9C">
        <w:rPr>
          <w:i/>
          <w:sz w:val="22"/>
          <w:szCs w:val="22"/>
          <w:lang w:val="en-GB"/>
        </w:rPr>
        <w:t xml:space="preserve">esults of enterprises are </w:t>
      </w:r>
      <w:r w:rsidR="00EA3B5E">
        <w:rPr>
          <w:i/>
          <w:sz w:val="22"/>
          <w:szCs w:val="22"/>
          <w:lang w:val="en-GB"/>
        </w:rPr>
        <w:t>in accordance with</w:t>
      </w:r>
      <w:r w:rsidR="00CF4C9C">
        <w:rPr>
          <w:i/>
          <w:sz w:val="22"/>
          <w:szCs w:val="22"/>
          <w:lang w:val="en-GB"/>
        </w:rPr>
        <w:t xml:space="preserve"> the</w:t>
      </w:r>
      <w:r w:rsidR="0030545E" w:rsidRPr="005B464B">
        <w:rPr>
          <w:i/>
          <w:sz w:val="22"/>
          <w:szCs w:val="22"/>
          <w:lang w:val="en-GB"/>
        </w:rPr>
        <w:t xml:space="preserve"> Accounting Act dated </w:t>
      </w:r>
      <w:smartTag w:uri="urn:schemas-microsoft-com:office:smarttags" w:element="date">
        <w:smartTagPr>
          <w:attr w:name="Month" w:val="9"/>
          <w:attr w:name="Day" w:val="29"/>
          <w:attr w:name="Year" w:val="1994"/>
        </w:smartTagPr>
        <w:r w:rsidR="0030545E" w:rsidRPr="005B464B">
          <w:rPr>
            <w:i/>
            <w:sz w:val="22"/>
            <w:szCs w:val="22"/>
            <w:lang w:val="en-GB"/>
          </w:rPr>
          <w:t>29 September 1994</w:t>
        </w:r>
      </w:smartTag>
      <w:r w:rsidR="0030545E" w:rsidRPr="005B464B">
        <w:rPr>
          <w:i/>
          <w:sz w:val="22"/>
          <w:szCs w:val="22"/>
          <w:lang w:val="en-GB"/>
        </w:rPr>
        <w:t xml:space="preserve"> (uniform text Journal of Laws </w:t>
      </w:r>
      <w:r w:rsidR="009726DB">
        <w:rPr>
          <w:i/>
          <w:sz w:val="22"/>
          <w:szCs w:val="22"/>
          <w:lang w:val="en-GB"/>
        </w:rPr>
        <w:t>2016</w:t>
      </w:r>
      <w:r w:rsidR="0030545E">
        <w:rPr>
          <w:i/>
          <w:sz w:val="22"/>
          <w:szCs w:val="22"/>
          <w:lang w:val="en-GB"/>
        </w:rPr>
        <w:t xml:space="preserve"> item </w:t>
      </w:r>
      <w:r w:rsidR="009726DB">
        <w:rPr>
          <w:i/>
          <w:sz w:val="22"/>
          <w:szCs w:val="22"/>
          <w:lang w:val="en-GB"/>
        </w:rPr>
        <w:t>1047</w:t>
      </w:r>
      <w:r w:rsidR="0030545E" w:rsidRPr="005B464B">
        <w:rPr>
          <w:i/>
          <w:sz w:val="22"/>
          <w:szCs w:val="22"/>
          <w:lang w:val="en-GB"/>
        </w:rPr>
        <w:t>).</w:t>
      </w:r>
    </w:p>
    <w:p w:rsidR="00D24B5C" w:rsidRDefault="00D24B5C" w:rsidP="0030545E">
      <w:pPr>
        <w:pStyle w:val="Normalny12"/>
        <w:rPr>
          <w:sz w:val="22"/>
          <w:szCs w:val="22"/>
        </w:rPr>
      </w:pPr>
    </w:p>
    <w:p w:rsidR="0030545E" w:rsidRPr="005B464B" w:rsidRDefault="0030545E" w:rsidP="0030545E">
      <w:pPr>
        <w:pStyle w:val="Normalny12"/>
        <w:rPr>
          <w:sz w:val="22"/>
          <w:szCs w:val="22"/>
        </w:rPr>
      </w:pPr>
      <w:r w:rsidRPr="005B464B">
        <w:rPr>
          <w:sz w:val="22"/>
          <w:szCs w:val="22"/>
        </w:rPr>
        <w:lastRenderedPageBreak/>
        <w:tab/>
        <w:t>1</w:t>
      </w:r>
      <w:r>
        <w:rPr>
          <w:sz w:val="22"/>
          <w:szCs w:val="22"/>
        </w:rPr>
        <w:t>2</w:t>
      </w:r>
      <w:r w:rsidRPr="005B464B">
        <w:rPr>
          <w:sz w:val="22"/>
          <w:szCs w:val="22"/>
        </w:rPr>
        <w:t xml:space="preserve">. </w:t>
      </w:r>
      <w:r w:rsidRPr="005B464B">
        <w:rPr>
          <w:b/>
          <w:sz w:val="22"/>
          <w:szCs w:val="22"/>
        </w:rPr>
        <w:t>Revenues from total activity</w:t>
      </w:r>
      <w:r w:rsidRPr="005B464B">
        <w:rPr>
          <w:sz w:val="22"/>
          <w:szCs w:val="22"/>
        </w:rPr>
        <w:t xml:space="preserve"> </w:t>
      </w:r>
      <w:r w:rsidR="00CD23DA">
        <w:rPr>
          <w:sz w:val="22"/>
          <w:szCs w:val="22"/>
        </w:rPr>
        <w:t>(</w:t>
      </w:r>
      <w:r w:rsidR="00823BDB">
        <w:rPr>
          <w:iCs/>
          <w:sz w:val="22"/>
          <w:szCs w:val="22"/>
          <w:lang w:val="en-US"/>
        </w:rPr>
        <w:t xml:space="preserve">amounts </w:t>
      </w:r>
      <w:r w:rsidR="00CD23DA" w:rsidRPr="00C450DA">
        <w:rPr>
          <w:iCs/>
          <w:sz w:val="22"/>
          <w:szCs w:val="22"/>
          <w:lang w:val="en-US"/>
        </w:rPr>
        <w:t xml:space="preserve">received and due) </w:t>
      </w:r>
      <w:r w:rsidRPr="005B464B">
        <w:rPr>
          <w:sz w:val="22"/>
          <w:szCs w:val="22"/>
        </w:rPr>
        <w:t>include:</w:t>
      </w:r>
    </w:p>
    <w:p w:rsidR="006015C6" w:rsidRPr="005B464B" w:rsidRDefault="0030545E" w:rsidP="006015C6">
      <w:pPr>
        <w:pStyle w:val="Normalny12"/>
        <w:ind w:left="284" w:hanging="284"/>
        <w:rPr>
          <w:sz w:val="22"/>
          <w:szCs w:val="22"/>
        </w:rPr>
      </w:pPr>
      <w:r w:rsidRPr="005B464B">
        <w:rPr>
          <w:sz w:val="22"/>
          <w:szCs w:val="22"/>
        </w:rPr>
        <w:t xml:space="preserve">1) </w:t>
      </w:r>
      <w:r w:rsidR="006C714A">
        <w:rPr>
          <w:sz w:val="22"/>
          <w:szCs w:val="22"/>
        </w:rPr>
        <w:t xml:space="preserve"> </w:t>
      </w:r>
      <w:r w:rsidRPr="005B464B">
        <w:rPr>
          <w:sz w:val="22"/>
          <w:szCs w:val="22"/>
        </w:rPr>
        <w:t xml:space="preserve">net revenues from sale of products </w:t>
      </w:r>
      <w:r w:rsidR="00C450DA" w:rsidRPr="00C450DA">
        <w:rPr>
          <w:iCs/>
          <w:sz w:val="22"/>
          <w:szCs w:val="22"/>
          <w:lang w:val="en-US"/>
        </w:rPr>
        <w:t>which</w:t>
      </w:r>
      <w:r w:rsidRPr="005B464B">
        <w:rPr>
          <w:sz w:val="22"/>
          <w:szCs w:val="22"/>
        </w:rPr>
        <w:t xml:space="preserve"> have been manufactured </w:t>
      </w:r>
      <w:r w:rsidR="00C10104">
        <w:rPr>
          <w:sz w:val="22"/>
          <w:szCs w:val="22"/>
        </w:rPr>
        <w:t xml:space="preserve">by an </w:t>
      </w:r>
      <w:r w:rsidRPr="005B464B">
        <w:rPr>
          <w:sz w:val="22"/>
          <w:szCs w:val="22"/>
        </w:rPr>
        <w:t>entity (</w:t>
      </w:r>
      <w:r w:rsidR="00871426">
        <w:rPr>
          <w:sz w:val="22"/>
          <w:szCs w:val="22"/>
        </w:rPr>
        <w:t xml:space="preserve">finished </w:t>
      </w:r>
      <w:r w:rsidRPr="005B464B">
        <w:rPr>
          <w:sz w:val="22"/>
          <w:szCs w:val="22"/>
        </w:rPr>
        <w:t>goods, semi-finished goods and services) as well as</w:t>
      </w:r>
      <w:r>
        <w:rPr>
          <w:sz w:val="22"/>
          <w:szCs w:val="22"/>
        </w:rPr>
        <w:t xml:space="preserve"> p</w:t>
      </w:r>
      <w:r w:rsidR="006015C6">
        <w:rPr>
          <w:sz w:val="22"/>
          <w:szCs w:val="22"/>
        </w:rPr>
        <w:t>ackaging, equipment and</w:t>
      </w:r>
      <w:r w:rsidRPr="005B464B">
        <w:rPr>
          <w:sz w:val="22"/>
          <w:szCs w:val="22"/>
        </w:rPr>
        <w:t xml:space="preserve"> </w:t>
      </w:r>
      <w:r w:rsidR="00871426">
        <w:rPr>
          <w:sz w:val="22"/>
          <w:szCs w:val="22"/>
        </w:rPr>
        <w:t xml:space="preserve">external </w:t>
      </w:r>
      <w:r w:rsidRPr="005B464B">
        <w:rPr>
          <w:sz w:val="22"/>
          <w:szCs w:val="22"/>
        </w:rPr>
        <w:t xml:space="preserve">services </w:t>
      </w:r>
      <w:r w:rsidR="006015C6" w:rsidRPr="006015C6">
        <w:rPr>
          <w:iCs/>
          <w:sz w:val="22"/>
          <w:szCs w:val="22"/>
          <w:lang w:val="en-US"/>
        </w:rPr>
        <w:t xml:space="preserve">if </w:t>
      </w:r>
      <w:r w:rsidR="00871426">
        <w:rPr>
          <w:iCs/>
          <w:sz w:val="22"/>
          <w:szCs w:val="22"/>
          <w:lang w:val="en-US"/>
        </w:rPr>
        <w:t>they</w:t>
      </w:r>
      <w:r w:rsidR="006015C6" w:rsidRPr="006015C6">
        <w:rPr>
          <w:iCs/>
          <w:sz w:val="22"/>
          <w:szCs w:val="22"/>
          <w:lang w:val="en-US"/>
        </w:rPr>
        <w:t xml:space="preserve"> are invoiced </w:t>
      </w:r>
      <w:r w:rsidR="00871426">
        <w:rPr>
          <w:iCs/>
          <w:sz w:val="22"/>
          <w:szCs w:val="22"/>
          <w:lang w:val="en-US"/>
        </w:rPr>
        <w:t>to the customers</w:t>
      </w:r>
      <w:r w:rsidR="006015C6" w:rsidRPr="006015C6">
        <w:rPr>
          <w:iCs/>
          <w:sz w:val="22"/>
          <w:szCs w:val="22"/>
          <w:lang w:val="en-US"/>
        </w:rPr>
        <w:t xml:space="preserve"> together with the products, including subsidies on products;</w:t>
      </w:r>
      <w:r w:rsidR="006015C6" w:rsidRPr="005B464B">
        <w:rPr>
          <w:sz w:val="22"/>
          <w:szCs w:val="22"/>
        </w:rPr>
        <w:t xml:space="preserve"> </w:t>
      </w:r>
    </w:p>
    <w:p w:rsidR="00D767B5" w:rsidRPr="005B464B" w:rsidRDefault="0030545E" w:rsidP="00D767B5">
      <w:pPr>
        <w:pStyle w:val="Normalny12"/>
        <w:ind w:left="284" w:hanging="284"/>
        <w:rPr>
          <w:sz w:val="22"/>
          <w:szCs w:val="22"/>
        </w:rPr>
      </w:pPr>
      <w:r w:rsidRPr="005B464B">
        <w:rPr>
          <w:sz w:val="22"/>
          <w:szCs w:val="22"/>
        </w:rPr>
        <w:t xml:space="preserve">2) </w:t>
      </w:r>
      <w:r w:rsidR="006015C6">
        <w:rPr>
          <w:sz w:val="22"/>
          <w:szCs w:val="22"/>
        </w:rPr>
        <w:t xml:space="preserve">net </w:t>
      </w:r>
      <w:r w:rsidRPr="005B464B">
        <w:rPr>
          <w:sz w:val="22"/>
          <w:szCs w:val="22"/>
        </w:rPr>
        <w:t>revenues from sale of goods and materials</w:t>
      </w:r>
      <w:r w:rsidR="006015C6" w:rsidRPr="006015C6">
        <w:rPr>
          <w:iCs/>
          <w:sz w:val="22"/>
          <w:szCs w:val="22"/>
          <w:lang w:val="en-US"/>
        </w:rPr>
        <w:t xml:space="preserve"> </w:t>
      </w:r>
      <w:r w:rsidR="001444C1">
        <w:rPr>
          <w:iCs/>
          <w:sz w:val="22"/>
          <w:szCs w:val="22"/>
          <w:lang w:val="en-US"/>
        </w:rPr>
        <w:t>(</w:t>
      </w:r>
      <w:r w:rsidR="006015C6" w:rsidRPr="006015C6">
        <w:rPr>
          <w:iCs/>
          <w:sz w:val="22"/>
          <w:szCs w:val="22"/>
          <w:lang w:val="en-US"/>
        </w:rPr>
        <w:t>i.e.</w:t>
      </w:r>
      <w:r w:rsidRPr="005B464B">
        <w:rPr>
          <w:sz w:val="22"/>
          <w:szCs w:val="22"/>
        </w:rPr>
        <w:t xml:space="preserve"> </w:t>
      </w:r>
      <w:r w:rsidR="001444C1">
        <w:rPr>
          <w:sz w:val="22"/>
          <w:szCs w:val="22"/>
        </w:rPr>
        <w:t xml:space="preserve">tangible </w:t>
      </w:r>
      <w:r w:rsidRPr="005B464B">
        <w:rPr>
          <w:sz w:val="22"/>
          <w:szCs w:val="22"/>
        </w:rPr>
        <w:t xml:space="preserve">current assets purchased for resale in a non-processed condition and products manufactured by the entity if they are sold </w:t>
      </w:r>
      <w:r>
        <w:rPr>
          <w:sz w:val="22"/>
          <w:szCs w:val="22"/>
        </w:rPr>
        <w:t xml:space="preserve">in </w:t>
      </w:r>
      <w:r w:rsidR="00DF4069">
        <w:rPr>
          <w:sz w:val="22"/>
          <w:szCs w:val="22"/>
        </w:rPr>
        <w:t>own</w:t>
      </w:r>
      <w:r w:rsidRPr="005B464B">
        <w:rPr>
          <w:sz w:val="22"/>
          <w:szCs w:val="22"/>
        </w:rPr>
        <w:t xml:space="preserve"> shops </w:t>
      </w:r>
      <w:r w:rsidR="00D767B5" w:rsidRPr="00D767B5">
        <w:rPr>
          <w:iCs/>
          <w:sz w:val="22"/>
          <w:szCs w:val="22"/>
          <w:lang w:val="en-US"/>
        </w:rPr>
        <w:t>network along with goods manufactured by other manufacturers</w:t>
      </w:r>
      <w:r w:rsidR="001444C1">
        <w:rPr>
          <w:iCs/>
          <w:sz w:val="22"/>
          <w:szCs w:val="22"/>
          <w:lang w:val="en-US"/>
        </w:rPr>
        <w:t>)</w:t>
      </w:r>
      <w:r w:rsidR="001444C1">
        <w:rPr>
          <w:sz w:val="22"/>
          <w:szCs w:val="22"/>
        </w:rPr>
        <w:t xml:space="preserve"> </w:t>
      </w:r>
      <w:r w:rsidR="00871426">
        <w:rPr>
          <w:sz w:val="22"/>
          <w:szCs w:val="22"/>
        </w:rPr>
        <w:t xml:space="preserve">including </w:t>
      </w:r>
      <w:r w:rsidR="00871426" w:rsidRPr="006015C6">
        <w:rPr>
          <w:iCs/>
          <w:sz w:val="22"/>
          <w:szCs w:val="22"/>
          <w:lang w:val="en-US"/>
        </w:rPr>
        <w:t>sums due f</w:t>
      </w:r>
      <w:r w:rsidR="001444C1">
        <w:rPr>
          <w:iCs/>
          <w:sz w:val="22"/>
          <w:szCs w:val="22"/>
          <w:lang w:val="en-US"/>
        </w:rPr>
        <w:t>rom the sale of re-use packages</w:t>
      </w:r>
      <w:r w:rsidR="00DF4069">
        <w:rPr>
          <w:iCs/>
          <w:sz w:val="22"/>
          <w:szCs w:val="22"/>
          <w:lang w:val="en-US"/>
        </w:rPr>
        <w:t>;</w:t>
      </w:r>
    </w:p>
    <w:p w:rsidR="0030545E" w:rsidRPr="005B464B" w:rsidRDefault="0030545E" w:rsidP="0030545E">
      <w:pPr>
        <w:pStyle w:val="Normalny12"/>
        <w:ind w:left="284" w:hanging="284"/>
        <w:rPr>
          <w:sz w:val="22"/>
          <w:szCs w:val="22"/>
        </w:rPr>
      </w:pPr>
      <w:r w:rsidRPr="005B464B">
        <w:rPr>
          <w:sz w:val="22"/>
          <w:szCs w:val="22"/>
        </w:rPr>
        <w:t xml:space="preserve">3) other operating revenues, i.e. revenues indirectly related </w:t>
      </w:r>
      <w:r w:rsidR="00DF4069">
        <w:rPr>
          <w:sz w:val="22"/>
          <w:szCs w:val="22"/>
        </w:rPr>
        <w:t>to</w:t>
      </w:r>
      <w:r w:rsidR="00D767B5">
        <w:rPr>
          <w:sz w:val="22"/>
          <w:szCs w:val="22"/>
        </w:rPr>
        <w:t xml:space="preserve"> the basic</w:t>
      </w:r>
      <w:r w:rsidRPr="005B464B">
        <w:rPr>
          <w:sz w:val="22"/>
          <w:szCs w:val="22"/>
        </w:rPr>
        <w:t xml:space="preserve"> activity of </w:t>
      </w:r>
      <w:r w:rsidR="00D767B5">
        <w:rPr>
          <w:sz w:val="22"/>
          <w:szCs w:val="22"/>
        </w:rPr>
        <w:t>the</w:t>
      </w:r>
      <w:r w:rsidRPr="005B464B">
        <w:rPr>
          <w:sz w:val="22"/>
          <w:szCs w:val="22"/>
        </w:rPr>
        <w:t xml:space="preserve"> entity, in particular: profits from the sale of non-financial fixed assets (fixed assets, assets under construction, intangible fixed assets, investments in real estate and rights), assets (cash) received free of charge, i</w:t>
      </w:r>
      <w:r>
        <w:rPr>
          <w:sz w:val="22"/>
          <w:szCs w:val="22"/>
        </w:rPr>
        <w:t>ncluding</w:t>
      </w:r>
      <w:r w:rsidRPr="005B464B">
        <w:rPr>
          <w:sz w:val="22"/>
          <w:szCs w:val="22"/>
        </w:rPr>
        <w:t xml:space="preserve"> donated assets, as well as damages, reversed provisions, adjustments of the depreciation value for non-financial assets, revenues from s</w:t>
      </w:r>
      <w:r>
        <w:rPr>
          <w:sz w:val="22"/>
          <w:szCs w:val="22"/>
        </w:rPr>
        <w:t>ocial activities, revenues from</w:t>
      </w:r>
      <w:r w:rsidRPr="005B464B">
        <w:rPr>
          <w:sz w:val="22"/>
          <w:szCs w:val="22"/>
        </w:rPr>
        <w:t xml:space="preserve"> rent or lease of fixed assets </w:t>
      </w:r>
      <w:r>
        <w:rPr>
          <w:sz w:val="22"/>
          <w:szCs w:val="22"/>
        </w:rPr>
        <w:t>or</w:t>
      </w:r>
      <w:r w:rsidRPr="005B464B">
        <w:rPr>
          <w:sz w:val="22"/>
          <w:szCs w:val="22"/>
        </w:rPr>
        <w:t xml:space="preserve"> investments in real estate and rights;</w:t>
      </w:r>
    </w:p>
    <w:p w:rsidR="002A3BAF" w:rsidRPr="00FB5E8F" w:rsidRDefault="0030545E" w:rsidP="002A3BAF">
      <w:pPr>
        <w:pStyle w:val="Normalny12"/>
        <w:ind w:left="284" w:hanging="284"/>
        <w:rPr>
          <w:i w:val="0"/>
          <w:sz w:val="22"/>
          <w:szCs w:val="22"/>
        </w:rPr>
      </w:pPr>
      <w:r w:rsidRPr="005B464B">
        <w:rPr>
          <w:sz w:val="22"/>
          <w:szCs w:val="22"/>
        </w:rPr>
        <w:t xml:space="preserve">4) financial revenues, i.e. </w:t>
      </w:r>
      <w:r w:rsidR="009D09B5" w:rsidRPr="009D09B5">
        <w:rPr>
          <w:iCs/>
          <w:sz w:val="22"/>
          <w:szCs w:val="22"/>
          <w:lang w:val="en-US"/>
        </w:rPr>
        <w:t>revenues from financial operations conducted by an entity: amounts due in respect of dividends</w:t>
      </w:r>
      <w:r w:rsidR="002A3BAF" w:rsidRPr="002A3BAF">
        <w:rPr>
          <w:iCs/>
          <w:sz w:val="22"/>
          <w:szCs w:val="22"/>
          <w:lang w:val="en-US"/>
        </w:rPr>
        <w:t xml:space="preserve"> </w:t>
      </w:r>
      <w:r w:rsidR="002A3BAF" w:rsidRPr="009D09B5">
        <w:rPr>
          <w:iCs/>
          <w:sz w:val="22"/>
          <w:szCs w:val="22"/>
          <w:lang w:val="en-US"/>
        </w:rPr>
        <w:t>and share in profits, interest on loans granted, interest</w:t>
      </w:r>
      <w:r w:rsidR="002A3BAF" w:rsidRPr="002A3BAF">
        <w:rPr>
          <w:iCs/>
          <w:sz w:val="22"/>
          <w:szCs w:val="22"/>
          <w:lang w:val="en-US"/>
        </w:rPr>
        <w:t xml:space="preserve"> </w:t>
      </w:r>
      <w:r w:rsidR="002A3BAF" w:rsidRPr="009D09B5">
        <w:rPr>
          <w:iCs/>
          <w:sz w:val="22"/>
          <w:szCs w:val="22"/>
          <w:lang w:val="en-US"/>
        </w:rPr>
        <w:t>on term deposits, default interest, profits from the</w:t>
      </w:r>
      <w:r w:rsidR="002A3BAF" w:rsidRPr="002A3BAF">
        <w:rPr>
          <w:iCs/>
          <w:sz w:val="22"/>
          <w:szCs w:val="22"/>
          <w:lang w:val="en-US"/>
        </w:rPr>
        <w:t xml:space="preserve"> </w:t>
      </w:r>
      <w:r w:rsidR="002A3BAF" w:rsidRPr="009D09B5">
        <w:rPr>
          <w:iCs/>
          <w:sz w:val="22"/>
          <w:szCs w:val="22"/>
          <w:lang w:val="en-US"/>
        </w:rPr>
        <w:t>sale of investments, reduction of depreciation write-offs</w:t>
      </w:r>
      <w:r w:rsidR="002A3BAF" w:rsidRPr="002A3BAF">
        <w:rPr>
          <w:iCs/>
          <w:sz w:val="22"/>
          <w:szCs w:val="22"/>
          <w:lang w:val="en-US"/>
        </w:rPr>
        <w:t xml:space="preserve"> </w:t>
      </w:r>
      <w:r w:rsidR="002A3BAF" w:rsidRPr="009D09B5">
        <w:rPr>
          <w:iCs/>
          <w:sz w:val="22"/>
          <w:szCs w:val="22"/>
          <w:lang w:val="en-US"/>
        </w:rPr>
        <w:t>relating to investments due to the fact that the reasons</w:t>
      </w:r>
      <w:r w:rsidR="002A3BAF" w:rsidRPr="002A3BAF">
        <w:rPr>
          <w:iCs/>
          <w:sz w:val="22"/>
          <w:szCs w:val="22"/>
          <w:lang w:val="en-US"/>
        </w:rPr>
        <w:t xml:space="preserve"> </w:t>
      </w:r>
      <w:r w:rsidR="002A3BAF" w:rsidRPr="009D09B5">
        <w:rPr>
          <w:iCs/>
          <w:sz w:val="22"/>
          <w:szCs w:val="22"/>
          <w:lang w:val="en-US"/>
        </w:rPr>
        <w:t>resulting in the permanent loss of their value have ceased</w:t>
      </w:r>
      <w:r w:rsidR="002A3BAF" w:rsidRPr="002A3BAF">
        <w:rPr>
          <w:iCs/>
          <w:sz w:val="22"/>
          <w:szCs w:val="22"/>
          <w:lang w:val="en-US"/>
        </w:rPr>
        <w:t xml:space="preserve"> </w:t>
      </w:r>
      <w:r w:rsidR="002A3BAF" w:rsidRPr="009D09B5">
        <w:rPr>
          <w:iCs/>
          <w:sz w:val="22"/>
          <w:szCs w:val="22"/>
          <w:lang w:val="en-US"/>
        </w:rPr>
        <w:t>to exist (whether partially or totally), surplus of foreign exchange</w:t>
      </w:r>
      <w:r w:rsidR="002A3BAF" w:rsidRPr="002A3BAF">
        <w:rPr>
          <w:iCs/>
          <w:sz w:val="22"/>
          <w:szCs w:val="22"/>
          <w:lang w:val="en-US"/>
        </w:rPr>
        <w:t xml:space="preserve"> gains over losses.</w:t>
      </w:r>
    </w:p>
    <w:p w:rsidR="002A3BAF" w:rsidRPr="009D09B5" w:rsidRDefault="002A3BAF" w:rsidP="002A3BAF">
      <w:pPr>
        <w:pStyle w:val="Normalny12"/>
        <w:ind w:left="284" w:hanging="284"/>
        <w:rPr>
          <w:iCs/>
          <w:sz w:val="22"/>
          <w:szCs w:val="22"/>
          <w:lang w:val="en-US"/>
        </w:rPr>
      </w:pPr>
    </w:p>
    <w:p w:rsidR="0030545E" w:rsidRPr="005B464B" w:rsidRDefault="0030545E" w:rsidP="0030545E">
      <w:pPr>
        <w:pStyle w:val="Normalny12"/>
        <w:rPr>
          <w:iCs/>
          <w:sz w:val="22"/>
          <w:szCs w:val="22"/>
        </w:rPr>
      </w:pPr>
      <w:r>
        <w:rPr>
          <w:sz w:val="22"/>
          <w:szCs w:val="22"/>
        </w:rPr>
        <w:tab/>
        <w:t>13</w:t>
      </w:r>
      <w:r w:rsidRPr="005B464B">
        <w:rPr>
          <w:sz w:val="22"/>
          <w:szCs w:val="22"/>
        </w:rPr>
        <w:t xml:space="preserve">. </w:t>
      </w:r>
      <w:r w:rsidRPr="005B464B">
        <w:rPr>
          <w:b/>
          <w:sz w:val="22"/>
          <w:szCs w:val="22"/>
        </w:rPr>
        <w:t>Costs of obtaining revenues from total activity</w:t>
      </w:r>
      <w:r w:rsidRPr="005B464B">
        <w:rPr>
          <w:sz w:val="22"/>
          <w:szCs w:val="22"/>
        </w:rPr>
        <w:t xml:space="preserve"> include:</w:t>
      </w:r>
    </w:p>
    <w:p w:rsidR="0030545E" w:rsidRDefault="0030545E" w:rsidP="0030545E">
      <w:pPr>
        <w:pStyle w:val="Normalny12"/>
        <w:ind w:left="284" w:hanging="284"/>
        <w:rPr>
          <w:sz w:val="22"/>
          <w:szCs w:val="22"/>
        </w:rPr>
      </w:pPr>
      <w:r>
        <w:rPr>
          <w:sz w:val="22"/>
          <w:szCs w:val="22"/>
        </w:rPr>
        <w:t xml:space="preserve">1) </w:t>
      </w:r>
      <w:r w:rsidRPr="005B464B">
        <w:rPr>
          <w:sz w:val="22"/>
          <w:szCs w:val="22"/>
        </w:rPr>
        <w:t xml:space="preserve">cost of products </w:t>
      </w:r>
      <w:r w:rsidRPr="007214D9">
        <w:rPr>
          <w:sz w:val="22"/>
          <w:szCs w:val="22"/>
        </w:rPr>
        <w:t>sold</w:t>
      </w:r>
      <w:r w:rsidR="009A6019" w:rsidRPr="007214D9">
        <w:rPr>
          <w:iCs/>
          <w:sz w:val="22"/>
          <w:szCs w:val="22"/>
          <w:lang w:val="en-US" w:eastAsia="pl-PL"/>
        </w:rPr>
        <w:t xml:space="preserve"> </w:t>
      </w:r>
      <w:r w:rsidR="007214D9" w:rsidRPr="007214D9">
        <w:rPr>
          <w:iCs/>
          <w:sz w:val="22"/>
          <w:szCs w:val="22"/>
          <w:lang w:val="en-US" w:eastAsia="pl-PL"/>
        </w:rPr>
        <w:t>(</w:t>
      </w:r>
      <w:r w:rsidR="001444C1" w:rsidRPr="007214D9">
        <w:rPr>
          <w:iCs/>
          <w:sz w:val="22"/>
          <w:szCs w:val="22"/>
          <w:lang w:val="en-US" w:eastAsia="pl-PL"/>
        </w:rPr>
        <w:t xml:space="preserve">goods and services) </w:t>
      </w:r>
      <w:r w:rsidR="009A6019" w:rsidRPr="007214D9">
        <w:rPr>
          <w:iCs/>
          <w:sz w:val="22"/>
          <w:szCs w:val="22"/>
          <w:lang w:val="en-US"/>
        </w:rPr>
        <w:t>i.e. the</w:t>
      </w:r>
      <w:r w:rsidR="009A6019" w:rsidRPr="009A6019">
        <w:rPr>
          <w:iCs/>
          <w:sz w:val="22"/>
          <w:szCs w:val="22"/>
          <w:lang w:val="en-US"/>
        </w:rPr>
        <w:t xml:space="preserve"> total costs decreased by the</w:t>
      </w:r>
      <w:r w:rsidRPr="005B464B">
        <w:rPr>
          <w:sz w:val="22"/>
          <w:szCs w:val="22"/>
        </w:rPr>
        <w:t xml:space="preserve"> </w:t>
      </w:r>
      <w:r w:rsidR="009A6019" w:rsidRPr="009A6019">
        <w:rPr>
          <w:iCs/>
          <w:sz w:val="22"/>
          <w:szCs w:val="22"/>
          <w:lang w:val="en-US"/>
        </w:rPr>
        <w:t>costs of generating benefits for the needs of the entity</w:t>
      </w:r>
      <w:r w:rsidR="009A6019">
        <w:rPr>
          <w:iCs/>
          <w:sz w:val="22"/>
          <w:szCs w:val="22"/>
          <w:lang w:val="en-US"/>
        </w:rPr>
        <w:t xml:space="preserve"> </w:t>
      </w:r>
      <w:r w:rsidR="00DF4069">
        <w:rPr>
          <w:iCs/>
          <w:sz w:val="22"/>
          <w:szCs w:val="22"/>
          <w:lang w:val="en-US"/>
        </w:rPr>
        <w:t xml:space="preserve">and </w:t>
      </w:r>
      <w:r w:rsidRPr="005B464B">
        <w:rPr>
          <w:sz w:val="22"/>
          <w:szCs w:val="22"/>
        </w:rPr>
        <w:t>corrected by cha</w:t>
      </w:r>
      <w:r w:rsidR="00DF4069">
        <w:rPr>
          <w:sz w:val="22"/>
          <w:szCs w:val="22"/>
        </w:rPr>
        <w:t>n</w:t>
      </w:r>
      <w:r w:rsidRPr="005B464B">
        <w:rPr>
          <w:sz w:val="22"/>
          <w:szCs w:val="22"/>
        </w:rPr>
        <w:t>ge in product stocks;</w:t>
      </w:r>
    </w:p>
    <w:p w:rsidR="00AC335F" w:rsidRDefault="004268E6" w:rsidP="00AC335F">
      <w:pPr>
        <w:pStyle w:val="Normalny12"/>
        <w:ind w:left="284" w:hanging="284"/>
        <w:rPr>
          <w:sz w:val="22"/>
          <w:szCs w:val="22"/>
        </w:rPr>
      </w:pPr>
      <w:r>
        <w:rPr>
          <w:sz w:val="22"/>
          <w:szCs w:val="22"/>
        </w:rPr>
        <w:t>2)</w:t>
      </w:r>
      <w:r w:rsidR="00AC335F">
        <w:rPr>
          <w:sz w:val="22"/>
          <w:szCs w:val="22"/>
        </w:rPr>
        <w:t xml:space="preserve"> </w:t>
      </w:r>
      <w:r w:rsidR="00DF4069">
        <w:rPr>
          <w:iCs/>
          <w:sz w:val="22"/>
          <w:szCs w:val="22"/>
          <w:lang w:val="en-US"/>
        </w:rPr>
        <w:t>cost</w:t>
      </w:r>
      <w:r w:rsidR="00AC335F" w:rsidRPr="00AC335F">
        <w:rPr>
          <w:iCs/>
          <w:sz w:val="22"/>
          <w:szCs w:val="22"/>
          <w:lang w:val="en-US"/>
        </w:rPr>
        <w:t xml:space="preserve"> of goods and materials sold according to</w:t>
      </w:r>
      <w:r w:rsidR="00AC335F">
        <w:rPr>
          <w:iCs/>
          <w:sz w:val="22"/>
          <w:szCs w:val="22"/>
          <w:lang w:val="en-US"/>
        </w:rPr>
        <w:t xml:space="preserve"> </w:t>
      </w:r>
      <w:r w:rsidR="00AC335F" w:rsidRPr="00AC335F">
        <w:rPr>
          <w:iCs/>
          <w:sz w:val="22"/>
          <w:szCs w:val="22"/>
        </w:rPr>
        <w:t>procurement</w:t>
      </w:r>
      <w:r w:rsidR="00AC335F">
        <w:rPr>
          <w:iCs/>
          <w:sz w:val="22"/>
          <w:szCs w:val="22"/>
        </w:rPr>
        <w:t xml:space="preserve"> </w:t>
      </w:r>
      <w:r w:rsidR="00AC335F" w:rsidRPr="00AC335F">
        <w:rPr>
          <w:iCs/>
          <w:sz w:val="22"/>
          <w:szCs w:val="22"/>
          <w:lang w:val="en-US"/>
        </w:rPr>
        <w:t>(purchase) prices;</w:t>
      </w:r>
    </w:p>
    <w:p w:rsidR="00EE75C4" w:rsidRDefault="004268E6" w:rsidP="00EE75C4">
      <w:pPr>
        <w:pStyle w:val="Normalny12"/>
        <w:ind w:left="284" w:hanging="284"/>
        <w:rPr>
          <w:sz w:val="22"/>
          <w:szCs w:val="22"/>
        </w:rPr>
      </w:pPr>
      <w:r>
        <w:rPr>
          <w:sz w:val="22"/>
          <w:szCs w:val="22"/>
        </w:rPr>
        <w:t>3</w:t>
      </w:r>
      <w:r w:rsidR="0030545E">
        <w:rPr>
          <w:sz w:val="22"/>
          <w:szCs w:val="22"/>
        </w:rPr>
        <w:t xml:space="preserve">) </w:t>
      </w:r>
      <w:r w:rsidR="0030545E" w:rsidRPr="005B464B">
        <w:rPr>
          <w:sz w:val="22"/>
          <w:szCs w:val="22"/>
        </w:rPr>
        <w:t>other operating costs, i.e. costs indirectly related to operating activity of the entity, in particular: loss on the sale of non-financial fixed assets,</w:t>
      </w:r>
      <w:r w:rsidR="00EE75C4">
        <w:rPr>
          <w:sz w:val="22"/>
          <w:szCs w:val="22"/>
        </w:rPr>
        <w:t xml:space="preserve"> i.e.</w:t>
      </w:r>
      <w:r w:rsidR="0030545E" w:rsidRPr="005B464B">
        <w:rPr>
          <w:sz w:val="22"/>
          <w:szCs w:val="22"/>
        </w:rPr>
        <w:t xml:space="preserve"> </w:t>
      </w:r>
      <w:r w:rsidR="00EE75C4" w:rsidRPr="00EE75C4">
        <w:rPr>
          <w:iCs/>
          <w:sz w:val="22"/>
          <w:szCs w:val="22"/>
          <w:lang w:val="en-US"/>
        </w:rPr>
        <w:t>surplus of the value of sold</w:t>
      </w:r>
      <w:r w:rsidR="00EE75C4">
        <w:rPr>
          <w:iCs/>
          <w:sz w:val="22"/>
          <w:szCs w:val="22"/>
          <w:lang w:val="en-US"/>
        </w:rPr>
        <w:t xml:space="preserve"> </w:t>
      </w:r>
      <w:r w:rsidR="00EE75C4" w:rsidRPr="00EE75C4">
        <w:rPr>
          <w:iCs/>
          <w:sz w:val="22"/>
          <w:szCs w:val="22"/>
          <w:lang w:val="en-US"/>
        </w:rPr>
        <w:t xml:space="preserve">fixed assets over the revenues from their sale, </w:t>
      </w:r>
      <w:r w:rsidR="0030545E" w:rsidRPr="005B464B">
        <w:rPr>
          <w:sz w:val="22"/>
          <w:szCs w:val="22"/>
        </w:rPr>
        <w:t xml:space="preserve">depreciation of leased or rented fixed assets and </w:t>
      </w:r>
      <w:r w:rsidR="001444C1">
        <w:rPr>
          <w:sz w:val="22"/>
          <w:szCs w:val="22"/>
        </w:rPr>
        <w:t xml:space="preserve">tixed </w:t>
      </w:r>
      <w:r w:rsidR="0030545E" w:rsidRPr="005B464B">
        <w:rPr>
          <w:sz w:val="22"/>
          <w:szCs w:val="22"/>
        </w:rPr>
        <w:t xml:space="preserve">assets under construction, </w:t>
      </w:r>
      <w:r w:rsidR="0030545E">
        <w:rPr>
          <w:sz w:val="22"/>
          <w:szCs w:val="22"/>
        </w:rPr>
        <w:t xml:space="preserve">unplanned </w:t>
      </w:r>
      <w:r w:rsidR="00EE75C4">
        <w:rPr>
          <w:sz w:val="22"/>
          <w:szCs w:val="22"/>
        </w:rPr>
        <w:t xml:space="preserve">write-offs </w:t>
      </w:r>
      <w:r w:rsidR="0030545E" w:rsidRPr="005B464B">
        <w:rPr>
          <w:sz w:val="22"/>
          <w:szCs w:val="22"/>
        </w:rPr>
        <w:t>(write-</w:t>
      </w:r>
      <w:r w:rsidR="00EE75C4">
        <w:rPr>
          <w:sz w:val="22"/>
          <w:szCs w:val="22"/>
        </w:rPr>
        <w:t>offs</w:t>
      </w:r>
      <w:r w:rsidR="0030545E" w:rsidRPr="005B464B">
        <w:rPr>
          <w:sz w:val="22"/>
          <w:szCs w:val="22"/>
        </w:rPr>
        <w:t xml:space="preserve"> </w:t>
      </w:r>
      <w:r w:rsidR="0030545E">
        <w:rPr>
          <w:sz w:val="22"/>
          <w:szCs w:val="22"/>
        </w:rPr>
        <w:t>by virtue of</w:t>
      </w:r>
      <w:r w:rsidR="0030545E" w:rsidRPr="005B464B">
        <w:rPr>
          <w:sz w:val="22"/>
          <w:szCs w:val="22"/>
        </w:rPr>
        <w:t xml:space="preserve"> </w:t>
      </w:r>
      <w:r w:rsidR="00EE75C4">
        <w:rPr>
          <w:sz w:val="22"/>
          <w:szCs w:val="22"/>
        </w:rPr>
        <w:t xml:space="preserve">a </w:t>
      </w:r>
      <w:r w:rsidR="0030545E" w:rsidRPr="005B464B">
        <w:rPr>
          <w:sz w:val="22"/>
          <w:szCs w:val="22"/>
        </w:rPr>
        <w:t xml:space="preserve">permanent loss of value), fines, penalties and </w:t>
      </w:r>
      <w:r w:rsidR="0030545E">
        <w:rPr>
          <w:sz w:val="22"/>
          <w:szCs w:val="22"/>
        </w:rPr>
        <w:t xml:space="preserve">indemnities </w:t>
      </w:r>
      <w:r w:rsidR="0030545E" w:rsidRPr="005B464B">
        <w:rPr>
          <w:sz w:val="22"/>
          <w:szCs w:val="22"/>
        </w:rPr>
        <w:t xml:space="preserve">paid, </w:t>
      </w:r>
      <w:r w:rsidR="00EE75C4" w:rsidRPr="00EE75C4">
        <w:rPr>
          <w:iCs/>
          <w:sz w:val="22"/>
          <w:szCs w:val="22"/>
          <w:lang w:val="en-US"/>
        </w:rPr>
        <w:t xml:space="preserve">partially or fully written-off liabilities related to </w:t>
      </w:r>
      <w:r w:rsidR="0030545E" w:rsidRPr="005B464B">
        <w:rPr>
          <w:sz w:val="22"/>
          <w:szCs w:val="22"/>
        </w:rPr>
        <w:t>bankruptcy, composition or</w:t>
      </w:r>
      <w:r w:rsidR="00EE75C4">
        <w:rPr>
          <w:sz w:val="22"/>
          <w:szCs w:val="22"/>
        </w:rPr>
        <w:t xml:space="preserve"> </w:t>
      </w:r>
      <w:r w:rsidR="002A06FF">
        <w:rPr>
          <w:iCs/>
          <w:sz w:val="22"/>
          <w:szCs w:val="22"/>
          <w:lang w:val="en-US"/>
        </w:rPr>
        <w:t>restructuring proc</w:t>
      </w:r>
      <w:r w:rsidR="00EE75C4">
        <w:rPr>
          <w:iCs/>
          <w:sz w:val="22"/>
          <w:szCs w:val="22"/>
          <w:lang w:val="en-US"/>
        </w:rPr>
        <w:t>eedings</w:t>
      </w:r>
      <w:r w:rsidR="0030545E" w:rsidRPr="005B464B">
        <w:rPr>
          <w:sz w:val="22"/>
          <w:szCs w:val="22"/>
        </w:rPr>
        <w:t xml:space="preserve">, </w:t>
      </w:r>
      <w:r w:rsidR="00EE75C4" w:rsidRPr="00EE75C4">
        <w:rPr>
          <w:iCs/>
          <w:sz w:val="22"/>
          <w:szCs w:val="22"/>
          <w:lang w:val="en-US"/>
        </w:rPr>
        <w:t>reserves made for future certain liabilities or liabilities</w:t>
      </w:r>
      <w:r w:rsidR="00EE75C4">
        <w:rPr>
          <w:iCs/>
          <w:sz w:val="22"/>
          <w:szCs w:val="22"/>
          <w:lang w:val="en-US"/>
        </w:rPr>
        <w:t xml:space="preserve"> </w:t>
      </w:r>
      <w:r w:rsidR="00EE75C4" w:rsidRPr="00EE75C4">
        <w:rPr>
          <w:iCs/>
          <w:sz w:val="22"/>
          <w:szCs w:val="22"/>
          <w:lang w:val="en-US"/>
        </w:rPr>
        <w:t>which are likely to occur (loss on</w:t>
      </w:r>
      <w:r w:rsidR="00ED22A9">
        <w:rPr>
          <w:iCs/>
          <w:sz w:val="22"/>
          <w:szCs w:val="22"/>
          <w:lang w:val="en-US"/>
        </w:rPr>
        <w:t xml:space="preserve"> current business transaction</w:t>
      </w:r>
      <w:r w:rsidR="00EE75C4" w:rsidRPr="00EE75C4">
        <w:rPr>
          <w:iCs/>
          <w:sz w:val="22"/>
          <w:szCs w:val="22"/>
          <w:lang w:val="en-US"/>
        </w:rPr>
        <w:t>), write-offs updating the value of non-financial</w:t>
      </w:r>
      <w:r w:rsidR="00EE75C4">
        <w:rPr>
          <w:iCs/>
          <w:sz w:val="22"/>
          <w:szCs w:val="22"/>
          <w:lang w:val="en-US"/>
        </w:rPr>
        <w:t xml:space="preserve"> </w:t>
      </w:r>
      <w:r w:rsidR="00EE75C4" w:rsidRPr="005B464B">
        <w:rPr>
          <w:sz w:val="22"/>
          <w:szCs w:val="22"/>
        </w:rPr>
        <w:t>assets, costs of maintaining premises required for social activity, donations</w:t>
      </w:r>
      <w:r w:rsidR="00EE75C4" w:rsidRPr="00EE75C4">
        <w:rPr>
          <w:sz w:val="22"/>
          <w:szCs w:val="22"/>
        </w:rPr>
        <w:t xml:space="preserve"> </w:t>
      </w:r>
      <w:r w:rsidR="00EE75C4">
        <w:rPr>
          <w:sz w:val="22"/>
          <w:szCs w:val="22"/>
        </w:rPr>
        <w:t>or</w:t>
      </w:r>
      <w:r w:rsidR="00EE75C4" w:rsidRPr="005B464B">
        <w:rPr>
          <w:sz w:val="22"/>
          <w:szCs w:val="22"/>
        </w:rPr>
        <w:t xml:space="preserve"> fixed assets received free of charge;</w:t>
      </w:r>
    </w:p>
    <w:p w:rsidR="0030545E" w:rsidRDefault="004268E6" w:rsidP="0030545E">
      <w:pPr>
        <w:pStyle w:val="Normalny12"/>
        <w:ind w:left="284" w:hanging="284"/>
        <w:rPr>
          <w:sz w:val="22"/>
          <w:szCs w:val="22"/>
        </w:rPr>
      </w:pPr>
      <w:r>
        <w:rPr>
          <w:sz w:val="22"/>
          <w:szCs w:val="22"/>
        </w:rPr>
        <w:t>4</w:t>
      </w:r>
      <w:r w:rsidR="0030545E">
        <w:rPr>
          <w:sz w:val="22"/>
          <w:szCs w:val="22"/>
        </w:rPr>
        <w:t>) financial costs, i.e.</w:t>
      </w:r>
      <w:r w:rsidR="00181A12">
        <w:rPr>
          <w:sz w:val="22"/>
          <w:szCs w:val="22"/>
        </w:rPr>
        <w:t>,</w:t>
      </w:r>
      <w:r w:rsidR="0030545E" w:rsidRPr="005B464B">
        <w:rPr>
          <w:sz w:val="22"/>
          <w:szCs w:val="22"/>
        </w:rPr>
        <w:t xml:space="preserve"> among other</w:t>
      </w:r>
      <w:r w:rsidR="0030545E">
        <w:rPr>
          <w:sz w:val="22"/>
          <w:szCs w:val="22"/>
        </w:rPr>
        <w:t>s,</w:t>
      </w:r>
      <w:r w:rsidR="00ED22A9">
        <w:rPr>
          <w:sz w:val="22"/>
          <w:szCs w:val="22"/>
        </w:rPr>
        <w:t xml:space="preserve"> </w:t>
      </w:r>
      <w:r w:rsidR="0030545E" w:rsidRPr="005B464B">
        <w:rPr>
          <w:sz w:val="22"/>
          <w:szCs w:val="22"/>
        </w:rPr>
        <w:t xml:space="preserve">interest </w:t>
      </w:r>
      <w:r w:rsidR="00A5337E">
        <w:rPr>
          <w:sz w:val="22"/>
          <w:szCs w:val="22"/>
        </w:rPr>
        <w:t>from</w:t>
      </w:r>
      <w:r w:rsidR="0030545E">
        <w:rPr>
          <w:sz w:val="22"/>
          <w:szCs w:val="22"/>
        </w:rPr>
        <w:t xml:space="preserve"> </w:t>
      </w:r>
      <w:r w:rsidR="0030545E" w:rsidRPr="005B464B">
        <w:rPr>
          <w:sz w:val="22"/>
          <w:szCs w:val="22"/>
        </w:rPr>
        <w:t>contracted credits and loans, interest and discount on bonds issued by the entity, default interest, loss on the sale of investments, write-</w:t>
      </w:r>
      <w:r w:rsidR="00A5337E">
        <w:rPr>
          <w:sz w:val="22"/>
          <w:szCs w:val="22"/>
        </w:rPr>
        <w:t>offs</w:t>
      </w:r>
      <w:r w:rsidR="0030545E" w:rsidRPr="005B464B">
        <w:rPr>
          <w:sz w:val="22"/>
          <w:szCs w:val="22"/>
        </w:rPr>
        <w:t xml:space="preserve"> updating the value of investments, the surplus of foreign exchange losses over gains.</w:t>
      </w:r>
    </w:p>
    <w:p w:rsidR="0030545E" w:rsidRPr="00FB5E8F" w:rsidRDefault="0030545E" w:rsidP="0030545E">
      <w:pPr>
        <w:pStyle w:val="Normalny12"/>
        <w:ind w:left="284" w:hanging="284"/>
        <w:rPr>
          <w:iCs/>
          <w:sz w:val="22"/>
          <w:szCs w:val="22"/>
        </w:rPr>
      </w:pPr>
    </w:p>
    <w:p w:rsidR="0030545E" w:rsidRDefault="0030545E" w:rsidP="0030545E">
      <w:pPr>
        <w:pStyle w:val="Normalny12"/>
        <w:rPr>
          <w:sz w:val="22"/>
          <w:szCs w:val="22"/>
        </w:rPr>
      </w:pPr>
      <w:r w:rsidRPr="005B464B">
        <w:rPr>
          <w:sz w:val="22"/>
          <w:szCs w:val="22"/>
        </w:rPr>
        <w:tab/>
        <w:t>1</w:t>
      </w:r>
      <w:r>
        <w:rPr>
          <w:sz w:val="22"/>
          <w:szCs w:val="22"/>
        </w:rPr>
        <w:t>4</w:t>
      </w:r>
      <w:r w:rsidRPr="005B464B">
        <w:rPr>
          <w:sz w:val="22"/>
          <w:szCs w:val="22"/>
        </w:rPr>
        <w:t xml:space="preserve">. </w:t>
      </w:r>
      <w:r w:rsidRPr="00516F5F">
        <w:rPr>
          <w:b/>
          <w:sz w:val="22"/>
          <w:szCs w:val="22"/>
        </w:rPr>
        <w:t>Fi</w:t>
      </w:r>
      <w:r w:rsidRPr="005B464B">
        <w:rPr>
          <w:b/>
          <w:sz w:val="22"/>
          <w:szCs w:val="22"/>
        </w:rPr>
        <w:t>nancial result from the sale of products, goods and materials</w:t>
      </w:r>
      <w:r w:rsidRPr="005B464B">
        <w:rPr>
          <w:sz w:val="22"/>
          <w:szCs w:val="22"/>
        </w:rPr>
        <w:t xml:space="preserve"> constitutes a difference between net revenues gained from the sale of products, goods and materials and costs bor</w:t>
      </w:r>
      <w:r w:rsidR="00ED22A9">
        <w:rPr>
          <w:sz w:val="22"/>
          <w:szCs w:val="22"/>
        </w:rPr>
        <w:t>n</w:t>
      </w:r>
      <w:r w:rsidRPr="005B464B">
        <w:rPr>
          <w:sz w:val="22"/>
          <w:szCs w:val="22"/>
        </w:rPr>
        <w:t>e for their obtaining (cost of products sold, goods and materials).</w:t>
      </w:r>
    </w:p>
    <w:p w:rsidR="00FA205E" w:rsidRPr="00FA205E" w:rsidRDefault="00FA205E" w:rsidP="00C15DD6">
      <w:pPr>
        <w:pStyle w:val="Normalny12"/>
        <w:spacing w:line="240" w:lineRule="auto"/>
        <w:rPr>
          <w:sz w:val="22"/>
          <w:szCs w:val="22"/>
          <w:lang w:val="en-US"/>
        </w:rPr>
      </w:pPr>
    </w:p>
    <w:p w:rsidR="0030545E" w:rsidRPr="005B464B" w:rsidRDefault="00401632" w:rsidP="0030545E">
      <w:pPr>
        <w:pStyle w:val="Normalny12"/>
        <w:rPr>
          <w:sz w:val="22"/>
          <w:szCs w:val="22"/>
        </w:rPr>
      </w:pPr>
      <w:r>
        <w:rPr>
          <w:sz w:val="22"/>
          <w:szCs w:val="22"/>
        </w:rPr>
        <w:tab/>
      </w:r>
      <w:r w:rsidR="0030545E" w:rsidRPr="005B464B">
        <w:rPr>
          <w:sz w:val="22"/>
          <w:szCs w:val="22"/>
        </w:rPr>
        <w:t>1</w:t>
      </w:r>
      <w:r w:rsidR="00C15DD6">
        <w:rPr>
          <w:sz w:val="22"/>
          <w:szCs w:val="22"/>
        </w:rPr>
        <w:t>5</w:t>
      </w:r>
      <w:r w:rsidR="0030545E" w:rsidRPr="005B464B">
        <w:rPr>
          <w:sz w:val="22"/>
          <w:szCs w:val="22"/>
        </w:rPr>
        <w:t xml:space="preserve">. </w:t>
      </w:r>
      <w:r w:rsidR="0030545E" w:rsidRPr="005B464B">
        <w:rPr>
          <w:b/>
          <w:sz w:val="22"/>
          <w:szCs w:val="22"/>
        </w:rPr>
        <w:t>Gross financial result (profit or loss)</w:t>
      </w:r>
      <w:r w:rsidR="0030545E" w:rsidRPr="005B464B">
        <w:rPr>
          <w:sz w:val="22"/>
          <w:szCs w:val="22"/>
        </w:rPr>
        <w:t xml:space="preserve"> is </w:t>
      </w:r>
      <w:r w:rsidR="00ED22A9">
        <w:rPr>
          <w:sz w:val="22"/>
          <w:szCs w:val="22"/>
        </w:rPr>
        <w:t>the</w:t>
      </w:r>
      <w:r w:rsidR="0030545E" w:rsidRPr="005B464B">
        <w:rPr>
          <w:sz w:val="22"/>
          <w:szCs w:val="22"/>
        </w:rPr>
        <w:t xml:space="preserve"> result on economic activity corrected by result on extraordinary events. </w:t>
      </w:r>
    </w:p>
    <w:p w:rsidR="0030545E" w:rsidRPr="00FB5E8F" w:rsidRDefault="0030545E" w:rsidP="0030545E">
      <w:pPr>
        <w:pStyle w:val="Normalny12"/>
        <w:rPr>
          <w:sz w:val="22"/>
          <w:szCs w:val="22"/>
        </w:rPr>
      </w:pPr>
    </w:p>
    <w:p w:rsidR="0030545E" w:rsidRPr="00892450" w:rsidRDefault="0030545E" w:rsidP="0030545E">
      <w:pPr>
        <w:pStyle w:val="Normalny12"/>
        <w:spacing w:line="240" w:lineRule="auto"/>
        <w:rPr>
          <w:sz w:val="22"/>
          <w:szCs w:val="22"/>
          <w:lang w:val="en-US"/>
        </w:rPr>
      </w:pPr>
      <w:r w:rsidRPr="005B464B">
        <w:rPr>
          <w:sz w:val="22"/>
          <w:szCs w:val="22"/>
        </w:rPr>
        <w:tab/>
        <w:t>1</w:t>
      </w:r>
      <w:r w:rsidR="00C15DD6">
        <w:rPr>
          <w:sz w:val="22"/>
          <w:szCs w:val="22"/>
        </w:rPr>
        <w:t>6</w:t>
      </w:r>
      <w:r w:rsidRPr="005B464B">
        <w:rPr>
          <w:sz w:val="22"/>
          <w:szCs w:val="22"/>
        </w:rPr>
        <w:t xml:space="preserve">. </w:t>
      </w:r>
      <w:r>
        <w:rPr>
          <w:b/>
          <w:sz w:val="22"/>
          <w:szCs w:val="22"/>
        </w:rPr>
        <w:t>N</w:t>
      </w:r>
      <w:r w:rsidRPr="005B464B">
        <w:rPr>
          <w:b/>
          <w:sz w:val="22"/>
          <w:szCs w:val="22"/>
        </w:rPr>
        <w:t>et financial result (profit or loss)</w:t>
      </w:r>
      <w:r w:rsidRPr="005B464B">
        <w:rPr>
          <w:sz w:val="22"/>
          <w:szCs w:val="22"/>
        </w:rPr>
        <w:t xml:space="preserve"> is </w:t>
      </w:r>
      <w:r w:rsidR="00D21B4B">
        <w:rPr>
          <w:sz w:val="22"/>
          <w:szCs w:val="22"/>
        </w:rPr>
        <w:t>obtained</w:t>
      </w:r>
      <w:r w:rsidRPr="005B464B">
        <w:rPr>
          <w:sz w:val="22"/>
          <w:szCs w:val="22"/>
        </w:rPr>
        <w:t xml:space="preserve"> after </w:t>
      </w:r>
      <w:r>
        <w:rPr>
          <w:sz w:val="22"/>
          <w:szCs w:val="22"/>
        </w:rPr>
        <w:t>de</w:t>
      </w:r>
      <w:r w:rsidR="00D21B4B">
        <w:rPr>
          <w:sz w:val="22"/>
          <w:szCs w:val="22"/>
        </w:rPr>
        <w:t>creasing</w:t>
      </w:r>
      <w:r>
        <w:rPr>
          <w:sz w:val="22"/>
          <w:szCs w:val="22"/>
        </w:rPr>
        <w:t xml:space="preserve"> </w:t>
      </w:r>
      <w:r w:rsidR="00892450">
        <w:rPr>
          <w:sz w:val="22"/>
          <w:szCs w:val="22"/>
        </w:rPr>
        <w:t xml:space="preserve">of </w:t>
      </w:r>
      <w:r>
        <w:rPr>
          <w:sz w:val="22"/>
          <w:szCs w:val="22"/>
        </w:rPr>
        <w:t>the gross financial result</w:t>
      </w:r>
      <w:r w:rsidR="00D21B4B">
        <w:rPr>
          <w:sz w:val="22"/>
          <w:szCs w:val="22"/>
        </w:rPr>
        <w:t xml:space="preserve"> by obligatory encumbrances</w:t>
      </w:r>
      <w:r w:rsidR="00892450">
        <w:rPr>
          <w:sz w:val="22"/>
          <w:szCs w:val="22"/>
        </w:rPr>
        <w:t xml:space="preserve">, </w:t>
      </w:r>
      <w:r w:rsidR="005D2285" w:rsidRPr="00892450">
        <w:rPr>
          <w:iCs/>
          <w:sz w:val="22"/>
          <w:szCs w:val="22"/>
          <w:lang w:val="en-US"/>
        </w:rPr>
        <w:t>which include corporate and personal income tax as</w:t>
      </w:r>
      <w:r w:rsidR="00892450">
        <w:rPr>
          <w:iCs/>
          <w:sz w:val="22"/>
          <w:szCs w:val="22"/>
          <w:lang w:val="en-US"/>
        </w:rPr>
        <w:t xml:space="preserve"> </w:t>
      </w:r>
      <w:r w:rsidR="005D2285" w:rsidRPr="00892450">
        <w:rPr>
          <w:iCs/>
          <w:sz w:val="22"/>
          <w:szCs w:val="22"/>
          <w:lang w:val="en-US"/>
        </w:rPr>
        <w:t xml:space="preserve">well as other payments resulting from </w:t>
      </w:r>
      <w:r w:rsidR="00ED22A9">
        <w:rPr>
          <w:iCs/>
          <w:sz w:val="22"/>
          <w:szCs w:val="22"/>
          <w:lang w:val="en-US"/>
        </w:rPr>
        <w:t>other</w:t>
      </w:r>
      <w:r w:rsidR="005D2285" w:rsidRPr="00892450">
        <w:rPr>
          <w:iCs/>
          <w:sz w:val="22"/>
          <w:szCs w:val="22"/>
          <w:lang w:val="en-US"/>
        </w:rPr>
        <w:t xml:space="preserve"> regulations.</w:t>
      </w:r>
    </w:p>
    <w:p w:rsidR="003E6A5F" w:rsidRDefault="0030545E" w:rsidP="0030545E">
      <w:pPr>
        <w:pStyle w:val="Normalny12"/>
        <w:spacing w:line="240" w:lineRule="auto"/>
        <w:rPr>
          <w:sz w:val="22"/>
          <w:szCs w:val="22"/>
        </w:rPr>
      </w:pPr>
      <w:r w:rsidRPr="005B464B">
        <w:rPr>
          <w:sz w:val="22"/>
          <w:szCs w:val="22"/>
        </w:rPr>
        <w:tab/>
      </w:r>
    </w:p>
    <w:p w:rsidR="0030545E" w:rsidRPr="005B464B" w:rsidRDefault="00352C05" w:rsidP="0030545E">
      <w:pPr>
        <w:pStyle w:val="Normalny12"/>
        <w:spacing w:line="240" w:lineRule="auto"/>
        <w:rPr>
          <w:b/>
          <w:sz w:val="22"/>
          <w:szCs w:val="22"/>
        </w:rPr>
      </w:pPr>
      <w:r>
        <w:rPr>
          <w:sz w:val="22"/>
          <w:szCs w:val="22"/>
        </w:rPr>
        <w:tab/>
      </w:r>
      <w:r w:rsidR="0030545E" w:rsidRPr="005B464B">
        <w:rPr>
          <w:sz w:val="22"/>
          <w:szCs w:val="22"/>
        </w:rPr>
        <w:t>1</w:t>
      </w:r>
      <w:r w:rsidR="00C15DD6">
        <w:rPr>
          <w:sz w:val="22"/>
          <w:szCs w:val="22"/>
        </w:rPr>
        <w:t>7</w:t>
      </w:r>
      <w:r w:rsidR="0030545E" w:rsidRPr="005B464B">
        <w:rPr>
          <w:sz w:val="22"/>
          <w:szCs w:val="22"/>
        </w:rPr>
        <w:t xml:space="preserve">. </w:t>
      </w:r>
      <w:r w:rsidR="0030545E" w:rsidRPr="0011343E">
        <w:rPr>
          <w:b/>
          <w:sz w:val="22"/>
          <w:szCs w:val="22"/>
        </w:rPr>
        <w:t>C</w:t>
      </w:r>
      <w:r w:rsidR="0030545E" w:rsidRPr="005B464B">
        <w:rPr>
          <w:b/>
          <w:sz w:val="22"/>
          <w:szCs w:val="22"/>
        </w:rPr>
        <w:t>ost level indicator:</w:t>
      </w:r>
    </w:p>
    <w:p w:rsidR="0030545E" w:rsidRPr="005B464B" w:rsidRDefault="00FE21B1" w:rsidP="0030545E">
      <w:pPr>
        <w:pStyle w:val="Normalny12"/>
        <w:spacing w:line="240" w:lineRule="auto"/>
        <w:ind w:left="284" w:hanging="284"/>
        <w:rPr>
          <w:b/>
          <w:sz w:val="22"/>
          <w:szCs w:val="22"/>
        </w:rPr>
      </w:pPr>
      <w:r>
        <w:rPr>
          <w:sz w:val="22"/>
          <w:szCs w:val="22"/>
        </w:rPr>
        <w:t xml:space="preserve">1) </w:t>
      </w:r>
      <w:r w:rsidR="00D13A7D">
        <w:rPr>
          <w:sz w:val="22"/>
          <w:szCs w:val="22"/>
        </w:rPr>
        <w:t xml:space="preserve">from total  activity </w:t>
      </w:r>
      <w:r w:rsidR="0030545E" w:rsidRPr="005B464B">
        <w:rPr>
          <w:sz w:val="22"/>
          <w:szCs w:val="22"/>
        </w:rPr>
        <w:t>co</w:t>
      </w:r>
      <w:r w:rsidR="00E5141B">
        <w:rPr>
          <w:sz w:val="22"/>
          <w:szCs w:val="22"/>
        </w:rPr>
        <w:t>nstitutes the relation</w:t>
      </w:r>
      <w:r w:rsidR="0030545E" w:rsidRPr="005B464B">
        <w:rPr>
          <w:sz w:val="22"/>
          <w:szCs w:val="22"/>
        </w:rPr>
        <w:t xml:space="preserve"> of the costs of obtaining revenues from total activity to revenues from total activity;</w:t>
      </w:r>
    </w:p>
    <w:p w:rsidR="0030545E" w:rsidRPr="005B464B" w:rsidRDefault="0030545E" w:rsidP="00A736CB">
      <w:pPr>
        <w:pStyle w:val="Normalny12"/>
        <w:tabs>
          <w:tab w:val="clear" w:pos="284"/>
        </w:tabs>
        <w:spacing w:line="240" w:lineRule="auto"/>
        <w:rPr>
          <w:sz w:val="22"/>
          <w:szCs w:val="22"/>
        </w:rPr>
      </w:pPr>
      <w:r w:rsidRPr="005B464B">
        <w:rPr>
          <w:sz w:val="22"/>
          <w:szCs w:val="22"/>
        </w:rPr>
        <w:lastRenderedPageBreak/>
        <w:t>2) from sale of products, goods and materials constitutes the rela</w:t>
      </w:r>
      <w:r w:rsidR="00192959">
        <w:rPr>
          <w:sz w:val="22"/>
          <w:szCs w:val="22"/>
        </w:rPr>
        <w:t>tion</w:t>
      </w:r>
      <w:r>
        <w:rPr>
          <w:sz w:val="22"/>
          <w:szCs w:val="22"/>
        </w:rPr>
        <w:t xml:space="preserve"> of the costs of obtaining</w:t>
      </w:r>
      <w:r w:rsidRPr="005B464B">
        <w:rPr>
          <w:sz w:val="22"/>
          <w:szCs w:val="22"/>
        </w:rPr>
        <w:t xml:space="preserve"> revenues from sale of products, goods and materials to </w:t>
      </w:r>
      <w:r>
        <w:rPr>
          <w:sz w:val="22"/>
          <w:szCs w:val="22"/>
        </w:rPr>
        <w:t xml:space="preserve">net </w:t>
      </w:r>
      <w:r w:rsidRPr="005B464B">
        <w:rPr>
          <w:sz w:val="22"/>
          <w:szCs w:val="22"/>
        </w:rPr>
        <w:t xml:space="preserve">revenues </w:t>
      </w:r>
      <w:r>
        <w:rPr>
          <w:sz w:val="22"/>
          <w:szCs w:val="22"/>
        </w:rPr>
        <w:t>from sale of products, goods</w:t>
      </w:r>
      <w:r w:rsidRPr="005B464B">
        <w:rPr>
          <w:sz w:val="22"/>
          <w:szCs w:val="22"/>
        </w:rPr>
        <w:t xml:space="preserve"> and materials.</w:t>
      </w:r>
    </w:p>
    <w:p w:rsidR="0030545E" w:rsidRPr="00327E6A" w:rsidRDefault="0030545E" w:rsidP="0030545E">
      <w:pPr>
        <w:pStyle w:val="Normalny12"/>
        <w:spacing w:line="240" w:lineRule="auto"/>
        <w:rPr>
          <w:sz w:val="32"/>
          <w:szCs w:val="32"/>
        </w:rPr>
      </w:pPr>
    </w:p>
    <w:p w:rsidR="0030545E" w:rsidRPr="005B464B" w:rsidRDefault="0030545E" w:rsidP="0030545E">
      <w:pPr>
        <w:pStyle w:val="Normalny12"/>
        <w:spacing w:line="240" w:lineRule="auto"/>
        <w:rPr>
          <w:sz w:val="22"/>
          <w:szCs w:val="22"/>
        </w:rPr>
      </w:pPr>
      <w:r w:rsidRPr="005B464B">
        <w:rPr>
          <w:sz w:val="22"/>
          <w:szCs w:val="22"/>
        </w:rPr>
        <w:tab/>
        <w:t>1</w:t>
      </w:r>
      <w:r w:rsidR="00C15DD6">
        <w:rPr>
          <w:sz w:val="22"/>
          <w:szCs w:val="22"/>
        </w:rPr>
        <w:t>8</w:t>
      </w:r>
      <w:r w:rsidRPr="005B464B">
        <w:rPr>
          <w:sz w:val="22"/>
          <w:szCs w:val="22"/>
        </w:rPr>
        <w:t xml:space="preserve">. </w:t>
      </w:r>
      <w:r w:rsidRPr="005B464B">
        <w:rPr>
          <w:b/>
          <w:sz w:val="22"/>
          <w:szCs w:val="22"/>
        </w:rPr>
        <w:t xml:space="preserve">Sales profitability rate </w:t>
      </w:r>
      <w:r w:rsidR="00AC2AB9">
        <w:rPr>
          <w:sz w:val="22"/>
          <w:szCs w:val="22"/>
        </w:rPr>
        <w:t>constitutes the relation</w:t>
      </w:r>
      <w:r w:rsidRPr="005B464B">
        <w:rPr>
          <w:sz w:val="22"/>
          <w:szCs w:val="22"/>
        </w:rPr>
        <w:t xml:space="preserve"> of the </w:t>
      </w:r>
      <w:r>
        <w:rPr>
          <w:sz w:val="22"/>
          <w:szCs w:val="22"/>
        </w:rPr>
        <w:t xml:space="preserve">financial </w:t>
      </w:r>
      <w:r w:rsidRPr="005B464B">
        <w:rPr>
          <w:sz w:val="22"/>
          <w:szCs w:val="22"/>
        </w:rPr>
        <w:t>result from the sale of products, goods and materials to net revenues from sale of products, goods and materials.</w:t>
      </w:r>
    </w:p>
    <w:p w:rsidR="0030545E" w:rsidRPr="00327E6A" w:rsidRDefault="0030545E" w:rsidP="0030545E">
      <w:pPr>
        <w:pStyle w:val="Normalny12"/>
        <w:spacing w:line="240" w:lineRule="auto"/>
        <w:rPr>
          <w:sz w:val="32"/>
          <w:szCs w:val="32"/>
        </w:rPr>
      </w:pPr>
    </w:p>
    <w:p w:rsidR="0030545E" w:rsidRPr="005B464B" w:rsidRDefault="0099410D" w:rsidP="0030545E">
      <w:pPr>
        <w:pStyle w:val="Normalny12"/>
        <w:spacing w:line="240" w:lineRule="auto"/>
        <w:rPr>
          <w:sz w:val="22"/>
          <w:szCs w:val="22"/>
        </w:rPr>
      </w:pPr>
      <w:r>
        <w:rPr>
          <w:sz w:val="22"/>
          <w:szCs w:val="22"/>
        </w:rPr>
        <w:tab/>
      </w:r>
      <w:r w:rsidR="00C15DD6">
        <w:rPr>
          <w:sz w:val="22"/>
          <w:szCs w:val="22"/>
        </w:rPr>
        <w:t>19</w:t>
      </w:r>
      <w:r w:rsidR="0030545E" w:rsidRPr="005B464B">
        <w:rPr>
          <w:sz w:val="22"/>
          <w:szCs w:val="22"/>
        </w:rPr>
        <w:t xml:space="preserve">. </w:t>
      </w:r>
      <w:r w:rsidR="00CB52C9">
        <w:rPr>
          <w:b/>
          <w:sz w:val="22"/>
          <w:szCs w:val="22"/>
        </w:rPr>
        <w:t>G</w:t>
      </w:r>
      <w:r w:rsidR="00CB52C9" w:rsidRPr="005B464B">
        <w:rPr>
          <w:b/>
          <w:sz w:val="22"/>
          <w:szCs w:val="22"/>
        </w:rPr>
        <w:t>ross turnover</w:t>
      </w:r>
      <w:r w:rsidR="00CB52C9" w:rsidRPr="005B464B">
        <w:rPr>
          <w:sz w:val="22"/>
          <w:szCs w:val="22"/>
        </w:rPr>
        <w:t xml:space="preserve"> </w:t>
      </w:r>
      <w:r w:rsidR="00CB52C9">
        <w:rPr>
          <w:b/>
          <w:sz w:val="22"/>
          <w:szCs w:val="22"/>
        </w:rPr>
        <w:t xml:space="preserve">profitability rate </w:t>
      </w:r>
      <w:r w:rsidR="0030545E" w:rsidRPr="005B464B">
        <w:rPr>
          <w:sz w:val="22"/>
          <w:szCs w:val="22"/>
        </w:rPr>
        <w:t>constitutes the relation of gross financial result to revenues from total activity.</w:t>
      </w:r>
    </w:p>
    <w:p w:rsidR="0030545E" w:rsidRPr="00327E6A" w:rsidRDefault="0030545E" w:rsidP="0030545E">
      <w:pPr>
        <w:pStyle w:val="Normalny12"/>
        <w:spacing w:line="240" w:lineRule="auto"/>
        <w:rPr>
          <w:sz w:val="32"/>
          <w:szCs w:val="32"/>
        </w:rPr>
      </w:pPr>
    </w:p>
    <w:p w:rsidR="0030545E" w:rsidRPr="005B464B" w:rsidRDefault="00C15DD6" w:rsidP="0030545E">
      <w:pPr>
        <w:pStyle w:val="Normalny12"/>
        <w:spacing w:line="240" w:lineRule="auto"/>
        <w:rPr>
          <w:sz w:val="22"/>
          <w:szCs w:val="22"/>
        </w:rPr>
      </w:pPr>
      <w:r>
        <w:rPr>
          <w:sz w:val="22"/>
          <w:szCs w:val="22"/>
        </w:rPr>
        <w:tab/>
        <w:t>20</w:t>
      </w:r>
      <w:r w:rsidR="0030545E" w:rsidRPr="005B464B">
        <w:rPr>
          <w:sz w:val="22"/>
          <w:szCs w:val="22"/>
        </w:rPr>
        <w:t xml:space="preserve">. </w:t>
      </w:r>
      <w:r w:rsidR="00CB52C9">
        <w:rPr>
          <w:b/>
          <w:sz w:val="22"/>
          <w:szCs w:val="22"/>
        </w:rPr>
        <w:t>N</w:t>
      </w:r>
      <w:r w:rsidR="00CB52C9" w:rsidRPr="005B464B">
        <w:rPr>
          <w:b/>
          <w:sz w:val="22"/>
          <w:szCs w:val="22"/>
        </w:rPr>
        <w:t>et turnover</w:t>
      </w:r>
      <w:r w:rsidR="00CB52C9" w:rsidRPr="005B464B">
        <w:rPr>
          <w:sz w:val="22"/>
          <w:szCs w:val="22"/>
        </w:rPr>
        <w:t xml:space="preserve"> </w:t>
      </w:r>
      <w:r w:rsidR="00CB52C9">
        <w:rPr>
          <w:b/>
          <w:sz w:val="22"/>
          <w:szCs w:val="22"/>
        </w:rPr>
        <w:t>p</w:t>
      </w:r>
      <w:r w:rsidR="0030545E" w:rsidRPr="005B464B">
        <w:rPr>
          <w:b/>
          <w:sz w:val="22"/>
          <w:szCs w:val="22"/>
        </w:rPr>
        <w:t>rofitabi</w:t>
      </w:r>
      <w:r w:rsidR="00CB52C9">
        <w:rPr>
          <w:b/>
          <w:sz w:val="22"/>
          <w:szCs w:val="22"/>
        </w:rPr>
        <w:t>lity rate</w:t>
      </w:r>
      <w:r w:rsidR="0030545E" w:rsidRPr="005B464B">
        <w:rPr>
          <w:b/>
          <w:sz w:val="22"/>
          <w:szCs w:val="22"/>
        </w:rPr>
        <w:t xml:space="preserve"> </w:t>
      </w:r>
      <w:r w:rsidR="0030545E" w:rsidRPr="005B464B">
        <w:rPr>
          <w:sz w:val="22"/>
          <w:szCs w:val="22"/>
        </w:rPr>
        <w:t>constitutes the relation of net financial result to revenues from total activity.</w:t>
      </w:r>
    </w:p>
    <w:p w:rsidR="0030545E" w:rsidRPr="00327E6A" w:rsidRDefault="0030545E" w:rsidP="0030545E">
      <w:pPr>
        <w:pStyle w:val="Normalny12"/>
        <w:spacing w:line="240" w:lineRule="auto"/>
        <w:rPr>
          <w:sz w:val="32"/>
          <w:szCs w:val="32"/>
        </w:rPr>
      </w:pPr>
    </w:p>
    <w:p w:rsidR="0030545E" w:rsidRPr="005B464B" w:rsidRDefault="0030545E" w:rsidP="0030545E">
      <w:pPr>
        <w:pStyle w:val="Normalny12"/>
        <w:spacing w:line="240" w:lineRule="auto"/>
        <w:rPr>
          <w:sz w:val="22"/>
          <w:szCs w:val="22"/>
        </w:rPr>
      </w:pPr>
      <w:r w:rsidRPr="005B464B">
        <w:rPr>
          <w:sz w:val="22"/>
          <w:szCs w:val="22"/>
        </w:rPr>
        <w:tab/>
      </w:r>
      <w:r w:rsidR="00C15DD6">
        <w:rPr>
          <w:sz w:val="22"/>
          <w:szCs w:val="22"/>
        </w:rPr>
        <w:t>21</w:t>
      </w:r>
      <w:r w:rsidRPr="005B464B">
        <w:rPr>
          <w:sz w:val="22"/>
          <w:szCs w:val="22"/>
        </w:rPr>
        <w:t xml:space="preserve">. </w:t>
      </w:r>
      <w:r w:rsidR="00164F65">
        <w:rPr>
          <w:b/>
          <w:sz w:val="22"/>
          <w:szCs w:val="22"/>
        </w:rPr>
        <w:t>F</w:t>
      </w:r>
      <w:r w:rsidR="00164F65" w:rsidRPr="005B464B">
        <w:rPr>
          <w:b/>
          <w:sz w:val="22"/>
          <w:szCs w:val="22"/>
        </w:rPr>
        <w:t xml:space="preserve">inancial liquidity indicator </w:t>
      </w:r>
      <w:r w:rsidR="00164F65">
        <w:rPr>
          <w:b/>
          <w:sz w:val="22"/>
          <w:szCs w:val="22"/>
        </w:rPr>
        <w:t>of t</w:t>
      </w:r>
      <w:r w:rsidRPr="005B464B">
        <w:rPr>
          <w:b/>
          <w:sz w:val="22"/>
          <w:szCs w:val="22"/>
        </w:rPr>
        <w:t xml:space="preserve">he first degree </w:t>
      </w:r>
      <w:r w:rsidRPr="005B464B">
        <w:rPr>
          <w:sz w:val="22"/>
          <w:szCs w:val="22"/>
        </w:rPr>
        <w:t>constitutes the relation of short-term investments to short</w:t>
      </w:r>
      <w:r>
        <w:rPr>
          <w:sz w:val="22"/>
          <w:szCs w:val="22"/>
        </w:rPr>
        <w:t>-</w:t>
      </w:r>
      <w:r w:rsidRPr="005B464B">
        <w:rPr>
          <w:sz w:val="22"/>
          <w:szCs w:val="22"/>
        </w:rPr>
        <w:t>term liabilities.</w:t>
      </w:r>
    </w:p>
    <w:p w:rsidR="0030545E" w:rsidRPr="00327E6A" w:rsidRDefault="0030545E" w:rsidP="0030545E">
      <w:pPr>
        <w:pStyle w:val="Normalny12"/>
        <w:spacing w:line="240" w:lineRule="auto"/>
        <w:rPr>
          <w:sz w:val="32"/>
          <w:szCs w:val="32"/>
        </w:rPr>
      </w:pPr>
    </w:p>
    <w:p w:rsidR="0030545E" w:rsidRDefault="0030545E" w:rsidP="0030545E">
      <w:pPr>
        <w:pStyle w:val="Normalny12"/>
        <w:spacing w:line="240" w:lineRule="auto"/>
        <w:rPr>
          <w:sz w:val="22"/>
          <w:szCs w:val="22"/>
        </w:rPr>
      </w:pPr>
      <w:r w:rsidRPr="005B464B">
        <w:rPr>
          <w:sz w:val="22"/>
          <w:szCs w:val="22"/>
        </w:rPr>
        <w:tab/>
        <w:t>2</w:t>
      </w:r>
      <w:r w:rsidR="00C15DD6">
        <w:rPr>
          <w:sz w:val="22"/>
          <w:szCs w:val="22"/>
        </w:rPr>
        <w:t>2</w:t>
      </w:r>
      <w:r w:rsidRPr="005B464B">
        <w:rPr>
          <w:b/>
          <w:sz w:val="22"/>
          <w:szCs w:val="22"/>
        </w:rPr>
        <w:t xml:space="preserve">. </w:t>
      </w:r>
      <w:r w:rsidR="00164F65">
        <w:rPr>
          <w:b/>
          <w:sz w:val="22"/>
          <w:szCs w:val="22"/>
        </w:rPr>
        <w:t>F</w:t>
      </w:r>
      <w:r w:rsidR="00164F65" w:rsidRPr="005B464B">
        <w:rPr>
          <w:b/>
          <w:sz w:val="22"/>
          <w:szCs w:val="22"/>
        </w:rPr>
        <w:t>inancial liquidity indicator</w:t>
      </w:r>
      <w:r w:rsidR="00164F65" w:rsidRPr="005B464B">
        <w:rPr>
          <w:sz w:val="22"/>
          <w:szCs w:val="22"/>
        </w:rPr>
        <w:t xml:space="preserve"> </w:t>
      </w:r>
      <w:r w:rsidR="00164F65">
        <w:rPr>
          <w:b/>
          <w:sz w:val="22"/>
          <w:szCs w:val="22"/>
        </w:rPr>
        <w:t>of t</w:t>
      </w:r>
      <w:r w:rsidRPr="005B464B">
        <w:rPr>
          <w:b/>
          <w:sz w:val="22"/>
          <w:szCs w:val="22"/>
        </w:rPr>
        <w:t xml:space="preserve">he second degree </w:t>
      </w:r>
      <w:r w:rsidRPr="005B464B">
        <w:rPr>
          <w:sz w:val="22"/>
          <w:szCs w:val="22"/>
        </w:rPr>
        <w:t>constitutes the relation of short-term investments and short-term dues to short-term liabilities.</w:t>
      </w:r>
    </w:p>
    <w:p w:rsidR="0030545E" w:rsidRPr="00C4218F" w:rsidRDefault="0030545E" w:rsidP="0030545E">
      <w:pPr>
        <w:pStyle w:val="Normalny12"/>
        <w:spacing w:line="240" w:lineRule="auto"/>
        <w:rPr>
          <w:i w:val="0"/>
          <w:sz w:val="32"/>
          <w:szCs w:val="32"/>
        </w:rPr>
      </w:pPr>
    </w:p>
    <w:p w:rsidR="00C15DD6" w:rsidRDefault="0099410D" w:rsidP="0030545E">
      <w:pPr>
        <w:pStyle w:val="Normalny12"/>
        <w:spacing w:line="240" w:lineRule="auto"/>
        <w:rPr>
          <w:sz w:val="22"/>
          <w:szCs w:val="22"/>
        </w:rPr>
      </w:pPr>
      <w:r>
        <w:rPr>
          <w:sz w:val="22"/>
          <w:szCs w:val="22"/>
        </w:rPr>
        <w:tab/>
      </w:r>
      <w:r w:rsidR="00C15DD6" w:rsidRPr="005B464B">
        <w:rPr>
          <w:sz w:val="22"/>
          <w:szCs w:val="22"/>
        </w:rPr>
        <w:t>2</w:t>
      </w:r>
      <w:r w:rsidR="00C15DD6">
        <w:rPr>
          <w:sz w:val="22"/>
          <w:szCs w:val="22"/>
        </w:rPr>
        <w:t>3</w:t>
      </w:r>
      <w:r w:rsidR="00C15DD6" w:rsidRPr="005B464B">
        <w:rPr>
          <w:b/>
          <w:sz w:val="22"/>
          <w:szCs w:val="22"/>
        </w:rPr>
        <w:t xml:space="preserve">. </w:t>
      </w:r>
      <w:r w:rsidR="00C15DD6">
        <w:rPr>
          <w:b/>
          <w:sz w:val="22"/>
          <w:szCs w:val="22"/>
        </w:rPr>
        <w:t>F</w:t>
      </w:r>
      <w:r w:rsidR="00C15DD6" w:rsidRPr="005B464B">
        <w:rPr>
          <w:b/>
          <w:sz w:val="22"/>
          <w:szCs w:val="22"/>
        </w:rPr>
        <w:t>inancial liquidity indicator</w:t>
      </w:r>
      <w:r w:rsidR="00C15DD6" w:rsidRPr="005B464B">
        <w:rPr>
          <w:sz w:val="22"/>
          <w:szCs w:val="22"/>
        </w:rPr>
        <w:t xml:space="preserve"> </w:t>
      </w:r>
      <w:r w:rsidR="00C15DD6">
        <w:rPr>
          <w:b/>
          <w:sz w:val="22"/>
          <w:szCs w:val="22"/>
        </w:rPr>
        <w:t>of t</w:t>
      </w:r>
      <w:r w:rsidR="00C15DD6" w:rsidRPr="005B464B">
        <w:rPr>
          <w:b/>
          <w:sz w:val="22"/>
          <w:szCs w:val="22"/>
        </w:rPr>
        <w:t xml:space="preserve">he </w:t>
      </w:r>
      <w:r w:rsidR="00C15DD6">
        <w:rPr>
          <w:b/>
          <w:sz w:val="22"/>
          <w:szCs w:val="22"/>
        </w:rPr>
        <w:t>third</w:t>
      </w:r>
      <w:r w:rsidR="00C15DD6" w:rsidRPr="005B464B">
        <w:rPr>
          <w:b/>
          <w:sz w:val="22"/>
          <w:szCs w:val="22"/>
        </w:rPr>
        <w:t xml:space="preserve"> degree </w:t>
      </w:r>
      <w:r w:rsidR="00C15DD6" w:rsidRPr="005B464B">
        <w:rPr>
          <w:sz w:val="22"/>
          <w:szCs w:val="22"/>
        </w:rPr>
        <w:t xml:space="preserve">constitutes the relation of </w:t>
      </w:r>
      <w:r w:rsidR="00C15DD6">
        <w:rPr>
          <w:sz w:val="22"/>
          <w:szCs w:val="22"/>
        </w:rPr>
        <w:t xml:space="preserve">the current assets of the entity (stocks, </w:t>
      </w:r>
      <w:r w:rsidR="00C15DD6" w:rsidRPr="005B464B">
        <w:rPr>
          <w:sz w:val="22"/>
          <w:szCs w:val="22"/>
        </w:rPr>
        <w:t xml:space="preserve">short-term </w:t>
      </w:r>
      <w:r w:rsidR="00C15DD6">
        <w:rPr>
          <w:sz w:val="22"/>
          <w:szCs w:val="22"/>
        </w:rPr>
        <w:t xml:space="preserve">receivables, </w:t>
      </w:r>
      <w:r w:rsidR="00C15DD6" w:rsidRPr="005B464B">
        <w:rPr>
          <w:sz w:val="22"/>
          <w:szCs w:val="22"/>
        </w:rPr>
        <w:t xml:space="preserve">short-term investments and short-term </w:t>
      </w:r>
      <w:r w:rsidR="00C15DD6">
        <w:rPr>
          <w:sz w:val="22"/>
          <w:szCs w:val="22"/>
        </w:rPr>
        <w:t xml:space="preserve">deferred expenses) </w:t>
      </w:r>
      <w:r w:rsidR="00C15DD6" w:rsidRPr="005B464B">
        <w:rPr>
          <w:sz w:val="22"/>
          <w:szCs w:val="22"/>
        </w:rPr>
        <w:t xml:space="preserve"> to short-term liabilities</w:t>
      </w:r>
      <w:r w:rsidR="00811C6B">
        <w:rPr>
          <w:sz w:val="22"/>
          <w:szCs w:val="22"/>
        </w:rPr>
        <w:t xml:space="preserve"> (excluding special funds)</w:t>
      </w:r>
      <w:r w:rsidR="00C15DD6" w:rsidRPr="005B464B">
        <w:rPr>
          <w:sz w:val="22"/>
          <w:szCs w:val="22"/>
        </w:rPr>
        <w:t>.</w:t>
      </w:r>
    </w:p>
    <w:p w:rsidR="00C15DD6" w:rsidRDefault="00C15DD6" w:rsidP="0030545E">
      <w:pPr>
        <w:pStyle w:val="Normalny12"/>
        <w:spacing w:line="240" w:lineRule="auto"/>
        <w:rPr>
          <w:sz w:val="22"/>
          <w:szCs w:val="22"/>
        </w:rPr>
      </w:pPr>
    </w:p>
    <w:p w:rsidR="0030545E" w:rsidRPr="005B464B" w:rsidRDefault="00C15DD6" w:rsidP="0030545E">
      <w:pPr>
        <w:pStyle w:val="Normalny12"/>
        <w:spacing w:line="240" w:lineRule="auto"/>
        <w:rPr>
          <w:sz w:val="22"/>
          <w:szCs w:val="22"/>
        </w:rPr>
      </w:pPr>
      <w:r>
        <w:rPr>
          <w:sz w:val="22"/>
          <w:szCs w:val="22"/>
        </w:rPr>
        <w:tab/>
      </w:r>
      <w:r w:rsidR="005F44AD">
        <w:rPr>
          <w:sz w:val="22"/>
          <w:szCs w:val="22"/>
        </w:rPr>
        <w:t>24</w:t>
      </w:r>
      <w:r w:rsidR="0030545E" w:rsidRPr="005B464B">
        <w:rPr>
          <w:sz w:val="22"/>
          <w:szCs w:val="22"/>
        </w:rPr>
        <w:t xml:space="preserve">. </w:t>
      </w:r>
      <w:r w:rsidR="0030545E" w:rsidRPr="005B464B">
        <w:rPr>
          <w:b/>
          <w:sz w:val="22"/>
          <w:szCs w:val="22"/>
        </w:rPr>
        <w:t>Current assets</w:t>
      </w:r>
      <w:r w:rsidR="0030545E" w:rsidRPr="005B464B">
        <w:rPr>
          <w:sz w:val="22"/>
          <w:szCs w:val="22"/>
        </w:rPr>
        <w:t xml:space="preserve"> are</w:t>
      </w:r>
      <w:r w:rsidR="0030545E">
        <w:rPr>
          <w:sz w:val="22"/>
          <w:szCs w:val="22"/>
        </w:rPr>
        <w:t xml:space="preserve"> a</w:t>
      </w:r>
      <w:r w:rsidR="0030545E" w:rsidRPr="005B464B">
        <w:rPr>
          <w:sz w:val="22"/>
          <w:szCs w:val="22"/>
        </w:rPr>
        <w:t xml:space="preserve"> part of the property controlled and used by </w:t>
      </w:r>
      <w:r w:rsidR="0030545E">
        <w:rPr>
          <w:sz w:val="22"/>
          <w:szCs w:val="22"/>
        </w:rPr>
        <w:t>an</w:t>
      </w:r>
      <w:r w:rsidR="0030545E" w:rsidRPr="005B464B">
        <w:rPr>
          <w:sz w:val="22"/>
          <w:szCs w:val="22"/>
        </w:rPr>
        <w:t xml:space="preserve"> entity in its operating activity </w:t>
      </w:r>
      <w:r w:rsidR="00731A35">
        <w:rPr>
          <w:sz w:val="22"/>
          <w:szCs w:val="22"/>
        </w:rPr>
        <w:t>whose</w:t>
      </w:r>
      <w:r w:rsidR="0030545E" w:rsidRPr="005B464B">
        <w:rPr>
          <w:sz w:val="22"/>
          <w:szCs w:val="22"/>
        </w:rPr>
        <w:t xml:space="preserve"> value has been determined in a reliable manner resulting from past events and bound to generate economic benefits to the entity in the future. They include</w:t>
      </w:r>
      <w:r w:rsidR="0030545E">
        <w:rPr>
          <w:sz w:val="22"/>
          <w:szCs w:val="22"/>
        </w:rPr>
        <w:t>:</w:t>
      </w:r>
      <w:r w:rsidR="0030545E" w:rsidRPr="005B464B">
        <w:rPr>
          <w:sz w:val="22"/>
          <w:szCs w:val="22"/>
        </w:rPr>
        <w:t xml:space="preserve"> stock</w:t>
      </w:r>
      <w:r w:rsidR="0030545E">
        <w:rPr>
          <w:sz w:val="22"/>
          <w:szCs w:val="22"/>
        </w:rPr>
        <w:t>s</w:t>
      </w:r>
      <w:r w:rsidR="0030545E" w:rsidRPr="005B464B">
        <w:rPr>
          <w:sz w:val="22"/>
          <w:szCs w:val="22"/>
        </w:rPr>
        <w:t xml:space="preserve"> (</w:t>
      </w:r>
      <w:r w:rsidR="00D52B41">
        <w:rPr>
          <w:sz w:val="22"/>
          <w:szCs w:val="22"/>
        </w:rPr>
        <w:t>tangible</w:t>
      </w:r>
      <w:r w:rsidR="0030545E">
        <w:rPr>
          <w:sz w:val="22"/>
          <w:szCs w:val="22"/>
        </w:rPr>
        <w:t xml:space="preserve"> </w:t>
      </w:r>
      <w:r w:rsidR="00D52B41">
        <w:rPr>
          <w:sz w:val="22"/>
          <w:szCs w:val="22"/>
        </w:rPr>
        <w:t>current</w:t>
      </w:r>
      <w:r w:rsidR="004258EB">
        <w:rPr>
          <w:sz w:val="22"/>
          <w:szCs w:val="22"/>
        </w:rPr>
        <w:t xml:space="preserve"> </w:t>
      </w:r>
      <w:r w:rsidR="00D52B41">
        <w:rPr>
          <w:sz w:val="22"/>
          <w:szCs w:val="22"/>
        </w:rPr>
        <w:t>asset</w:t>
      </w:r>
      <w:r w:rsidR="00E25520">
        <w:rPr>
          <w:sz w:val="22"/>
          <w:szCs w:val="22"/>
        </w:rPr>
        <w:t>s</w:t>
      </w:r>
      <w:r w:rsidR="0030545E" w:rsidRPr="005B464B">
        <w:rPr>
          <w:sz w:val="22"/>
          <w:szCs w:val="22"/>
        </w:rPr>
        <w:t>) and short-term: dues, investments and inter-period settlements.</w:t>
      </w:r>
    </w:p>
    <w:p w:rsidR="0030545E" w:rsidRPr="00327E6A" w:rsidRDefault="0030545E" w:rsidP="0030545E">
      <w:pPr>
        <w:pStyle w:val="Normalny12"/>
        <w:spacing w:line="240" w:lineRule="auto"/>
        <w:rPr>
          <w:sz w:val="32"/>
          <w:szCs w:val="32"/>
        </w:rPr>
      </w:pPr>
    </w:p>
    <w:p w:rsidR="0030545E" w:rsidRPr="005B464B" w:rsidRDefault="0030545E" w:rsidP="0030545E">
      <w:pPr>
        <w:pStyle w:val="Normalny12"/>
        <w:spacing w:line="240" w:lineRule="auto"/>
        <w:rPr>
          <w:sz w:val="22"/>
          <w:szCs w:val="22"/>
        </w:rPr>
      </w:pPr>
      <w:r w:rsidRPr="005B464B">
        <w:rPr>
          <w:sz w:val="22"/>
          <w:szCs w:val="22"/>
        </w:rPr>
        <w:tab/>
        <w:t>2</w:t>
      </w:r>
      <w:r w:rsidR="005F44AD">
        <w:rPr>
          <w:sz w:val="22"/>
          <w:szCs w:val="22"/>
        </w:rPr>
        <w:t>5</w:t>
      </w:r>
      <w:r w:rsidRPr="005B464B">
        <w:rPr>
          <w:sz w:val="22"/>
          <w:szCs w:val="22"/>
        </w:rPr>
        <w:t xml:space="preserve">. </w:t>
      </w:r>
      <w:r w:rsidRPr="005B464B">
        <w:rPr>
          <w:b/>
          <w:sz w:val="22"/>
          <w:szCs w:val="22"/>
        </w:rPr>
        <w:t>Short-term dues</w:t>
      </w:r>
      <w:r w:rsidRPr="005B464B">
        <w:rPr>
          <w:sz w:val="22"/>
          <w:szCs w:val="22"/>
        </w:rPr>
        <w:t xml:space="preserve"> include total </w:t>
      </w:r>
      <w:r w:rsidR="00D52B41">
        <w:rPr>
          <w:sz w:val="22"/>
          <w:szCs w:val="22"/>
        </w:rPr>
        <w:t>dues</w:t>
      </w:r>
      <w:r w:rsidRPr="005B464B">
        <w:rPr>
          <w:sz w:val="22"/>
          <w:szCs w:val="22"/>
        </w:rPr>
        <w:t xml:space="preserve"> from deliveries and services and the whole or part of other </w:t>
      </w:r>
      <w:r w:rsidR="00D52B41">
        <w:rPr>
          <w:sz w:val="22"/>
          <w:szCs w:val="22"/>
        </w:rPr>
        <w:t>dues</w:t>
      </w:r>
      <w:r w:rsidRPr="005B464B">
        <w:rPr>
          <w:sz w:val="22"/>
          <w:szCs w:val="22"/>
        </w:rPr>
        <w:t>, which are not financial assets, with the maturity of twelve months as of the balance sheet date.</w:t>
      </w:r>
    </w:p>
    <w:p w:rsidR="0030545E" w:rsidRPr="00327E6A" w:rsidRDefault="0030545E" w:rsidP="0030545E">
      <w:pPr>
        <w:pStyle w:val="Normalny12"/>
        <w:spacing w:line="240" w:lineRule="auto"/>
        <w:rPr>
          <w:sz w:val="32"/>
          <w:szCs w:val="32"/>
        </w:rPr>
      </w:pPr>
    </w:p>
    <w:p w:rsidR="0030545E" w:rsidRPr="005B464B" w:rsidRDefault="0030545E" w:rsidP="0030545E">
      <w:pPr>
        <w:pStyle w:val="Normalny12"/>
        <w:spacing w:line="240" w:lineRule="auto"/>
        <w:rPr>
          <w:color w:val="000000"/>
          <w:sz w:val="22"/>
          <w:szCs w:val="22"/>
        </w:rPr>
      </w:pPr>
      <w:r w:rsidRPr="005B464B">
        <w:rPr>
          <w:sz w:val="22"/>
          <w:szCs w:val="22"/>
        </w:rPr>
        <w:tab/>
        <w:t>2</w:t>
      </w:r>
      <w:r w:rsidR="005F44AD">
        <w:rPr>
          <w:sz w:val="22"/>
          <w:szCs w:val="22"/>
        </w:rPr>
        <w:t>6</w:t>
      </w:r>
      <w:r w:rsidRPr="005B464B">
        <w:rPr>
          <w:sz w:val="22"/>
          <w:szCs w:val="22"/>
        </w:rPr>
        <w:t xml:space="preserve">. </w:t>
      </w:r>
      <w:r w:rsidRPr="005B464B">
        <w:rPr>
          <w:b/>
          <w:sz w:val="22"/>
          <w:szCs w:val="22"/>
        </w:rPr>
        <w:t>Short-term liabilities (excluding special funds</w:t>
      </w:r>
      <w:r w:rsidRPr="005B464B">
        <w:rPr>
          <w:b/>
          <w:color w:val="000000"/>
          <w:sz w:val="22"/>
          <w:szCs w:val="22"/>
        </w:rPr>
        <w:t xml:space="preserve">) </w:t>
      </w:r>
      <w:r w:rsidRPr="005B464B">
        <w:rPr>
          <w:color w:val="000000"/>
          <w:sz w:val="22"/>
          <w:szCs w:val="22"/>
        </w:rPr>
        <w:t xml:space="preserve">are total trade </w:t>
      </w:r>
      <w:r w:rsidR="00D52B41">
        <w:rPr>
          <w:sz w:val="22"/>
          <w:szCs w:val="22"/>
        </w:rPr>
        <w:t>liabilities</w:t>
      </w:r>
      <w:r w:rsidRPr="005B464B">
        <w:rPr>
          <w:color w:val="000000"/>
          <w:sz w:val="22"/>
          <w:szCs w:val="22"/>
        </w:rPr>
        <w:t xml:space="preserve"> and the whole or part of other liabilities with the maturity of twelve months as of the balance sheet date.</w:t>
      </w:r>
    </w:p>
    <w:p w:rsidR="0030545E" w:rsidRPr="00327E6A" w:rsidRDefault="0030545E" w:rsidP="0030545E">
      <w:pPr>
        <w:pStyle w:val="Normalny12"/>
        <w:spacing w:line="240" w:lineRule="auto"/>
        <w:rPr>
          <w:color w:val="800000"/>
          <w:sz w:val="32"/>
          <w:szCs w:val="32"/>
        </w:rPr>
      </w:pPr>
    </w:p>
    <w:p w:rsidR="0030545E" w:rsidRDefault="0030545E" w:rsidP="0030545E">
      <w:pPr>
        <w:pStyle w:val="Normalny12"/>
        <w:spacing w:line="240" w:lineRule="auto"/>
        <w:rPr>
          <w:sz w:val="22"/>
          <w:szCs w:val="22"/>
        </w:rPr>
      </w:pPr>
      <w:r w:rsidRPr="005B464B">
        <w:rPr>
          <w:sz w:val="22"/>
          <w:szCs w:val="22"/>
        </w:rPr>
        <w:tab/>
        <w:t>2</w:t>
      </w:r>
      <w:r w:rsidR="005F44AD">
        <w:rPr>
          <w:sz w:val="22"/>
          <w:szCs w:val="22"/>
        </w:rPr>
        <w:t>7</w:t>
      </w:r>
      <w:r w:rsidRPr="005B464B">
        <w:rPr>
          <w:sz w:val="22"/>
          <w:szCs w:val="22"/>
        </w:rPr>
        <w:t xml:space="preserve">. </w:t>
      </w:r>
      <w:r w:rsidRPr="005B464B">
        <w:rPr>
          <w:b/>
          <w:sz w:val="22"/>
          <w:szCs w:val="22"/>
        </w:rPr>
        <w:t>Long-term liabilities</w:t>
      </w:r>
      <w:r w:rsidRPr="005B464B">
        <w:rPr>
          <w:sz w:val="22"/>
          <w:szCs w:val="22"/>
        </w:rPr>
        <w:t xml:space="preserve"> are total liabilities with the maturity of more than twelve months as </w:t>
      </w:r>
      <w:r w:rsidR="00DB46B3">
        <w:rPr>
          <w:sz w:val="22"/>
          <w:szCs w:val="22"/>
        </w:rPr>
        <w:t>at</w:t>
      </w:r>
      <w:r w:rsidRPr="005B464B">
        <w:rPr>
          <w:sz w:val="22"/>
          <w:szCs w:val="22"/>
        </w:rPr>
        <w:t xml:space="preserve"> the balance sheet da</w:t>
      </w:r>
      <w:r w:rsidR="00383D14">
        <w:rPr>
          <w:sz w:val="22"/>
          <w:szCs w:val="22"/>
        </w:rPr>
        <w:t xml:space="preserve">te, apart from trade </w:t>
      </w:r>
      <w:r w:rsidR="00D52B41">
        <w:rPr>
          <w:sz w:val="22"/>
          <w:szCs w:val="22"/>
        </w:rPr>
        <w:t>liabilities</w:t>
      </w:r>
      <w:r w:rsidRPr="005B464B">
        <w:rPr>
          <w:sz w:val="22"/>
          <w:szCs w:val="22"/>
        </w:rPr>
        <w:t>.</w:t>
      </w:r>
    </w:p>
    <w:p w:rsidR="0030545E" w:rsidRPr="00327E6A" w:rsidRDefault="0030545E" w:rsidP="0030545E">
      <w:pPr>
        <w:pStyle w:val="Normalny12"/>
        <w:spacing w:line="240" w:lineRule="auto"/>
        <w:rPr>
          <w:sz w:val="32"/>
          <w:szCs w:val="32"/>
        </w:rPr>
      </w:pPr>
    </w:p>
    <w:p w:rsidR="0030545E" w:rsidRPr="005B464B" w:rsidRDefault="0030545E" w:rsidP="0030545E">
      <w:pPr>
        <w:tabs>
          <w:tab w:val="left" w:pos="284"/>
        </w:tabs>
        <w:jc w:val="both"/>
        <w:rPr>
          <w:i/>
          <w:color w:val="000000"/>
          <w:sz w:val="22"/>
          <w:szCs w:val="22"/>
          <w:lang w:val="en-GB"/>
        </w:rPr>
      </w:pPr>
      <w:r w:rsidRPr="005B464B">
        <w:rPr>
          <w:b/>
          <w:i/>
          <w:sz w:val="22"/>
          <w:szCs w:val="22"/>
          <w:lang w:val="en-GB"/>
        </w:rPr>
        <w:tab/>
      </w:r>
      <w:r w:rsidRPr="005B464B">
        <w:rPr>
          <w:i/>
          <w:color w:val="000000"/>
          <w:sz w:val="22"/>
          <w:szCs w:val="22"/>
          <w:lang w:val="en-GB"/>
        </w:rPr>
        <w:t>2</w:t>
      </w:r>
      <w:r w:rsidR="005F44AD">
        <w:rPr>
          <w:i/>
          <w:color w:val="000000"/>
          <w:sz w:val="22"/>
          <w:szCs w:val="22"/>
          <w:lang w:val="en-GB"/>
        </w:rPr>
        <w:t>8</w:t>
      </w:r>
      <w:r w:rsidRPr="005B464B">
        <w:rPr>
          <w:i/>
          <w:color w:val="000000"/>
          <w:sz w:val="22"/>
          <w:szCs w:val="22"/>
          <w:lang w:val="en-GB"/>
        </w:rPr>
        <w:t>.</w:t>
      </w:r>
      <w:r w:rsidRPr="005B464B">
        <w:rPr>
          <w:b/>
          <w:i/>
          <w:color w:val="000000"/>
          <w:sz w:val="22"/>
          <w:szCs w:val="22"/>
          <w:lang w:val="en-GB"/>
        </w:rPr>
        <w:t xml:space="preserve"> Relative numbers (indices, percentages) </w:t>
      </w:r>
      <w:r w:rsidRPr="005B464B">
        <w:rPr>
          <w:i/>
          <w:color w:val="000000"/>
          <w:sz w:val="22"/>
          <w:szCs w:val="22"/>
          <w:lang w:val="en-GB"/>
        </w:rPr>
        <w:t>are calculated</w:t>
      </w:r>
      <w:r>
        <w:rPr>
          <w:i/>
          <w:color w:val="000000"/>
          <w:sz w:val="22"/>
          <w:szCs w:val="22"/>
          <w:lang w:val="en-GB"/>
        </w:rPr>
        <w:t>,</w:t>
      </w:r>
      <w:r w:rsidRPr="005B464B">
        <w:rPr>
          <w:i/>
          <w:color w:val="000000"/>
          <w:sz w:val="22"/>
          <w:szCs w:val="22"/>
          <w:lang w:val="en-GB"/>
        </w:rPr>
        <w:t xml:space="preserve"> as a rule, on the basis of absolute data expressed with higher precision than that presented in </w:t>
      </w:r>
      <w:r>
        <w:rPr>
          <w:i/>
          <w:color w:val="000000"/>
          <w:sz w:val="22"/>
          <w:szCs w:val="22"/>
          <w:lang w:val="en-GB"/>
        </w:rPr>
        <w:t xml:space="preserve">the </w:t>
      </w:r>
      <w:r w:rsidRPr="005B464B">
        <w:rPr>
          <w:i/>
          <w:color w:val="000000"/>
          <w:sz w:val="22"/>
          <w:szCs w:val="22"/>
          <w:lang w:val="en-GB"/>
        </w:rPr>
        <w:t>tables.</w:t>
      </w:r>
    </w:p>
    <w:p w:rsidR="0030545E" w:rsidRPr="00327E6A" w:rsidRDefault="0030545E" w:rsidP="0030545E">
      <w:pPr>
        <w:tabs>
          <w:tab w:val="left" w:pos="284"/>
        </w:tabs>
        <w:jc w:val="both"/>
        <w:rPr>
          <w:i/>
          <w:color w:val="000000"/>
          <w:sz w:val="32"/>
          <w:szCs w:val="32"/>
          <w:lang w:val="en-GB"/>
        </w:rPr>
      </w:pPr>
    </w:p>
    <w:p w:rsidR="0030545E" w:rsidRPr="005B464B" w:rsidRDefault="005F44AD" w:rsidP="0030545E">
      <w:pPr>
        <w:tabs>
          <w:tab w:val="left" w:pos="284"/>
        </w:tabs>
        <w:jc w:val="both"/>
        <w:rPr>
          <w:i/>
          <w:color w:val="000000"/>
          <w:sz w:val="22"/>
          <w:szCs w:val="22"/>
          <w:lang w:val="en-GB"/>
        </w:rPr>
      </w:pPr>
      <w:r>
        <w:rPr>
          <w:i/>
          <w:color w:val="000000"/>
          <w:sz w:val="22"/>
          <w:szCs w:val="22"/>
          <w:lang w:val="en-GB"/>
        </w:rPr>
        <w:tab/>
        <w:t>29</w:t>
      </w:r>
      <w:r w:rsidR="0030545E" w:rsidRPr="005B464B">
        <w:rPr>
          <w:i/>
          <w:color w:val="000000"/>
          <w:sz w:val="22"/>
          <w:szCs w:val="22"/>
          <w:lang w:val="en-GB"/>
        </w:rPr>
        <w:t xml:space="preserve">. Grand totals of </w:t>
      </w:r>
      <w:r w:rsidR="0030545E">
        <w:rPr>
          <w:i/>
          <w:color w:val="000000"/>
          <w:sz w:val="22"/>
          <w:szCs w:val="22"/>
          <w:lang w:val="en-GB"/>
        </w:rPr>
        <w:t>some</w:t>
      </w:r>
      <w:r w:rsidR="0030545E" w:rsidRPr="005B464B">
        <w:rPr>
          <w:i/>
          <w:color w:val="000000"/>
          <w:sz w:val="22"/>
          <w:szCs w:val="22"/>
          <w:lang w:val="en-GB"/>
        </w:rPr>
        <w:t xml:space="preserve"> monthly data may differ from data on an accrued base.</w:t>
      </w:r>
    </w:p>
    <w:p w:rsidR="0030545E" w:rsidRPr="00327E6A" w:rsidRDefault="0030545E" w:rsidP="0030545E">
      <w:pPr>
        <w:jc w:val="both"/>
        <w:rPr>
          <w:i/>
          <w:color w:val="000000"/>
          <w:sz w:val="32"/>
          <w:szCs w:val="32"/>
          <w:lang w:val="en-GB"/>
        </w:rPr>
      </w:pPr>
    </w:p>
    <w:p w:rsidR="0030545E" w:rsidRPr="005B464B" w:rsidRDefault="0099410D" w:rsidP="0030545E">
      <w:pPr>
        <w:pStyle w:val="Normalny12"/>
        <w:spacing w:line="240" w:lineRule="auto"/>
        <w:rPr>
          <w:sz w:val="22"/>
          <w:szCs w:val="22"/>
        </w:rPr>
      </w:pPr>
      <w:r>
        <w:rPr>
          <w:sz w:val="22"/>
          <w:szCs w:val="22"/>
        </w:rPr>
        <w:tab/>
      </w:r>
      <w:r w:rsidR="005F44AD">
        <w:rPr>
          <w:sz w:val="22"/>
          <w:szCs w:val="22"/>
        </w:rPr>
        <w:t>30</w:t>
      </w:r>
      <w:r w:rsidR="0030545E" w:rsidRPr="005B464B">
        <w:rPr>
          <w:sz w:val="22"/>
          <w:szCs w:val="22"/>
        </w:rPr>
        <w:t xml:space="preserve">. Due to the </w:t>
      </w:r>
      <w:r w:rsidR="0030545E">
        <w:rPr>
          <w:sz w:val="22"/>
          <w:szCs w:val="22"/>
        </w:rPr>
        <w:t>rounding</w:t>
      </w:r>
      <w:r w:rsidR="0030545E" w:rsidRPr="005B464B">
        <w:rPr>
          <w:sz w:val="22"/>
          <w:szCs w:val="22"/>
        </w:rPr>
        <w:t xml:space="preserve"> of data, in some cases sums of component</w:t>
      </w:r>
      <w:r w:rsidR="0030545E">
        <w:rPr>
          <w:sz w:val="22"/>
          <w:szCs w:val="22"/>
        </w:rPr>
        <w:t>s</w:t>
      </w:r>
      <w:r w:rsidR="0030545E" w:rsidRPr="005B464B">
        <w:rPr>
          <w:sz w:val="22"/>
          <w:szCs w:val="22"/>
        </w:rPr>
        <w:t xml:space="preserve"> </w:t>
      </w:r>
      <w:r w:rsidR="0030545E">
        <w:rPr>
          <w:sz w:val="22"/>
          <w:szCs w:val="22"/>
        </w:rPr>
        <w:t>can</w:t>
      </w:r>
      <w:r w:rsidR="0030545E" w:rsidRPr="005B464B">
        <w:rPr>
          <w:sz w:val="22"/>
          <w:szCs w:val="22"/>
        </w:rPr>
        <w:t xml:space="preserve"> differ from the amount given in the item “total</w:t>
      </w:r>
      <w:r w:rsidR="0030545E">
        <w:rPr>
          <w:sz w:val="22"/>
          <w:szCs w:val="22"/>
        </w:rPr>
        <w:t>”.</w:t>
      </w:r>
      <w:r w:rsidR="0030545E" w:rsidRPr="005B464B">
        <w:rPr>
          <w:sz w:val="22"/>
          <w:szCs w:val="22"/>
        </w:rPr>
        <w:t xml:space="preserve"> </w:t>
      </w:r>
    </w:p>
    <w:p w:rsidR="0030545E" w:rsidRPr="00327E6A" w:rsidRDefault="0030545E" w:rsidP="0030545E">
      <w:pPr>
        <w:pStyle w:val="Normalny12"/>
        <w:spacing w:line="240" w:lineRule="auto"/>
        <w:rPr>
          <w:sz w:val="40"/>
          <w:szCs w:val="40"/>
        </w:rPr>
      </w:pPr>
    </w:p>
    <w:p w:rsidR="0030545E" w:rsidRDefault="0030545E" w:rsidP="0030545E">
      <w:pPr>
        <w:pStyle w:val="Normalny12"/>
        <w:spacing w:line="240" w:lineRule="auto"/>
        <w:rPr>
          <w:sz w:val="22"/>
          <w:szCs w:val="22"/>
        </w:rPr>
      </w:pPr>
      <w:r w:rsidRPr="005B464B">
        <w:tab/>
      </w:r>
      <w:r w:rsidR="005F44AD">
        <w:rPr>
          <w:sz w:val="22"/>
          <w:szCs w:val="22"/>
        </w:rPr>
        <w:t>31</w:t>
      </w:r>
      <w:r w:rsidRPr="001201B9">
        <w:rPr>
          <w:sz w:val="22"/>
          <w:szCs w:val="22"/>
        </w:rPr>
        <w:t>. In regard to NACE 2007 abbreviations are used. The list of the abbreviations used and their full names is given below:</w:t>
      </w:r>
    </w:p>
    <w:p w:rsidR="0030545E" w:rsidRDefault="0030545E" w:rsidP="0030545E">
      <w:pPr>
        <w:pStyle w:val="Normalny12"/>
        <w:spacing w:line="240" w:lineRule="auto"/>
        <w:rPr>
          <w:sz w:val="22"/>
          <w:szCs w:val="22"/>
        </w:rPr>
      </w:pPr>
    </w:p>
    <w:p w:rsidR="00220276" w:rsidRDefault="00220276" w:rsidP="0030545E">
      <w:pPr>
        <w:pStyle w:val="Normalny12"/>
        <w:spacing w:line="240" w:lineRule="auto"/>
        <w:rPr>
          <w:sz w:val="22"/>
          <w:szCs w:val="22"/>
        </w:rPr>
      </w:pPr>
    </w:p>
    <w:p w:rsidR="00220276" w:rsidRDefault="00220276" w:rsidP="0030545E">
      <w:pPr>
        <w:pStyle w:val="Normalny12"/>
        <w:spacing w:line="240" w:lineRule="auto"/>
        <w:rPr>
          <w:sz w:val="22"/>
          <w:szCs w:val="22"/>
        </w:rPr>
      </w:pPr>
    </w:p>
    <w:p w:rsidR="00687459" w:rsidRDefault="00687459" w:rsidP="0030545E">
      <w:pPr>
        <w:pStyle w:val="Normalny12"/>
        <w:spacing w:line="240" w:lineRule="auto"/>
        <w:rPr>
          <w:sz w:val="22"/>
          <w:szCs w:val="22"/>
        </w:rPr>
      </w:pPr>
    </w:p>
    <w:p w:rsidR="00A156BE" w:rsidRDefault="00A156BE" w:rsidP="000B2623">
      <w:pPr>
        <w:pStyle w:val="Normalny12"/>
        <w:spacing w:line="240" w:lineRule="atLeast"/>
        <w:rPr>
          <w:i w:val="0"/>
          <w:sz w:val="20"/>
          <w:szCs w:val="20"/>
        </w:rPr>
      </w:pPr>
    </w:p>
    <w:tbl>
      <w:tblPr>
        <w:tblW w:w="9568" w:type="dxa"/>
        <w:tblLayout w:type="fixed"/>
        <w:tblCellMar>
          <w:left w:w="70" w:type="dxa"/>
          <w:right w:w="70" w:type="dxa"/>
        </w:tblCellMar>
        <w:tblLook w:val="0000" w:firstRow="0" w:lastRow="0" w:firstColumn="0" w:lastColumn="0" w:noHBand="0" w:noVBand="0"/>
      </w:tblPr>
      <w:tblGrid>
        <w:gridCol w:w="4465"/>
        <w:gridCol w:w="5103"/>
      </w:tblGrid>
      <w:tr w:rsidR="0030545E" w:rsidRPr="005B464B" w:rsidTr="00D40FA0">
        <w:trPr>
          <w:trHeight w:val="421"/>
        </w:trPr>
        <w:tc>
          <w:tcPr>
            <w:tcW w:w="4465" w:type="dxa"/>
          </w:tcPr>
          <w:p w:rsidR="0030545E" w:rsidRPr="005B464B" w:rsidRDefault="0030545E" w:rsidP="00C75C05">
            <w:pPr>
              <w:spacing w:line="240" w:lineRule="atLeast"/>
              <w:jc w:val="center"/>
              <w:rPr>
                <w:b/>
                <w:i/>
                <w:sz w:val="22"/>
                <w:szCs w:val="22"/>
                <w:lang w:val="en-GB"/>
              </w:rPr>
            </w:pPr>
            <w:r w:rsidRPr="005B464B">
              <w:rPr>
                <w:b/>
                <w:i/>
                <w:sz w:val="22"/>
                <w:szCs w:val="22"/>
                <w:lang w:val="en-GB"/>
              </w:rPr>
              <w:lastRenderedPageBreak/>
              <w:t>abbreviation</w:t>
            </w:r>
          </w:p>
        </w:tc>
        <w:tc>
          <w:tcPr>
            <w:tcW w:w="5103" w:type="dxa"/>
          </w:tcPr>
          <w:p w:rsidR="0030545E" w:rsidRPr="005B464B" w:rsidRDefault="0030545E" w:rsidP="00C75C05">
            <w:pPr>
              <w:spacing w:line="240" w:lineRule="atLeast"/>
              <w:jc w:val="center"/>
              <w:rPr>
                <w:b/>
                <w:i/>
                <w:sz w:val="22"/>
                <w:szCs w:val="22"/>
                <w:lang w:val="en-GB"/>
              </w:rPr>
            </w:pPr>
            <w:r w:rsidRPr="005B464B">
              <w:rPr>
                <w:b/>
                <w:i/>
                <w:sz w:val="22"/>
                <w:szCs w:val="22"/>
                <w:lang w:val="en-GB"/>
              </w:rPr>
              <w:t>full name</w:t>
            </w:r>
          </w:p>
        </w:tc>
      </w:tr>
      <w:tr w:rsidR="0030545E" w:rsidRPr="005B464B" w:rsidTr="00D40FA0">
        <w:trPr>
          <w:trHeight w:val="793"/>
        </w:trPr>
        <w:tc>
          <w:tcPr>
            <w:tcW w:w="9568" w:type="dxa"/>
            <w:gridSpan w:val="2"/>
            <w:vAlign w:val="center"/>
          </w:tcPr>
          <w:p w:rsidR="0030545E" w:rsidRPr="00164269" w:rsidRDefault="0030545E" w:rsidP="007D6DBB">
            <w:pPr>
              <w:jc w:val="center"/>
              <w:rPr>
                <w:b/>
                <w:i/>
                <w:sz w:val="22"/>
                <w:szCs w:val="22"/>
                <w:lang w:val="en-GB"/>
              </w:rPr>
            </w:pPr>
            <w:r w:rsidRPr="00164269">
              <w:rPr>
                <w:b/>
                <w:i/>
                <w:sz w:val="22"/>
                <w:szCs w:val="22"/>
                <w:lang w:val="en-GB"/>
              </w:rPr>
              <w:t>NACE divisions</w:t>
            </w:r>
          </w:p>
        </w:tc>
      </w:tr>
      <w:tr w:rsidR="0030545E" w:rsidRPr="001F7FE1" w:rsidTr="00D40FA0">
        <w:tc>
          <w:tcPr>
            <w:tcW w:w="4465" w:type="dxa"/>
          </w:tcPr>
          <w:p w:rsidR="0030545E" w:rsidRPr="005B464B" w:rsidRDefault="0030545E" w:rsidP="007D6DBB">
            <w:pPr>
              <w:jc w:val="both"/>
              <w:rPr>
                <w:i/>
                <w:sz w:val="22"/>
                <w:szCs w:val="22"/>
                <w:lang w:val="en-GB"/>
              </w:rPr>
            </w:pPr>
            <w:r w:rsidRPr="005B464B">
              <w:rPr>
                <w:i/>
                <w:sz w:val="22"/>
                <w:szCs w:val="22"/>
                <w:lang w:val="en-GB"/>
              </w:rPr>
              <w:t>Manufacture of products of wood, cork</w:t>
            </w:r>
            <w:r>
              <w:rPr>
                <w:i/>
                <w:sz w:val="22"/>
                <w:szCs w:val="22"/>
                <w:lang w:val="en-GB"/>
              </w:rPr>
              <w:t>,</w:t>
            </w:r>
            <w:r w:rsidRPr="005B464B">
              <w:rPr>
                <w:i/>
                <w:sz w:val="22"/>
                <w:szCs w:val="22"/>
                <w:lang w:val="en-GB"/>
              </w:rPr>
              <w:t xml:space="preserve"> straw and wicker </w:t>
            </w:r>
          </w:p>
          <w:p w:rsidR="0030545E" w:rsidRPr="005B464B" w:rsidRDefault="0030545E" w:rsidP="007D6DBB">
            <w:pPr>
              <w:jc w:val="both"/>
              <w:rPr>
                <w:i/>
                <w:sz w:val="22"/>
                <w:szCs w:val="22"/>
                <w:lang w:val="en-GB"/>
              </w:rPr>
            </w:pPr>
          </w:p>
        </w:tc>
        <w:tc>
          <w:tcPr>
            <w:tcW w:w="5103" w:type="dxa"/>
          </w:tcPr>
          <w:p w:rsidR="0030545E" w:rsidRDefault="0030545E" w:rsidP="007D6DBB">
            <w:pPr>
              <w:jc w:val="both"/>
              <w:rPr>
                <w:i/>
                <w:sz w:val="22"/>
                <w:szCs w:val="22"/>
                <w:lang w:val="en-GB"/>
              </w:rPr>
            </w:pPr>
            <w:r w:rsidRPr="005B464B">
              <w:rPr>
                <w:i/>
                <w:sz w:val="22"/>
                <w:szCs w:val="22"/>
                <w:lang w:val="en-GB"/>
              </w:rPr>
              <w:t>Manufacture of wood and of products of wood and cork, except furniture; manufacture of articles of straw and plaiting materials</w:t>
            </w:r>
          </w:p>
          <w:p w:rsidR="0030545E" w:rsidRPr="005B464B" w:rsidRDefault="0030545E" w:rsidP="007D6DBB">
            <w:pPr>
              <w:jc w:val="both"/>
              <w:rPr>
                <w:i/>
                <w:sz w:val="22"/>
                <w:szCs w:val="22"/>
                <w:lang w:val="en-GB"/>
              </w:rPr>
            </w:pPr>
          </w:p>
        </w:tc>
      </w:tr>
      <w:tr w:rsidR="0030545E" w:rsidRPr="005B464B" w:rsidTr="00D40FA0">
        <w:tc>
          <w:tcPr>
            <w:tcW w:w="4465" w:type="dxa"/>
          </w:tcPr>
          <w:p w:rsidR="0030545E" w:rsidRPr="005B464B" w:rsidRDefault="0030545E" w:rsidP="007D6DBB">
            <w:pPr>
              <w:jc w:val="both"/>
              <w:rPr>
                <w:i/>
                <w:sz w:val="22"/>
                <w:szCs w:val="22"/>
                <w:lang w:val="en-GB"/>
              </w:rPr>
            </w:pPr>
            <w:r w:rsidRPr="005B464B">
              <w:rPr>
                <w:i/>
                <w:sz w:val="22"/>
                <w:szCs w:val="22"/>
                <w:lang w:val="en-GB"/>
              </w:rPr>
              <w:t>Manufacture of pharmaceutical products</w:t>
            </w:r>
          </w:p>
        </w:tc>
        <w:tc>
          <w:tcPr>
            <w:tcW w:w="5103" w:type="dxa"/>
          </w:tcPr>
          <w:p w:rsidR="0030545E" w:rsidRPr="005B464B" w:rsidRDefault="0030545E" w:rsidP="007D6DBB">
            <w:pPr>
              <w:jc w:val="both"/>
              <w:rPr>
                <w:i/>
                <w:sz w:val="22"/>
                <w:szCs w:val="22"/>
                <w:lang w:val="en-GB"/>
              </w:rPr>
            </w:pPr>
            <w:r w:rsidRPr="005B464B">
              <w:rPr>
                <w:i/>
                <w:sz w:val="22"/>
                <w:szCs w:val="22"/>
                <w:lang w:val="en-GB"/>
              </w:rPr>
              <w:t>Manufacture of basic pharmaceutical products and</w:t>
            </w:r>
          </w:p>
          <w:p w:rsidR="0030545E" w:rsidRDefault="0030545E" w:rsidP="007D6DBB">
            <w:pPr>
              <w:jc w:val="both"/>
              <w:rPr>
                <w:i/>
                <w:sz w:val="22"/>
                <w:szCs w:val="22"/>
                <w:lang w:val="en-GB"/>
              </w:rPr>
            </w:pPr>
            <w:r w:rsidRPr="005B464B">
              <w:rPr>
                <w:i/>
                <w:sz w:val="22"/>
                <w:szCs w:val="22"/>
                <w:lang w:val="en-GB"/>
              </w:rPr>
              <w:t>pharmaceutical preparation</w:t>
            </w:r>
          </w:p>
          <w:p w:rsidR="0030545E" w:rsidRPr="005B464B" w:rsidRDefault="0030545E" w:rsidP="007D6DBB">
            <w:pPr>
              <w:jc w:val="both"/>
              <w:rPr>
                <w:i/>
                <w:sz w:val="22"/>
                <w:szCs w:val="22"/>
                <w:lang w:val="en-GB"/>
              </w:rPr>
            </w:pPr>
          </w:p>
        </w:tc>
      </w:tr>
      <w:tr w:rsidR="0030545E" w:rsidRPr="001F7FE1" w:rsidTr="00D40FA0">
        <w:tc>
          <w:tcPr>
            <w:tcW w:w="4465" w:type="dxa"/>
          </w:tcPr>
          <w:p w:rsidR="0030545E" w:rsidRPr="005B464B" w:rsidRDefault="0030545E" w:rsidP="007D6DBB">
            <w:pPr>
              <w:jc w:val="both"/>
              <w:rPr>
                <w:i/>
                <w:sz w:val="22"/>
                <w:szCs w:val="22"/>
                <w:lang w:val="en-GB"/>
              </w:rPr>
            </w:pPr>
            <w:r w:rsidRPr="005B464B">
              <w:rPr>
                <w:i/>
                <w:sz w:val="22"/>
                <w:szCs w:val="22"/>
                <w:lang w:val="en-GB"/>
              </w:rPr>
              <w:t>Manufacture of metal products</w:t>
            </w:r>
          </w:p>
          <w:p w:rsidR="0030545E" w:rsidRPr="005B464B" w:rsidRDefault="0030545E" w:rsidP="007D6DBB">
            <w:pPr>
              <w:jc w:val="both"/>
              <w:rPr>
                <w:i/>
                <w:sz w:val="22"/>
                <w:szCs w:val="22"/>
                <w:lang w:val="en-GB"/>
              </w:rPr>
            </w:pPr>
          </w:p>
        </w:tc>
        <w:tc>
          <w:tcPr>
            <w:tcW w:w="5103" w:type="dxa"/>
          </w:tcPr>
          <w:p w:rsidR="0030545E" w:rsidRDefault="0030545E" w:rsidP="007D6DBB">
            <w:pPr>
              <w:jc w:val="both"/>
              <w:rPr>
                <w:i/>
                <w:sz w:val="22"/>
                <w:szCs w:val="22"/>
                <w:lang w:val="en-GB"/>
              </w:rPr>
            </w:pPr>
            <w:r w:rsidRPr="005B464B">
              <w:rPr>
                <w:i/>
                <w:sz w:val="22"/>
                <w:szCs w:val="22"/>
                <w:lang w:val="en-GB"/>
              </w:rPr>
              <w:t>Manufacture of fabricated metal products, except machinery and equipment</w:t>
            </w:r>
          </w:p>
          <w:p w:rsidR="0030545E" w:rsidRPr="005B464B" w:rsidRDefault="0030545E" w:rsidP="007D6DBB">
            <w:pPr>
              <w:jc w:val="both"/>
              <w:rPr>
                <w:i/>
                <w:sz w:val="22"/>
                <w:szCs w:val="22"/>
                <w:lang w:val="en-GB"/>
              </w:rPr>
            </w:pPr>
          </w:p>
        </w:tc>
      </w:tr>
      <w:tr w:rsidR="0030545E" w:rsidRPr="005B464B" w:rsidTr="00D40FA0">
        <w:trPr>
          <w:trHeight w:val="744"/>
        </w:trPr>
        <w:tc>
          <w:tcPr>
            <w:tcW w:w="9568" w:type="dxa"/>
            <w:gridSpan w:val="2"/>
            <w:tcBorders>
              <w:bottom w:val="nil"/>
            </w:tcBorders>
            <w:vAlign w:val="center"/>
          </w:tcPr>
          <w:p w:rsidR="0030545E" w:rsidRPr="005B464B" w:rsidRDefault="0030545E" w:rsidP="007D6DBB">
            <w:pPr>
              <w:pStyle w:val="Tekstpodstawowy"/>
              <w:spacing w:line="240" w:lineRule="auto"/>
              <w:jc w:val="center"/>
              <w:rPr>
                <w:i/>
                <w:color w:val="000000"/>
                <w:sz w:val="22"/>
                <w:szCs w:val="22"/>
                <w:lang w:eastAsia="pl-PL"/>
              </w:rPr>
            </w:pPr>
            <w:r w:rsidRPr="00164269">
              <w:rPr>
                <w:b/>
                <w:i/>
                <w:sz w:val="22"/>
                <w:szCs w:val="22"/>
                <w:lang w:val="en-GB" w:eastAsia="pl-PL"/>
              </w:rPr>
              <w:t xml:space="preserve">NACE </w:t>
            </w:r>
            <w:r>
              <w:rPr>
                <w:b/>
                <w:i/>
                <w:sz w:val="22"/>
                <w:szCs w:val="22"/>
                <w:lang w:val="en-GB" w:eastAsia="pl-PL"/>
              </w:rPr>
              <w:t>groups</w:t>
            </w:r>
          </w:p>
        </w:tc>
      </w:tr>
      <w:tr w:rsidR="0030545E" w:rsidRPr="001F7FE1" w:rsidTr="00D40FA0">
        <w:trPr>
          <w:trHeight w:val="939"/>
        </w:trPr>
        <w:tc>
          <w:tcPr>
            <w:tcW w:w="4465" w:type="dxa"/>
            <w:tcBorders>
              <w:bottom w:val="nil"/>
            </w:tcBorders>
          </w:tcPr>
          <w:p w:rsidR="0030545E" w:rsidRPr="0030545E" w:rsidRDefault="0030545E" w:rsidP="007D6DBB">
            <w:pPr>
              <w:widowControl w:val="0"/>
              <w:tabs>
                <w:tab w:val="left" w:pos="90"/>
                <w:tab w:val="left" w:pos="675"/>
              </w:tabs>
              <w:autoSpaceDE w:val="0"/>
              <w:autoSpaceDN w:val="0"/>
              <w:adjustRightInd w:val="0"/>
              <w:rPr>
                <w:i/>
                <w:color w:val="000000"/>
                <w:sz w:val="22"/>
                <w:szCs w:val="22"/>
                <w:lang w:val="en-US"/>
              </w:rPr>
            </w:pPr>
            <w:r w:rsidRPr="0030545E">
              <w:rPr>
                <w:i/>
                <w:color w:val="000000"/>
                <w:sz w:val="22"/>
                <w:szCs w:val="22"/>
                <w:lang w:val="en-US"/>
              </w:rPr>
              <w:t xml:space="preserve">Tanning and dressing of leather; dressing and dyeing of fur, manufacture of luggage and saddlery </w:t>
            </w:r>
          </w:p>
        </w:tc>
        <w:tc>
          <w:tcPr>
            <w:tcW w:w="5103" w:type="dxa"/>
            <w:tcBorders>
              <w:bottom w:val="nil"/>
            </w:tcBorders>
          </w:tcPr>
          <w:p w:rsidR="0030545E" w:rsidRPr="005B464B" w:rsidRDefault="0030545E" w:rsidP="007D6DBB">
            <w:pPr>
              <w:pStyle w:val="Tekstpodstawowy"/>
              <w:spacing w:line="240" w:lineRule="auto"/>
              <w:rPr>
                <w:i/>
                <w:sz w:val="22"/>
                <w:szCs w:val="22"/>
                <w:lang w:val="en-GB" w:eastAsia="pl-PL"/>
              </w:rPr>
            </w:pPr>
            <w:r w:rsidRPr="005B464B">
              <w:rPr>
                <w:i/>
                <w:color w:val="000000"/>
                <w:sz w:val="22"/>
                <w:szCs w:val="22"/>
                <w:lang w:eastAsia="pl-PL"/>
              </w:rPr>
              <w:t>Tanning and dressing of leather; manufacture of luggage, handbags, saddlery and harness; dressing and dyeing of fur</w:t>
            </w:r>
          </w:p>
        </w:tc>
      </w:tr>
      <w:tr w:rsidR="0030545E" w:rsidRPr="001F7FE1" w:rsidTr="00D40FA0">
        <w:trPr>
          <w:trHeight w:val="736"/>
        </w:trPr>
        <w:tc>
          <w:tcPr>
            <w:tcW w:w="4465" w:type="dxa"/>
            <w:tcBorders>
              <w:bottom w:val="nil"/>
            </w:tcBorders>
          </w:tcPr>
          <w:p w:rsidR="0030545E" w:rsidRPr="005B464B" w:rsidRDefault="0030545E" w:rsidP="007D6DBB">
            <w:pPr>
              <w:rPr>
                <w:i/>
                <w:sz w:val="22"/>
                <w:szCs w:val="22"/>
                <w:lang w:val="en-GB"/>
              </w:rPr>
            </w:pPr>
            <w:r w:rsidRPr="005B464B">
              <w:rPr>
                <w:i/>
                <w:sz w:val="22"/>
                <w:szCs w:val="22"/>
                <w:lang w:val="en-GB"/>
              </w:rPr>
              <w:t xml:space="preserve">Manufacture of products of wood, </w:t>
            </w:r>
            <w:r w:rsidRPr="0030545E">
              <w:rPr>
                <w:i/>
                <w:color w:val="000000"/>
                <w:sz w:val="22"/>
                <w:szCs w:val="22"/>
                <w:lang w:val="en-US"/>
              </w:rPr>
              <w:t>cork, straw</w:t>
            </w:r>
          </w:p>
        </w:tc>
        <w:tc>
          <w:tcPr>
            <w:tcW w:w="5103" w:type="dxa"/>
            <w:tcBorders>
              <w:bottom w:val="nil"/>
            </w:tcBorders>
          </w:tcPr>
          <w:p w:rsidR="0030545E" w:rsidRPr="005B464B" w:rsidRDefault="0030545E" w:rsidP="007D6DBB">
            <w:pPr>
              <w:pStyle w:val="Tekstpodstawowy"/>
              <w:spacing w:line="240" w:lineRule="auto"/>
              <w:rPr>
                <w:i/>
                <w:sz w:val="22"/>
                <w:szCs w:val="22"/>
                <w:lang w:val="en-GB" w:eastAsia="pl-PL"/>
              </w:rPr>
            </w:pPr>
            <w:r w:rsidRPr="005B464B">
              <w:rPr>
                <w:i/>
                <w:color w:val="000000"/>
                <w:sz w:val="22"/>
                <w:szCs w:val="22"/>
                <w:lang w:eastAsia="pl-PL"/>
              </w:rPr>
              <w:t>Manufacture of products of wood, cork, straw and plaiting materials</w:t>
            </w:r>
          </w:p>
        </w:tc>
      </w:tr>
      <w:tr w:rsidR="0030545E" w:rsidRPr="001F7FE1" w:rsidTr="00D40FA0">
        <w:trPr>
          <w:trHeight w:val="822"/>
        </w:trPr>
        <w:tc>
          <w:tcPr>
            <w:tcW w:w="4465" w:type="dxa"/>
            <w:tcBorders>
              <w:bottom w:val="nil"/>
            </w:tcBorders>
          </w:tcPr>
          <w:p w:rsidR="0030545E" w:rsidRPr="0030545E" w:rsidRDefault="0030545E" w:rsidP="007D6DBB">
            <w:pPr>
              <w:rPr>
                <w:i/>
                <w:color w:val="000000"/>
                <w:sz w:val="22"/>
                <w:szCs w:val="22"/>
                <w:lang w:val="en-US"/>
              </w:rPr>
            </w:pPr>
            <w:r w:rsidRPr="005B464B">
              <w:rPr>
                <w:i/>
                <w:sz w:val="22"/>
                <w:szCs w:val="22"/>
                <w:lang w:val="en-GB"/>
              </w:rPr>
              <w:t xml:space="preserve">Manufacture of basic chemicals, </w:t>
            </w:r>
            <w:r w:rsidRPr="0030545E">
              <w:rPr>
                <w:i/>
                <w:color w:val="000000"/>
                <w:sz w:val="22"/>
                <w:szCs w:val="22"/>
                <w:lang w:val="en-US"/>
              </w:rPr>
              <w:t>fertilisers,</w:t>
            </w:r>
          </w:p>
          <w:p w:rsidR="0030545E" w:rsidRPr="005B464B" w:rsidRDefault="0030545E" w:rsidP="007D6DBB">
            <w:pPr>
              <w:rPr>
                <w:i/>
                <w:sz w:val="22"/>
                <w:szCs w:val="22"/>
                <w:lang w:val="en-GB"/>
              </w:rPr>
            </w:pPr>
            <w:r w:rsidRPr="005B464B">
              <w:rPr>
                <w:i/>
                <w:color w:val="000000"/>
                <w:sz w:val="22"/>
                <w:szCs w:val="22"/>
              </w:rPr>
              <w:t>compounds and  rubber</w:t>
            </w:r>
          </w:p>
        </w:tc>
        <w:tc>
          <w:tcPr>
            <w:tcW w:w="5103" w:type="dxa"/>
            <w:tcBorders>
              <w:bottom w:val="nil"/>
            </w:tcBorders>
          </w:tcPr>
          <w:p w:rsidR="0030545E" w:rsidRPr="005B464B" w:rsidRDefault="0030545E" w:rsidP="007D6DBB">
            <w:pPr>
              <w:pStyle w:val="Tekstpodstawowy"/>
              <w:spacing w:line="240" w:lineRule="auto"/>
              <w:rPr>
                <w:i/>
                <w:sz w:val="22"/>
                <w:szCs w:val="22"/>
                <w:lang w:val="en-GB" w:eastAsia="pl-PL"/>
              </w:rPr>
            </w:pPr>
            <w:r w:rsidRPr="005B464B">
              <w:rPr>
                <w:i/>
                <w:color w:val="000000"/>
                <w:sz w:val="22"/>
                <w:szCs w:val="22"/>
                <w:lang w:eastAsia="pl-PL"/>
              </w:rPr>
              <w:t xml:space="preserve">Manufacture of basic chemicals, fertilisers and nitrogen compounds, </w:t>
            </w:r>
            <w:r w:rsidRPr="005B464B">
              <w:rPr>
                <w:i/>
                <w:sz w:val="22"/>
                <w:szCs w:val="22"/>
                <w:lang w:eastAsia="pl-PL"/>
              </w:rPr>
              <w:t xml:space="preserve"> </w:t>
            </w:r>
            <w:r w:rsidRPr="005B464B">
              <w:rPr>
                <w:i/>
                <w:color w:val="000000"/>
                <w:sz w:val="22"/>
                <w:szCs w:val="22"/>
                <w:lang w:eastAsia="pl-PL"/>
              </w:rPr>
              <w:t>plastics and synthetic rubber in  primary forms</w:t>
            </w:r>
          </w:p>
        </w:tc>
      </w:tr>
      <w:tr w:rsidR="0030545E" w:rsidRPr="001F7FE1" w:rsidTr="00D40FA0">
        <w:trPr>
          <w:trHeight w:val="709"/>
        </w:trPr>
        <w:tc>
          <w:tcPr>
            <w:tcW w:w="4465" w:type="dxa"/>
          </w:tcPr>
          <w:p w:rsidR="0030545E" w:rsidRPr="005B464B" w:rsidRDefault="0030545E" w:rsidP="007D6DBB">
            <w:pPr>
              <w:rPr>
                <w:i/>
                <w:sz w:val="22"/>
                <w:szCs w:val="22"/>
                <w:lang w:val="en-GB"/>
              </w:rPr>
            </w:pPr>
            <w:r w:rsidRPr="0030545E">
              <w:rPr>
                <w:i/>
                <w:color w:val="000000"/>
                <w:sz w:val="22"/>
                <w:szCs w:val="22"/>
                <w:lang w:val="en-US"/>
              </w:rPr>
              <w:t>Manufacture of soap, detergents, perfumes and toilet  preparations</w:t>
            </w:r>
          </w:p>
        </w:tc>
        <w:tc>
          <w:tcPr>
            <w:tcW w:w="5103" w:type="dxa"/>
          </w:tcPr>
          <w:p w:rsidR="0030545E" w:rsidRDefault="0030545E" w:rsidP="007D6DBB">
            <w:pPr>
              <w:pStyle w:val="Tekstpodstawowy"/>
              <w:spacing w:line="240" w:lineRule="auto"/>
              <w:rPr>
                <w:i/>
                <w:color w:val="000000"/>
                <w:sz w:val="22"/>
                <w:szCs w:val="22"/>
                <w:lang w:eastAsia="pl-PL"/>
              </w:rPr>
            </w:pPr>
            <w:r w:rsidRPr="005B464B">
              <w:rPr>
                <w:i/>
                <w:color w:val="000000"/>
                <w:sz w:val="22"/>
                <w:szCs w:val="22"/>
                <w:lang w:eastAsia="pl-PL"/>
              </w:rPr>
              <w:t>Manufacture of soap and detergents, cleaning and polishing preparations, perfumes and toilet  preparations</w:t>
            </w:r>
          </w:p>
          <w:p w:rsidR="00D40FA0" w:rsidRPr="005B464B" w:rsidRDefault="00D40FA0" w:rsidP="007D6DBB">
            <w:pPr>
              <w:pStyle w:val="Tekstpodstawowy"/>
              <w:spacing w:line="240" w:lineRule="auto"/>
              <w:rPr>
                <w:i/>
                <w:sz w:val="22"/>
                <w:szCs w:val="22"/>
                <w:lang w:val="en-GB" w:eastAsia="pl-PL"/>
              </w:rPr>
            </w:pPr>
          </w:p>
        </w:tc>
      </w:tr>
      <w:tr w:rsidR="0030545E" w:rsidRPr="001F7FE1" w:rsidTr="00D40FA0">
        <w:trPr>
          <w:trHeight w:val="450"/>
        </w:trPr>
        <w:tc>
          <w:tcPr>
            <w:tcW w:w="4465" w:type="dxa"/>
            <w:tcBorders>
              <w:bottom w:val="nil"/>
            </w:tcBorders>
          </w:tcPr>
          <w:p w:rsidR="0030545E" w:rsidRPr="0030545E" w:rsidRDefault="0030545E" w:rsidP="007D6DBB">
            <w:pPr>
              <w:rPr>
                <w:i/>
                <w:color w:val="000000"/>
                <w:sz w:val="22"/>
                <w:szCs w:val="22"/>
                <w:lang w:val="en-US"/>
              </w:rPr>
            </w:pPr>
            <w:r w:rsidRPr="0030545E">
              <w:rPr>
                <w:i/>
                <w:color w:val="000000"/>
                <w:sz w:val="22"/>
                <w:szCs w:val="22"/>
                <w:lang w:val="en-US"/>
              </w:rPr>
              <w:t xml:space="preserve">Manufacture of air and spacecraft </w:t>
            </w:r>
          </w:p>
        </w:tc>
        <w:tc>
          <w:tcPr>
            <w:tcW w:w="5103" w:type="dxa"/>
            <w:tcBorders>
              <w:bottom w:val="nil"/>
            </w:tcBorders>
          </w:tcPr>
          <w:p w:rsidR="0030545E" w:rsidRPr="005B464B" w:rsidRDefault="0030545E" w:rsidP="007D6DBB">
            <w:pPr>
              <w:pStyle w:val="Tekstpodstawowy"/>
              <w:spacing w:line="240" w:lineRule="auto"/>
              <w:rPr>
                <w:i/>
                <w:color w:val="000000"/>
                <w:sz w:val="22"/>
                <w:szCs w:val="22"/>
                <w:lang w:eastAsia="pl-PL"/>
              </w:rPr>
            </w:pPr>
            <w:r w:rsidRPr="005B464B">
              <w:rPr>
                <w:i/>
                <w:color w:val="000000"/>
                <w:sz w:val="22"/>
                <w:szCs w:val="22"/>
                <w:lang w:eastAsia="pl-PL"/>
              </w:rPr>
              <w:t>Manufacture</w:t>
            </w:r>
            <w:r>
              <w:rPr>
                <w:i/>
                <w:color w:val="000000"/>
                <w:sz w:val="22"/>
                <w:szCs w:val="22"/>
                <w:lang w:eastAsia="pl-PL"/>
              </w:rPr>
              <w:t xml:space="preserve"> of air and spacecraft and related machinery </w:t>
            </w:r>
          </w:p>
        </w:tc>
      </w:tr>
    </w:tbl>
    <w:p w:rsidR="0030545E" w:rsidRPr="005B464B" w:rsidRDefault="0030545E" w:rsidP="0030545E">
      <w:pPr>
        <w:rPr>
          <w:lang w:val="en-GB"/>
        </w:rPr>
      </w:pPr>
    </w:p>
    <w:p w:rsidR="0030545E" w:rsidRDefault="0030545E">
      <w:pPr>
        <w:rPr>
          <w:lang w:val="en-GB"/>
        </w:rPr>
      </w:pPr>
    </w:p>
    <w:p w:rsidR="00531973" w:rsidRDefault="00531973">
      <w:pPr>
        <w:rPr>
          <w:lang w:val="en-GB"/>
        </w:rPr>
        <w:sectPr w:rsidR="00531973" w:rsidSect="00981F5B">
          <w:pgSz w:w="11906" w:h="16838" w:code="9"/>
          <w:pgMar w:top="1134" w:right="964" w:bottom="992" w:left="1134" w:header="709" w:footer="709" w:gutter="0"/>
          <w:pgNumType w:start="12"/>
          <w:cols w:space="708"/>
          <w:titlePg/>
          <w:docGrid w:linePitch="360"/>
        </w:sectPr>
      </w:pPr>
    </w:p>
    <w:p w:rsidR="0030545E" w:rsidRDefault="0030545E">
      <w:pPr>
        <w:rPr>
          <w:lang w:val="en-GB"/>
        </w:rPr>
      </w:pPr>
    </w:p>
    <w:p w:rsidR="0030545E" w:rsidRDefault="0030545E">
      <w:pPr>
        <w:rPr>
          <w:lang w:val="en-GB"/>
        </w:rPr>
      </w:pPr>
    </w:p>
    <w:p w:rsidR="0030545E" w:rsidRDefault="0030545E">
      <w:pPr>
        <w:rPr>
          <w:lang w:val="en-GB"/>
        </w:rPr>
      </w:pPr>
    </w:p>
    <w:p w:rsidR="0030545E" w:rsidRDefault="0030545E">
      <w:pPr>
        <w:rPr>
          <w:lang w:val="en-GB"/>
        </w:rPr>
      </w:pPr>
    </w:p>
    <w:p w:rsidR="0030545E" w:rsidRDefault="0030545E">
      <w:pPr>
        <w:rPr>
          <w:lang w:val="en-GB"/>
        </w:rPr>
      </w:pPr>
    </w:p>
    <w:p w:rsidR="0030545E" w:rsidRDefault="0030545E">
      <w:pPr>
        <w:rPr>
          <w:lang w:val="en-GB"/>
        </w:rPr>
      </w:pPr>
    </w:p>
    <w:p w:rsidR="0030545E" w:rsidRDefault="0030545E">
      <w:pPr>
        <w:rPr>
          <w:lang w:val="en-GB"/>
        </w:rPr>
      </w:pPr>
    </w:p>
    <w:p w:rsidR="009D5B75" w:rsidRDefault="009D5B75">
      <w:pPr>
        <w:rPr>
          <w:lang w:val="en-GB"/>
        </w:rPr>
      </w:pPr>
    </w:p>
    <w:p w:rsidR="009D5B75" w:rsidRDefault="009D5B75">
      <w:pPr>
        <w:rPr>
          <w:lang w:val="en-GB"/>
        </w:rPr>
      </w:pPr>
    </w:p>
    <w:p w:rsidR="009D5B75" w:rsidRDefault="009D5B75">
      <w:pPr>
        <w:rPr>
          <w:lang w:val="en-GB"/>
        </w:rPr>
      </w:pPr>
    </w:p>
    <w:p w:rsidR="009D5B75" w:rsidRDefault="009D5B75">
      <w:pPr>
        <w:rPr>
          <w:lang w:val="en-GB"/>
        </w:rPr>
      </w:pPr>
    </w:p>
    <w:p w:rsidR="009D5B75" w:rsidRDefault="009D5B75">
      <w:pPr>
        <w:rPr>
          <w:lang w:val="en-GB"/>
        </w:rPr>
      </w:pPr>
    </w:p>
    <w:p w:rsidR="009D5B75" w:rsidRDefault="009D5B75">
      <w:pPr>
        <w:rPr>
          <w:lang w:val="en-GB"/>
        </w:rPr>
      </w:pPr>
    </w:p>
    <w:p w:rsidR="0030545E" w:rsidRDefault="0030545E">
      <w:pPr>
        <w:rPr>
          <w:lang w:val="en-GB"/>
        </w:rPr>
      </w:pPr>
    </w:p>
    <w:p w:rsidR="0030545E" w:rsidRDefault="0030545E">
      <w:pPr>
        <w:rPr>
          <w:lang w:val="en-GB"/>
        </w:rPr>
      </w:pPr>
    </w:p>
    <w:p w:rsidR="0030545E" w:rsidRDefault="0030545E">
      <w:pPr>
        <w:rPr>
          <w:lang w:val="en-GB"/>
        </w:rPr>
      </w:pPr>
    </w:p>
    <w:p w:rsidR="00C64DC9" w:rsidRDefault="00C64DC9">
      <w:pPr>
        <w:rPr>
          <w:lang w:val="en-GB"/>
        </w:rPr>
        <w:sectPr w:rsidR="00C64DC9" w:rsidSect="005D4C3D">
          <w:headerReference w:type="even" r:id="rId19"/>
          <w:headerReference w:type="default" r:id="rId20"/>
          <w:headerReference w:type="first" r:id="rId21"/>
          <w:footerReference w:type="first" r:id="rId22"/>
          <w:type w:val="continuous"/>
          <w:pgSz w:w="11906" w:h="16838"/>
          <w:pgMar w:top="993" w:right="964" w:bottom="993" w:left="1134" w:header="709" w:footer="709" w:gutter="0"/>
          <w:pgNumType w:start="16"/>
          <w:cols w:space="708"/>
          <w:docGrid w:linePitch="360"/>
        </w:sectPr>
      </w:pPr>
    </w:p>
    <w:p w:rsidR="009E28EB" w:rsidRDefault="009E28EB">
      <w:pPr>
        <w:rPr>
          <w:lang w:val="en-GB"/>
        </w:rPr>
      </w:pPr>
    </w:p>
    <w:p w:rsidR="00B002A6" w:rsidRDefault="00B002A6">
      <w:pPr>
        <w:rPr>
          <w:lang w:val="en-GB"/>
        </w:rPr>
      </w:pPr>
    </w:p>
    <w:p w:rsidR="00C30764" w:rsidRDefault="00C30764">
      <w:pPr>
        <w:rPr>
          <w:lang w:val="en-GB"/>
        </w:rPr>
      </w:pPr>
    </w:p>
    <w:p w:rsidR="000A1559" w:rsidRPr="000A1559" w:rsidRDefault="000A1559" w:rsidP="000A1559">
      <w:pPr>
        <w:tabs>
          <w:tab w:val="left" w:pos="280"/>
          <w:tab w:val="left" w:pos="280"/>
        </w:tabs>
        <w:jc w:val="both"/>
        <w:rPr>
          <w:i/>
          <w:sz w:val="22"/>
          <w:szCs w:val="20"/>
          <w:lang w:val="en-GB"/>
        </w:rPr>
      </w:pPr>
    </w:p>
    <w:p w:rsidR="00C30764" w:rsidRDefault="00A76D6B" w:rsidP="00A76D6B">
      <w:pPr>
        <w:ind w:left="284" w:right="-115"/>
        <w:rPr>
          <w:lang w:val="en-GB"/>
        </w:rPr>
      </w:pPr>
      <w:r>
        <w:rPr>
          <w:noProof/>
        </w:rPr>
        <w:lastRenderedPageBreak/>
        <w:drawing>
          <wp:inline distT="0" distB="0" distL="0" distR="0" wp14:anchorId="4C18AD0D" wp14:editId="2D8CC3D8">
            <wp:extent cx="5534025" cy="4105275"/>
            <wp:effectExtent l="0" t="0" r="0" b="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A76D6B" w:rsidRDefault="00E34911" w:rsidP="00A76D6B">
      <w:pPr>
        <w:ind w:left="284" w:right="-115"/>
        <w:jc w:val="center"/>
        <w:rPr>
          <w:lang w:val="en-GB"/>
        </w:rPr>
      </w:pPr>
      <w:r>
        <w:rPr>
          <w:noProof/>
        </w:rPr>
        <w:drawing>
          <wp:inline distT="0" distB="0" distL="0" distR="0" wp14:anchorId="1401250B" wp14:editId="2785E1CC">
            <wp:extent cx="5508625" cy="5010149"/>
            <wp:effectExtent l="0" t="0" r="0" b="635"/>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A76D6B" w:rsidRDefault="00E14C67" w:rsidP="00A76D6B">
      <w:pPr>
        <w:ind w:left="284" w:right="-115"/>
        <w:jc w:val="center"/>
        <w:rPr>
          <w:lang w:val="en-GB"/>
        </w:rPr>
      </w:pPr>
      <w:r>
        <w:rPr>
          <w:noProof/>
        </w:rPr>
        <w:lastRenderedPageBreak/>
        <w:drawing>
          <wp:inline distT="0" distB="0" distL="0" distR="0" wp14:anchorId="031D004F" wp14:editId="1F8C39A3">
            <wp:extent cx="5657850" cy="3971925"/>
            <wp:effectExtent l="0" t="0" r="0" b="0"/>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A76D6B" w:rsidRDefault="00A76D6B" w:rsidP="00A76D6B">
      <w:pPr>
        <w:ind w:left="284" w:right="-115"/>
        <w:jc w:val="center"/>
        <w:rPr>
          <w:lang w:val="en-GB"/>
        </w:rPr>
      </w:pPr>
      <w:r>
        <w:rPr>
          <w:noProof/>
        </w:rPr>
        <w:drawing>
          <wp:inline distT="0" distB="0" distL="0" distR="0" wp14:anchorId="788C7051" wp14:editId="26F16537">
            <wp:extent cx="5556250" cy="5257800"/>
            <wp:effectExtent l="0" t="0" r="6350" b="0"/>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bl>
      <w:tblPr>
        <w:tblW w:w="9964" w:type="dxa"/>
        <w:jc w:val="center"/>
        <w:tblCellMar>
          <w:left w:w="70" w:type="dxa"/>
          <w:right w:w="70" w:type="dxa"/>
        </w:tblCellMar>
        <w:tblLook w:val="04A0" w:firstRow="1" w:lastRow="0" w:firstColumn="1" w:lastColumn="0" w:noHBand="0" w:noVBand="1"/>
      </w:tblPr>
      <w:tblGrid>
        <w:gridCol w:w="1100"/>
        <w:gridCol w:w="124"/>
        <w:gridCol w:w="852"/>
        <w:gridCol w:w="124"/>
        <w:gridCol w:w="852"/>
        <w:gridCol w:w="124"/>
        <w:gridCol w:w="852"/>
        <w:gridCol w:w="124"/>
        <w:gridCol w:w="852"/>
        <w:gridCol w:w="124"/>
        <w:gridCol w:w="852"/>
        <w:gridCol w:w="124"/>
        <w:gridCol w:w="852"/>
        <w:gridCol w:w="124"/>
        <w:gridCol w:w="852"/>
        <w:gridCol w:w="124"/>
        <w:gridCol w:w="852"/>
        <w:gridCol w:w="124"/>
        <w:gridCol w:w="932"/>
        <w:gridCol w:w="124"/>
      </w:tblGrid>
      <w:tr w:rsidR="00852716" w:rsidTr="00852716">
        <w:trPr>
          <w:trHeight w:val="255"/>
          <w:jc w:val="center"/>
        </w:trPr>
        <w:tc>
          <w:tcPr>
            <w:tcW w:w="1100" w:type="dxa"/>
            <w:gridSpan w:val="2"/>
            <w:tcBorders>
              <w:top w:val="nil"/>
              <w:left w:val="nil"/>
              <w:bottom w:val="nil"/>
              <w:right w:val="nil"/>
            </w:tcBorders>
            <w:shd w:val="clear" w:color="auto" w:fill="auto"/>
            <w:noWrap/>
            <w:vAlign w:val="bottom"/>
            <w:hideMark/>
          </w:tcPr>
          <w:p w:rsidR="00852716" w:rsidRDefault="00852716">
            <w:pPr>
              <w:rPr>
                <w:rFonts w:ascii="Arial CE" w:hAnsi="Arial CE"/>
                <w:sz w:val="20"/>
                <w:szCs w:val="20"/>
              </w:rPr>
            </w:pPr>
            <w:r>
              <w:rPr>
                <w:rFonts w:ascii="Arial CE" w:hAnsi="Arial CE"/>
                <w:noProof/>
                <w:sz w:val="20"/>
                <w:szCs w:val="20"/>
              </w:rPr>
              <w:lastRenderedPageBreak/>
              <w:drawing>
                <wp:anchor distT="0" distB="0" distL="114300" distR="114300" simplePos="0" relativeHeight="251655680" behindDoc="0" locked="0" layoutInCell="1" allowOverlap="1">
                  <wp:simplePos x="0" y="0"/>
                  <wp:positionH relativeFrom="column">
                    <wp:posOffset>114300</wp:posOffset>
                  </wp:positionH>
                  <wp:positionV relativeFrom="paragraph">
                    <wp:posOffset>28575</wp:posOffset>
                  </wp:positionV>
                  <wp:extent cx="3076575" cy="3514725"/>
                  <wp:effectExtent l="0" t="0" r="0" b="0"/>
                  <wp:wrapNone/>
                  <wp:docPr id="19" name="Wykres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page">
                    <wp14:pctWidth>0</wp14:pctWidth>
                  </wp14:sizeRelH>
                  <wp14:sizeRelV relativeFrom="page">
                    <wp14:pctHeight>0</wp14:pctHeight>
                  </wp14:sizeRelV>
                </wp:anchor>
              </w:drawing>
            </w:r>
            <w:r>
              <w:rPr>
                <w:rFonts w:ascii="Arial CE" w:hAnsi="Arial CE"/>
                <w:noProof/>
                <w:sz w:val="20"/>
                <w:szCs w:val="20"/>
              </w:rPr>
              <w:drawing>
                <wp:anchor distT="0" distB="0" distL="114300" distR="114300" simplePos="0" relativeHeight="251656704" behindDoc="0" locked="0" layoutInCell="1" allowOverlap="1">
                  <wp:simplePos x="0" y="0"/>
                  <wp:positionH relativeFrom="column">
                    <wp:posOffset>3019425</wp:posOffset>
                  </wp:positionH>
                  <wp:positionV relativeFrom="paragraph">
                    <wp:posOffset>123825</wp:posOffset>
                  </wp:positionV>
                  <wp:extent cx="3143250" cy="3419475"/>
                  <wp:effectExtent l="0" t="0" r="0" b="0"/>
                  <wp:wrapNone/>
                  <wp:docPr id="18" name="Wykres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page">
                    <wp14:pctHeight>0</wp14:pctHeight>
                  </wp14:sizeRelV>
                </wp:anchor>
              </w:drawing>
            </w:r>
            <w:r>
              <w:rPr>
                <w:rFonts w:ascii="Arial CE" w:hAnsi="Arial CE"/>
                <w:noProof/>
                <w:sz w:val="20"/>
                <w:szCs w:val="20"/>
              </w:rPr>
              <mc:AlternateContent>
                <mc:Choice Requires="wps">
                  <w:drawing>
                    <wp:anchor distT="0" distB="0" distL="114300" distR="114300" simplePos="0" relativeHeight="251657728" behindDoc="0" locked="0" layoutInCell="1" allowOverlap="1">
                      <wp:simplePos x="0" y="0"/>
                      <wp:positionH relativeFrom="column">
                        <wp:posOffset>942975</wp:posOffset>
                      </wp:positionH>
                      <wp:positionV relativeFrom="paragraph">
                        <wp:posOffset>390525</wp:posOffset>
                      </wp:positionV>
                      <wp:extent cx="4457700" cy="752475"/>
                      <wp:effectExtent l="0" t="0" r="0" b="0"/>
                      <wp:wrapNone/>
                      <wp:docPr id="17" name="Pole tekstow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746125"/>
                              </a:xfrm>
                              <a:prstGeom prst="rect">
                                <a:avLst/>
                              </a:prstGeom>
                              <a:solidFill>
                                <a:srgbClr xmlns:a14="http://schemas.microsoft.com/office/drawing/2010/main" val="FFFFFF" mc:Ignorable="a14" a14:legacySpreadsheetColorIndex="65">
                                  <a:alpha val="0"/>
                                </a:srgbClr>
                              </a:solidFill>
                              <a:ln>
                                <a:noFill/>
                              </a:ln>
                              <a:effectLst/>
                              <a:extLst>
                                <a:ext uri="{91240B29-F687-4F45-9708-019B960494DF}">
                                  <a14:hiddenLine xmlns:a14="http://schemas.microsoft.com/office/drawing/2010/main" w="9525" algn="ctr">
                                    <a:solidFill>
                                      <a:srgbClr val="000000" mc:Ignorable="a14" a14:legacySpreadsheetColorIndex="64"/>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03529" w:rsidRPr="00776448" w:rsidRDefault="00103529" w:rsidP="00852716">
                                  <w:pPr>
                                    <w:pStyle w:val="NormalnyWeb"/>
                                    <w:spacing w:before="0" w:beforeAutospacing="0" w:after="0" w:afterAutospacing="0"/>
                                    <w:jc w:val="center"/>
                                    <w:rPr>
                                      <w:sz w:val="22"/>
                                      <w:szCs w:val="22"/>
                                    </w:rPr>
                                  </w:pPr>
                                  <w:r w:rsidRPr="00776448">
                                    <w:rPr>
                                      <w:b/>
                                      <w:bCs/>
                                      <w:color w:val="000000"/>
                                      <w:sz w:val="22"/>
                                      <w:szCs w:val="22"/>
                                    </w:rPr>
                                    <w:t>Struktura produkcji sprzedanej przemysłu według sekcji</w:t>
                                  </w:r>
                                </w:p>
                                <w:p w:rsidR="00103529" w:rsidRPr="00776448" w:rsidRDefault="00103529" w:rsidP="00852716">
                                  <w:pPr>
                                    <w:pStyle w:val="NormalnyWeb"/>
                                    <w:spacing w:before="0" w:beforeAutospacing="0" w:after="0" w:afterAutospacing="0"/>
                                    <w:jc w:val="center"/>
                                    <w:rPr>
                                      <w:sz w:val="22"/>
                                      <w:szCs w:val="22"/>
                                      <w:lang w:val="en-US"/>
                                    </w:rPr>
                                  </w:pPr>
                                  <w:r w:rsidRPr="00776448">
                                    <w:rPr>
                                      <w:b/>
                                      <w:bCs/>
                                      <w:color w:val="000000"/>
                                      <w:sz w:val="22"/>
                                      <w:szCs w:val="22"/>
                                      <w:lang w:val="en-US"/>
                                    </w:rPr>
                                    <w:t xml:space="preserve">(ceny bieżące) </w:t>
                                  </w:r>
                                </w:p>
                                <w:p w:rsidR="00103529" w:rsidRPr="00776448" w:rsidRDefault="00103529" w:rsidP="00852716">
                                  <w:pPr>
                                    <w:pStyle w:val="NormalnyWeb"/>
                                    <w:spacing w:before="0" w:beforeAutospacing="0" w:after="0" w:afterAutospacing="0"/>
                                    <w:jc w:val="center"/>
                                    <w:rPr>
                                      <w:sz w:val="22"/>
                                      <w:szCs w:val="22"/>
                                      <w:lang w:val="en-US"/>
                                    </w:rPr>
                                  </w:pPr>
                                  <w:r w:rsidRPr="00776448">
                                    <w:rPr>
                                      <w:b/>
                                      <w:bCs/>
                                      <w:i/>
                                      <w:iCs/>
                                      <w:color w:val="000000"/>
                                      <w:sz w:val="22"/>
                                      <w:szCs w:val="22"/>
                                      <w:lang w:val="en-US"/>
                                    </w:rPr>
                                    <w:t>Structure of sold production in industry by sections</w:t>
                                  </w:r>
                                </w:p>
                                <w:p w:rsidR="00103529" w:rsidRPr="00776448" w:rsidRDefault="00103529" w:rsidP="00852716">
                                  <w:pPr>
                                    <w:pStyle w:val="NormalnyWeb"/>
                                    <w:spacing w:before="0" w:beforeAutospacing="0" w:after="0" w:afterAutospacing="0"/>
                                    <w:jc w:val="center"/>
                                    <w:rPr>
                                      <w:sz w:val="22"/>
                                      <w:szCs w:val="22"/>
                                    </w:rPr>
                                  </w:pPr>
                                  <w:r w:rsidRPr="00776448">
                                    <w:rPr>
                                      <w:b/>
                                      <w:bCs/>
                                      <w:i/>
                                      <w:iCs/>
                                      <w:color w:val="000000"/>
                                      <w:sz w:val="22"/>
                                      <w:szCs w:val="22"/>
                                    </w:rPr>
                                    <w:t>(current prices)</w:t>
                                  </w:r>
                                </w:p>
                              </w:txbxContent>
                            </wps:txbx>
                            <wps:bodyPr vertOverflow="clip" wrap="square" lIns="36576" tIns="27432" rIns="36576" bIns="0" anchor="t"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17" o:spid="_x0000_s1026" type="#_x0000_t202" style="position:absolute;margin-left:74.25pt;margin-top:30.75pt;width:351pt;height:59.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eG2WQMAAIsHAAAOAAAAZHJzL2Uyb0RvYy54bWy0Vdtu4zYUfC/QfyD4ruhiXWwhyiJ27CJA&#10;2l0gLfpMU5REhCJVko5sLPrvPaTkOG4WKNBtbUDgdXjOzPDw9tOxF+iVacOVrHB8E2HEJFU1l22F&#10;f/t1FywxMpbImgglWYVPzOBPdz/+cDsOJUtUp0TNNAIQacpxqHBn7VCGoaEd64m5UQOTMNko3RML&#10;Xd2GtSYjoPciTKIoD0el60EryoyB0YdpEt95/KZh1H5uGsMsEhWG2Kz/av/du294d0vKVpOh43QO&#10;g/yLKHrCJRz6BvVALEEHzT9A9ZxqZVRjb6jqQ9U0nDKfA2QTR3/L5rkjA/O5ADlmeKPJ/Hew9JfX&#10;LxrxGrQrMJKkB42+KMGQZS/GqpEhGAeSxsGUsPZ5gNX2uFZH2OATNsOToi8GSbXpiGzZvdZq7Bip&#10;IcjY7QzfbZ1wjAPZjz+rGg4jB6s80LHRvWMQOEGADmKd3gRiR4soDKZpVhQRTFGYK9I8TjJ/BCnP&#10;uwdt7E9M9cg1KqzBAB6dvD4Z66Ih5XmJO8wowesdF8J3dLvfCI1eCZhl53945rynHyj/hjV7ol8O&#10;QwDKDsTyPRfcnrxLMepp+dhKpcleuKTj9IwMzQ/Q3zTJ7PvJJ95vCPaWgrWEnp4H7SjvGLMbJZR+&#10;lDUDvvJsSl4MHZnS8o4HEsyUqyfkigQhHRVSOVImvqYR5i/TRCIpQRBoupVOGm/0r6s4SaN1sgp2&#10;+bII0l2aBasiWgZRvFqv8ihdpQ+7P108EHXH65rJJy7Z+dJ9Bw1jhVcZOAER0UIRolb7rK/SmvOd&#10;SYjc76zA/6HtPyuTzsa9irLnFqqh4H2Fl1OMIAEp3XXaytq3LeFiaofXRHopQY1rUe53WVSki2VQ&#10;FNkiSBfbKFgvd5vgfhPnebFdb9bb+FqUrRfafL8uPpCza1xHHSC7564eUc3d5VxkqyTG0IF6nMC1&#10;9ppcNERa2d+57XwVdKXAYVzpuIzcfybyDX0i4nLwO57m3C5UwU04W9nXKVeapiJlj/sjEO6K117V&#10;J6hY8MrZz/BphALHUcEHjEZ4OSps/jgQzTASjxKq3iLPihyeGt9JgPwEI7iQl5m974D/iKSdguQt&#10;RodB87YDUi41Eyq+D3R+ndyT8r4P7fdv6N1fAAAA//8DAFBLAwQUAAYACAAAACEATHovNtwAAAAK&#10;AQAADwAAAGRycy9kb3ducmV2LnhtbEyPwU7DMBBE70j8g7WVuFG7KIlCiFMBEjekipQPcOJtEhqv&#10;o9hpw9+znOC0O5rR7Ntyv7pRXHAOgycNu60CgdR6O1Cn4fP4dp+DCNGQNaMn1PCNAfbV7U1pCuuv&#10;9IGXOnaCSygURkMf41RIGdoenQlbPyGxd/KzM5Hl3Ek7myuXu1E+KJVJZwbiC72Z8LXH9lwvTkON&#10;U/KYHJr15f3LntLl4NoMndZ3m/X5CUTENf6F4Ref0aFipsYvZIMYWSd5ylEN2Y4nB/JU8dKwkysF&#10;sirl/xeqHwAAAP//AwBQSwECLQAUAAYACAAAACEAtoM4kv4AAADhAQAAEwAAAAAAAAAAAAAAAAAA&#10;AAAAW0NvbnRlbnRfVHlwZXNdLnhtbFBLAQItABQABgAIAAAAIQA4/SH/1gAAAJQBAAALAAAAAAAA&#10;AAAAAAAAAC8BAABfcmVscy8ucmVsc1BLAQItABQABgAIAAAAIQAIheG2WQMAAIsHAAAOAAAAAAAA&#10;AAAAAAAAAC4CAABkcnMvZTJvRG9jLnhtbFBLAQItABQABgAIAAAAIQBMei823AAAAAoBAAAPAAAA&#10;AAAAAAAAAAAAALMFAABkcnMvZG93bnJldi54bWxQSwUGAAAAAAQABADzAAAAvAYAAAAA&#10;" stroked="f">
                      <v:fill opacity="0"/>
                      <v:textbox inset="2.88pt,2.16pt,2.88pt,0">
                        <w:txbxContent>
                          <w:p w:rsidR="00103529" w:rsidRPr="00776448" w:rsidRDefault="00103529" w:rsidP="00852716">
                            <w:pPr>
                              <w:pStyle w:val="NormalnyWeb"/>
                              <w:spacing w:before="0" w:beforeAutospacing="0" w:after="0" w:afterAutospacing="0"/>
                              <w:jc w:val="center"/>
                              <w:rPr>
                                <w:sz w:val="22"/>
                                <w:szCs w:val="22"/>
                              </w:rPr>
                            </w:pPr>
                            <w:r w:rsidRPr="00776448">
                              <w:rPr>
                                <w:b/>
                                <w:bCs/>
                                <w:color w:val="000000"/>
                                <w:sz w:val="22"/>
                                <w:szCs w:val="22"/>
                              </w:rPr>
                              <w:t>Struktura produkcji sprzedanej przemysłu według sekcji</w:t>
                            </w:r>
                          </w:p>
                          <w:p w:rsidR="00103529" w:rsidRPr="00776448" w:rsidRDefault="00103529" w:rsidP="00852716">
                            <w:pPr>
                              <w:pStyle w:val="NormalnyWeb"/>
                              <w:spacing w:before="0" w:beforeAutospacing="0" w:after="0" w:afterAutospacing="0"/>
                              <w:jc w:val="center"/>
                              <w:rPr>
                                <w:sz w:val="22"/>
                                <w:szCs w:val="22"/>
                                <w:lang w:val="en-US"/>
                              </w:rPr>
                            </w:pPr>
                            <w:r w:rsidRPr="00776448">
                              <w:rPr>
                                <w:b/>
                                <w:bCs/>
                                <w:color w:val="000000"/>
                                <w:sz w:val="22"/>
                                <w:szCs w:val="22"/>
                                <w:lang w:val="en-US"/>
                              </w:rPr>
                              <w:t>(</w:t>
                            </w:r>
                            <w:proofErr w:type="spellStart"/>
                            <w:r w:rsidRPr="00776448">
                              <w:rPr>
                                <w:b/>
                                <w:bCs/>
                                <w:color w:val="000000"/>
                                <w:sz w:val="22"/>
                                <w:szCs w:val="22"/>
                                <w:lang w:val="en-US"/>
                              </w:rPr>
                              <w:t>ceny</w:t>
                            </w:r>
                            <w:proofErr w:type="spellEnd"/>
                            <w:r w:rsidRPr="00776448">
                              <w:rPr>
                                <w:b/>
                                <w:bCs/>
                                <w:color w:val="000000"/>
                                <w:sz w:val="22"/>
                                <w:szCs w:val="22"/>
                                <w:lang w:val="en-US"/>
                              </w:rPr>
                              <w:t xml:space="preserve"> </w:t>
                            </w:r>
                            <w:proofErr w:type="spellStart"/>
                            <w:r w:rsidRPr="00776448">
                              <w:rPr>
                                <w:b/>
                                <w:bCs/>
                                <w:color w:val="000000"/>
                                <w:sz w:val="22"/>
                                <w:szCs w:val="22"/>
                                <w:lang w:val="en-US"/>
                              </w:rPr>
                              <w:t>bieżące</w:t>
                            </w:r>
                            <w:proofErr w:type="spellEnd"/>
                            <w:r w:rsidRPr="00776448">
                              <w:rPr>
                                <w:b/>
                                <w:bCs/>
                                <w:color w:val="000000"/>
                                <w:sz w:val="22"/>
                                <w:szCs w:val="22"/>
                                <w:lang w:val="en-US"/>
                              </w:rPr>
                              <w:t xml:space="preserve">) </w:t>
                            </w:r>
                          </w:p>
                          <w:p w:rsidR="00103529" w:rsidRPr="00776448" w:rsidRDefault="00103529" w:rsidP="00852716">
                            <w:pPr>
                              <w:pStyle w:val="NormalnyWeb"/>
                              <w:spacing w:before="0" w:beforeAutospacing="0" w:after="0" w:afterAutospacing="0"/>
                              <w:jc w:val="center"/>
                              <w:rPr>
                                <w:sz w:val="22"/>
                                <w:szCs w:val="22"/>
                                <w:lang w:val="en-US"/>
                              </w:rPr>
                            </w:pPr>
                            <w:r w:rsidRPr="00776448">
                              <w:rPr>
                                <w:b/>
                                <w:bCs/>
                                <w:i/>
                                <w:iCs/>
                                <w:color w:val="000000"/>
                                <w:sz w:val="22"/>
                                <w:szCs w:val="22"/>
                                <w:lang w:val="en-US"/>
                              </w:rPr>
                              <w:t>Structure of sold production in industry by sections</w:t>
                            </w:r>
                          </w:p>
                          <w:p w:rsidR="00103529" w:rsidRPr="00776448" w:rsidRDefault="00103529" w:rsidP="00852716">
                            <w:pPr>
                              <w:pStyle w:val="NormalnyWeb"/>
                              <w:spacing w:before="0" w:beforeAutospacing="0" w:after="0" w:afterAutospacing="0"/>
                              <w:jc w:val="center"/>
                              <w:rPr>
                                <w:sz w:val="22"/>
                                <w:szCs w:val="22"/>
                              </w:rPr>
                            </w:pPr>
                            <w:r w:rsidRPr="00776448">
                              <w:rPr>
                                <w:b/>
                                <w:bCs/>
                                <w:i/>
                                <w:iCs/>
                                <w:color w:val="000000"/>
                                <w:sz w:val="22"/>
                                <w:szCs w:val="22"/>
                              </w:rPr>
                              <w:t>(</w:t>
                            </w:r>
                            <w:proofErr w:type="spellStart"/>
                            <w:r w:rsidRPr="00776448">
                              <w:rPr>
                                <w:b/>
                                <w:bCs/>
                                <w:i/>
                                <w:iCs/>
                                <w:color w:val="000000"/>
                                <w:sz w:val="22"/>
                                <w:szCs w:val="22"/>
                              </w:rPr>
                              <w:t>current</w:t>
                            </w:r>
                            <w:proofErr w:type="spellEnd"/>
                            <w:r w:rsidRPr="00776448">
                              <w:rPr>
                                <w:b/>
                                <w:bCs/>
                                <w:i/>
                                <w:iCs/>
                                <w:color w:val="000000"/>
                                <w:sz w:val="22"/>
                                <w:szCs w:val="22"/>
                              </w:rPr>
                              <w:t xml:space="preserve"> </w:t>
                            </w:r>
                            <w:proofErr w:type="spellStart"/>
                            <w:r w:rsidRPr="00776448">
                              <w:rPr>
                                <w:b/>
                                <w:bCs/>
                                <w:i/>
                                <w:iCs/>
                                <w:color w:val="000000"/>
                                <w:sz w:val="22"/>
                                <w:szCs w:val="22"/>
                              </w:rPr>
                              <w:t>prices</w:t>
                            </w:r>
                            <w:proofErr w:type="spellEnd"/>
                            <w:r w:rsidRPr="00776448">
                              <w:rPr>
                                <w:b/>
                                <w:bCs/>
                                <w:i/>
                                <w:iCs/>
                                <w:color w:val="000000"/>
                                <w:sz w:val="22"/>
                                <w:szCs w:val="22"/>
                              </w:rPr>
                              <w:t>)</w:t>
                            </w:r>
                          </w:p>
                        </w:txbxContent>
                      </v:textbox>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960"/>
            </w:tblGrid>
            <w:tr w:rsidR="00852716">
              <w:trPr>
                <w:trHeight w:val="255"/>
                <w:tblCellSpacing w:w="0" w:type="dxa"/>
              </w:trPr>
              <w:tc>
                <w:tcPr>
                  <w:tcW w:w="960" w:type="dxa"/>
                  <w:tcBorders>
                    <w:top w:val="nil"/>
                    <w:left w:val="nil"/>
                    <w:bottom w:val="nil"/>
                    <w:right w:val="nil"/>
                  </w:tcBorders>
                  <w:shd w:val="clear" w:color="auto" w:fill="auto"/>
                  <w:noWrap/>
                  <w:vAlign w:val="bottom"/>
                  <w:hideMark/>
                </w:tcPr>
                <w:p w:rsidR="00852716" w:rsidRDefault="00852716">
                  <w:pPr>
                    <w:rPr>
                      <w:rFonts w:ascii="Arial CE" w:hAnsi="Arial CE"/>
                      <w:sz w:val="20"/>
                      <w:szCs w:val="20"/>
                    </w:rPr>
                  </w:pPr>
                </w:p>
              </w:tc>
            </w:tr>
          </w:tbl>
          <w:p w:rsidR="00852716" w:rsidRDefault="00852716">
            <w:pPr>
              <w:rPr>
                <w:rFonts w:ascii="Arial CE" w:hAnsi="Arial CE"/>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1056" w:type="dxa"/>
            <w:gridSpan w:val="2"/>
            <w:tcBorders>
              <w:top w:val="nil"/>
              <w:left w:val="nil"/>
              <w:bottom w:val="nil"/>
              <w:right w:val="nil"/>
            </w:tcBorders>
            <w:shd w:val="clear" w:color="auto" w:fill="auto"/>
            <w:noWrap/>
            <w:vAlign w:val="bottom"/>
            <w:hideMark/>
          </w:tcPr>
          <w:p w:rsidR="00852716" w:rsidRDefault="00852716">
            <w:pPr>
              <w:rPr>
                <w:sz w:val="20"/>
                <w:szCs w:val="20"/>
              </w:rPr>
            </w:pPr>
          </w:p>
        </w:tc>
      </w:tr>
      <w:tr w:rsidR="00852716" w:rsidTr="00852716">
        <w:trPr>
          <w:trHeight w:val="255"/>
          <w:jc w:val="center"/>
        </w:trPr>
        <w:tc>
          <w:tcPr>
            <w:tcW w:w="1100"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1056" w:type="dxa"/>
            <w:gridSpan w:val="2"/>
            <w:tcBorders>
              <w:top w:val="nil"/>
              <w:left w:val="nil"/>
              <w:bottom w:val="nil"/>
              <w:right w:val="nil"/>
            </w:tcBorders>
            <w:shd w:val="clear" w:color="auto" w:fill="auto"/>
            <w:noWrap/>
            <w:vAlign w:val="bottom"/>
            <w:hideMark/>
          </w:tcPr>
          <w:p w:rsidR="00852716" w:rsidRDefault="00852716">
            <w:pPr>
              <w:rPr>
                <w:sz w:val="20"/>
                <w:szCs w:val="20"/>
              </w:rPr>
            </w:pPr>
          </w:p>
        </w:tc>
      </w:tr>
      <w:tr w:rsidR="00852716" w:rsidTr="00852716">
        <w:trPr>
          <w:trHeight w:val="255"/>
          <w:jc w:val="center"/>
        </w:trPr>
        <w:tc>
          <w:tcPr>
            <w:tcW w:w="1100"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1056" w:type="dxa"/>
            <w:gridSpan w:val="2"/>
            <w:tcBorders>
              <w:top w:val="nil"/>
              <w:left w:val="nil"/>
              <w:bottom w:val="nil"/>
              <w:right w:val="nil"/>
            </w:tcBorders>
            <w:shd w:val="clear" w:color="auto" w:fill="auto"/>
            <w:noWrap/>
            <w:vAlign w:val="bottom"/>
            <w:hideMark/>
          </w:tcPr>
          <w:p w:rsidR="00852716" w:rsidRDefault="00852716">
            <w:pPr>
              <w:rPr>
                <w:sz w:val="20"/>
                <w:szCs w:val="20"/>
              </w:rPr>
            </w:pPr>
          </w:p>
        </w:tc>
      </w:tr>
      <w:tr w:rsidR="00852716" w:rsidTr="00852716">
        <w:trPr>
          <w:trHeight w:val="255"/>
          <w:jc w:val="center"/>
        </w:trPr>
        <w:tc>
          <w:tcPr>
            <w:tcW w:w="1100"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1056" w:type="dxa"/>
            <w:gridSpan w:val="2"/>
            <w:tcBorders>
              <w:top w:val="nil"/>
              <w:left w:val="nil"/>
              <w:bottom w:val="nil"/>
              <w:right w:val="nil"/>
            </w:tcBorders>
            <w:shd w:val="clear" w:color="auto" w:fill="auto"/>
            <w:noWrap/>
            <w:vAlign w:val="bottom"/>
            <w:hideMark/>
          </w:tcPr>
          <w:p w:rsidR="00852716" w:rsidRDefault="00852716">
            <w:pPr>
              <w:rPr>
                <w:sz w:val="20"/>
                <w:szCs w:val="20"/>
              </w:rPr>
            </w:pPr>
          </w:p>
        </w:tc>
      </w:tr>
      <w:tr w:rsidR="00852716" w:rsidTr="00852716">
        <w:trPr>
          <w:trHeight w:val="255"/>
          <w:jc w:val="center"/>
        </w:trPr>
        <w:tc>
          <w:tcPr>
            <w:tcW w:w="1100"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1056" w:type="dxa"/>
            <w:gridSpan w:val="2"/>
            <w:tcBorders>
              <w:top w:val="nil"/>
              <w:left w:val="nil"/>
              <w:bottom w:val="nil"/>
              <w:right w:val="nil"/>
            </w:tcBorders>
            <w:shd w:val="clear" w:color="auto" w:fill="auto"/>
            <w:noWrap/>
            <w:vAlign w:val="bottom"/>
            <w:hideMark/>
          </w:tcPr>
          <w:p w:rsidR="00852716" w:rsidRDefault="00852716">
            <w:pPr>
              <w:rPr>
                <w:sz w:val="20"/>
                <w:szCs w:val="20"/>
              </w:rPr>
            </w:pPr>
          </w:p>
        </w:tc>
      </w:tr>
      <w:tr w:rsidR="00852716" w:rsidTr="00852716">
        <w:trPr>
          <w:trHeight w:val="255"/>
          <w:jc w:val="center"/>
        </w:trPr>
        <w:tc>
          <w:tcPr>
            <w:tcW w:w="1100"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1056" w:type="dxa"/>
            <w:gridSpan w:val="2"/>
            <w:tcBorders>
              <w:top w:val="nil"/>
              <w:left w:val="nil"/>
              <w:bottom w:val="nil"/>
              <w:right w:val="nil"/>
            </w:tcBorders>
            <w:shd w:val="clear" w:color="auto" w:fill="auto"/>
            <w:noWrap/>
            <w:vAlign w:val="bottom"/>
            <w:hideMark/>
          </w:tcPr>
          <w:p w:rsidR="00852716" w:rsidRDefault="00852716">
            <w:pPr>
              <w:rPr>
                <w:sz w:val="20"/>
                <w:szCs w:val="20"/>
              </w:rPr>
            </w:pPr>
          </w:p>
        </w:tc>
      </w:tr>
      <w:tr w:rsidR="00852716" w:rsidTr="00852716">
        <w:trPr>
          <w:trHeight w:val="255"/>
          <w:jc w:val="center"/>
        </w:trPr>
        <w:tc>
          <w:tcPr>
            <w:tcW w:w="1100"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1056" w:type="dxa"/>
            <w:gridSpan w:val="2"/>
            <w:tcBorders>
              <w:top w:val="nil"/>
              <w:left w:val="nil"/>
              <w:bottom w:val="nil"/>
              <w:right w:val="nil"/>
            </w:tcBorders>
            <w:shd w:val="clear" w:color="auto" w:fill="auto"/>
            <w:noWrap/>
            <w:vAlign w:val="bottom"/>
            <w:hideMark/>
          </w:tcPr>
          <w:p w:rsidR="00852716" w:rsidRDefault="00852716">
            <w:pPr>
              <w:rPr>
                <w:sz w:val="20"/>
                <w:szCs w:val="20"/>
              </w:rPr>
            </w:pPr>
          </w:p>
        </w:tc>
      </w:tr>
      <w:tr w:rsidR="00852716" w:rsidTr="00852716">
        <w:trPr>
          <w:trHeight w:val="255"/>
          <w:jc w:val="center"/>
        </w:trPr>
        <w:tc>
          <w:tcPr>
            <w:tcW w:w="1100"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1056" w:type="dxa"/>
            <w:gridSpan w:val="2"/>
            <w:tcBorders>
              <w:top w:val="nil"/>
              <w:left w:val="nil"/>
              <w:bottom w:val="nil"/>
              <w:right w:val="nil"/>
            </w:tcBorders>
            <w:shd w:val="clear" w:color="auto" w:fill="auto"/>
            <w:noWrap/>
            <w:vAlign w:val="bottom"/>
            <w:hideMark/>
          </w:tcPr>
          <w:p w:rsidR="00852716" w:rsidRDefault="00852716">
            <w:pPr>
              <w:rPr>
                <w:sz w:val="20"/>
                <w:szCs w:val="20"/>
              </w:rPr>
            </w:pPr>
          </w:p>
        </w:tc>
      </w:tr>
      <w:tr w:rsidR="00852716" w:rsidTr="00852716">
        <w:trPr>
          <w:trHeight w:val="255"/>
          <w:jc w:val="center"/>
        </w:trPr>
        <w:tc>
          <w:tcPr>
            <w:tcW w:w="1100"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1056" w:type="dxa"/>
            <w:gridSpan w:val="2"/>
            <w:tcBorders>
              <w:top w:val="nil"/>
              <w:left w:val="nil"/>
              <w:bottom w:val="nil"/>
              <w:right w:val="nil"/>
            </w:tcBorders>
            <w:shd w:val="clear" w:color="auto" w:fill="auto"/>
            <w:noWrap/>
            <w:vAlign w:val="bottom"/>
            <w:hideMark/>
          </w:tcPr>
          <w:p w:rsidR="00852716" w:rsidRDefault="00852716">
            <w:pPr>
              <w:rPr>
                <w:sz w:val="20"/>
                <w:szCs w:val="20"/>
              </w:rPr>
            </w:pPr>
          </w:p>
        </w:tc>
      </w:tr>
      <w:tr w:rsidR="00852716" w:rsidTr="00852716">
        <w:trPr>
          <w:trHeight w:val="255"/>
          <w:jc w:val="center"/>
        </w:trPr>
        <w:tc>
          <w:tcPr>
            <w:tcW w:w="1100"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1056" w:type="dxa"/>
            <w:gridSpan w:val="2"/>
            <w:tcBorders>
              <w:top w:val="nil"/>
              <w:left w:val="nil"/>
              <w:bottom w:val="nil"/>
              <w:right w:val="nil"/>
            </w:tcBorders>
            <w:shd w:val="clear" w:color="auto" w:fill="auto"/>
            <w:noWrap/>
            <w:vAlign w:val="bottom"/>
            <w:hideMark/>
          </w:tcPr>
          <w:p w:rsidR="00852716" w:rsidRDefault="00852716">
            <w:pPr>
              <w:rPr>
                <w:sz w:val="20"/>
                <w:szCs w:val="20"/>
              </w:rPr>
            </w:pPr>
          </w:p>
        </w:tc>
      </w:tr>
      <w:tr w:rsidR="00852716" w:rsidTr="00852716">
        <w:trPr>
          <w:trHeight w:val="255"/>
          <w:jc w:val="center"/>
        </w:trPr>
        <w:tc>
          <w:tcPr>
            <w:tcW w:w="1100"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1056" w:type="dxa"/>
            <w:gridSpan w:val="2"/>
            <w:tcBorders>
              <w:top w:val="nil"/>
              <w:left w:val="nil"/>
              <w:bottom w:val="nil"/>
              <w:right w:val="nil"/>
            </w:tcBorders>
            <w:shd w:val="clear" w:color="auto" w:fill="auto"/>
            <w:noWrap/>
            <w:vAlign w:val="bottom"/>
            <w:hideMark/>
          </w:tcPr>
          <w:p w:rsidR="00852716" w:rsidRDefault="00852716">
            <w:pPr>
              <w:rPr>
                <w:sz w:val="20"/>
                <w:szCs w:val="20"/>
              </w:rPr>
            </w:pPr>
          </w:p>
        </w:tc>
      </w:tr>
      <w:tr w:rsidR="00852716" w:rsidTr="00852716">
        <w:trPr>
          <w:trHeight w:val="255"/>
          <w:jc w:val="center"/>
        </w:trPr>
        <w:tc>
          <w:tcPr>
            <w:tcW w:w="1100"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1056" w:type="dxa"/>
            <w:gridSpan w:val="2"/>
            <w:tcBorders>
              <w:top w:val="nil"/>
              <w:left w:val="nil"/>
              <w:bottom w:val="nil"/>
              <w:right w:val="nil"/>
            </w:tcBorders>
            <w:shd w:val="clear" w:color="auto" w:fill="auto"/>
            <w:noWrap/>
            <w:vAlign w:val="bottom"/>
            <w:hideMark/>
          </w:tcPr>
          <w:p w:rsidR="00852716" w:rsidRDefault="00852716">
            <w:pPr>
              <w:rPr>
                <w:sz w:val="20"/>
                <w:szCs w:val="20"/>
              </w:rPr>
            </w:pPr>
          </w:p>
        </w:tc>
      </w:tr>
      <w:tr w:rsidR="00852716" w:rsidTr="00852716">
        <w:trPr>
          <w:trHeight w:val="255"/>
          <w:jc w:val="center"/>
        </w:trPr>
        <w:tc>
          <w:tcPr>
            <w:tcW w:w="1100"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1056" w:type="dxa"/>
            <w:gridSpan w:val="2"/>
            <w:tcBorders>
              <w:top w:val="nil"/>
              <w:left w:val="nil"/>
              <w:bottom w:val="nil"/>
              <w:right w:val="nil"/>
            </w:tcBorders>
            <w:shd w:val="clear" w:color="auto" w:fill="auto"/>
            <w:noWrap/>
            <w:vAlign w:val="bottom"/>
            <w:hideMark/>
          </w:tcPr>
          <w:p w:rsidR="00852716" w:rsidRDefault="00852716">
            <w:pPr>
              <w:rPr>
                <w:sz w:val="20"/>
                <w:szCs w:val="20"/>
              </w:rPr>
            </w:pPr>
          </w:p>
        </w:tc>
      </w:tr>
      <w:tr w:rsidR="00852716" w:rsidTr="00852716">
        <w:trPr>
          <w:trHeight w:val="255"/>
          <w:jc w:val="center"/>
        </w:trPr>
        <w:tc>
          <w:tcPr>
            <w:tcW w:w="1100"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1056" w:type="dxa"/>
            <w:gridSpan w:val="2"/>
            <w:tcBorders>
              <w:top w:val="nil"/>
              <w:left w:val="nil"/>
              <w:bottom w:val="nil"/>
              <w:right w:val="nil"/>
            </w:tcBorders>
            <w:shd w:val="clear" w:color="auto" w:fill="auto"/>
            <w:noWrap/>
            <w:vAlign w:val="bottom"/>
            <w:hideMark/>
          </w:tcPr>
          <w:p w:rsidR="00852716" w:rsidRDefault="00852716">
            <w:pPr>
              <w:rPr>
                <w:sz w:val="20"/>
                <w:szCs w:val="20"/>
              </w:rPr>
            </w:pPr>
          </w:p>
        </w:tc>
      </w:tr>
      <w:tr w:rsidR="00852716" w:rsidTr="00852716">
        <w:trPr>
          <w:trHeight w:val="255"/>
          <w:jc w:val="center"/>
        </w:trPr>
        <w:tc>
          <w:tcPr>
            <w:tcW w:w="1100"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1056" w:type="dxa"/>
            <w:gridSpan w:val="2"/>
            <w:tcBorders>
              <w:top w:val="nil"/>
              <w:left w:val="nil"/>
              <w:bottom w:val="nil"/>
              <w:right w:val="nil"/>
            </w:tcBorders>
            <w:shd w:val="clear" w:color="auto" w:fill="auto"/>
            <w:noWrap/>
            <w:vAlign w:val="bottom"/>
            <w:hideMark/>
          </w:tcPr>
          <w:p w:rsidR="00852716" w:rsidRDefault="00852716">
            <w:pPr>
              <w:rPr>
                <w:sz w:val="20"/>
                <w:szCs w:val="20"/>
              </w:rPr>
            </w:pPr>
          </w:p>
        </w:tc>
      </w:tr>
      <w:tr w:rsidR="00852716" w:rsidTr="00852716">
        <w:trPr>
          <w:trHeight w:val="255"/>
          <w:jc w:val="center"/>
        </w:trPr>
        <w:tc>
          <w:tcPr>
            <w:tcW w:w="1100"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1056" w:type="dxa"/>
            <w:gridSpan w:val="2"/>
            <w:tcBorders>
              <w:top w:val="nil"/>
              <w:left w:val="nil"/>
              <w:bottom w:val="nil"/>
              <w:right w:val="nil"/>
            </w:tcBorders>
            <w:shd w:val="clear" w:color="auto" w:fill="auto"/>
            <w:noWrap/>
            <w:vAlign w:val="bottom"/>
            <w:hideMark/>
          </w:tcPr>
          <w:p w:rsidR="00852716" w:rsidRDefault="00852716">
            <w:pPr>
              <w:rPr>
                <w:sz w:val="20"/>
                <w:szCs w:val="20"/>
              </w:rPr>
            </w:pPr>
          </w:p>
        </w:tc>
      </w:tr>
      <w:tr w:rsidR="00852716" w:rsidTr="00852716">
        <w:trPr>
          <w:trHeight w:val="255"/>
          <w:jc w:val="center"/>
        </w:trPr>
        <w:tc>
          <w:tcPr>
            <w:tcW w:w="1100"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1056" w:type="dxa"/>
            <w:gridSpan w:val="2"/>
            <w:tcBorders>
              <w:top w:val="nil"/>
              <w:left w:val="nil"/>
              <w:bottom w:val="nil"/>
              <w:right w:val="nil"/>
            </w:tcBorders>
            <w:shd w:val="clear" w:color="auto" w:fill="auto"/>
            <w:noWrap/>
            <w:vAlign w:val="bottom"/>
            <w:hideMark/>
          </w:tcPr>
          <w:p w:rsidR="00852716" w:rsidRDefault="00852716">
            <w:pPr>
              <w:rPr>
                <w:sz w:val="20"/>
                <w:szCs w:val="20"/>
              </w:rPr>
            </w:pPr>
          </w:p>
        </w:tc>
      </w:tr>
      <w:tr w:rsidR="00852716" w:rsidTr="00852716">
        <w:trPr>
          <w:trHeight w:val="315"/>
          <w:jc w:val="center"/>
        </w:trPr>
        <w:tc>
          <w:tcPr>
            <w:tcW w:w="1100"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1056" w:type="dxa"/>
            <w:gridSpan w:val="2"/>
            <w:tcBorders>
              <w:top w:val="nil"/>
              <w:left w:val="nil"/>
              <w:bottom w:val="nil"/>
              <w:right w:val="nil"/>
            </w:tcBorders>
            <w:shd w:val="clear" w:color="auto" w:fill="auto"/>
            <w:noWrap/>
            <w:vAlign w:val="bottom"/>
            <w:hideMark/>
          </w:tcPr>
          <w:p w:rsidR="00852716" w:rsidRDefault="00852716">
            <w:pPr>
              <w:rPr>
                <w:sz w:val="20"/>
                <w:szCs w:val="20"/>
              </w:rPr>
            </w:pPr>
          </w:p>
        </w:tc>
      </w:tr>
      <w:tr w:rsidR="00852716" w:rsidTr="00852716">
        <w:trPr>
          <w:trHeight w:val="255"/>
          <w:jc w:val="center"/>
        </w:trPr>
        <w:tc>
          <w:tcPr>
            <w:tcW w:w="1100"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1056" w:type="dxa"/>
            <w:gridSpan w:val="2"/>
            <w:tcBorders>
              <w:top w:val="nil"/>
              <w:left w:val="nil"/>
              <w:bottom w:val="nil"/>
              <w:right w:val="nil"/>
            </w:tcBorders>
            <w:shd w:val="clear" w:color="auto" w:fill="auto"/>
            <w:noWrap/>
            <w:vAlign w:val="bottom"/>
            <w:hideMark/>
          </w:tcPr>
          <w:p w:rsidR="00852716" w:rsidRDefault="00852716">
            <w:pPr>
              <w:rPr>
                <w:sz w:val="20"/>
                <w:szCs w:val="20"/>
              </w:rPr>
            </w:pPr>
          </w:p>
        </w:tc>
      </w:tr>
      <w:tr w:rsidR="00852716" w:rsidTr="00852716">
        <w:trPr>
          <w:trHeight w:val="315"/>
          <w:jc w:val="center"/>
        </w:trPr>
        <w:tc>
          <w:tcPr>
            <w:tcW w:w="1100"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1056" w:type="dxa"/>
            <w:gridSpan w:val="2"/>
            <w:tcBorders>
              <w:top w:val="nil"/>
              <w:left w:val="nil"/>
              <w:bottom w:val="nil"/>
              <w:right w:val="nil"/>
            </w:tcBorders>
            <w:shd w:val="clear" w:color="auto" w:fill="auto"/>
            <w:noWrap/>
            <w:vAlign w:val="bottom"/>
            <w:hideMark/>
          </w:tcPr>
          <w:p w:rsidR="00852716" w:rsidRDefault="00852716">
            <w:pPr>
              <w:rPr>
                <w:sz w:val="20"/>
                <w:szCs w:val="20"/>
              </w:rPr>
            </w:pPr>
          </w:p>
          <w:p w:rsidR="00852716" w:rsidRDefault="00852716">
            <w:pPr>
              <w:rPr>
                <w:sz w:val="20"/>
                <w:szCs w:val="20"/>
              </w:rPr>
            </w:pPr>
          </w:p>
        </w:tc>
      </w:tr>
      <w:tr w:rsidR="00852716" w:rsidTr="00852716">
        <w:trPr>
          <w:trHeight w:val="315"/>
          <w:jc w:val="center"/>
        </w:trPr>
        <w:tc>
          <w:tcPr>
            <w:tcW w:w="1100"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1056" w:type="dxa"/>
            <w:gridSpan w:val="2"/>
            <w:tcBorders>
              <w:top w:val="nil"/>
              <w:left w:val="nil"/>
              <w:bottom w:val="nil"/>
              <w:right w:val="nil"/>
            </w:tcBorders>
            <w:shd w:val="clear" w:color="auto" w:fill="auto"/>
            <w:noWrap/>
            <w:vAlign w:val="bottom"/>
            <w:hideMark/>
          </w:tcPr>
          <w:p w:rsidR="00852716" w:rsidRDefault="00852716">
            <w:pPr>
              <w:rPr>
                <w:sz w:val="20"/>
                <w:szCs w:val="20"/>
              </w:rPr>
            </w:pPr>
          </w:p>
        </w:tc>
      </w:tr>
      <w:tr w:rsidR="00852716" w:rsidTr="00852716">
        <w:tblPrEx>
          <w:jc w:val="left"/>
        </w:tblPrEx>
        <w:trPr>
          <w:gridAfter w:val="1"/>
          <w:wAfter w:w="124" w:type="dxa"/>
          <w:trHeight w:val="315"/>
        </w:trPr>
        <w:tc>
          <w:tcPr>
            <w:tcW w:w="976" w:type="dxa"/>
            <w:tcBorders>
              <w:top w:val="nil"/>
              <w:left w:val="nil"/>
              <w:bottom w:val="nil"/>
              <w:right w:val="nil"/>
            </w:tcBorders>
            <w:shd w:val="clear" w:color="auto" w:fill="auto"/>
            <w:noWrap/>
            <w:vAlign w:val="bottom"/>
            <w:hideMark/>
          </w:tcPr>
          <w:p w:rsidR="00852716" w:rsidRDefault="00852716">
            <w:pPr>
              <w:rPr>
                <w:rFonts w:ascii="Arial CE" w:hAnsi="Arial CE"/>
                <w:sz w:val="20"/>
                <w:szCs w:val="20"/>
              </w:rPr>
            </w:pPr>
            <w:r>
              <w:rPr>
                <w:rFonts w:ascii="Arial CE" w:hAnsi="Arial CE"/>
                <w:noProof/>
                <w:sz w:val="20"/>
                <w:szCs w:val="20"/>
              </w:rPr>
              <w:drawing>
                <wp:anchor distT="0" distB="0" distL="114300" distR="114300" simplePos="0" relativeHeight="251659776" behindDoc="0" locked="0" layoutInCell="1" allowOverlap="1">
                  <wp:simplePos x="0" y="0"/>
                  <wp:positionH relativeFrom="column">
                    <wp:posOffset>3105150</wp:posOffset>
                  </wp:positionH>
                  <wp:positionV relativeFrom="paragraph">
                    <wp:posOffset>171450</wp:posOffset>
                  </wp:positionV>
                  <wp:extent cx="2914650" cy="3314700"/>
                  <wp:effectExtent l="0" t="0" r="0" b="0"/>
                  <wp:wrapNone/>
                  <wp:docPr id="21" name="Wykres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r>
              <w:rPr>
                <w:rFonts w:ascii="Arial CE" w:hAnsi="Arial CE"/>
                <w:noProof/>
                <w:sz w:val="20"/>
                <w:szCs w:val="20"/>
              </w:rPr>
              <mc:AlternateContent>
                <mc:Choice Requires="wps">
                  <w:drawing>
                    <wp:anchor distT="0" distB="0" distL="114300" distR="114300" simplePos="0" relativeHeight="251660800" behindDoc="0" locked="0" layoutInCell="1" allowOverlap="1">
                      <wp:simplePos x="0" y="0"/>
                      <wp:positionH relativeFrom="column">
                        <wp:posOffset>704850</wp:posOffset>
                      </wp:positionH>
                      <wp:positionV relativeFrom="paragraph">
                        <wp:posOffset>133350</wp:posOffset>
                      </wp:positionV>
                      <wp:extent cx="4733925" cy="590550"/>
                      <wp:effectExtent l="0" t="0" r="0" b="0"/>
                      <wp:wrapNone/>
                      <wp:docPr id="20" name="Pole tekstow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581025"/>
                              </a:xfrm>
                              <a:prstGeom prst="rect">
                                <a:avLst/>
                              </a:prstGeom>
                              <a:solidFill>
                                <a:srgbClr xmlns:a14="http://schemas.microsoft.com/office/drawing/2010/main" val="FFFFFF" mc:Ignorable="a14" a14:legacySpreadsheetColorIndex="65">
                                  <a:alpha val="0"/>
                                </a:srgbClr>
                              </a:solidFill>
                              <a:ln>
                                <a:noFill/>
                              </a:ln>
                              <a:effectLst/>
                              <a:extLst>
                                <a:ext uri="{91240B29-F687-4F45-9708-019B960494DF}">
                                  <a14:hiddenLine xmlns:a14="http://schemas.microsoft.com/office/drawing/2010/main" w="9525" algn="ctr">
                                    <a:solidFill>
                                      <a:srgbClr val="000000" mc:Ignorable="a14" a14:legacySpreadsheetColorIndex="64"/>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03529" w:rsidRPr="00776448" w:rsidRDefault="00103529" w:rsidP="00852716">
                                  <w:pPr>
                                    <w:pStyle w:val="NormalnyWeb"/>
                                    <w:spacing w:before="0" w:beforeAutospacing="0" w:after="0" w:afterAutospacing="0"/>
                                    <w:jc w:val="center"/>
                                    <w:rPr>
                                      <w:sz w:val="22"/>
                                      <w:szCs w:val="22"/>
                                    </w:rPr>
                                  </w:pPr>
                                  <w:r w:rsidRPr="00776448">
                                    <w:rPr>
                                      <w:b/>
                                      <w:bCs/>
                                      <w:color w:val="000000"/>
                                      <w:sz w:val="22"/>
                                      <w:szCs w:val="22"/>
                                    </w:rPr>
                                    <w:t xml:space="preserve">Struktura przeciętnego zatrudnienia w przemyśle według sekcji </w:t>
                                  </w:r>
                                </w:p>
                                <w:p w:rsidR="00103529" w:rsidRPr="00776448" w:rsidRDefault="00103529" w:rsidP="00852716">
                                  <w:pPr>
                                    <w:pStyle w:val="NormalnyWeb"/>
                                    <w:spacing w:before="0" w:beforeAutospacing="0" w:after="0" w:afterAutospacing="0"/>
                                    <w:jc w:val="center"/>
                                    <w:rPr>
                                      <w:sz w:val="22"/>
                                      <w:szCs w:val="22"/>
                                      <w:lang w:val="en-US"/>
                                    </w:rPr>
                                  </w:pPr>
                                  <w:r w:rsidRPr="00776448">
                                    <w:rPr>
                                      <w:b/>
                                      <w:bCs/>
                                      <w:i/>
                                      <w:iCs/>
                                      <w:color w:val="000000"/>
                                      <w:sz w:val="22"/>
                                      <w:szCs w:val="22"/>
                                      <w:lang w:val="en-US"/>
                                    </w:rPr>
                                    <w:t>Structure of average paid employment in industry by sections</w:t>
                                  </w:r>
                                </w:p>
                              </w:txbxContent>
                            </wps:txbx>
                            <wps:bodyPr vertOverflow="clip" wrap="square" lIns="36576" tIns="27432" rIns="36576" bIns="0" anchor="t" upright="1"/>
                          </wps:wsp>
                        </a:graphicData>
                      </a:graphic>
                      <wp14:sizeRelH relativeFrom="page">
                        <wp14:pctWidth>0</wp14:pctWidth>
                      </wp14:sizeRelH>
                      <wp14:sizeRelV relativeFrom="page">
                        <wp14:pctHeight>0</wp14:pctHeight>
                      </wp14:sizeRelV>
                    </wp:anchor>
                  </w:drawing>
                </mc:Choice>
                <mc:Fallback>
                  <w:pict>
                    <v:shape id="Pole tekstowe 20" o:spid="_x0000_s1027" type="#_x0000_t202" style="position:absolute;margin-left:55.5pt;margin-top:10.5pt;width:372.75pt;height:4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BGCWgMAAJIHAAAOAAAAZHJzL2Uyb0RvYy54bWy0Vdtu4zYUfC/QfyD4ruhiybKEKIvYsYsA&#10;aXeBtOgzTVESEYpUSTqysei/95CS47hZoEC3tQGB1+E5M8PD20/HXqBXpg1XssLxTYQRk1TVXLYV&#10;/u3XXbDCyFgiayKUZBU+MYM/3f34w+04lCxRnRI10whApCnHocKdtUMZhoZ2rCfmRg1MwmSjdE8s&#10;dHUb1pqMgN6LMImiZTgqXQ9aUWYMjD5Mk/jO4zcNo/Zz0xhmkagwxGb9V/vv3n3Du1tStpoMHadz&#10;GORfRNETLuHQN6gHYgk6aP4BqudUK6Mae0NVH6qm4ZT5HCCbOPpbNs8dGZjPBcgxwxtN5r+Dpb+8&#10;ftGI1xVOgB5JetDoixIMWfZirBoZgnEgaRxMCWufB1htj2t1BLF9wmZ4UvTFIKk2HZEtu9dajR0j&#10;NQQZu53hu60TjnEg+/FnVcNh5GCVBzo2uncMAicI0CGa05tA7GgRhcE0XyyKJMOIwly2iiNouyNI&#10;ed49aGN/YqpHrlFhDQbw6OT1ydhp6XmJO8wowesdF8J3dLvfCI1eCZhl53945rynHyj/hjV7ol8O&#10;QwDKDsTyPRfcnrxLMepp+dhKpcleuKTj9IwMzQ/Q3zTJ7PvJJ95vCPaWgrWEnp4H7SjvGLMbJZR+&#10;lDUDvpbZlLwYOjKl5cUEvsyUq+fuigQhHRVSOVImvqYR5i/TRCIpQRBoupVOGm/0r0WcpNE6KYLd&#10;cpUH6S7NgiKPVkEUF+tiGaVF+rD708UDUXe8rpl84pKdL9130DBWuMicK4hooQhRq33WV2nN+c4k&#10;RO53VuD/0PaflUln415F2XML1VDwvsKrKUaQgJTuOm1l7duWcDG1w2sivZSgxrUo97ssytPFKsjz&#10;bBGki20UrFe7TXC/iZfLfLverLfxtShbL7T5fl18IGfXuI46QHbPXT2imrvLuciKJMbQgXqc5LMm&#10;Fw2RVvZ3bjtfBV0pcBhXOq4i95+JfEOfiLgc/I6nObcLVXATzlb2dcqVpqlI2eP+6OuiL2Kuhu1V&#10;fYLCBY+d/QyfRigwHhV8wGiEB6TC5o8D0Qwj8Sih+C2WWb6EF8d3EtAgwQju5WVm7ztgQyJpp4AD&#10;i9Fh0LztgJtL6YTC7+OdHyn3srzvQ/v9U3r3FwAAAP//AwBQSwMEFAAGAAgAAAAhAKdKqzzcAAAA&#10;CgEAAA8AAABkcnMvZG93bnJldi54bWxMj8FugzAQRO+V+g/WRuqtMUSAUoqJ2kq9VYpK+gEGb4AG&#10;rxE2Cf37Lqf2tBrNaPZNcVjsIK44+d6RgngbgUBqnOmpVfB1en/cg/BBk9GDI1Twgx4O5f1doXPj&#10;bvSJ1yq0gkvI51pBF8KYS+mbDq32WzcisXd2k9WB5dRKM+kbl9tB7qIok1b3xB86PeJbh82lmq2C&#10;CsfkKTnWy+vHtzmn89E2GVqlHjbLyzOIgEv4C8OKz+hQMlPtZjJeDKzjmLcEBbv1cmCfZimIenWS&#10;CGRZyP8Tyl8AAAD//wMAUEsBAi0AFAAGAAgAAAAhALaDOJL+AAAA4QEAABMAAAAAAAAAAAAAAAAA&#10;AAAAAFtDb250ZW50X1R5cGVzXS54bWxQSwECLQAUAAYACAAAACEAOP0h/9YAAACUAQAACwAAAAAA&#10;AAAAAAAAAAAvAQAAX3JlbHMvLnJlbHNQSwECLQAUAAYACAAAACEAX8gRgloDAACSBwAADgAAAAAA&#10;AAAAAAAAAAAuAgAAZHJzL2Uyb0RvYy54bWxQSwECLQAUAAYACAAAACEAp0qrPNwAAAAKAQAADwAA&#10;AAAAAAAAAAAAAAC0BQAAZHJzL2Rvd25yZXYueG1sUEsFBgAAAAAEAAQA8wAAAL0GAAAAAA==&#10;" stroked="f">
                      <v:fill opacity="0"/>
                      <v:textbox inset="2.88pt,2.16pt,2.88pt,0">
                        <w:txbxContent>
                          <w:p w:rsidR="00103529" w:rsidRPr="00776448" w:rsidRDefault="00103529" w:rsidP="00852716">
                            <w:pPr>
                              <w:pStyle w:val="NormalnyWeb"/>
                              <w:spacing w:before="0" w:beforeAutospacing="0" w:after="0" w:afterAutospacing="0"/>
                              <w:jc w:val="center"/>
                              <w:rPr>
                                <w:sz w:val="22"/>
                                <w:szCs w:val="22"/>
                              </w:rPr>
                            </w:pPr>
                            <w:r w:rsidRPr="00776448">
                              <w:rPr>
                                <w:b/>
                                <w:bCs/>
                                <w:color w:val="000000"/>
                                <w:sz w:val="22"/>
                                <w:szCs w:val="22"/>
                              </w:rPr>
                              <w:t xml:space="preserve">Struktura przeciętnego zatrudnienia w przemyśle według sekcji </w:t>
                            </w:r>
                          </w:p>
                          <w:p w:rsidR="00103529" w:rsidRPr="00776448" w:rsidRDefault="00103529" w:rsidP="00852716">
                            <w:pPr>
                              <w:pStyle w:val="NormalnyWeb"/>
                              <w:spacing w:before="0" w:beforeAutospacing="0" w:after="0" w:afterAutospacing="0"/>
                              <w:jc w:val="center"/>
                              <w:rPr>
                                <w:sz w:val="22"/>
                                <w:szCs w:val="22"/>
                                <w:lang w:val="en-US"/>
                              </w:rPr>
                            </w:pPr>
                            <w:r w:rsidRPr="00776448">
                              <w:rPr>
                                <w:b/>
                                <w:bCs/>
                                <w:i/>
                                <w:iCs/>
                                <w:color w:val="000000"/>
                                <w:sz w:val="22"/>
                                <w:szCs w:val="22"/>
                                <w:lang w:val="en-US"/>
                              </w:rPr>
                              <w:t>Structure of average paid employment in industry by sections</w:t>
                            </w:r>
                          </w:p>
                        </w:txbxContent>
                      </v:textbox>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960"/>
            </w:tblGrid>
            <w:tr w:rsidR="00852716">
              <w:trPr>
                <w:trHeight w:val="315"/>
                <w:tblCellSpacing w:w="0" w:type="dxa"/>
              </w:trPr>
              <w:tc>
                <w:tcPr>
                  <w:tcW w:w="960" w:type="dxa"/>
                  <w:tcBorders>
                    <w:top w:val="nil"/>
                    <w:left w:val="nil"/>
                    <w:bottom w:val="nil"/>
                    <w:right w:val="nil"/>
                  </w:tcBorders>
                  <w:shd w:val="clear" w:color="auto" w:fill="auto"/>
                  <w:noWrap/>
                  <w:vAlign w:val="bottom"/>
                  <w:hideMark/>
                </w:tcPr>
                <w:p w:rsidR="00852716" w:rsidRDefault="00852716">
                  <w:pPr>
                    <w:rPr>
                      <w:rFonts w:ascii="Arial CE" w:hAnsi="Arial CE"/>
                      <w:sz w:val="20"/>
                      <w:szCs w:val="20"/>
                    </w:rPr>
                  </w:pPr>
                </w:p>
              </w:tc>
            </w:tr>
          </w:tbl>
          <w:p w:rsidR="00852716" w:rsidRDefault="00852716">
            <w:pPr>
              <w:rPr>
                <w:rFonts w:ascii="Arial CE" w:hAnsi="Arial CE"/>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1056" w:type="dxa"/>
            <w:gridSpan w:val="2"/>
            <w:tcBorders>
              <w:top w:val="nil"/>
              <w:left w:val="nil"/>
              <w:bottom w:val="nil"/>
              <w:right w:val="nil"/>
            </w:tcBorders>
            <w:shd w:val="clear" w:color="auto" w:fill="auto"/>
            <w:noWrap/>
            <w:vAlign w:val="bottom"/>
            <w:hideMark/>
          </w:tcPr>
          <w:p w:rsidR="00852716" w:rsidRDefault="00852716">
            <w:pPr>
              <w:rPr>
                <w:sz w:val="20"/>
                <w:szCs w:val="20"/>
              </w:rPr>
            </w:pPr>
          </w:p>
        </w:tc>
      </w:tr>
      <w:tr w:rsidR="00852716" w:rsidTr="00852716">
        <w:tblPrEx>
          <w:jc w:val="left"/>
        </w:tblPrEx>
        <w:trPr>
          <w:gridAfter w:val="1"/>
          <w:wAfter w:w="124" w:type="dxa"/>
          <w:trHeight w:val="315"/>
        </w:trPr>
        <w:tc>
          <w:tcPr>
            <w:tcW w:w="976" w:type="dxa"/>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1056" w:type="dxa"/>
            <w:gridSpan w:val="2"/>
            <w:tcBorders>
              <w:top w:val="nil"/>
              <w:left w:val="nil"/>
              <w:bottom w:val="nil"/>
              <w:right w:val="nil"/>
            </w:tcBorders>
            <w:shd w:val="clear" w:color="auto" w:fill="auto"/>
            <w:noWrap/>
            <w:vAlign w:val="bottom"/>
            <w:hideMark/>
          </w:tcPr>
          <w:p w:rsidR="00852716" w:rsidRDefault="00852716">
            <w:pPr>
              <w:rPr>
                <w:sz w:val="20"/>
                <w:szCs w:val="20"/>
              </w:rPr>
            </w:pPr>
          </w:p>
        </w:tc>
      </w:tr>
      <w:tr w:rsidR="00852716" w:rsidTr="00852716">
        <w:tblPrEx>
          <w:jc w:val="left"/>
        </w:tblPrEx>
        <w:trPr>
          <w:gridAfter w:val="1"/>
          <w:wAfter w:w="124" w:type="dxa"/>
          <w:trHeight w:val="315"/>
        </w:trPr>
        <w:tc>
          <w:tcPr>
            <w:tcW w:w="976" w:type="dxa"/>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1056" w:type="dxa"/>
            <w:gridSpan w:val="2"/>
            <w:tcBorders>
              <w:top w:val="nil"/>
              <w:left w:val="nil"/>
              <w:bottom w:val="nil"/>
              <w:right w:val="nil"/>
            </w:tcBorders>
            <w:shd w:val="clear" w:color="auto" w:fill="auto"/>
            <w:noWrap/>
            <w:vAlign w:val="bottom"/>
            <w:hideMark/>
          </w:tcPr>
          <w:p w:rsidR="00852716" w:rsidRDefault="00852716">
            <w:pPr>
              <w:rPr>
                <w:sz w:val="20"/>
                <w:szCs w:val="20"/>
              </w:rPr>
            </w:pPr>
          </w:p>
        </w:tc>
      </w:tr>
      <w:tr w:rsidR="00852716" w:rsidTr="00852716">
        <w:tblPrEx>
          <w:jc w:val="left"/>
        </w:tblPrEx>
        <w:trPr>
          <w:gridAfter w:val="1"/>
          <w:wAfter w:w="124" w:type="dxa"/>
          <w:trHeight w:val="315"/>
        </w:trPr>
        <w:tc>
          <w:tcPr>
            <w:tcW w:w="976" w:type="dxa"/>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1056" w:type="dxa"/>
            <w:gridSpan w:val="2"/>
            <w:tcBorders>
              <w:top w:val="nil"/>
              <w:left w:val="nil"/>
              <w:bottom w:val="nil"/>
              <w:right w:val="nil"/>
            </w:tcBorders>
            <w:shd w:val="clear" w:color="auto" w:fill="auto"/>
            <w:noWrap/>
            <w:vAlign w:val="bottom"/>
            <w:hideMark/>
          </w:tcPr>
          <w:p w:rsidR="00852716" w:rsidRDefault="00852716">
            <w:pPr>
              <w:rPr>
                <w:sz w:val="20"/>
                <w:szCs w:val="20"/>
              </w:rPr>
            </w:pPr>
          </w:p>
        </w:tc>
      </w:tr>
      <w:tr w:rsidR="00852716" w:rsidTr="00852716">
        <w:tblPrEx>
          <w:jc w:val="left"/>
        </w:tblPrEx>
        <w:trPr>
          <w:gridAfter w:val="1"/>
          <w:wAfter w:w="124" w:type="dxa"/>
          <w:trHeight w:val="315"/>
        </w:trPr>
        <w:tc>
          <w:tcPr>
            <w:tcW w:w="976" w:type="dxa"/>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1056" w:type="dxa"/>
            <w:gridSpan w:val="2"/>
            <w:tcBorders>
              <w:top w:val="nil"/>
              <w:left w:val="nil"/>
              <w:bottom w:val="nil"/>
              <w:right w:val="nil"/>
            </w:tcBorders>
            <w:shd w:val="clear" w:color="auto" w:fill="auto"/>
            <w:noWrap/>
            <w:vAlign w:val="bottom"/>
            <w:hideMark/>
          </w:tcPr>
          <w:p w:rsidR="00852716" w:rsidRDefault="00852716">
            <w:pPr>
              <w:rPr>
                <w:sz w:val="20"/>
                <w:szCs w:val="20"/>
              </w:rPr>
            </w:pPr>
          </w:p>
        </w:tc>
      </w:tr>
      <w:tr w:rsidR="00852716" w:rsidTr="00852716">
        <w:tblPrEx>
          <w:jc w:val="left"/>
        </w:tblPrEx>
        <w:trPr>
          <w:gridAfter w:val="1"/>
          <w:wAfter w:w="124" w:type="dxa"/>
          <w:trHeight w:val="315"/>
        </w:trPr>
        <w:tc>
          <w:tcPr>
            <w:tcW w:w="976" w:type="dxa"/>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1056" w:type="dxa"/>
            <w:gridSpan w:val="2"/>
            <w:tcBorders>
              <w:top w:val="nil"/>
              <w:left w:val="nil"/>
              <w:bottom w:val="nil"/>
              <w:right w:val="nil"/>
            </w:tcBorders>
            <w:shd w:val="clear" w:color="auto" w:fill="auto"/>
            <w:noWrap/>
            <w:vAlign w:val="bottom"/>
            <w:hideMark/>
          </w:tcPr>
          <w:p w:rsidR="00852716" w:rsidRDefault="00852716">
            <w:pPr>
              <w:rPr>
                <w:sz w:val="20"/>
                <w:szCs w:val="20"/>
              </w:rPr>
            </w:pPr>
          </w:p>
        </w:tc>
      </w:tr>
      <w:tr w:rsidR="00852716" w:rsidTr="00852716">
        <w:tblPrEx>
          <w:jc w:val="left"/>
        </w:tblPrEx>
        <w:trPr>
          <w:gridAfter w:val="1"/>
          <w:wAfter w:w="124" w:type="dxa"/>
          <w:trHeight w:val="315"/>
        </w:trPr>
        <w:tc>
          <w:tcPr>
            <w:tcW w:w="976" w:type="dxa"/>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1056" w:type="dxa"/>
            <w:gridSpan w:val="2"/>
            <w:tcBorders>
              <w:top w:val="nil"/>
              <w:left w:val="nil"/>
              <w:bottom w:val="nil"/>
              <w:right w:val="nil"/>
            </w:tcBorders>
            <w:shd w:val="clear" w:color="auto" w:fill="auto"/>
            <w:noWrap/>
            <w:vAlign w:val="bottom"/>
            <w:hideMark/>
          </w:tcPr>
          <w:p w:rsidR="00852716" w:rsidRDefault="00852716">
            <w:pPr>
              <w:rPr>
                <w:sz w:val="20"/>
                <w:szCs w:val="20"/>
              </w:rPr>
            </w:pPr>
          </w:p>
        </w:tc>
      </w:tr>
      <w:tr w:rsidR="00852716" w:rsidTr="00852716">
        <w:tblPrEx>
          <w:jc w:val="left"/>
        </w:tblPrEx>
        <w:trPr>
          <w:gridAfter w:val="1"/>
          <w:wAfter w:w="124" w:type="dxa"/>
          <w:trHeight w:val="315"/>
        </w:trPr>
        <w:tc>
          <w:tcPr>
            <w:tcW w:w="976" w:type="dxa"/>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1056" w:type="dxa"/>
            <w:gridSpan w:val="2"/>
            <w:tcBorders>
              <w:top w:val="nil"/>
              <w:left w:val="nil"/>
              <w:bottom w:val="nil"/>
              <w:right w:val="nil"/>
            </w:tcBorders>
            <w:shd w:val="clear" w:color="auto" w:fill="auto"/>
            <w:noWrap/>
            <w:vAlign w:val="bottom"/>
            <w:hideMark/>
          </w:tcPr>
          <w:p w:rsidR="00852716" w:rsidRDefault="00852716">
            <w:pPr>
              <w:rPr>
                <w:sz w:val="20"/>
                <w:szCs w:val="20"/>
              </w:rPr>
            </w:pPr>
          </w:p>
        </w:tc>
      </w:tr>
      <w:tr w:rsidR="00852716" w:rsidTr="00852716">
        <w:tblPrEx>
          <w:jc w:val="left"/>
        </w:tblPrEx>
        <w:trPr>
          <w:gridAfter w:val="1"/>
          <w:wAfter w:w="124" w:type="dxa"/>
          <w:trHeight w:val="315"/>
        </w:trPr>
        <w:tc>
          <w:tcPr>
            <w:tcW w:w="976" w:type="dxa"/>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1056" w:type="dxa"/>
            <w:gridSpan w:val="2"/>
            <w:tcBorders>
              <w:top w:val="nil"/>
              <w:left w:val="nil"/>
              <w:bottom w:val="nil"/>
              <w:right w:val="nil"/>
            </w:tcBorders>
            <w:shd w:val="clear" w:color="auto" w:fill="auto"/>
            <w:noWrap/>
            <w:vAlign w:val="bottom"/>
            <w:hideMark/>
          </w:tcPr>
          <w:p w:rsidR="00852716" w:rsidRDefault="00852716">
            <w:pPr>
              <w:rPr>
                <w:sz w:val="20"/>
                <w:szCs w:val="20"/>
              </w:rPr>
            </w:pPr>
          </w:p>
        </w:tc>
      </w:tr>
      <w:tr w:rsidR="00852716" w:rsidTr="00852716">
        <w:tblPrEx>
          <w:jc w:val="left"/>
        </w:tblPrEx>
        <w:trPr>
          <w:gridAfter w:val="1"/>
          <w:wAfter w:w="124" w:type="dxa"/>
          <w:trHeight w:val="315"/>
        </w:trPr>
        <w:tc>
          <w:tcPr>
            <w:tcW w:w="976" w:type="dxa"/>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1056" w:type="dxa"/>
            <w:gridSpan w:val="2"/>
            <w:tcBorders>
              <w:top w:val="nil"/>
              <w:left w:val="nil"/>
              <w:bottom w:val="nil"/>
              <w:right w:val="nil"/>
            </w:tcBorders>
            <w:shd w:val="clear" w:color="auto" w:fill="auto"/>
            <w:noWrap/>
            <w:vAlign w:val="bottom"/>
            <w:hideMark/>
          </w:tcPr>
          <w:p w:rsidR="00852716" w:rsidRDefault="00852716">
            <w:pPr>
              <w:rPr>
                <w:sz w:val="20"/>
                <w:szCs w:val="20"/>
              </w:rPr>
            </w:pPr>
          </w:p>
        </w:tc>
      </w:tr>
      <w:tr w:rsidR="00852716" w:rsidTr="00852716">
        <w:tblPrEx>
          <w:jc w:val="left"/>
        </w:tblPrEx>
        <w:trPr>
          <w:gridAfter w:val="1"/>
          <w:wAfter w:w="124" w:type="dxa"/>
          <w:trHeight w:val="315"/>
        </w:trPr>
        <w:tc>
          <w:tcPr>
            <w:tcW w:w="976" w:type="dxa"/>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1056" w:type="dxa"/>
            <w:gridSpan w:val="2"/>
            <w:tcBorders>
              <w:top w:val="nil"/>
              <w:left w:val="nil"/>
              <w:bottom w:val="nil"/>
              <w:right w:val="nil"/>
            </w:tcBorders>
            <w:shd w:val="clear" w:color="auto" w:fill="auto"/>
            <w:noWrap/>
            <w:vAlign w:val="bottom"/>
            <w:hideMark/>
          </w:tcPr>
          <w:p w:rsidR="00852716" w:rsidRDefault="00852716">
            <w:pPr>
              <w:rPr>
                <w:sz w:val="20"/>
                <w:szCs w:val="20"/>
              </w:rPr>
            </w:pPr>
          </w:p>
        </w:tc>
      </w:tr>
      <w:tr w:rsidR="00852716" w:rsidTr="00852716">
        <w:tblPrEx>
          <w:jc w:val="left"/>
        </w:tblPrEx>
        <w:trPr>
          <w:gridAfter w:val="1"/>
          <w:wAfter w:w="124" w:type="dxa"/>
          <w:trHeight w:val="300"/>
        </w:trPr>
        <w:tc>
          <w:tcPr>
            <w:tcW w:w="976" w:type="dxa"/>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1056" w:type="dxa"/>
            <w:gridSpan w:val="2"/>
            <w:tcBorders>
              <w:top w:val="nil"/>
              <w:left w:val="nil"/>
              <w:bottom w:val="nil"/>
              <w:right w:val="nil"/>
            </w:tcBorders>
            <w:shd w:val="clear" w:color="auto" w:fill="auto"/>
            <w:noWrap/>
            <w:vAlign w:val="bottom"/>
            <w:hideMark/>
          </w:tcPr>
          <w:p w:rsidR="00852716" w:rsidRDefault="00852716">
            <w:pPr>
              <w:rPr>
                <w:sz w:val="20"/>
                <w:szCs w:val="20"/>
              </w:rPr>
            </w:pPr>
          </w:p>
        </w:tc>
      </w:tr>
      <w:tr w:rsidR="00852716" w:rsidTr="00852716">
        <w:tblPrEx>
          <w:jc w:val="left"/>
        </w:tblPrEx>
        <w:trPr>
          <w:gridAfter w:val="1"/>
          <w:wAfter w:w="124" w:type="dxa"/>
          <w:trHeight w:val="300"/>
        </w:trPr>
        <w:tc>
          <w:tcPr>
            <w:tcW w:w="976" w:type="dxa"/>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1056" w:type="dxa"/>
            <w:gridSpan w:val="2"/>
            <w:tcBorders>
              <w:top w:val="nil"/>
              <w:left w:val="nil"/>
              <w:bottom w:val="nil"/>
              <w:right w:val="nil"/>
            </w:tcBorders>
            <w:shd w:val="clear" w:color="auto" w:fill="auto"/>
            <w:noWrap/>
            <w:vAlign w:val="bottom"/>
            <w:hideMark/>
          </w:tcPr>
          <w:p w:rsidR="00852716" w:rsidRDefault="00852716">
            <w:pPr>
              <w:rPr>
                <w:sz w:val="20"/>
                <w:szCs w:val="20"/>
              </w:rPr>
            </w:pPr>
          </w:p>
        </w:tc>
      </w:tr>
      <w:tr w:rsidR="00852716" w:rsidTr="00852716">
        <w:tblPrEx>
          <w:jc w:val="left"/>
        </w:tblPrEx>
        <w:trPr>
          <w:gridAfter w:val="1"/>
          <w:wAfter w:w="124" w:type="dxa"/>
          <w:trHeight w:val="300"/>
        </w:trPr>
        <w:tc>
          <w:tcPr>
            <w:tcW w:w="976" w:type="dxa"/>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776448">
            <w:pPr>
              <w:rPr>
                <w:sz w:val="20"/>
                <w:szCs w:val="20"/>
              </w:rPr>
            </w:pPr>
            <w:r>
              <w:rPr>
                <w:rFonts w:ascii="Arial CE" w:hAnsi="Arial CE"/>
                <w:noProof/>
                <w:sz w:val="20"/>
                <w:szCs w:val="20"/>
              </w:rPr>
              <w:drawing>
                <wp:anchor distT="0" distB="0" distL="114300" distR="114300" simplePos="0" relativeHeight="251658752" behindDoc="0" locked="0" layoutInCell="1" allowOverlap="1">
                  <wp:simplePos x="0" y="0"/>
                  <wp:positionH relativeFrom="column">
                    <wp:posOffset>-647700</wp:posOffset>
                  </wp:positionH>
                  <wp:positionV relativeFrom="paragraph">
                    <wp:posOffset>-2842895</wp:posOffset>
                  </wp:positionV>
                  <wp:extent cx="6038850" cy="4867275"/>
                  <wp:effectExtent l="0" t="0" r="0" b="0"/>
                  <wp:wrapNone/>
                  <wp:docPr id="22" name="Wykres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page">
                    <wp14:pctWidth>0</wp14:pctWidth>
                  </wp14:sizeRelH>
                  <wp14:sizeRelV relativeFrom="page">
                    <wp14:pctHeight>0</wp14:pctHeight>
                  </wp14:sizeRelV>
                </wp:anchor>
              </w:drawing>
            </w: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1056" w:type="dxa"/>
            <w:gridSpan w:val="2"/>
            <w:tcBorders>
              <w:top w:val="nil"/>
              <w:left w:val="nil"/>
              <w:bottom w:val="nil"/>
              <w:right w:val="nil"/>
            </w:tcBorders>
            <w:shd w:val="clear" w:color="auto" w:fill="auto"/>
            <w:noWrap/>
            <w:vAlign w:val="bottom"/>
            <w:hideMark/>
          </w:tcPr>
          <w:p w:rsidR="00852716" w:rsidRDefault="00852716">
            <w:pPr>
              <w:rPr>
                <w:sz w:val="20"/>
                <w:szCs w:val="20"/>
              </w:rPr>
            </w:pPr>
          </w:p>
        </w:tc>
      </w:tr>
      <w:tr w:rsidR="00852716" w:rsidTr="00852716">
        <w:tblPrEx>
          <w:jc w:val="left"/>
        </w:tblPrEx>
        <w:trPr>
          <w:gridAfter w:val="1"/>
          <w:wAfter w:w="124" w:type="dxa"/>
          <w:trHeight w:val="300"/>
        </w:trPr>
        <w:tc>
          <w:tcPr>
            <w:tcW w:w="976" w:type="dxa"/>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1056" w:type="dxa"/>
            <w:gridSpan w:val="2"/>
            <w:tcBorders>
              <w:top w:val="nil"/>
              <w:left w:val="nil"/>
              <w:bottom w:val="nil"/>
              <w:right w:val="nil"/>
            </w:tcBorders>
            <w:shd w:val="clear" w:color="auto" w:fill="auto"/>
            <w:noWrap/>
            <w:vAlign w:val="bottom"/>
            <w:hideMark/>
          </w:tcPr>
          <w:p w:rsidR="00852716" w:rsidRDefault="00852716">
            <w:pPr>
              <w:rPr>
                <w:sz w:val="20"/>
                <w:szCs w:val="20"/>
              </w:rPr>
            </w:pPr>
          </w:p>
        </w:tc>
      </w:tr>
      <w:tr w:rsidR="00852716" w:rsidTr="00852716">
        <w:tblPrEx>
          <w:jc w:val="left"/>
        </w:tblPrEx>
        <w:trPr>
          <w:gridAfter w:val="1"/>
          <w:wAfter w:w="124" w:type="dxa"/>
          <w:trHeight w:val="285"/>
        </w:trPr>
        <w:tc>
          <w:tcPr>
            <w:tcW w:w="976" w:type="dxa"/>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1056" w:type="dxa"/>
            <w:gridSpan w:val="2"/>
            <w:tcBorders>
              <w:top w:val="nil"/>
              <w:left w:val="nil"/>
              <w:bottom w:val="nil"/>
              <w:right w:val="nil"/>
            </w:tcBorders>
            <w:shd w:val="clear" w:color="auto" w:fill="auto"/>
            <w:noWrap/>
            <w:vAlign w:val="bottom"/>
            <w:hideMark/>
          </w:tcPr>
          <w:p w:rsidR="00852716" w:rsidRDefault="00852716">
            <w:pPr>
              <w:rPr>
                <w:sz w:val="20"/>
                <w:szCs w:val="20"/>
              </w:rPr>
            </w:pPr>
          </w:p>
        </w:tc>
      </w:tr>
      <w:tr w:rsidR="00852716" w:rsidTr="00852716">
        <w:tblPrEx>
          <w:jc w:val="left"/>
        </w:tblPrEx>
        <w:trPr>
          <w:gridAfter w:val="1"/>
          <w:wAfter w:w="124" w:type="dxa"/>
          <w:trHeight w:val="315"/>
        </w:trPr>
        <w:tc>
          <w:tcPr>
            <w:tcW w:w="976" w:type="dxa"/>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1056" w:type="dxa"/>
            <w:gridSpan w:val="2"/>
            <w:tcBorders>
              <w:top w:val="nil"/>
              <w:left w:val="nil"/>
              <w:bottom w:val="nil"/>
              <w:right w:val="nil"/>
            </w:tcBorders>
            <w:shd w:val="clear" w:color="auto" w:fill="auto"/>
            <w:noWrap/>
            <w:vAlign w:val="bottom"/>
            <w:hideMark/>
          </w:tcPr>
          <w:p w:rsidR="00852716" w:rsidRDefault="00852716">
            <w:pPr>
              <w:rPr>
                <w:sz w:val="20"/>
                <w:szCs w:val="20"/>
              </w:rPr>
            </w:pPr>
          </w:p>
        </w:tc>
      </w:tr>
      <w:tr w:rsidR="00852716" w:rsidTr="00852716">
        <w:tblPrEx>
          <w:jc w:val="left"/>
        </w:tblPrEx>
        <w:trPr>
          <w:gridAfter w:val="1"/>
          <w:wAfter w:w="124" w:type="dxa"/>
          <w:trHeight w:val="315"/>
        </w:trPr>
        <w:tc>
          <w:tcPr>
            <w:tcW w:w="976" w:type="dxa"/>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1056" w:type="dxa"/>
            <w:gridSpan w:val="2"/>
            <w:tcBorders>
              <w:top w:val="nil"/>
              <w:left w:val="nil"/>
              <w:bottom w:val="nil"/>
              <w:right w:val="nil"/>
            </w:tcBorders>
            <w:shd w:val="clear" w:color="auto" w:fill="auto"/>
            <w:noWrap/>
            <w:vAlign w:val="bottom"/>
            <w:hideMark/>
          </w:tcPr>
          <w:p w:rsidR="00852716" w:rsidRDefault="00852716">
            <w:pPr>
              <w:rPr>
                <w:sz w:val="20"/>
                <w:szCs w:val="20"/>
              </w:rPr>
            </w:pPr>
          </w:p>
        </w:tc>
      </w:tr>
      <w:tr w:rsidR="00852716" w:rsidTr="00852716">
        <w:tblPrEx>
          <w:jc w:val="left"/>
        </w:tblPrEx>
        <w:trPr>
          <w:gridAfter w:val="1"/>
          <w:wAfter w:w="124" w:type="dxa"/>
          <w:trHeight w:val="255"/>
        </w:trPr>
        <w:tc>
          <w:tcPr>
            <w:tcW w:w="976" w:type="dxa"/>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1056" w:type="dxa"/>
            <w:gridSpan w:val="2"/>
            <w:tcBorders>
              <w:top w:val="nil"/>
              <w:left w:val="nil"/>
              <w:bottom w:val="nil"/>
              <w:right w:val="nil"/>
            </w:tcBorders>
            <w:shd w:val="clear" w:color="auto" w:fill="auto"/>
            <w:noWrap/>
            <w:vAlign w:val="bottom"/>
            <w:hideMark/>
          </w:tcPr>
          <w:p w:rsidR="00852716" w:rsidRDefault="00852716">
            <w:pPr>
              <w:rPr>
                <w:sz w:val="20"/>
                <w:szCs w:val="20"/>
              </w:rPr>
            </w:pPr>
          </w:p>
        </w:tc>
      </w:tr>
      <w:tr w:rsidR="00852716" w:rsidTr="00852716">
        <w:tblPrEx>
          <w:jc w:val="left"/>
        </w:tblPrEx>
        <w:trPr>
          <w:gridAfter w:val="1"/>
          <w:wAfter w:w="124" w:type="dxa"/>
          <w:trHeight w:val="255"/>
        </w:trPr>
        <w:tc>
          <w:tcPr>
            <w:tcW w:w="976" w:type="dxa"/>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1056" w:type="dxa"/>
            <w:gridSpan w:val="2"/>
            <w:tcBorders>
              <w:top w:val="nil"/>
              <w:left w:val="nil"/>
              <w:bottom w:val="nil"/>
              <w:right w:val="nil"/>
            </w:tcBorders>
            <w:shd w:val="clear" w:color="auto" w:fill="auto"/>
            <w:noWrap/>
            <w:vAlign w:val="bottom"/>
            <w:hideMark/>
          </w:tcPr>
          <w:p w:rsidR="00852716" w:rsidRDefault="00852716">
            <w:pPr>
              <w:rPr>
                <w:sz w:val="20"/>
                <w:szCs w:val="20"/>
              </w:rPr>
            </w:pPr>
          </w:p>
        </w:tc>
      </w:tr>
      <w:tr w:rsidR="00852716" w:rsidTr="00852716">
        <w:tblPrEx>
          <w:jc w:val="left"/>
        </w:tblPrEx>
        <w:trPr>
          <w:gridAfter w:val="1"/>
          <w:wAfter w:w="124" w:type="dxa"/>
          <w:trHeight w:val="255"/>
        </w:trPr>
        <w:tc>
          <w:tcPr>
            <w:tcW w:w="976" w:type="dxa"/>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1056" w:type="dxa"/>
            <w:gridSpan w:val="2"/>
            <w:tcBorders>
              <w:top w:val="nil"/>
              <w:left w:val="nil"/>
              <w:bottom w:val="nil"/>
              <w:right w:val="nil"/>
            </w:tcBorders>
            <w:shd w:val="clear" w:color="auto" w:fill="auto"/>
            <w:noWrap/>
            <w:vAlign w:val="bottom"/>
            <w:hideMark/>
          </w:tcPr>
          <w:p w:rsidR="00852716" w:rsidRDefault="00852716">
            <w:pPr>
              <w:rPr>
                <w:sz w:val="20"/>
                <w:szCs w:val="20"/>
              </w:rPr>
            </w:pPr>
          </w:p>
        </w:tc>
      </w:tr>
      <w:tr w:rsidR="00852716" w:rsidTr="00852716">
        <w:tblPrEx>
          <w:jc w:val="left"/>
        </w:tblPrEx>
        <w:trPr>
          <w:gridAfter w:val="1"/>
          <w:wAfter w:w="124" w:type="dxa"/>
          <w:trHeight w:val="255"/>
        </w:trPr>
        <w:tc>
          <w:tcPr>
            <w:tcW w:w="976" w:type="dxa"/>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1056" w:type="dxa"/>
            <w:gridSpan w:val="2"/>
            <w:tcBorders>
              <w:top w:val="nil"/>
              <w:left w:val="nil"/>
              <w:bottom w:val="nil"/>
              <w:right w:val="nil"/>
            </w:tcBorders>
            <w:shd w:val="clear" w:color="auto" w:fill="auto"/>
            <w:noWrap/>
            <w:vAlign w:val="bottom"/>
            <w:hideMark/>
          </w:tcPr>
          <w:p w:rsidR="00852716" w:rsidRDefault="00852716">
            <w:pPr>
              <w:rPr>
                <w:sz w:val="20"/>
                <w:szCs w:val="20"/>
              </w:rPr>
            </w:pPr>
          </w:p>
        </w:tc>
      </w:tr>
      <w:tr w:rsidR="00852716" w:rsidTr="00852716">
        <w:tblPrEx>
          <w:jc w:val="left"/>
        </w:tblPrEx>
        <w:trPr>
          <w:gridAfter w:val="1"/>
          <w:wAfter w:w="124" w:type="dxa"/>
          <w:trHeight w:val="255"/>
        </w:trPr>
        <w:tc>
          <w:tcPr>
            <w:tcW w:w="976" w:type="dxa"/>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1056" w:type="dxa"/>
            <w:gridSpan w:val="2"/>
            <w:tcBorders>
              <w:top w:val="nil"/>
              <w:left w:val="nil"/>
              <w:bottom w:val="nil"/>
              <w:right w:val="nil"/>
            </w:tcBorders>
            <w:shd w:val="clear" w:color="auto" w:fill="auto"/>
            <w:noWrap/>
            <w:vAlign w:val="bottom"/>
            <w:hideMark/>
          </w:tcPr>
          <w:p w:rsidR="00852716" w:rsidRDefault="00852716">
            <w:pPr>
              <w:rPr>
                <w:sz w:val="20"/>
                <w:szCs w:val="20"/>
              </w:rPr>
            </w:pPr>
          </w:p>
        </w:tc>
      </w:tr>
      <w:tr w:rsidR="00852716" w:rsidTr="00852716">
        <w:tblPrEx>
          <w:jc w:val="left"/>
        </w:tblPrEx>
        <w:trPr>
          <w:gridAfter w:val="1"/>
          <w:wAfter w:w="124" w:type="dxa"/>
          <w:trHeight w:val="255"/>
        </w:trPr>
        <w:tc>
          <w:tcPr>
            <w:tcW w:w="976" w:type="dxa"/>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1056" w:type="dxa"/>
            <w:gridSpan w:val="2"/>
            <w:tcBorders>
              <w:top w:val="nil"/>
              <w:left w:val="nil"/>
              <w:bottom w:val="nil"/>
              <w:right w:val="nil"/>
            </w:tcBorders>
            <w:shd w:val="clear" w:color="auto" w:fill="auto"/>
            <w:noWrap/>
            <w:vAlign w:val="bottom"/>
            <w:hideMark/>
          </w:tcPr>
          <w:p w:rsidR="00852716" w:rsidRDefault="00852716">
            <w:pPr>
              <w:rPr>
                <w:sz w:val="20"/>
                <w:szCs w:val="20"/>
              </w:rPr>
            </w:pPr>
          </w:p>
        </w:tc>
      </w:tr>
      <w:tr w:rsidR="00852716" w:rsidTr="00852716">
        <w:tblPrEx>
          <w:jc w:val="left"/>
        </w:tblPrEx>
        <w:trPr>
          <w:gridAfter w:val="1"/>
          <w:wAfter w:w="124" w:type="dxa"/>
          <w:trHeight w:val="255"/>
        </w:trPr>
        <w:tc>
          <w:tcPr>
            <w:tcW w:w="976" w:type="dxa"/>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976" w:type="dxa"/>
            <w:gridSpan w:val="2"/>
            <w:tcBorders>
              <w:top w:val="nil"/>
              <w:left w:val="nil"/>
              <w:bottom w:val="nil"/>
              <w:right w:val="nil"/>
            </w:tcBorders>
            <w:shd w:val="clear" w:color="auto" w:fill="auto"/>
            <w:noWrap/>
            <w:vAlign w:val="bottom"/>
            <w:hideMark/>
          </w:tcPr>
          <w:p w:rsidR="00852716" w:rsidRDefault="00852716">
            <w:pPr>
              <w:rPr>
                <w:sz w:val="20"/>
                <w:szCs w:val="20"/>
              </w:rPr>
            </w:pPr>
          </w:p>
        </w:tc>
        <w:tc>
          <w:tcPr>
            <w:tcW w:w="1056" w:type="dxa"/>
            <w:gridSpan w:val="2"/>
            <w:tcBorders>
              <w:top w:val="nil"/>
              <w:left w:val="nil"/>
              <w:bottom w:val="nil"/>
              <w:right w:val="nil"/>
            </w:tcBorders>
            <w:shd w:val="clear" w:color="auto" w:fill="auto"/>
            <w:noWrap/>
            <w:vAlign w:val="bottom"/>
            <w:hideMark/>
          </w:tcPr>
          <w:p w:rsidR="00852716" w:rsidRDefault="00852716">
            <w:pPr>
              <w:rPr>
                <w:sz w:val="20"/>
                <w:szCs w:val="20"/>
              </w:rPr>
            </w:pPr>
          </w:p>
        </w:tc>
      </w:tr>
    </w:tbl>
    <w:p w:rsidR="00852716" w:rsidRDefault="00852716" w:rsidP="00A76D6B">
      <w:pPr>
        <w:ind w:left="284" w:right="-115"/>
        <w:jc w:val="center"/>
        <w:rPr>
          <w:lang w:val="en-GB"/>
        </w:rPr>
      </w:pPr>
    </w:p>
    <w:p w:rsidR="00852716" w:rsidRDefault="00852716" w:rsidP="00A76D6B">
      <w:pPr>
        <w:ind w:left="284" w:right="-115"/>
        <w:jc w:val="center"/>
        <w:rPr>
          <w:lang w:val="en-GB"/>
        </w:rPr>
      </w:pPr>
    </w:p>
    <w:p w:rsidR="00852716" w:rsidRDefault="00852716" w:rsidP="00A76D6B">
      <w:pPr>
        <w:ind w:left="284" w:right="-115"/>
        <w:jc w:val="center"/>
        <w:rPr>
          <w:lang w:val="en-GB"/>
        </w:rPr>
      </w:pPr>
    </w:p>
    <w:p w:rsidR="00852716" w:rsidRDefault="00852716" w:rsidP="00A76D6B">
      <w:pPr>
        <w:ind w:left="284" w:right="-115"/>
        <w:jc w:val="center"/>
        <w:rPr>
          <w:lang w:val="en-GB"/>
        </w:rPr>
      </w:pPr>
      <w:r>
        <w:rPr>
          <w:noProof/>
        </w:rPr>
        <w:lastRenderedPageBreak/>
        <w:drawing>
          <wp:inline distT="0" distB="0" distL="0" distR="0" wp14:anchorId="4BF5FD6B" wp14:editId="6CE87539">
            <wp:extent cx="6038850" cy="4886325"/>
            <wp:effectExtent l="0" t="0" r="0" b="0"/>
            <wp:docPr id="23" name="Wykres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52716" w:rsidRDefault="00852716" w:rsidP="00E14C67">
      <w:pPr>
        <w:spacing w:line="360" w:lineRule="auto"/>
        <w:ind w:left="284" w:right="-115"/>
        <w:jc w:val="center"/>
        <w:rPr>
          <w:lang w:val="en-GB"/>
        </w:rPr>
      </w:pPr>
    </w:p>
    <w:p w:rsidR="00852716" w:rsidRDefault="00852716" w:rsidP="00A76D6B">
      <w:pPr>
        <w:ind w:left="284" w:right="-115"/>
        <w:jc w:val="center"/>
        <w:rPr>
          <w:lang w:val="en-GB"/>
        </w:rPr>
      </w:pPr>
      <w:r>
        <w:rPr>
          <w:noProof/>
        </w:rPr>
        <w:drawing>
          <wp:inline distT="0" distB="0" distL="0" distR="0" wp14:anchorId="61B5BE32" wp14:editId="751460B4">
            <wp:extent cx="6043295" cy="3981450"/>
            <wp:effectExtent l="0" t="0" r="0" b="0"/>
            <wp:docPr id="26" name="Wykres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A618DA" w:rsidRDefault="00776448" w:rsidP="00A76D6B">
      <w:pPr>
        <w:ind w:left="284" w:right="-115"/>
        <w:jc w:val="center"/>
        <w:rPr>
          <w:lang w:val="en-GB"/>
        </w:rPr>
      </w:pPr>
      <w:r>
        <w:rPr>
          <w:noProof/>
        </w:rPr>
        <w:lastRenderedPageBreak/>
        <w:drawing>
          <wp:inline distT="0" distB="0" distL="0" distR="0" wp14:anchorId="3C1B4D16" wp14:editId="7BEFA190">
            <wp:extent cx="5505450" cy="4314825"/>
            <wp:effectExtent l="0" t="0" r="0" b="0"/>
            <wp:docPr id="27" name="Wykres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A618DA" w:rsidRDefault="00776448" w:rsidP="00A76D6B">
      <w:pPr>
        <w:ind w:left="284" w:right="-115"/>
        <w:jc w:val="center"/>
        <w:rPr>
          <w:lang w:val="en-GB"/>
        </w:rPr>
      </w:pPr>
      <w:r>
        <w:rPr>
          <w:noProof/>
        </w:rPr>
        <w:drawing>
          <wp:inline distT="0" distB="0" distL="0" distR="0" wp14:anchorId="2208F86E" wp14:editId="71C1999F">
            <wp:extent cx="5657850" cy="4832350"/>
            <wp:effectExtent l="0" t="0" r="0" b="6350"/>
            <wp:docPr id="28" name="Wykres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776448" w:rsidRDefault="00776448" w:rsidP="00A76D6B">
      <w:pPr>
        <w:ind w:left="284" w:right="-115"/>
        <w:jc w:val="center"/>
        <w:rPr>
          <w:lang w:val="en-GB"/>
        </w:rPr>
      </w:pPr>
      <w:r>
        <w:rPr>
          <w:noProof/>
        </w:rPr>
        <w:lastRenderedPageBreak/>
        <w:drawing>
          <wp:inline distT="0" distB="0" distL="0" distR="0" wp14:anchorId="372DD1AF" wp14:editId="789D0C25">
            <wp:extent cx="5848350" cy="4352925"/>
            <wp:effectExtent l="0" t="0" r="0" b="0"/>
            <wp:docPr id="29" name="Wykres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776448" w:rsidRDefault="00776448" w:rsidP="00A76D6B">
      <w:pPr>
        <w:ind w:left="284" w:right="-115"/>
        <w:jc w:val="center"/>
        <w:rPr>
          <w:lang w:val="en-GB"/>
        </w:rPr>
      </w:pPr>
      <w:r>
        <w:rPr>
          <w:noProof/>
        </w:rPr>
        <w:drawing>
          <wp:inline distT="0" distB="0" distL="0" distR="0" wp14:anchorId="3F95F6B2" wp14:editId="5F8F3BE5">
            <wp:extent cx="5819775" cy="4857750"/>
            <wp:effectExtent l="0" t="0" r="0" b="0"/>
            <wp:docPr id="30" name="Wykres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776448" w:rsidRDefault="00776448" w:rsidP="00A76D6B">
      <w:pPr>
        <w:ind w:left="284" w:right="-115"/>
        <w:jc w:val="center"/>
        <w:rPr>
          <w:lang w:val="en-GB"/>
        </w:rPr>
      </w:pPr>
      <w:r>
        <w:rPr>
          <w:noProof/>
        </w:rPr>
        <w:lastRenderedPageBreak/>
        <w:drawing>
          <wp:inline distT="0" distB="0" distL="0" distR="0" wp14:anchorId="12AAB205" wp14:editId="6BEC5BDA">
            <wp:extent cx="5648325" cy="4229100"/>
            <wp:effectExtent l="0" t="0" r="0" b="0"/>
            <wp:docPr id="31" name="Wykres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776448" w:rsidRDefault="00776448" w:rsidP="00A76D6B">
      <w:pPr>
        <w:ind w:left="284" w:right="-115"/>
        <w:jc w:val="center"/>
        <w:rPr>
          <w:lang w:val="en-GB"/>
        </w:rPr>
      </w:pPr>
    </w:p>
    <w:p w:rsidR="00776448" w:rsidRDefault="00776448" w:rsidP="00A76D6B">
      <w:pPr>
        <w:ind w:left="284" w:right="-115"/>
        <w:jc w:val="center"/>
        <w:rPr>
          <w:lang w:val="en-GB"/>
        </w:rPr>
      </w:pPr>
      <w:r>
        <w:rPr>
          <w:noProof/>
        </w:rPr>
        <w:drawing>
          <wp:inline distT="0" distB="0" distL="0" distR="0" wp14:anchorId="6D3917D5" wp14:editId="1B13CF7A">
            <wp:extent cx="5734050" cy="4810125"/>
            <wp:effectExtent l="0" t="0" r="0" b="0"/>
            <wp:docPr id="32" name="Wykres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776448" w:rsidRDefault="00776448" w:rsidP="00A76D6B">
      <w:pPr>
        <w:ind w:left="284" w:right="-115"/>
        <w:jc w:val="center"/>
        <w:rPr>
          <w:lang w:val="en-GB"/>
        </w:rPr>
      </w:pPr>
      <w:r>
        <w:rPr>
          <w:noProof/>
        </w:rPr>
        <w:lastRenderedPageBreak/>
        <w:drawing>
          <wp:inline distT="0" distB="0" distL="0" distR="0" wp14:anchorId="4092E9DD" wp14:editId="4B970174">
            <wp:extent cx="5848350" cy="4229100"/>
            <wp:effectExtent l="0" t="0" r="0" b="0"/>
            <wp:docPr id="33" name="Wykres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776448" w:rsidRDefault="00776448" w:rsidP="00A76D6B">
      <w:pPr>
        <w:ind w:left="284" w:right="-115"/>
        <w:jc w:val="center"/>
        <w:rPr>
          <w:lang w:val="en-GB"/>
        </w:rPr>
      </w:pPr>
      <w:r>
        <w:rPr>
          <w:noProof/>
        </w:rPr>
        <w:drawing>
          <wp:inline distT="0" distB="0" distL="0" distR="0" wp14:anchorId="36BA4868" wp14:editId="04F58ECA">
            <wp:extent cx="5810250" cy="4733925"/>
            <wp:effectExtent l="0" t="0" r="0" b="0"/>
            <wp:docPr id="34" name="Wykres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776448" w:rsidRDefault="00776448" w:rsidP="00A76D6B">
      <w:pPr>
        <w:ind w:left="284" w:right="-115"/>
        <w:jc w:val="center"/>
        <w:rPr>
          <w:lang w:val="en-GB"/>
        </w:rPr>
      </w:pPr>
    </w:p>
    <w:p w:rsidR="00776448" w:rsidRDefault="00776448" w:rsidP="00A76D6B">
      <w:pPr>
        <w:ind w:left="284" w:right="-115"/>
        <w:jc w:val="center"/>
        <w:rPr>
          <w:lang w:val="en-GB"/>
        </w:rPr>
      </w:pPr>
      <w:r>
        <w:rPr>
          <w:noProof/>
        </w:rPr>
        <w:lastRenderedPageBreak/>
        <w:drawing>
          <wp:inline distT="0" distB="0" distL="0" distR="0" wp14:anchorId="22CD7027" wp14:editId="6409BA89">
            <wp:extent cx="5762625" cy="4505325"/>
            <wp:effectExtent l="0" t="0" r="0" b="0"/>
            <wp:docPr id="35" name="Wykres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776448" w:rsidRDefault="00776448" w:rsidP="00A76D6B">
      <w:pPr>
        <w:ind w:left="284" w:right="-115"/>
        <w:jc w:val="center"/>
        <w:rPr>
          <w:lang w:val="en-GB"/>
        </w:rPr>
      </w:pPr>
      <w:r>
        <w:rPr>
          <w:noProof/>
        </w:rPr>
        <w:drawing>
          <wp:inline distT="0" distB="0" distL="0" distR="0" wp14:anchorId="39F4D6BC" wp14:editId="4BF71574">
            <wp:extent cx="5695950" cy="4572000"/>
            <wp:effectExtent l="0" t="0" r="0" b="0"/>
            <wp:docPr id="36" name="Wykres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776448" w:rsidRDefault="00776448" w:rsidP="00A76D6B">
      <w:pPr>
        <w:ind w:left="284" w:right="-115"/>
        <w:jc w:val="center"/>
        <w:rPr>
          <w:lang w:val="en-GB"/>
        </w:rPr>
      </w:pPr>
      <w:r>
        <w:rPr>
          <w:noProof/>
        </w:rPr>
        <w:lastRenderedPageBreak/>
        <w:drawing>
          <wp:inline distT="0" distB="0" distL="0" distR="0" wp14:anchorId="23EC5853" wp14:editId="13163D06">
            <wp:extent cx="5514975" cy="4229100"/>
            <wp:effectExtent l="0" t="0" r="0" b="0"/>
            <wp:docPr id="37" name="Wykres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776448" w:rsidRDefault="00776448" w:rsidP="00A76D6B">
      <w:pPr>
        <w:ind w:left="284" w:right="-115"/>
        <w:jc w:val="center"/>
        <w:rPr>
          <w:lang w:val="en-GB"/>
        </w:rPr>
      </w:pPr>
      <w:r>
        <w:rPr>
          <w:noProof/>
        </w:rPr>
        <w:drawing>
          <wp:inline distT="0" distB="0" distL="0" distR="0" wp14:anchorId="0B85FF82" wp14:editId="178A6C21">
            <wp:extent cx="5543550" cy="4619625"/>
            <wp:effectExtent l="0" t="0" r="0" b="0"/>
            <wp:docPr id="38" name="Wykres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sectPr w:rsidR="00776448" w:rsidSect="00A76D6B">
      <w:headerReference w:type="even" r:id="rId45"/>
      <w:headerReference w:type="default" r:id="rId46"/>
      <w:footerReference w:type="even" r:id="rId47"/>
      <w:headerReference w:type="first" r:id="rId48"/>
      <w:footerReference w:type="first" r:id="rId49"/>
      <w:type w:val="continuous"/>
      <w:pgSz w:w="11906" w:h="16838" w:code="9"/>
      <w:pgMar w:top="1134" w:right="964" w:bottom="992" w:left="1134" w:header="794" w:footer="794" w:gutter="0"/>
      <w:pgNumType w:start="12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1019" w:rsidRDefault="00611019" w:rsidP="00F16151">
      <w:r>
        <w:separator/>
      </w:r>
    </w:p>
  </w:endnote>
  <w:endnote w:type="continuationSeparator" w:id="0">
    <w:p w:rsidR="00611019" w:rsidRDefault="00611019" w:rsidP="00F16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7" w:usb1="00000000" w:usb2="00000000" w:usb3="00000000" w:csb0="00000003" w:csb1="00000000"/>
  </w:font>
  <w:font w:name="Arial-ItalicMT">
    <w:altName w:val="Arial"/>
    <w:panose1 w:val="00000000000000000000"/>
    <w:charset w:val="00"/>
    <w:family w:val="swiss"/>
    <w:notTrueType/>
    <w:pitch w:val="default"/>
    <w:sig w:usb0="00000003" w:usb1="00000000" w:usb2="00000000" w:usb3="00000000" w:csb0="00000001" w:csb1="00000000"/>
  </w:font>
  <w:font w:name="Arial CE">
    <w:panose1 w:val="020B0604020202020204"/>
    <w:charset w:val="00"/>
    <w:family w:val="roman"/>
    <w:notTrueType/>
    <w:pitch w:val="default"/>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529" w:rsidRDefault="00103529">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529" w:rsidRDefault="00103529">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529" w:rsidRDefault="00103529">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529" w:rsidRDefault="00103529">
    <w:pPr>
      <w:pStyle w:val="Stopk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529" w:rsidRDefault="00103529">
    <w:pPr>
      <w:pStyle w:val="Stopk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529" w:rsidRDefault="0010352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1019" w:rsidRDefault="00611019" w:rsidP="00F16151">
      <w:r>
        <w:separator/>
      </w:r>
    </w:p>
  </w:footnote>
  <w:footnote w:type="continuationSeparator" w:id="0">
    <w:p w:rsidR="00611019" w:rsidRDefault="00611019" w:rsidP="00F161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529" w:rsidRPr="00CA742C" w:rsidRDefault="00103529" w:rsidP="00531973">
    <w:pPr>
      <w:pStyle w:val="Nagwek"/>
      <w:jc w:val="right"/>
      <w:rPr>
        <w:lang w:val="pl-PL"/>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529" w:rsidRDefault="00103529" w:rsidP="00076DCC">
    <w:pPr>
      <w:pStyle w:val="Nagwek"/>
      <w:jc w:val="right"/>
    </w:pPr>
    <w:r>
      <w:fldChar w:fldCharType="begin"/>
    </w:r>
    <w:r>
      <w:instrText>PAGE   \* MERGEFORMAT</w:instrText>
    </w:r>
    <w:r>
      <w:fldChar w:fldCharType="separate"/>
    </w:r>
    <w:r w:rsidR="001F7FE1" w:rsidRPr="001F7FE1">
      <w:rPr>
        <w:noProof/>
        <w:lang w:val="pl-PL"/>
      </w:rPr>
      <w:t>131</w:t>
    </w:r>
    <w:r>
      <w:fldChar w:fldCharType="end"/>
    </w:r>
  </w:p>
  <w:p w:rsidR="00103529" w:rsidRPr="00C53DFB" w:rsidRDefault="00103529" w:rsidP="00076DCC">
    <w:pPr>
      <w:pStyle w:val="Nagwek"/>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529" w:rsidRDefault="00103529">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529" w:rsidRDefault="00103529">
    <w:pPr>
      <w:pStyle w:val="Nagwek"/>
    </w:pPr>
    <w:r>
      <w:fldChar w:fldCharType="begin"/>
    </w:r>
    <w:r>
      <w:instrText>PAGE   \* MERGEFORMAT</w:instrText>
    </w:r>
    <w:r>
      <w:fldChar w:fldCharType="separate"/>
    </w:r>
    <w:r w:rsidR="001F7FE1" w:rsidRPr="001F7FE1">
      <w:rPr>
        <w:noProof/>
        <w:lang w:val="pl-PL"/>
      </w:rPr>
      <w:t>10</w:t>
    </w:r>
    <w:r>
      <w:fldChar w:fldCharType="end"/>
    </w:r>
  </w:p>
  <w:p w:rsidR="00103529" w:rsidRDefault="00103529">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529" w:rsidRDefault="00103529">
    <w:pPr>
      <w:pStyle w:val="Nagwek"/>
      <w:jc w:val="right"/>
    </w:pPr>
    <w:r>
      <w:fldChar w:fldCharType="begin"/>
    </w:r>
    <w:r>
      <w:instrText>PAGE   \* MERGEFORMAT</w:instrText>
    </w:r>
    <w:r>
      <w:fldChar w:fldCharType="separate"/>
    </w:r>
    <w:r w:rsidR="001F7FE1" w:rsidRPr="001F7FE1">
      <w:rPr>
        <w:noProof/>
        <w:lang w:val="pl-PL"/>
      </w:rPr>
      <w:t>11</w:t>
    </w:r>
    <w:r>
      <w:fldChar w:fldCharType="end"/>
    </w:r>
  </w:p>
  <w:p w:rsidR="00103529" w:rsidRPr="00CA742C" w:rsidRDefault="00103529" w:rsidP="00531973">
    <w:pPr>
      <w:pStyle w:val="Nagwek"/>
      <w:jc w:val="right"/>
      <w:rPr>
        <w:lang w:val="pl-P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529" w:rsidRDefault="00103529" w:rsidP="00981F5B">
    <w:pPr>
      <w:pStyle w:val="Nagwek"/>
    </w:pPr>
    <w:r>
      <w:fldChar w:fldCharType="begin"/>
    </w:r>
    <w:r>
      <w:instrText>PAGE   \* MERGEFORMAT</w:instrText>
    </w:r>
    <w:r>
      <w:fldChar w:fldCharType="separate"/>
    </w:r>
    <w:r w:rsidR="001F7FE1" w:rsidRPr="001F7FE1">
      <w:rPr>
        <w:noProof/>
        <w:lang w:val="pl-PL"/>
      </w:rPr>
      <w:t>16</w:t>
    </w:r>
    <w:r>
      <w:fldChar w:fldCharType="end"/>
    </w:r>
  </w:p>
  <w:p w:rsidR="00103529" w:rsidRDefault="00103529">
    <w:pPr>
      <w:pStyle w:val="Nagwek"/>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529" w:rsidRDefault="00103529">
    <w:pPr>
      <w:pStyle w:val="Nagwek"/>
      <w:jc w:val="right"/>
    </w:pPr>
    <w:r>
      <w:fldChar w:fldCharType="begin"/>
    </w:r>
    <w:r>
      <w:instrText>PAGE   \* MERGEFORMAT</w:instrText>
    </w:r>
    <w:r>
      <w:fldChar w:fldCharType="separate"/>
    </w:r>
    <w:r w:rsidR="001F7FE1" w:rsidRPr="001F7FE1">
      <w:rPr>
        <w:noProof/>
        <w:lang w:val="pl-PL"/>
      </w:rPr>
      <w:t>15</w:t>
    </w:r>
    <w:r>
      <w:fldChar w:fldCharType="end"/>
    </w:r>
  </w:p>
  <w:p w:rsidR="00103529" w:rsidRPr="00CA742C" w:rsidRDefault="00103529" w:rsidP="00531973">
    <w:pPr>
      <w:pStyle w:val="Nagwek"/>
      <w:jc w:val="right"/>
      <w:rPr>
        <w:lang w:val="pl-P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529" w:rsidRDefault="00103529" w:rsidP="00076DCC">
    <w:pPr>
      <w:pStyle w:val="Nagwek"/>
    </w:pPr>
    <w:r>
      <w:fldChar w:fldCharType="begin"/>
    </w:r>
    <w:r>
      <w:instrText>PAGE   \* MERGEFORMAT</w:instrText>
    </w:r>
    <w:r>
      <w:fldChar w:fldCharType="separate"/>
    </w:r>
    <w:r w:rsidRPr="00B002A6">
      <w:rPr>
        <w:noProof/>
        <w:lang w:val="pl-PL"/>
      </w:rPr>
      <w:t>18</w:t>
    </w:r>
    <w:r>
      <w:fldChar w:fldCharType="end"/>
    </w:r>
  </w:p>
  <w:p w:rsidR="00103529" w:rsidRPr="00C4136E" w:rsidRDefault="00103529" w:rsidP="00076DCC">
    <w:pPr>
      <w:pStyle w:val="Nagwek"/>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529" w:rsidRPr="00210E01" w:rsidRDefault="00103529" w:rsidP="00210E01">
    <w:pPr>
      <w:tabs>
        <w:tab w:val="center" w:pos="4536"/>
        <w:tab w:val="right" w:pos="9072"/>
      </w:tabs>
      <w:jc w:val="right"/>
      <w:rPr>
        <w:sz w:val="20"/>
        <w:szCs w:val="20"/>
        <w:lang w:val="en-US" w:eastAsia="x-none"/>
      </w:rPr>
    </w:pPr>
    <w:r w:rsidRPr="00210E01">
      <w:rPr>
        <w:sz w:val="20"/>
        <w:szCs w:val="20"/>
        <w:lang w:val="en-US" w:eastAsia="x-none"/>
      </w:rPr>
      <w:fldChar w:fldCharType="begin"/>
    </w:r>
    <w:r w:rsidRPr="00210E01">
      <w:rPr>
        <w:sz w:val="20"/>
        <w:szCs w:val="20"/>
        <w:lang w:val="en-US" w:eastAsia="x-none"/>
      </w:rPr>
      <w:instrText>PAGE   \* MERGEFORMAT</w:instrText>
    </w:r>
    <w:r w:rsidRPr="00210E01">
      <w:rPr>
        <w:sz w:val="20"/>
        <w:szCs w:val="20"/>
        <w:lang w:val="en-US" w:eastAsia="x-none"/>
      </w:rPr>
      <w:fldChar w:fldCharType="separate"/>
    </w:r>
    <w:r w:rsidRPr="00B002A6">
      <w:rPr>
        <w:noProof/>
        <w:sz w:val="20"/>
        <w:szCs w:val="20"/>
        <w:lang w:eastAsia="x-none"/>
      </w:rPr>
      <w:t>19</w:t>
    </w:r>
    <w:r w:rsidRPr="00210E01">
      <w:rPr>
        <w:sz w:val="20"/>
        <w:szCs w:val="20"/>
        <w:lang w:val="en-US" w:eastAsia="x-none"/>
      </w:rPr>
      <w:fldChar w:fldCharType="end"/>
    </w:r>
  </w:p>
  <w:p w:rsidR="00103529" w:rsidRPr="00210E01" w:rsidRDefault="00103529" w:rsidP="00210E01">
    <w:pPr>
      <w:pStyle w:val="Nagwek"/>
      <w:jc w:val="right"/>
    </w:pPr>
  </w:p>
  <w:p w:rsidR="00103529" w:rsidRPr="00C53DFB" w:rsidRDefault="00103529" w:rsidP="00076DCC">
    <w:pPr>
      <w:pStyle w:val="Nagwek"/>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529" w:rsidRDefault="00103529">
    <w:pPr>
      <w:pStyle w:val="Nagwek"/>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529" w:rsidRDefault="00103529" w:rsidP="00076DCC">
    <w:pPr>
      <w:pStyle w:val="Nagwek"/>
    </w:pPr>
    <w:r>
      <w:fldChar w:fldCharType="begin"/>
    </w:r>
    <w:r>
      <w:instrText>PAGE   \* MERGEFORMAT</w:instrText>
    </w:r>
    <w:r>
      <w:fldChar w:fldCharType="separate"/>
    </w:r>
    <w:r w:rsidR="001F7FE1" w:rsidRPr="001F7FE1">
      <w:rPr>
        <w:noProof/>
        <w:lang w:val="pl-PL"/>
      </w:rPr>
      <w:t>132</w:t>
    </w:r>
    <w:r>
      <w:fldChar w:fldCharType="end"/>
    </w:r>
  </w:p>
  <w:p w:rsidR="00103529" w:rsidRPr="00C4136E" w:rsidRDefault="00103529" w:rsidP="00076DC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A3F85"/>
    <w:multiLevelType w:val="multilevel"/>
    <w:tmpl w:val="FA5E71F2"/>
    <w:lvl w:ilvl="0">
      <w:start w:val="1"/>
      <w:numFmt w:val="ordin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1DA44AE"/>
    <w:multiLevelType w:val="multilevel"/>
    <w:tmpl w:val="0F7ED9D8"/>
    <w:lvl w:ilvl="0">
      <w:start w:val="1"/>
      <w:numFmt w:val="none"/>
      <w:lvlText w:val="4.%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23E296B"/>
    <w:multiLevelType w:val="multilevel"/>
    <w:tmpl w:val="135E5ACE"/>
    <w:lvl w:ilvl="0">
      <w:start w:val="1"/>
      <w:numFmt w:val="none"/>
      <w:lvlText w:val="%15."/>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36A2FB8"/>
    <w:multiLevelType w:val="singleLevel"/>
    <w:tmpl w:val="04150011"/>
    <w:lvl w:ilvl="0">
      <w:start w:val="1"/>
      <w:numFmt w:val="decimal"/>
      <w:lvlText w:val="%1)"/>
      <w:lvlJc w:val="left"/>
      <w:pPr>
        <w:tabs>
          <w:tab w:val="num" w:pos="360"/>
        </w:tabs>
        <w:ind w:left="360" w:hanging="360"/>
      </w:pPr>
    </w:lvl>
  </w:abstractNum>
  <w:abstractNum w:abstractNumId="4" w15:restartNumberingAfterBreak="0">
    <w:nsid w:val="05EE3524"/>
    <w:multiLevelType w:val="multilevel"/>
    <w:tmpl w:val="6906A54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8FC5F42"/>
    <w:multiLevelType w:val="hybridMultilevel"/>
    <w:tmpl w:val="4F68BEE2"/>
    <w:lvl w:ilvl="0" w:tplc="59D83F0C">
      <w:start w:val="1"/>
      <w:numFmt w:val="none"/>
      <w:lvlText w:val="3."/>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0A23AC6"/>
    <w:multiLevelType w:val="hybridMultilevel"/>
    <w:tmpl w:val="E1121452"/>
    <w:lvl w:ilvl="0" w:tplc="26828C8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5BB5704"/>
    <w:multiLevelType w:val="multilevel"/>
    <w:tmpl w:val="E112145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D1A2F6E"/>
    <w:multiLevelType w:val="hybridMultilevel"/>
    <w:tmpl w:val="9A1224F8"/>
    <w:lvl w:ilvl="0" w:tplc="0415000F">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FEB2ECE"/>
    <w:multiLevelType w:val="multilevel"/>
    <w:tmpl w:val="AF2EE920"/>
    <w:lvl w:ilvl="0">
      <w:start w:val="1"/>
      <w:numFmt w:val="none"/>
      <w:lvlText w:val="%15."/>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23F0FCD"/>
    <w:multiLevelType w:val="hybridMultilevel"/>
    <w:tmpl w:val="AA506EF6"/>
    <w:lvl w:ilvl="0" w:tplc="CECC209C">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D978DC"/>
    <w:multiLevelType w:val="multilevel"/>
    <w:tmpl w:val="0D221544"/>
    <w:lvl w:ilvl="0">
      <w:start w:val="1"/>
      <w:numFmt w:val="none"/>
      <w:lvlText w:val="%14."/>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6222828"/>
    <w:multiLevelType w:val="multilevel"/>
    <w:tmpl w:val="E112145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7233626"/>
    <w:multiLevelType w:val="singleLevel"/>
    <w:tmpl w:val="0AAA6618"/>
    <w:lvl w:ilvl="0">
      <w:start w:val="1"/>
      <w:numFmt w:val="decimal"/>
      <w:lvlText w:val="%1)"/>
      <w:lvlJc w:val="left"/>
      <w:pPr>
        <w:tabs>
          <w:tab w:val="num" w:pos="814"/>
        </w:tabs>
        <w:ind w:left="814" w:hanging="360"/>
      </w:pPr>
      <w:rPr>
        <w:rFonts w:hint="default"/>
      </w:rPr>
    </w:lvl>
  </w:abstractNum>
  <w:abstractNum w:abstractNumId="14" w15:restartNumberingAfterBreak="0">
    <w:nsid w:val="2C4345BE"/>
    <w:multiLevelType w:val="singleLevel"/>
    <w:tmpl w:val="04150011"/>
    <w:lvl w:ilvl="0">
      <w:start w:val="1"/>
      <w:numFmt w:val="decimal"/>
      <w:lvlText w:val="%1)"/>
      <w:lvlJc w:val="left"/>
      <w:pPr>
        <w:tabs>
          <w:tab w:val="num" w:pos="360"/>
        </w:tabs>
        <w:ind w:left="360" w:hanging="360"/>
      </w:pPr>
    </w:lvl>
  </w:abstractNum>
  <w:abstractNum w:abstractNumId="15" w15:restartNumberingAfterBreak="0">
    <w:nsid w:val="2F004F09"/>
    <w:multiLevelType w:val="hybridMultilevel"/>
    <w:tmpl w:val="62CA78B6"/>
    <w:lvl w:ilvl="0" w:tplc="4232C934">
      <w:start w:val="4"/>
      <w:numFmt w:val="decimal"/>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F0E7B40"/>
    <w:multiLevelType w:val="multilevel"/>
    <w:tmpl w:val="3740DC88"/>
    <w:lvl w:ilvl="0">
      <w:start w:val="1"/>
      <w:numFmt w:val="none"/>
      <w:lvlText w:val="%16."/>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3A2152FC"/>
    <w:multiLevelType w:val="hybridMultilevel"/>
    <w:tmpl w:val="AD9CBC00"/>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3E0B5A14"/>
    <w:multiLevelType w:val="singleLevel"/>
    <w:tmpl w:val="F70C3580"/>
    <w:lvl w:ilvl="0">
      <w:start w:val="1"/>
      <w:numFmt w:val="decimal"/>
      <w:lvlText w:val="%1)"/>
      <w:lvlJc w:val="left"/>
      <w:pPr>
        <w:tabs>
          <w:tab w:val="num" w:pos="360"/>
        </w:tabs>
        <w:ind w:left="360" w:hanging="360"/>
      </w:pPr>
      <w:rPr>
        <w:rFonts w:hint="default"/>
      </w:rPr>
    </w:lvl>
  </w:abstractNum>
  <w:abstractNum w:abstractNumId="19" w15:restartNumberingAfterBreak="0">
    <w:nsid w:val="3F3D4F3E"/>
    <w:multiLevelType w:val="multilevel"/>
    <w:tmpl w:val="BCEC49A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0AC4C2A"/>
    <w:multiLevelType w:val="multilevel"/>
    <w:tmpl w:val="0C9043C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61F4A20"/>
    <w:multiLevelType w:val="hybridMultilevel"/>
    <w:tmpl w:val="B95C93B2"/>
    <w:lvl w:ilvl="0" w:tplc="0415000F">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71C2FF5"/>
    <w:multiLevelType w:val="multilevel"/>
    <w:tmpl w:val="4D08C3AA"/>
    <w:lvl w:ilvl="0">
      <w:start w:val="1"/>
      <w:numFmt w:val="none"/>
      <w:lvlText w:val="4.%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73339C6"/>
    <w:multiLevelType w:val="singleLevel"/>
    <w:tmpl w:val="3D66DDE2"/>
    <w:lvl w:ilvl="0">
      <w:start w:val="1"/>
      <w:numFmt w:val="decimal"/>
      <w:lvlText w:val="%1)"/>
      <w:lvlJc w:val="left"/>
      <w:pPr>
        <w:tabs>
          <w:tab w:val="num" w:pos="644"/>
        </w:tabs>
        <w:ind w:left="644" w:hanging="360"/>
      </w:pPr>
      <w:rPr>
        <w:rFonts w:hint="default"/>
      </w:rPr>
    </w:lvl>
  </w:abstractNum>
  <w:abstractNum w:abstractNumId="24" w15:restartNumberingAfterBreak="0">
    <w:nsid w:val="4839748E"/>
    <w:multiLevelType w:val="multilevel"/>
    <w:tmpl w:val="ABBAAB4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84260CE"/>
    <w:multiLevelType w:val="hybridMultilevel"/>
    <w:tmpl w:val="3B942A28"/>
    <w:lvl w:ilvl="0" w:tplc="204089AE">
      <w:start w:val="1"/>
      <w:numFmt w:val="none"/>
      <w:lvlText w:val="%17."/>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E235BD7"/>
    <w:multiLevelType w:val="hybridMultilevel"/>
    <w:tmpl w:val="07800BB0"/>
    <w:lvl w:ilvl="0" w:tplc="0F86DA2A">
      <w:start w:val="1"/>
      <w:numFmt w:val="none"/>
      <w:lvlText w:val="%14."/>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EE454DC"/>
    <w:multiLevelType w:val="hybridMultilevel"/>
    <w:tmpl w:val="7DCEBEF6"/>
    <w:lvl w:ilvl="0" w:tplc="9F062DA6">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F9248A9"/>
    <w:multiLevelType w:val="multilevel"/>
    <w:tmpl w:val="07800BB0"/>
    <w:lvl w:ilvl="0">
      <w:start w:val="1"/>
      <w:numFmt w:val="none"/>
      <w:lvlText w:val="%14."/>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51F44530"/>
    <w:multiLevelType w:val="hybridMultilevel"/>
    <w:tmpl w:val="30D009D6"/>
    <w:lvl w:ilvl="0" w:tplc="31EA4EE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57BA5417"/>
    <w:multiLevelType w:val="hybridMultilevel"/>
    <w:tmpl w:val="97507568"/>
    <w:lvl w:ilvl="0" w:tplc="0F86DA2A">
      <w:start w:val="1"/>
      <w:numFmt w:val="none"/>
      <w:lvlText w:val="%14."/>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5A9C60BC"/>
    <w:multiLevelType w:val="singleLevel"/>
    <w:tmpl w:val="2B663F10"/>
    <w:lvl w:ilvl="0">
      <w:start w:val="1"/>
      <w:numFmt w:val="none"/>
      <w:lvlText w:val="1."/>
      <w:lvlJc w:val="left"/>
      <w:pPr>
        <w:tabs>
          <w:tab w:val="num" w:pos="360"/>
        </w:tabs>
        <w:ind w:left="360" w:hanging="360"/>
      </w:pPr>
      <w:rPr>
        <w:rFonts w:hint="default"/>
      </w:rPr>
    </w:lvl>
  </w:abstractNum>
  <w:abstractNum w:abstractNumId="32" w15:restartNumberingAfterBreak="0">
    <w:nsid w:val="5AF82055"/>
    <w:multiLevelType w:val="hybridMultilevel"/>
    <w:tmpl w:val="0D50FA04"/>
    <w:lvl w:ilvl="0" w:tplc="CECC209C">
      <w:start w:val="6"/>
      <w:numFmt w:val="decimal"/>
      <w:lvlText w:val="%1."/>
      <w:lvlJc w:val="left"/>
      <w:pPr>
        <w:tabs>
          <w:tab w:val="num" w:pos="720"/>
        </w:tabs>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5E4F370D"/>
    <w:multiLevelType w:val="multilevel"/>
    <w:tmpl w:val="B860E35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9DC7CF2"/>
    <w:multiLevelType w:val="hybridMultilevel"/>
    <w:tmpl w:val="6C64C130"/>
    <w:lvl w:ilvl="0" w:tplc="89AAC8BE">
      <w:start w:val="1"/>
      <w:numFmt w:val="ordin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6CC500E4"/>
    <w:multiLevelType w:val="multilevel"/>
    <w:tmpl w:val="97507568"/>
    <w:lvl w:ilvl="0">
      <w:start w:val="1"/>
      <w:numFmt w:val="none"/>
      <w:lvlText w:val="%14."/>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6EF74B7D"/>
    <w:multiLevelType w:val="multilevel"/>
    <w:tmpl w:val="071E8CB0"/>
    <w:lvl w:ilvl="0">
      <w:start w:val="1"/>
      <w:numFmt w:val="none"/>
      <w:lvlText w:val="7."/>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71230B59"/>
    <w:multiLevelType w:val="multilevel"/>
    <w:tmpl w:val="29BEA0EE"/>
    <w:lvl w:ilvl="0">
      <w:start w:val="1"/>
      <w:numFmt w:val="ordin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63B7CDC"/>
    <w:multiLevelType w:val="multilevel"/>
    <w:tmpl w:val="724E7E42"/>
    <w:lvl w:ilvl="0">
      <w:start w:val="1"/>
      <w:numFmt w:val="decimal"/>
      <w:lvlText w:val="%1."/>
      <w:lvlJc w:val="left"/>
      <w:pPr>
        <w:tabs>
          <w:tab w:val="num" w:pos="454"/>
        </w:tabs>
        <w:ind w:left="360" w:hanging="360"/>
      </w:pPr>
      <w:rPr>
        <w:rFonts w:hint="default"/>
      </w:rPr>
    </w:lvl>
    <w:lvl w:ilvl="1">
      <w:start w:val="1"/>
      <w:numFmt w:val="decimal"/>
      <w:lvlText w:val="%1.%2."/>
      <w:lvlJc w:val="left"/>
      <w:pPr>
        <w:tabs>
          <w:tab w:val="num" w:pos="454"/>
        </w:tabs>
        <w:ind w:left="792" w:hanging="432"/>
      </w:pPr>
      <w:rPr>
        <w:rFonts w:ascii="Times New Roman" w:hAnsi="Times New Roman" w:hint="default"/>
        <w:b w:val="0"/>
        <w:i w:val="0"/>
      </w:rPr>
    </w:lvl>
    <w:lvl w:ilvl="2">
      <w:start w:val="1"/>
      <w:numFmt w:val="decimal"/>
      <w:pStyle w:val="Styl1"/>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7E513D3D"/>
    <w:multiLevelType w:val="multilevel"/>
    <w:tmpl w:val="6C64C130"/>
    <w:lvl w:ilvl="0">
      <w:start w:val="1"/>
      <w:numFmt w:val="ordin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7F3A3853"/>
    <w:multiLevelType w:val="multilevel"/>
    <w:tmpl w:val="94C4C2E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3"/>
  </w:num>
  <w:num w:numId="2">
    <w:abstractNumId w:val="14"/>
  </w:num>
  <w:num w:numId="3">
    <w:abstractNumId w:val="13"/>
  </w:num>
  <w:num w:numId="4">
    <w:abstractNumId w:val="18"/>
  </w:num>
  <w:num w:numId="5">
    <w:abstractNumId w:val="23"/>
  </w:num>
  <w:num w:numId="6">
    <w:abstractNumId w:val="17"/>
  </w:num>
  <w:num w:numId="7">
    <w:abstractNumId w:val="38"/>
  </w:num>
  <w:num w:numId="8">
    <w:abstractNumId w:val="27"/>
  </w:num>
  <w:num w:numId="9">
    <w:abstractNumId w:val="5"/>
  </w:num>
  <w:num w:numId="10">
    <w:abstractNumId w:val="29"/>
  </w:num>
  <w:num w:numId="11">
    <w:abstractNumId w:val="15"/>
  </w:num>
  <w:num w:numId="12">
    <w:abstractNumId w:val="8"/>
  </w:num>
  <w:num w:numId="13">
    <w:abstractNumId w:val="21"/>
  </w:num>
  <w:num w:numId="14">
    <w:abstractNumId w:val="10"/>
  </w:num>
  <w:num w:numId="15">
    <w:abstractNumId w:val="32"/>
  </w:num>
  <w:num w:numId="16">
    <w:abstractNumId w:val="31"/>
  </w:num>
  <w:num w:numId="17">
    <w:abstractNumId w:val="30"/>
  </w:num>
  <w:num w:numId="18">
    <w:abstractNumId w:val="19"/>
  </w:num>
  <w:num w:numId="19">
    <w:abstractNumId w:val="24"/>
  </w:num>
  <w:num w:numId="20">
    <w:abstractNumId w:val="4"/>
  </w:num>
  <w:num w:numId="21">
    <w:abstractNumId w:val="33"/>
  </w:num>
  <w:num w:numId="22">
    <w:abstractNumId w:val="34"/>
  </w:num>
  <w:num w:numId="23">
    <w:abstractNumId w:val="39"/>
  </w:num>
  <w:num w:numId="24">
    <w:abstractNumId w:val="6"/>
  </w:num>
  <w:num w:numId="25">
    <w:abstractNumId w:val="12"/>
  </w:num>
  <w:num w:numId="26">
    <w:abstractNumId w:val="40"/>
  </w:num>
  <w:num w:numId="27">
    <w:abstractNumId w:val="20"/>
  </w:num>
  <w:num w:numId="28">
    <w:abstractNumId w:val="7"/>
  </w:num>
  <w:num w:numId="29">
    <w:abstractNumId w:val="36"/>
  </w:num>
  <w:num w:numId="30">
    <w:abstractNumId w:val="22"/>
  </w:num>
  <w:num w:numId="31">
    <w:abstractNumId w:val="1"/>
  </w:num>
  <w:num w:numId="32">
    <w:abstractNumId w:val="37"/>
  </w:num>
  <w:num w:numId="33">
    <w:abstractNumId w:val="0"/>
  </w:num>
  <w:num w:numId="34">
    <w:abstractNumId w:val="11"/>
  </w:num>
  <w:num w:numId="35">
    <w:abstractNumId w:val="9"/>
  </w:num>
  <w:num w:numId="36">
    <w:abstractNumId w:val="35"/>
  </w:num>
  <w:num w:numId="37">
    <w:abstractNumId w:val="26"/>
  </w:num>
  <w:num w:numId="38">
    <w:abstractNumId w:val="28"/>
  </w:num>
  <w:num w:numId="39">
    <w:abstractNumId w:val="25"/>
  </w:num>
  <w:num w:numId="40">
    <w:abstractNumId w:val="2"/>
  </w:num>
  <w:num w:numId="41">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2D4"/>
    <w:rsid w:val="00000E53"/>
    <w:rsid w:val="00002253"/>
    <w:rsid w:val="00004742"/>
    <w:rsid w:val="00007DD9"/>
    <w:rsid w:val="000120FC"/>
    <w:rsid w:val="000122D5"/>
    <w:rsid w:val="00013A02"/>
    <w:rsid w:val="00013E1B"/>
    <w:rsid w:val="000146D1"/>
    <w:rsid w:val="00016D00"/>
    <w:rsid w:val="000176E8"/>
    <w:rsid w:val="00020C7F"/>
    <w:rsid w:val="00021452"/>
    <w:rsid w:val="0002179B"/>
    <w:rsid w:val="00024647"/>
    <w:rsid w:val="0002492D"/>
    <w:rsid w:val="000263E3"/>
    <w:rsid w:val="00032071"/>
    <w:rsid w:val="000325B0"/>
    <w:rsid w:val="00032AA8"/>
    <w:rsid w:val="00033987"/>
    <w:rsid w:val="000359D9"/>
    <w:rsid w:val="00037120"/>
    <w:rsid w:val="00037F93"/>
    <w:rsid w:val="00040F7B"/>
    <w:rsid w:val="00041A52"/>
    <w:rsid w:val="00042357"/>
    <w:rsid w:val="00042CDC"/>
    <w:rsid w:val="000444E4"/>
    <w:rsid w:val="00044871"/>
    <w:rsid w:val="00046975"/>
    <w:rsid w:val="00046A1F"/>
    <w:rsid w:val="00050178"/>
    <w:rsid w:val="000524BB"/>
    <w:rsid w:val="00052699"/>
    <w:rsid w:val="0005278C"/>
    <w:rsid w:val="00052E7A"/>
    <w:rsid w:val="00054965"/>
    <w:rsid w:val="00055CE3"/>
    <w:rsid w:val="000561F9"/>
    <w:rsid w:val="000618F3"/>
    <w:rsid w:val="000621F9"/>
    <w:rsid w:val="000626F3"/>
    <w:rsid w:val="000636BB"/>
    <w:rsid w:val="000676FB"/>
    <w:rsid w:val="00067A5F"/>
    <w:rsid w:val="00067AC6"/>
    <w:rsid w:val="0007060F"/>
    <w:rsid w:val="00071412"/>
    <w:rsid w:val="000719D3"/>
    <w:rsid w:val="00072B18"/>
    <w:rsid w:val="00073C8C"/>
    <w:rsid w:val="000748FE"/>
    <w:rsid w:val="0007532D"/>
    <w:rsid w:val="00076DCC"/>
    <w:rsid w:val="000819C7"/>
    <w:rsid w:val="000827E9"/>
    <w:rsid w:val="000828E7"/>
    <w:rsid w:val="000840AA"/>
    <w:rsid w:val="000843FA"/>
    <w:rsid w:val="00084680"/>
    <w:rsid w:val="0008520E"/>
    <w:rsid w:val="0008638F"/>
    <w:rsid w:val="000872C9"/>
    <w:rsid w:val="00087E05"/>
    <w:rsid w:val="00092273"/>
    <w:rsid w:val="00092C6C"/>
    <w:rsid w:val="00092E6B"/>
    <w:rsid w:val="00093528"/>
    <w:rsid w:val="00093B82"/>
    <w:rsid w:val="000972B4"/>
    <w:rsid w:val="000A0E74"/>
    <w:rsid w:val="000A1051"/>
    <w:rsid w:val="000A1511"/>
    <w:rsid w:val="000A1559"/>
    <w:rsid w:val="000A281B"/>
    <w:rsid w:val="000A29E4"/>
    <w:rsid w:val="000A4945"/>
    <w:rsid w:val="000A5319"/>
    <w:rsid w:val="000A5563"/>
    <w:rsid w:val="000A6A45"/>
    <w:rsid w:val="000A776E"/>
    <w:rsid w:val="000A7CA1"/>
    <w:rsid w:val="000B0FB7"/>
    <w:rsid w:val="000B2623"/>
    <w:rsid w:val="000B4690"/>
    <w:rsid w:val="000B4FEE"/>
    <w:rsid w:val="000B686E"/>
    <w:rsid w:val="000B68CA"/>
    <w:rsid w:val="000B7B9F"/>
    <w:rsid w:val="000B7F5E"/>
    <w:rsid w:val="000C1110"/>
    <w:rsid w:val="000C1A95"/>
    <w:rsid w:val="000C2ACE"/>
    <w:rsid w:val="000C4138"/>
    <w:rsid w:val="000C5FDC"/>
    <w:rsid w:val="000D0296"/>
    <w:rsid w:val="000D1892"/>
    <w:rsid w:val="000D2D61"/>
    <w:rsid w:val="000D5694"/>
    <w:rsid w:val="000D6FCF"/>
    <w:rsid w:val="000D7828"/>
    <w:rsid w:val="000E1037"/>
    <w:rsid w:val="000E1256"/>
    <w:rsid w:val="000E1FE3"/>
    <w:rsid w:val="000E254B"/>
    <w:rsid w:val="000E5B20"/>
    <w:rsid w:val="000F0296"/>
    <w:rsid w:val="000F0958"/>
    <w:rsid w:val="000F38DE"/>
    <w:rsid w:val="000F3E07"/>
    <w:rsid w:val="000F48FF"/>
    <w:rsid w:val="000F4F31"/>
    <w:rsid w:val="0010323D"/>
    <w:rsid w:val="0010333A"/>
    <w:rsid w:val="00103529"/>
    <w:rsid w:val="00106223"/>
    <w:rsid w:val="001065E6"/>
    <w:rsid w:val="0010677C"/>
    <w:rsid w:val="00106EBC"/>
    <w:rsid w:val="00107F98"/>
    <w:rsid w:val="001120E5"/>
    <w:rsid w:val="00113CC9"/>
    <w:rsid w:val="00114AB1"/>
    <w:rsid w:val="00115B07"/>
    <w:rsid w:val="001211F3"/>
    <w:rsid w:val="00121611"/>
    <w:rsid w:val="00123D4D"/>
    <w:rsid w:val="001244A2"/>
    <w:rsid w:val="00124B47"/>
    <w:rsid w:val="001254DF"/>
    <w:rsid w:val="00126035"/>
    <w:rsid w:val="00132761"/>
    <w:rsid w:val="0013405C"/>
    <w:rsid w:val="00142CC5"/>
    <w:rsid w:val="00143EBE"/>
    <w:rsid w:val="001444C1"/>
    <w:rsid w:val="001467B9"/>
    <w:rsid w:val="0015520B"/>
    <w:rsid w:val="00156B2E"/>
    <w:rsid w:val="00156D6D"/>
    <w:rsid w:val="0016015C"/>
    <w:rsid w:val="00160332"/>
    <w:rsid w:val="00163574"/>
    <w:rsid w:val="00164F65"/>
    <w:rsid w:val="0016503F"/>
    <w:rsid w:val="00172039"/>
    <w:rsid w:val="00172081"/>
    <w:rsid w:val="001743E2"/>
    <w:rsid w:val="001754F9"/>
    <w:rsid w:val="001778B1"/>
    <w:rsid w:val="0018176B"/>
    <w:rsid w:val="00181A12"/>
    <w:rsid w:val="00181DB5"/>
    <w:rsid w:val="00182EC7"/>
    <w:rsid w:val="0018501B"/>
    <w:rsid w:val="00185D44"/>
    <w:rsid w:val="00186989"/>
    <w:rsid w:val="00186C9C"/>
    <w:rsid w:val="00186D6C"/>
    <w:rsid w:val="001915DF"/>
    <w:rsid w:val="00192959"/>
    <w:rsid w:val="00192B38"/>
    <w:rsid w:val="00193640"/>
    <w:rsid w:val="00194A01"/>
    <w:rsid w:val="00195409"/>
    <w:rsid w:val="001962BE"/>
    <w:rsid w:val="00196C94"/>
    <w:rsid w:val="00197FC2"/>
    <w:rsid w:val="001A05F1"/>
    <w:rsid w:val="001A12B6"/>
    <w:rsid w:val="001A40DB"/>
    <w:rsid w:val="001A46F7"/>
    <w:rsid w:val="001A4ED4"/>
    <w:rsid w:val="001A4F7B"/>
    <w:rsid w:val="001A520B"/>
    <w:rsid w:val="001A585D"/>
    <w:rsid w:val="001A7809"/>
    <w:rsid w:val="001A78CD"/>
    <w:rsid w:val="001B263D"/>
    <w:rsid w:val="001B2924"/>
    <w:rsid w:val="001B49C7"/>
    <w:rsid w:val="001B5425"/>
    <w:rsid w:val="001C22C3"/>
    <w:rsid w:val="001C2C18"/>
    <w:rsid w:val="001C3B97"/>
    <w:rsid w:val="001C638C"/>
    <w:rsid w:val="001D0754"/>
    <w:rsid w:val="001D21BB"/>
    <w:rsid w:val="001D2409"/>
    <w:rsid w:val="001D27F4"/>
    <w:rsid w:val="001D38F0"/>
    <w:rsid w:val="001D41F7"/>
    <w:rsid w:val="001D5042"/>
    <w:rsid w:val="001D5927"/>
    <w:rsid w:val="001D71DB"/>
    <w:rsid w:val="001E0166"/>
    <w:rsid w:val="001E3D48"/>
    <w:rsid w:val="001E4E2C"/>
    <w:rsid w:val="001E7026"/>
    <w:rsid w:val="001F0118"/>
    <w:rsid w:val="001F03E6"/>
    <w:rsid w:val="001F091C"/>
    <w:rsid w:val="001F20F6"/>
    <w:rsid w:val="001F3403"/>
    <w:rsid w:val="001F37D4"/>
    <w:rsid w:val="001F3B2E"/>
    <w:rsid w:val="001F66B4"/>
    <w:rsid w:val="001F6D62"/>
    <w:rsid w:val="001F7C75"/>
    <w:rsid w:val="001F7FE1"/>
    <w:rsid w:val="0020104E"/>
    <w:rsid w:val="00201EFA"/>
    <w:rsid w:val="002027A6"/>
    <w:rsid w:val="00202F2C"/>
    <w:rsid w:val="002038E8"/>
    <w:rsid w:val="00204863"/>
    <w:rsid w:val="002078A3"/>
    <w:rsid w:val="00210E01"/>
    <w:rsid w:val="00210E3C"/>
    <w:rsid w:val="0021424B"/>
    <w:rsid w:val="00216D11"/>
    <w:rsid w:val="00217813"/>
    <w:rsid w:val="00220276"/>
    <w:rsid w:val="0022773B"/>
    <w:rsid w:val="0023600A"/>
    <w:rsid w:val="00236DD4"/>
    <w:rsid w:val="00237B3D"/>
    <w:rsid w:val="00241323"/>
    <w:rsid w:val="002443EF"/>
    <w:rsid w:val="00245B17"/>
    <w:rsid w:val="00245B6C"/>
    <w:rsid w:val="00246A21"/>
    <w:rsid w:val="0025372F"/>
    <w:rsid w:val="002542FD"/>
    <w:rsid w:val="00255428"/>
    <w:rsid w:val="00257C01"/>
    <w:rsid w:val="00261ABD"/>
    <w:rsid w:val="00264288"/>
    <w:rsid w:val="002703E3"/>
    <w:rsid w:val="00272087"/>
    <w:rsid w:val="00273311"/>
    <w:rsid w:val="00273602"/>
    <w:rsid w:val="00274A1D"/>
    <w:rsid w:val="00275D99"/>
    <w:rsid w:val="00277DA4"/>
    <w:rsid w:val="00281394"/>
    <w:rsid w:val="00282872"/>
    <w:rsid w:val="00284441"/>
    <w:rsid w:val="00285A3A"/>
    <w:rsid w:val="00286CD1"/>
    <w:rsid w:val="00291405"/>
    <w:rsid w:val="00294AA3"/>
    <w:rsid w:val="002953C3"/>
    <w:rsid w:val="00295FE3"/>
    <w:rsid w:val="002A06FF"/>
    <w:rsid w:val="002A16B4"/>
    <w:rsid w:val="002A2861"/>
    <w:rsid w:val="002A3BAF"/>
    <w:rsid w:val="002A446C"/>
    <w:rsid w:val="002A5843"/>
    <w:rsid w:val="002A6149"/>
    <w:rsid w:val="002A668A"/>
    <w:rsid w:val="002A677F"/>
    <w:rsid w:val="002A76FD"/>
    <w:rsid w:val="002A7A87"/>
    <w:rsid w:val="002B0E1E"/>
    <w:rsid w:val="002B20F6"/>
    <w:rsid w:val="002B2C5D"/>
    <w:rsid w:val="002B6709"/>
    <w:rsid w:val="002B7D18"/>
    <w:rsid w:val="002C3125"/>
    <w:rsid w:val="002C3B4E"/>
    <w:rsid w:val="002C4708"/>
    <w:rsid w:val="002C4CD0"/>
    <w:rsid w:val="002D0FAD"/>
    <w:rsid w:val="002D1E19"/>
    <w:rsid w:val="002D28DD"/>
    <w:rsid w:val="002D31C2"/>
    <w:rsid w:val="002D348D"/>
    <w:rsid w:val="002D3824"/>
    <w:rsid w:val="002D7D37"/>
    <w:rsid w:val="002D7E04"/>
    <w:rsid w:val="002E008F"/>
    <w:rsid w:val="002E1674"/>
    <w:rsid w:val="002E18C4"/>
    <w:rsid w:val="002E5D54"/>
    <w:rsid w:val="002F0846"/>
    <w:rsid w:val="002F15BA"/>
    <w:rsid w:val="002F36F1"/>
    <w:rsid w:val="002F39D3"/>
    <w:rsid w:val="002F3AF8"/>
    <w:rsid w:val="002F5C14"/>
    <w:rsid w:val="002F60A9"/>
    <w:rsid w:val="003011E3"/>
    <w:rsid w:val="00301486"/>
    <w:rsid w:val="00302D8F"/>
    <w:rsid w:val="003034E2"/>
    <w:rsid w:val="00303A6B"/>
    <w:rsid w:val="0030545E"/>
    <w:rsid w:val="00305C93"/>
    <w:rsid w:val="00306F02"/>
    <w:rsid w:val="00307B7E"/>
    <w:rsid w:val="003111E7"/>
    <w:rsid w:val="003130CD"/>
    <w:rsid w:val="003143DD"/>
    <w:rsid w:val="0031532B"/>
    <w:rsid w:val="00320824"/>
    <w:rsid w:val="00320C54"/>
    <w:rsid w:val="0032110F"/>
    <w:rsid w:val="003219C7"/>
    <w:rsid w:val="0032267F"/>
    <w:rsid w:val="00325214"/>
    <w:rsid w:val="00325227"/>
    <w:rsid w:val="00325BBC"/>
    <w:rsid w:val="0032631B"/>
    <w:rsid w:val="00326469"/>
    <w:rsid w:val="003319F2"/>
    <w:rsid w:val="003324A3"/>
    <w:rsid w:val="00332EFB"/>
    <w:rsid w:val="00333377"/>
    <w:rsid w:val="00333D02"/>
    <w:rsid w:val="00334FB6"/>
    <w:rsid w:val="003351A3"/>
    <w:rsid w:val="003359AD"/>
    <w:rsid w:val="00336ABA"/>
    <w:rsid w:val="00337277"/>
    <w:rsid w:val="00337BA9"/>
    <w:rsid w:val="00337ED7"/>
    <w:rsid w:val="00340C6A"/>
    <w:rsid w:val="00341F62"/>
    <w:rsid w:val="003441CA"/>
    <w:rsid w:val="003443FD"/>
    <w:rsid w:val="00344F91"/>
    <w:rsid w:val="0034524C"/>
    <w:rsid w:val="00346BC9"/>
    <w:rsid w:val="00350CA6"/>
    <w:rsid w:val="00350CE0"/>
    <w:rsid w:val="003511A7"/>
    <w:rsid w:val="0035234B"/>
    <w:rsid w:val="0035254E"/>
    <w:rsid w:val="00352588"/>
    <w:rsid w:val="00352C05"/>
    <w:rsid w:val="00354102"/>
    <w:rsid w:val="00354153"/>
    <w:rsid w:val="00355A8E"/>
    <w:rsid w:val="00361DC5"/>
    <w:rsid w:val="00363F19"/>
    <w:rsid w:val="003658CB"/>
    <w:rsid w:val="003670CC"/>
    <w:rsid w:val="00371981"/>
    <w:rsid w:val="003752D3"/>
    <w:rsid w:val="00375EA3"/>
    <w:rsid w:val="00376BCD"/>
    <w:rsid w:val="00377068"/>
    <w:rsid w:val="00380B79"/>
    <w:rsid w:val="0038204D"/>
    <w:rsid w:val="00383B15"/>
    <w:rsid w:val="00383D14"/>
    <w:rsid w:val="00384C7B"/>
    <w:rsid w:val="00386320"/>
    <w:rsid w:val="00387EF3"/>
    <w:rsid w:val="003902AF"/>
    <w:rsid w:val="0039176B"/>
    <w:rsid w:val="00391825"/>
    <w:rsid w:val="0039222A"/>
    <w:rsid w:val="003953BA"/>
    <w:rsid w:val="003969CD"/>
    <w:rsid w:val="0039778F"/>
    <w:rsid w:val="0039782A"/>
    <w:rsid w:val="00397881"/>
    <w:rsid w:val="003A053C"/>
    <w:rsid w:val="003A10B1"/>
    <w:rsid w:val="003A1188"/>
    <w:rsid w:val="003A2C4F"/>
    <w:rsid w:val="003A30BB"/>
    <w:rsid w:val="003B12D9"/>
    <w:rsid w:val="003B4ED6"/>
    <w:rsid w:val="003B5234"/>
    <w:rsid w:val="003B7057"/>
    <w:rsid w:val="003B7923"/>
    <w:rsid w:val="003B7A11"/>
    <w:rsid w:val="003C0481"/>
    <w:rsid w:val="003C1A7D"/>
    <w:rsid w:val="003C2C2B"/>
    <w:rsid w:val="003C331E"/>
    <w:rsid w:val="003C3B2D"/>
    <w:rsid w:val="003C436C"/>
    <w:rsid w:val="003C51BB"/>
    <w:rsid w:val="003C5221"/>
    <w:rsid w:val="003C629B"/>
    <w:rsid w:val="003C6CEA"/>
    <w:rsid w:val="003C7DFC"/>
    <w:rsid w:val="003D0BA6"/>
    <w:rsid w:val="003D1A1B"/>
    <w:rsid w:val="003D21DE"/>
    <w:rsid w:val="003D489F"/>
    <w:rsid w:val="003D521F"/>
    <w:rsid w:val="003D5266"/>
    <w:rsid w:val="003D7A3E"/>
    <w:rsid w:val="003E5605"/>
    <w:rsid w:val="003E5F24"/>
    <w:rsid w:val="003E685B"/>
    <w:rsid w:val="003E69A5"/>
    <w:rsid w:val="003E6A5F"/>
    <w:rsid w:val="003E76CD"/>
    <w:rsid w:val="003E7A93"/>
    <w:rsid w:val="003F11C0"/>
    <w:rsid w:val="003F3B7D"/>
    <w:rsid w:val="003F3D69"/>
    <w:rsid w:val="003F3DE4"/>
    <w:rsid w:val="003F4D80"/>
    <w:rsid w:val="003F69AB"/>
    <w:rsid w:val="003F700F"/>
    <w:rsid w:val="00401632"/>
    <w:rsid w:val="00403C73"/>
    <w:rsid w:val="004041A6"/>
    <w:rsid w:val="00406491"/>
    <w:rsid w:val="00411300"/>
    <w:rsid w:val="0041156E"/>
    <w:rsid w:val="004121D4"/>
    <w:rsid w:val="00413788"/>
    <w:rsid w:val="00413F2F"/>
    <w:rsid w:val="004140BE"/>
    <w:rsid w:val="004144B4"/>
    <w:rsid w:val="0041485B"/>
    <w:rsid w:val="00414FCD"/>
    <w:rsid w:val="004163DD"/>
    <w:rsid w:val="004209BA"/>
    <w:rsid w:val="00422CFE"/>
    <w:rsid w:val="00422F96"/>
    <w:rsid w:val="004231ED"/>
    <w:rsid w:val="00424037"/>
    <w:rsid w:val="0042530C"/>
    <w:rsid w:val="004258EB"/>
    <w:rsid w:val="00426268"/>
    <w:rsid w:val="004268E6"/>
    <w:rsid w:val="004276E8"/>
    <w:rsid w:val="00427749"/>
    <w:rsid w:val="00431627"/>
    <w:rsid w:val="00431C39"/>
    <w:rsid w:val="00432EDE"/>
    <w:rsid w:val="00433EBD"/>
    <w:rsid w:val="004352FE"/>
    <w:rsid w:val="00435A1B"/>
    <w:rsid w:val="00436A5F"/>
    <w:rsid w:val="00437BCE"/>
    <w:rsid w:val="004412CA"/>
    <w:rsid w:val="00444F62"/>
    <w:rsid w:val="004460F9"/>
    <w:rsid w:val="0044624D"/>
    <w:rsid w:val="00447041"/>
    <w:rsid w:val="00447EAE"/>
    <w:rsid w:val="0045222A"/>
    <w:rsid w:val="00453922"/>
    <w:rsid w:val="00453F55"/>
    <w:rsid w:val="0045632A"/>
    <w:rsid w:val="00457CED"/>
    <w:rsid w:val="00460170"/>
    <w:rsid w:val="00460472"/>
    <w:rsid w:val="004621E8"/>
    <w:rsid w:val="004626B9"/>
    <w:rsid w:val="00464367"/>
    <w:rsid w:val="0046590A"/>
    <w:rsid w:val="00465B9C"/>
    <w:rsid w:val="00467061"/>
    <w:rsid w:val="004701EB"/>
    <w:rsid w:val="0047368E"/>
    <w:rsid w:val="00475075"/>
    <w:rsid w:val="0047518C"/>
    <w:rsid w:val="00480263"/>
    <w:rsid w:val="00480550"/>
    <w:rsid w:val="00481D13"/>
    <w:rsid w:val="00483837"/>
    <w:rsid w:val="004841D3"/>
    <w:rsid w:val="00486CB7"/>
    <w:rsid w:val="004873F5"/>
    <w:rsid w:val="00487B0C"/>
    <w:rsid w:val="00490FE6"/>
    <w:rsid w:val="00492AF4"/>
    <w:rsid w:val="00493909"/>
    <w:rsid w:val="0049639F"/>
    <w:rsid w:val="004967D7"/>
    <w:rsid w:val="00496B2D"/>
    <w:rsid w:val="00497454"/>
    <w:rsid w:val="004A11B6"/>
    <w:rsid w:val="004A2A99"/>
    <w:rsid w:val="004A573E"/>
    <w:rsid w:val="004A60EE"/>
    <w:rsid w:val="004A67DB"/>
    <w:rsid w:val="004B0046"/>
    <w:rsid w:val="004B1ED9"/>
    <w:rsid w:val="004B23DE"/>
    <w:rsid w:val="004B38F6"/>
    <w:rsid w:val="004C2EAC"/>
    <w:rsid w:val="004C6055"/>
    <w:rsid w:val="004C647B"/>
    <w:rsid w:val="004D2B16"/>
    <w:rsid w:val="004D590B"/>
    <w:rsid w:val="004D5CC9"/>
    <w:rsid w:val="004D62C8"/>
    <w:rsid w:val="004D64B7"/>
    <w:rsid w:val="004D6FCA"/>
    <w:rsid w:val="004E0E92"/>
    <w:rsid w:val="004E1387"/>
    <w:rsid w:val="004E4989"/>
    <w:rsid w:val="004E4A59"/>
    <w:rsid w:val="004E51F7"/>
    <w:rsid w:val="004E5733"/>
    <w:rsid w:val="004E58AA"/>
    <w:rsid w:val="004E59CF"/>
    <w:rsid w:val="004F05F3"/>
    <w:rsid w:val="004F21C6"/>
    <w:rsid w:val="004F4CCC"/>
    <w:rsid w:val="00501A0D"/>
    <w:rsid w:val="00505CFE"/>
    <w:rsid w:val="005061DD"/>
    <w:rsid w:val="00506738"/>
    <w:rsid w:val="00506B48"/>
    <w:rsid w:val="0050759D"/>
    <w:rsid w:val="00513EFE"/>
    <w:rsid w:val="005142C4"/>
    <w:rsid w:val="005201BD"/>
    <w:rsid w:val="00524541"/>
    <w:rsid w:val="005262B5"/>
    <w:rsid w:val="00526567"/>
    <w:rsid w:val="005274BB"/>
    <w:rsid w:val="00530139"/>
    <w:rsid w:val="00531973"/>
    <w:rsid w:val="005322E0"/>
    <w:rsid w:val="005324FC"/>
    <w:rsid w:val="0053273B"/>
    <w:rsid w:val="00534A62"/>
    <w:rsid w:val="005359C0"/>
    <w:rsid w:val="00535BC4"/>
    <w:rsid w:val="0053630A"/>
    <w:rsid w:val="005379BF"/>
    <w:rsid w:val="00541FE9"/>
    <w:rsid w:val="005432B1"/>
    <w:rsid w:val="00543D9B"/>
    <w:rsid w:val="005444C5"/>
    <w:rsid w:val="0054655E"/>
    <w:rsid w:val="005469BB"/>
    <w:rsid w:val="005529E4"/>
    <w:rsid w:val="00553524"/>
    <w:rsid w:val="00553A91"/>
    <w:rsid w:val="005543CB"/>
    <w:rsid w:val="005558F1"/>
    <w:rsid w:val="00560113"/>
    <w:rsid w:val="005608B5"/>
    <w:rsid w:val="005618F4"/>
    <w:rsid w:val="0056457E"/>
    <w:rsid w:val="00564BBA"/>
    <w:rsid w:val="005653E4"/>
    <w:rsid w:val="005662DE"/>
    <w:rsid w:val="0057053F"/>
    <w:rsid w:val="005723AF"/>
    <w:rsid w:val="005723C1"/>
    <w:rsid w:val="005732BA"/>
    <w:rsid w:val="00573A90"/>
    <w:rsid w:val="00576171"/>
    <w:rsid w:val="00576177"/>
    <w:rsid w:val="00576E77"/>
    <w:rsid w:val="00576FA3"/>
    <w:rsid w:val="0057720E"/>
    <w:rsid w:val="00583CE6"/>
    <w:rsid w:val="00586136"/>
    <w:rsid w:val="00592479"/>
    <w:rsid w:val="00594B74"/>
    <w:rsid w:val="00595397"/>
    <w:rsid w:val="005958E8"/>
    <w:rsid w:val="005958F0"/>
    <w:rsid w:val="00595D47"/>
    <w:rsid w:val="00595D6B"/>
    <w:rsid w:val="005974D2"/>
    <w:rsid w:val="005A1D31"/>
    <w:rsid w:val="005B3DFD"/>
    <w:rsid w:val="005B5033"/>
    <w:rsid w:val="005C0CAC"/>
    <w:rsid w:val="005C7580"/>
    <w:rsid w:val="005D2285"/>
    <w:rsid w:val="005D3901"/>
    <w:rsid w:val="005D3BB5"/>
    <w:rsid w:val="005D4B0C"/>
    <w:rsid w:val="005D4C3D"/>
    <w:rsid w:val="005D5855"/>
    <w:rsid w:val="005D78C9"/>
    <w:rsid w:val="005E011F"/>
    <w:rsid w:val="005E09E3"/>
    <w:rsid w:val="005E1535"/>
    <w:rsid w:val="005E2281"/>
    <w:rsid w:val="005E682B"/>
    <w:rsid w:val="005F02C7"/>
    <w:rsid w:val="005F420E"/>
    <w:rsid w:val="005F44AD"/>
    <w:rsid w:val="00600D52"/>
    <w:rsid w:val="006011E6"/>
    <w:rsid w:val="006015C6"/>
    <w:rsid w:val="00601D5E"/>
    <w:rsid w:val="00603121"/>
    <w:rsid w:val="00605D1A"/>
    <w:rsid w:val="00605E00"/>
    <w:rsid w:val="00611019"/>
    <w:rsid w:val="00612228"/>
    <w:rsid w:val="006124DB"/>
    <w:rsid w:val="0061598C"/>
    <w:rsid w:val="00616A8E"/>
    <w:rsid w:val="00616D26"/>
    <w:rsid w:val="00617CDD"/>
    <w:rsid w:val="00622115"/>
    <w:rsid w:val="006221B3"/>
    <w:rsid w:val="00625579"/>
    <w:rsid w:val="00625966"/>
    <w:rsid w:val="00625CAA"/>
    <w:rsid w:val="00631A5D"/>
    <w:rsid w:val="00631A9D"/>
    <w:rsid w:val="00632E64"/>
    <w:rsid w:val="00632F16"/>
    <w:rsid w:val="00635248"/>
    <w:rsid w:val="0063609A"/>
    <w:rsid w:val="00637035"/>
    <w:rsid w:val="006372EF"/>
    <w:rsid w:val="006409C8"/>
    <w:rsid w:val="00641B42"/>
    <w:rsid w:val="006421A0"/>
    <w:rsid w:val="00642FB2"/>
    <w:rsid w:val="00643770"/>
    <w:rsid w:val="00645DBA"/>
    <w:rsid w:val="00647474"/>
    <w:rsid w:val="00650A46"/>
    <w:rsid w:val="006550A5"/>
    <w:rsid w:val="00655379"/>
    <w:rsid w:val="00657247"/>
    <w:rsid w:val="006577D2"/>
    <w:rsid w:val="006579C6"/>
    <w:rsid w:val="00661F9C"/>
    <w:rsid w:val="00665753"/>
    <w:rsid w:val="006674B5"/>
    <w:rsid w:val="00672A16"/>
    <w:rsid w:val="00672AAC"/>
    <w:rsid w:val="00676A38"/>
    <w:rsid w:val="00677D3F"/>
    <w:rsid w:val="006801E9"/>
    <w:rsid w:val="0068024B"/>
    <w:rsid w:val="006813F5"/>
    <w:rsid w:val="00681BD8"/>
    <w:rsid w:val="00681FFE"/>
    <w:rsid w:val="00682AF0"/>
    <w:rsid w:val="00682B02"/>
    <w:rsid w:val="00683572"/>
    <w:rsid w:val="006837E7"/>
    <w:rsid w:val="00685AAA"/>
    <w:rsid w:val="00687459"/>
    <w:rsid w:val="00691946"/>
    <w:rsid w:val="00692317"/>
    <w:rsid w:val="006925F2"/>
    <w:rsid w:val="00695CBE"/>
    <w:rsid w:val="00696669"/>
    <w:rsid w:val="00697329"/>
    <w:rsid w:val="0069789C"/>
    <w:rsid w:val="006A13C4"/>
    <w:rsid w:val="006A3E16"/>
    <w:rsid w:val="006A6534"/>
    <w:rsid w:val="006A6FAE"/>
    <w:rsid w:val="006A776F"/>
    <w:rsid w:val="006B74E6"/>
    <w:rsid w:val="006B7968"/>
    <w:rsid w:val="006C22D9"/>
    <w:rsid w:val="006C65FD"/>
    <w:rsid w:val="006C714A"/>
    <w:rsid w:val="006D06E5"/>
    <w:rsid w:val="006D0F8C"/>
    <w:rsid w:val="006D174D"/>
    <w:rsid w:val="006D4BB2"/>
    <w:rsid w:val="006D6B78"/>
    <w:rsid w:val="006D7F04"/>
    <w:rsid w:val="006E0E9B"/>
    <w:rsid w:val="006E26EA"/>
    <w:rsid w:val="006E30D1"/>
    <w:rsid w:val="006E3C18"/>
    <w:rsid w:val="006E474F"/>
    <w:rsid w:val="006E59A1"/>
    <w:rsid w:val="006E747C"/>
    <w:rsid w:val="006E74E5"/>
    <w:rsid w:val="006E769D"/>
    <w:rsid w:val="006F1CFA"/>
    <w:rsid w:val="006F2F94"/>
    <w:rsid w:val="006F370C"/>
    <w:rsid w:val="006F43A9"/>
    <w:rsid w:val="006F5BF7"/>
    <w:rsid w:val="006F5D57"/>
    <w:rsid w:val="006F76D1"/>
    <w:rsid w:val="0070012F"/>
    <w:rsid w:val="007007F3"/>
    <w:rsid w:val="00701116"/>
    <w:rsid w:val="00701548"/>
    <w:rsid w:val="00701F27"/>
    <w:rsid w:val="00702468"/>
    <w:rsid w:val="00702495"/>
    <w:rsid w:val="00705C9A"/>
    <w:rsid w:val="00705FF2"/>
    <w:rsid w:val="007067ED"/>
    <w:rsid w:val="007121C6"/>
    <w:rsid w:val="00712CE7"/>
    <w:rsid w:val="007150FD"/>
    <w:rsid w:val="007214D9"/>
    <w:rsid w:val="007232A5"/>
    <w:rsid w:val="00724023"/>
    <w:rsid w:val="00726284"/>
    <w:rsid w:val="0072681A"/>
    <w:rsid w:val="00726C31"/>
    <w:rsid w:val="0073172C"/>
    <w:rsid w:val="00731A35"/>
    <w:rsid w:val="00731F6F"/>
    <w:rsid w:val="00732177"/>
    <w:rsid w:val="007322EC"/>
    <w:rsid w:val="00736A86"/>
    <w:rsid w:val="0073703F"/>
    <w:rsid w:val="007373B1"/>
    <w:rsid w:val="007379D5"/>
    <w:rsid w:val="00742EC0"/>
    <w:rsid w:val="00743218"/>
    <w:rsid w:val="007435B1"/>
    <w:rsid w:val="00745A14"/>
    <w:rsid w:val="00747826"/>
    <w:rsid w:val="007512B3"/>
    <w:rsid w:val="00752C23"/>
    <w:rsid w:val="007537D6"/>
    <w:rsid w:val="00754319"/>
    <w:rsid w:val="00756E57"/>
    <w:rsid w:val="007570B9"/>
    <w:rsid w:val="00757997"/>
    <w:rsid w:val="00760958"/>
    <w:rsid w:val="00760EE6"/>
    <w:rsid w:val="00762D8B"/>
    <w:rsid w:val="00763C22"/>
    <w:rsid w:val="00765BE7"/>
    <w:rsid w:val="007667D6"/>
    <w:rsid w:val="007705B8"/>
    <w:rsid w:val="00770C55"/>
    <w:rsid w:val="00773438"/>
    <w:rsid w:val="00773A76"/>
    <w:rsid w:val="00775855"/>
    <w:rsid w:val="00775FB1"/>
    <w:rsid w:val="00776448"/>
    <w:rsid w:val="007806C4"/>
    <w:rsid w:val="00781097"/>
    <w:rsid w:val="00781D2F"/>
    <w:rsid w:val="00782912"/>
    <w:rsid w:val="00782D5B"/>
    <w:rsid w:val="0078357A"/>
    <w:rsid w:val="00783627"/>
    <w:rsid w:val="00784E0E"/>
    <w:rsid w:val="00786261"/>
    <w:rsid w:val="00786FF5"/>
    <w:rsid w:val="0079302A"/>
    <w:rsid w:val="00793844"/>
    <w:rsid w:val="00794610"/>
    <w:rsid w:val="00794EAE"/>
    <w:rsid w:val="007954DC"/>
    <w:rsid w:val="007A00F6"/>
    <w:rsid w:val="007A07AE"/>
    <w:rsid w:val="007A0AE6"/>
    <w:rsid w:val="007A4EA7"/>
    <w:rsid w:val="007A7909"/>
    <w:rsid w:val="007A7DFD"/>
    <w:rsid w:val="007B07DD"/>
    <w:rsid w:val="007B372A"/>
    <w:rsid w:val="007B3762"/>
    <w:rsid w:val="007B3971"/>
    <w:rsid w:val="007B540A"/>
    <w:rsid w:val="007B5A47"/>
    <w:rsid w:val="007B6CBE"/>
    <w:rsid w:val="007B7711"/>
    <w:rsid w:val="007C0CA1"/>
    <w:rsid w:val="007C0CE5"/>
    <w:rsid w:val="007C0FF9"/>
    <w:rsid w:val="007C336E"/>
    <w:rsid w:val="007C39F3"/>
    <w:rsid w:val="007C4D80"/>
    <w:rsid w:val="007C53DF"/>
    <w:rsid w:val="007C5581"/>
    <w:rsid w:val="007C5D22"/>
    <w:rsid w:val="007D144F"/>
    <w:rsid w:val="007D33C9"/>
    <w:rsid w:val="007D4A48"/>
    <w:rsid w:val="007D55D8"/>
    <w:rsid w:val="007D6DBB"/>
    <w:rsid w:val="007D6EB5"/>
    <w:rsid w:val="007E068F"/>
    <w:rsid w:val="007E0B28"/>
    <w:rsid w:val="007E0CFE"/>
    <w:rsid w:val="007E171D"/>
    <w:rsid w:val="007E23A8"/>
    <w:rsid w:val="007E3AEB"/>
    <w:rsid w:val="007E57E7"/>
    <w:rsid w:val="007E585B"/>
    <w:rsid w:val="007E7418"/>
    <w:rsid w:val="007F03DD"/>
    <w:rsid w:val="007F07A9"/>
    <w:rsid w:val="007F10BA"/>
    <w:rsid w:val="007F18E7"/>
    <w:rsid w:val="007F2901"/>
    <w:rsid w:val="007F56C0"/>
    <w:rsid w:val="0080093F"/>
    <w:rsid w:val="00800C03"/>
    <w:rsid w:val="00801A9F"/>
    <w:rsid w:val="00801D08"/>
    <w:rsid w:val="00801F30"/>
    <w:rsid w:val="00804D32"/>
    <w:rsid w:val="00806C30"/>
    <w:rsid w:val="00810E74"/>
    <w:rsid w:val="00811C6B"/>
    <w:rsid w:val="00812250"/>
    <w:rsid w:val="0082042B"/>
    <w:rsid w:val="00821169"/>
    <w:rsid w:val="0082260F"/>
    <w:rsid w:val="00823BDB"/>
    <w:rsid w:val="008273CB"/>
    <w:rsid w:val="00827665"/>
    <w:rsid w:val="00832CE4"/>
    <w:rsid w:val="008350D8"/>
    <w:rsid w:val="00836111"/>
    <w:rsid w:val="00836832"/>
    <w:rsid w:val="0084075B"/>
    <w:rsid w:val="00844B7D"/>
    <w:rsid w:val="00846835"/>
    <w:rsid w:val="00851C8E"/>
    <w:rsid w:val="00852716"/>
    <w:rsid w:val="00854A25"/>
    <w:rsid w:val="00854C57"/>
    <w:rsid w:val="00856591"/>
    <w:rsid w:val="0086140B"/>
    <w:rsid w:val="00862DB3"/>
    <w:rsid w:val="0086335E"/>
    <w:rsid w:val="008638F2"/>
    <w:rsid w:val="00864058"/>
    <w:rsid w:val="0086436D"/>
    <w:rsid w:val="00864D5D"/>
    <w:rsid w:val="00871426"/>
    <w:rsid w:val="00871522"/>
    <w:rsid w:val="00872A80"/>
    <w:rsid w:val="00875EC0"/>
    <w:rsid w:val="008773CF"/>
    <w:rsid w:val="00877410"/>
    <w:rsid w:val="00882473"/>
    <w:rsid w:val="00883AA0"/>
    <w:rsid w:val="0088540B"/>
    <w:rsid w:val="008855B5"/>
    <w:rsid w:val="00886743"/>
    <w:rsid w:val="008901CA"/>
    <w:rsid w:val="00892450"/>
    <w:rsid w:val="00893A8C"/>
    <w:rsid w:val="00893E18"/>
    <w:rsid w:val="00897C2B"/>
    <w:rsid w:val="008A103B"/>
    <w:rsid w:val="008A60FB"/>
    <w:rsid w:val="008A6AC5"/>
    <w:rsid w:val="008A6C57"/>
    <w:rsid w:val="008A72B0"/>
    <w:rsid w:val="008A7BDD"/>
    <w:rsid w:val="008A7D3A"/>
    <w:rsid w:val="008B1B5A"/>
    <w:rsid w:val="008B23B1"/>
    <w:rsid w:val="008B302D"/>
    <w:rsid w:val="008B3176"/>
    <w:rsid w:val="008B357E"/>
    <w:rsid w:val="008B4606"/>
    <w:rsid w:val="008B63DF"/>
    <w:rsid w:val="008B6D35"/>
    <w:rsid w:val="008B759A"/>
    <w:rsid w:val="008C1064"/>
    <w:rsid w:val="008C1672"/>
    <w:rsid w:val="008C172C"/>
    <w:rsid w:val="008C44D5"/>
    <w:rsid w:val="008C5EF4"/>
    <w:rsid w:val="008C6915"/>
    <w:rsid w:val="008D16D7"/>
    <w:rsid w:val="008D296D"/>
    <w:rsid w:val="008D6BEA"/>
    <w:rsid w:val="008E0614"/>
    <w:rsid w:val="008E6551"/>
    <w:rsid w:val="008E6B6F"/>
    <w:rsid w:val="008F1291"/>
    <w:rsid w:val="008F2D17"/>
    <w:rsid w:val="008F4911"/>
    <w:rsid w:val="008F7C67"/>
    <w:rsid w:val="00901747"/>
    <w:rsid w:val="00902BC6"/>
    <w:rsid w:val="009037B3"/>
    <w:rsid w:val="0090390B"/>
    <w:rsid w:val="00904EB7"/>
    <w:rsid w:val="009104C4"/>
    <w:rsid w:val="009165C5"/>
    <w:rsid w:val="00916E7E"/>
    <w:rsid w:val="0092078A"/>
    <w:rsid w:val="00922964"/>
    <w:rsid w:val="009235D5"/>
    <w:rsid w:val="00925210"/>
    <w:rsid w:val="00925219"/>
    <w:rsid w:val="00930437"/>
    <w:rsid w:val="00932693"/>
    <w:rsid w:val="0093273A"/>
    <w:rsid w:val="00933AEC"/>
    <w:rsid w:val="00934B54"/>
    <w:rsid w:val="009353FF"/>
    <w:rsid w:val="0093543A"/>
    <w:rsid w:val="009359B5"/>
    <w:rsid w:val="00935FF0"/>
    <w:rsid w:val="00936BC2"/>
    <w:rsid w:val="00937BDC"/>
    <w:rsid w:val="00940860"/>
    <w:rsid w:val="009415DC"/>
    <w:rsid w:val="009466F6"/>
    <w:rsid w:val="00950F0F"/>
    <w:rsid w:val="009522E4"/>
    <w:rsid w:val="00954D14"/>
    <w:rsid w:val="009553C7"/>
    <w:rsid w:val="009554BF"/>
    <w:rsid w:val="00955734"/>
    <w:rsid w:val="00955CFD"/>
    <w:rsid w:val="0095642E"/>
    <w:rsid w:val="00957FB5"/>
    <w:rsid w:val="009612AE"/>
    <w:rsid w:val="00963FF1"/>
    <w:rsid w:val="00970727"/>
    <w:rsid w:val="00970E54"/>
    <w:rsid w:val="00971BA7"/>
    <w:rsid w:val="00972209"/>
    <w:rsid w:val="009726DB"/>
    <w:rsid w:val="0097283B"/>
    <w:rsid w:val="00972BB1"/>
    <w:rsid w:val="00973D27"/>
    <w:rsid w:val="00977895"/>
    <w:rsid w:val="009778FF"/>
    <w:rsid w:val="00980047"/>
    <w:rsid w:val="00980CB3"/>
    <w:rsid w:val="00981F5B"/>
    <w:rsid w:val="00982B4E"/>
    <w:rsid w:val="00982C0C"/>
    <w:rsid w:val="00987237"/>
    <w:rsid w:val="00991722"/>
    <w:rsid w:val="009918B4"/>
    <w:rsid w:val="00992210"/>
    <w:rsid w:val="009923FE"/>
    <w:rsid w:val="0099400D"/>
    <w:rsid w:val="0099410D"/>
    <w:rsid w:val="00995830"/>
    <w:rsid w:val="00995FC4"/>
    <w:rsid w:val="0099740D"/>
    <w:rsid w:val="00997A7F"/>
    <w:rsid w:val="009A395F"/>
    <w:rsid w:val="009A55F8"/>
    <w:rsid w:val="009A6019"/>
    <w:rsid w:val="009A713D"/>
    <w:rsid w:val="009A7D58"/>
    <w:rsid w:val="009B1AEE"/>
    <w:rsid w:val="009B2293"/>
    <w:rsid w:val="009B501C"/>
    <w:rsid w:val="009B635B"/>
    <w:rsid w:val="009C1E12"/>
    <w:rsid w:val="009C2A66"/>
    <w:rsid w:val="009C2C20"/>
    <w:rsid w:val="009C3E57"/>
    <w:rsid w:val="009C5E28"/>
    <w:rsid w:val="009C6E1B"/>
    <w:rsid w:val="009C7B81"/>
    <w:rsid w:val="009D0972"/>
    <w:rsid w:val="009D09B5"/>
    <w:rsid w:val="009D16E7"/>
    <w:rsid w:val="009D1C04"/>
    <w:rsid w:val="009D2309"/>
    <w:rsid w:val="009D260C"/>
    <w:rsid w:val="009D4961"/>
    <w:rsid w:val="009D5B75"/>
    <w:rsid w:val="009E28EB"/>
    <w:rsid w:val="009E453F"/>
    <w:rsid w:val="009E462D"/>
    <w:rsid w:val="009F2A23"/>
    <w:rsid w:val="009F4BE9"/>
    <w:rsid w:val="009F4DE5"/>
    <w:rsid w:val="009F56C0"/>
    <w:rsid w:val="009F621E"/>
    <w:rsid w:val="009F6297"/>
    <w:rsid w:val="00A0022E"/>
    <w:rsid w:val="00A0105B"/>
    <w:rsid w:val="00A044C9"/>
    <w:rsid w:val="00A05DBE"/>
    <w:rsid w:val="00A11079"/>
    <w:rsid w:val="00A12C27"/>
    <w:rsid w:val="00A13AB2"/>
    <w:rsid w:val="00A156BE"/>
    <w:rsid w:val="00A15DE7"/>
    <w:rsid w:val="00A165C8"/>
    <w:rsid w:val="00A20033"/>
    <w:rsid w:val="00A20406"/>
    <w:rsid w:val="00A21AD0"/>
    <w:rsid w:val="00A228ED"/>
    <w:rsid w:val="00A22E74"/>
    <w:rsid w:val="00A2384D"/>
    <w:rsid w:val="00A23E01"/>
    <w:rsid w:val="00A2438E"/>
    <w:rsid w:val="00A27879"/>
    <w:rsid w:val="00A309B2"/>
    <w:rsid w:val="00A32B25"/>
    <w:rsid w:val="00A3413D"/>
    <w:rsid w:val="00A35D17"/>
    <w:rsid w:val="00A36FAA"/>
    <w:rsid w:val="00A3718F"/>
    <w:rsid w:val="00A401FF"/>
    <w:rsid w:val="00A40A14"/>
    <w:rsid w:val="00A418AF"/>
    <w:rsid w:val="00A41D79"/>
    <w:rsid w:val="00A4288E"/>
    <w:rsid w:val="00A42D92"/>
    <w:rsid w:val="00A45474"/>
    <w:rsid w:val="00A45C4C"/>
    <w:rsid w:val="00A45F63"/>
    <w:rsid w:val="00A46AE5"/>
    <w:rsid w:val="00A46DC4"/>
    <w:rsid w:val="00A47D42"/>
    <w:rsid w:val="00A50A6C"/>
    <w:rsid w:val="00A51BDC"/>
    <w:rsid w:val="00A5337E"/>
    <w:rsid w:val="00A53AA6"/>
    <w:rsid w:val="00A57185"/>
    <w:rsid w:val="00A574B8"/>
    <w:rsid w:val="00A60255"/>
    <w:rsid w:val="00A618DA"/>
    <w:rsid w:val="00A64B87"/>
    <w:rsid w:val="00A728FB"/>
    <w:rsid w:val="00A7316B"/>
    <w:rsid w:val="00A736CB"/>
    <w:rsid w:val="00A764C8"/>
    <w:rsid w:val="00A76D6B"/>
    <w:rsid w:val="00A83C09"/>
    <w:rsid w:val="00A843FE"/>
    <w:rsid w:val="00A84C72"/>
    <w:rsid w:val="00A84DB1"/>
    <w:rsid w:val="00A85402"/>
    <w:rsid w:val="00A87A8A"/>
    <w:rsid w:val="00A902BE"/>
    <w:rsid w:val="00A903FE"/>
    <w:rsid w:val="00A91C8C"/>
    <w:rsid w:val="00A95EE0"/>
    <w:rsid w:val="00A96C75"/>
    <w:rsid w:val="00A96DE2"/>
    <w:rsid w:val="00AA1DC4"/>
    <w:rsid w:val="00AA2C44"/>
    <w:rsid w:val="00AA38BA"/>
    <w:rsid w:val="00AA3CF1"/>
    <w:rsid w:val="00AA4587"/>
    <w:rsid w:val="00AA47EE"/>
    <w:rsid w:val="00AA66FC"/>
    <w:rsid w:val="00AA70BB"/>
    <w:rsid w:val="00AA7BA6"/>
    <w:rsid w:val="00AB0E46"/>
    <w:rsid w:val="00AB3DCD"/>
    <w:rsid w:val="00AB42DD"/>
    <w:rsid w:val="00AB4978"/>
    <w:rsid w:val="00AB4C62"/>
    <w:rsid w:val="00AC1C4F"/>
    <w:rsid w:val="00AC20FF"/>
    <w:rsid w:val="00AC2128"/>
    <w:rsid w:val="00AC2AB9"/>
    <w:rsid w:val="00AC335F"/>
    <w:rsid w:val="00AC419A"/>
    <w:rsid w:val="00AC5157"/>
    <w:rsid w:val="00AC5F86"/>
    <w:rsid w:val="00AD0B49"/>
    <w:rsid w:val="00AD18A7"/>
    <w:rsid w:val="00AD4475"/>
    <w:rsid w:val="00AD4B29"/>
    <w:rsid w:val="00AD66B9"/>
    <w:rsid w:val="00AD74F3"/>
    <w:rsid w:val="00AE002C"/>
    <w:rsid w:val="00AE09E4"/>
    <w:rsid w:val="00AE2A6A"/>
    <w:rsid w:val="00AE6BB1"/>
    <w:rsid w:val="00AE6C19"/>
    <w:rsid w:val="00AE7453"/>
    <w:rsid w:val="00AF00DA"/>
    <w:rsid w:val="00AF0A97"/>
    <w:rsid w:val="00AF3E53"/>
    <w:rsid w:val="00AF5022"/>
    <w:rsid w:val="00AF50FD"/>
    <w:rsid w:val="00AF5AA1"/>
    <w:rsid w:val="00AF5C5E"/>
    <w:rsid w:val="00AF6175"/>
    <w:rsid w:val="00AF6832"/>
    <w:rsid w:val="00AF77F2"/>
    <w:rsid w:val="00AF7A7E"/>
    <w:rsid w:val="00AF7C73"/>
    <w:rsid w:val="00B002A6"/>
    <w:rsid w:val="00B017B3"/>
    <w:rsid w:val="00B03D2C"/>
    <w:rsid w:val="00B05392"/>
    <w:rsid w:val="00B07090"/>
    <w:rsid w:val="00B070EF"/>
    <w:rsid w:val="00B10D48"/>
    <w:rsid w:val="00B136CB"/>
    <w:rsid w:val="00B13E2B"/>
    <w:rsid w:val="00B14828"/>
    <w:rsid w:val="00B15477"/>
    <w:rsid w:val="00B17CD5"/>
    <w:rsid w:val="00B20E3D"/>
    <w:rsid w:val="00B21117"/>
    <w:rsid w:val="00B24338"/>
    <w:rsid w:val="00B2518C"/>
    <w:rsid w:val="00B25356"/>
    <w:rsid w:val="00B26881"/>
    <w:rsid w:val="00B2724F"/>
    <w:rsid w:val="00B276BE"/>
    <w:rsid w:val="00B305AB"/>
    <w:rsid w:val="00B310E8"/>
    <w:rsid w:val="00B31CDF"/>
    <w:rsid w:val="00B330DA"/>
    <w:rsid w:val="00B33303"/>
    <w:rsid w:val="00B34764"/>
    <w:rsid w:val="00B34C34"/>
    <w:rsid w:val="00B34F51"/>
    <w:rsid w:val="00B363BF"/>
    <w:rsid w:val="00B368AB"/>
    <w:rsid w:val="00B369F0"/>
    <w:rsid w:val="00B36C19"/>
    <w:rsid w:val="00B37DFA"/>
    <w:rsid w:val="00B40E37"/>
    <w:rsid w:val="00B42E44"/>
    <w:rsid w:val="00B433ED"/>
    <w:rsid w:val="00B43B26"/>
    <w:rsid w:val="00B45370"/>
    <w:rsid w:val="00B45401"/>
    <w:rsid w:val="00B5118B"/>
    <w:rsid w:val="00B5158B"/>
    <w:rsid w:val="00B51A3B"/>
    <w:rsid w:val="00B536BE"/>
    <w:rsid w:val="00B543AB"/>
    <w:rsid w:val="00B5495C"/>
    <w:rsid w:val="00B610D2"/>
    <w:rsid w:val="00B64BE2"/>
    <w:rsid w:val="00B65BC9"/>
    <w:rsid w:val="00B66D5C"/>
    <w:rsid w:val="00B678CC"/>
    <w:rsid w:val="00B67980"/>
    <w:rsid w:val="00B70618"/>
    <w:rsid w:val="00B70BE9"/>
    <w:rsid w:val="00B71E38"/>
    <w:rsid w:val="00B72064"/>
    <w:rsid w:val="00B75B7F"/>
    <w:rsid w:val="00B804C5"/>
    <w:rsid w:val="00B8158B"/>
    <w:rsid w:val="00B8203F"/>
    <w:rsid w:val="00B8585C"/>
    <w:rsid w:val="00B86104"/>
    <w:rsid w:val="00B86297"/>
    <w:rsid w:val="00B865F0"/>
    <w:rsid w:val="00B90C02"/>
    <w:rsid w:val="00B90E4A"/>
    <w:rsid w:val="00B953E3"/>
    <w:rsid w:val="00B96C81"/>
    <w:rsid w:val="00B97F96"/>
    <w:rsid w:val="00BA05AE"/>
    <w:rsid w:val="00BA145D"/>
    <w:rsid w:val="00BA237A"/>
    <w:rsid w:val="00BA4361"/>
    <w:rsid w:val="00BA531F"/>
    <w:rsid w:val="00BA75E9"/>
    <w:rsid w:val="00BA766F"/>
    <w:rsid w:val="00BB12E4"/>
    <w:rsid w:val="00BB2668"/>
    <w:rsid w:val="00BB38E9"/>
    <w:rsid w:val="00BB580E"/>
    <w:rsid w:val="00BB6606"/>
    <w:rsid w:val="00BB7C9C"/>
    <w:rsid w:val="00BC1B2A"/>
    <w:rsid w:val="00BC2763"/>
    <w:rsid w:val="00BC313B"/>
    <w:rsid w:val="00BD335B"/>
    <w:rsid w:val="00BD45F6"/>
    <w:rsid w:val="00BD493B"/>
    <w:rsid w:val="00BD4BB2"/>
    <w:rsid w:val="00BD4F76"/>
    <w:rsid w:val="00BD7F23"/>
    <w:rsid w:val="00BE0256"/>
    <w:rsid w:val="00BE25D2"/>
    <w:rsid w:val="00BE44C9"/>
    <w:rsid w:val="00BE523F"/>
    <w:rsid w:val="00BE5BE5"/>
    <w:rsid w:val="00BE683A"/>
    <w:rsid w:val="00BE7D35"/>
    <w:rsid w:val="00BE7D7C"/>
    <w:rsid w:val="00BF04E9"/>
    <w:rsid w:val="00BF1ADA"/>
    <w:rsid w:val="00BF61AB"/>
    <w:rsid w:val="00C00695"/>
    <w:rsid w:val="00C037CC"/>
    <w:rsid w:val="00C045D7"/>
    <w:rsid w:val="00C046E1"/>
    <w:rsid w:val="00C0590A"/>
    <w:rsid w:val="00C07BC2"/>
    <w:rsid w:val="00C10104"/>
    <w:rsid w:val="00C1021E"/>
    <w:rsid w:val="00C1094F"/>
    <w:rsid w:val="00C138E9"/>
    <w:rsid w:val="00C1430C"/>
    <w:rsid w:val="00C14CDE"/>
    <w:rsid w:val="00C15118"/>
    <w:rsid w:val="00C1562A"/>
    <w:rsid w:val="00C1581F"/>
    <w:rsid w:val="00C15CB1"/>
    <w:rsid w:val="00C15DD6"/>
    <w:rsid w:val="00C21663"/>
    <w:rsid w:val="00C234DF"/>
    <w:rsid w:val="00C23C4A"/>
    <w:rsid w:val="00C30764"/>
    <w:rsid w:val="00C31B31"/>
    <w:rsid w:val="00C32404"/>
    <w:rsid w:val="00C326EE"/>
    <w:rsid w:val="00C32B45"/>
    <w:rsid w:val="00C330FC"/>
    <w:rsid w:val="00C33303"/>
    <w:rsid w:val="00C3349D"/>
    <w:rsid w:val="00C338CB"/>
    <w:rsid w:val="00C3707E"/>
    <w:rsid w:val="00C4218F"/>
    <w:rsid w:val="00C450DA"/>
    <w:rsid w:val="00C45A6F"/>
    <w:rsid w:val="00C504BF"/>
    <w:rsid w:val="00C51489"/>
    <w:rsid w:val="00C51C6B"/>
    <w:rsid w:val="00C54587"/>
    <w:rsid w:val="00C546FC"/>
    <w:rsid w:val="00C55A9D"/>
    <w:rsid w:val="00C55C29"/>
    <w:rsid w:val="00C62743"/>
    <w:rsid w:val="00C643EF"/>
    <w:rsid w:val="00C64DC9"/>
    <w:rsid w:val="00C67013"/>
    <w:rsid w:val="00C700DE"/>
    <w:rsid w:val="00C7047C"/>
    <w:rsid w:val="00C71465"/>
    <w:rsid w:val="00C71A0B"/>
    <w:rsid w:val="00C74E8C"/>
    <w:rsid w:val="00C74ED9"/>
    <w:rsid w:val="00C75C05"/>
    <w:rsid w:val="00C8380E"/>
    <w:rsid w:val="00C83A75"/>
    <w:rsid w:val="00C84E02"/>
    <w:rsid w:val="00C84ECC"/>
    <w:rsid w:val="00C97033"/>
    <w:rsid w:val="00CA0C33"/>
    <w:rsid w:val="00CA1211"/>
    <w:rsid w:val="00CA19B2"/>
    <w:rsid w:val="00CA1CB7"/>
    <w:rsid w:val="00CA2B41"/>
    <w:rsid w:val="00CA314E"/>
    <w:rsid w:val="00CA4D4A"/>
    <w:rsid w:val="00CA7326"/>
    <w:rsid w:val="00CA742C"/>
    <w:rsid w:val="00CB1BB5"/>
    <w:rsid w:val="00CB22E6"/>
    <w:rsid w:val="00CB316A"/>
    <w:rsid w:val="00CB35EE"/>
    <w:rsid w:val="00CB52C9"/>
    <w:rsid w:val="00CB63CF"/>
    <w:rsid w:val="00CB6E51"/>
    <w:rsid w:val="00CB7F6B"/>
    <w:rsid w:val="00CC00AC"/>
    <w:rsid w:val="00CC0E7C"/>
    <w:rsid w:val="00CC325D"/>
    <w:rsid w:val="00CC3BA8"/>
    <w:rsid w:val="00CC3BE0"/>
    <w:rsid w:val="00CC40A1"/>
    <w:rsid w:val="00CC566C"/>
    <w:rsid w:val="00CC5D97"/>
    <w:rsid w:val="00CD088D"/>
    <w:rsid w:val="00CD23DA"/>
    <w:rsid w:val="00CD3623"/>
    <w:rsid w:val="00CD5B20"/>
    <w:rsid w:val="00CD662A"/>
    <w:rsid w:val="00CD6CF8"/>
    <w:rsid w:val="00CE1E8C"/>
    <w:rsid w:val="00CE6712"/>
    <w:rsid w:val="00CE6DFA"/>
    <w:rsid w:val="00CE77D1"/>
    <w:rsid w:val="00CF05B8"/>
    <w:rsid w:val="00CF23EE"/>
    <w:rsid w:val="00CF2F14"/>
    <w:rsid w:val="00CF3637"/>
    <w:rsid w:val="00CF4AA1"/>
    <w:rsid w:val="00CF4C9C"/>
    <w:rsid w:val="00D00012"/>
    <w:rsid w:val="00D01316"/>
    <w:rsid w:val="00D018E4"/>
    <w:rsid w:val="00D02E21"/>
    <w:rsid w:val="00D0390D"/>
    <w:rsid w:val="00D05C5B"/>
    <w:rsid w:val="00D10517"/>
    <w:rsid w:val="00D1233E"/>
    <w:rsid w:val="00D130F2"/>
    <w:rsid w:val="00D13A7D"/>
    <w:rsid w:val="00D141E1"/>
    <w:rsid w:val="00D14458"/>
    <w:rsid w:val="00D15F31"/>
    <w:rsid w:val="00D16CF9"/>
    <w:rsid w:val="00D17256"/>
    <w:rsid w:val="00D173BB"/>
    <w:rsid w:val="00D21B4B"/>
    <w:rsid w:val="00D24277"/>
    <w:rsid w:val="00D248FA"/>
    <w:rsid w:val="00D24B5C"/>
    <w:rsid w:val="00D24E35"/>
    <w:rsid w:val="00D3000D"/>
    <w:rsid w:val="00D3024D"/>
    <w:rsid w:val="00D3192B"/>
    <w:rsid w:val="00D324BB"/>
    <w:rsid w:val="00D338FC"/>
    <w:rsid w:val="00D33DE0"/>
    <w:rsid w:val="00D35748"/>
    <w:rsid w:val="00D402B1"/>
    <w:rsid w:val="00D404A9"/>
    <w:rsid w:val="00D40FA0"/>
    <w:rsid w:val="00D42950"/>
    <w:rsid w:val="00D44524"/>
    <w:rsid w:val="00D45355"/>
    <w:rsid w:val="00D45AD1"/>
    <w:rsid w:val="00D45CCD"/>
    <w:rsid w:val="00D46DA2"/>
    <w:rsid w:val="00D52B41"/>
    <w:rsid w:val="00D52C87"/>
    <w:rsid w:val="00D5479D"/>
    <w:rsid w:val="00D6211B"/>
    <w:rsid w:val="00D622FF"/>
    <w:rsid w:val="00D63EB7"/>
    <w:rsid w:val="00D652D2"/>
    <w:rsid w:val="00D65A59"/>
    <w:rsid w:val="00D661FD"/>
    <w:rsid w:val="00D66424"/>
    <w:rsid w:val="00D670C4"/>
    <w:rsid w:val="00D67228"/>
    <w:rsid w:val="00D703BC"/>
    <w:rsid w:val="00D705D4"/>
    <w:rsid w:val="00D742BA"/>
    <w:rsid w:val="00D74F5D"/>
    <w:rsid w:val="00D767B5"/>
    <w:rsid w:val="00D80ECA"/>
    <w:rsid w:val="00D8136F"/>
    <w:rsid w:val="00D825EA"/>
    <w:rsid w:val="00D829D5"/>
    <w:rsid w:val="00D83EB7"/>
    <w:rsid w:val="00D8459D"/>
    <w:rsid w:val="00D847DA"/>
    <w:rsid w:val="00D85A28"/>
    <w:rsid w:val="00D85D4E"/>
    <w:rsid w:val="00D86318"/>
    <w:rsid w:val="00D8669E"/>
    <w:rsid w:val="00D870C3"/>
    <w:rsid w:val="00D90EC3"/>
    <w:rsid w:val="00D912F2"/>
    <w:rsid w:val="00D96018"/>
    <w:rsid w:val="00D966AE"/>
    <w:rsid w:val="00D970C0"/>
    <w:rsid w:val="00D975F4"/>
    <w:rsid w:val="00DA0892"/>
    <w:rsid w:val="00DA218F"/>
    <w:rsid w:val="00DA2B12"/>
    <w:rsid w:val="00DA4C42"/>
    <w:rsid w:val="00DA71AF"/>
    <w:rsid w:val="00DB1FBD"/>
    <w:rsid w:val="00DB2510"/>
    <w:rsid w:val="00DB46B3"/>
    <w:rsid w:val="00DB626F"/>
    <w:rsid w:val="00DC0406"/>
    <w:rsid w:val="00DC23D0"/>
    <w:rsid w:val="00DC573A"/>
    <w:rsid w:val="00DC5EB6"/>
    <w:rsid w:val="00DD43FA"/>
    <w:rsid w:val="00DE2DB7"/>
    <w:rsid w:val="00DE585C"/>
    <w:rsid w:val="00DE58F0"/>
    <w:rsid w:val="00DE75EC"/>
    <w:rsid w:val="00DE7CA9"/>
    <w:rsid w:val="00DE7EA0"/>
    <w:rsid w:val="00DF2050"/>
    <w:rsid w:val="00DF37E4"/>
    <w:rsid w:val="00DF4069"/>
    <w:rsid w:val="00DF4E68"/>
    <w:rsid w:val="00DF77D6"/>
    <w:rsid w:val="00E002B6"/>
    <w:rsid w:val="00E00B5B"/>
    <w:rsid w:val="00E01C90"/>
    <w:rsid w:val="00E02045"/>
    <w:rsid w:val="00E022E7"/>
    <w:rsid w:val="00E02310"/>
    <w:rsid w:val="00E048C2"/>
    <w:rsid w:val="00E11619"/>
    <w:rsid w:val="00E11784"/>
    <w:rsid w:val="00E14C67"/>
    <w:rsid w:val="00E15BC3"/>
    <w:rsid w:val="00E21132"/>
    <w:rsid w:val="00E212B0"/>
    <w:rsid w:val="00E227D9"/>
    <w:rsid w:val="00E22925"/>
    <w:rsid w:val="00E23EED"/>
    <w:rsid w:val="00E25520"/>
    <w:rsid w:val="00E255FD"/>
    <w:rsid w:val="00E30017"/>
    <w:rsid w:val="00E30F9D"/>
    <w:rsid w:val="00E31063"/>
    <w:rsid w:val="00E31BAD"/>
    <w:rsid w:val="00E32828"/>
    <w:rsid w:val="00E3411E"/>
    <w:rsid w:val="00E34247"/>
    <w:rsid w:val="00E34911"/>
    <w:rsid w:val="00E34AD1"/>
    <w:rsid w:val="00E34E78"/>
    <w:rsid w:val="00E354EC"/>
    <w:rsid w:val="00E35E99"/>
    <w:rsid w:val="00E36722"/>
    <w:rsid w:val="00E36FFA"/>
    <w:rsid w:val="00E4163E"/>
    <w:rsid w:val="00E43EB2"/>
    <w:rsid w:val="00E44F6A"/>
    <w:rsid w:val="00E465D5"/>
    <w:rsid w:val="00E46C7E"/>
    <w:rsid w:val="00E46DBF"/>
    <w:rsid w:val="00E509B9"/>
    <w:rsid w:val="00E5141B"/>
    <w:rsid w:val="00E523FC"/>
    <w:rsid w:val="00E53802"/>
    <w:rsid w:val="00E5429D"/>
    <w:rsid w:val="00E54C15"/>
    <w:rsid w:val="00E54FEA"/>
    <w:rsid w:val="00E563E5"/>
    <w:rsid w:val="00E56E22"/>
    <w:rsid w:val="00E571F8"/>
    <w:rsid w:val="00E61BF9"/>
    <w:rsid w:val="00E61DF7"/>
    <w:rsid w:val="00E61E10"/>
    <w:rsid w:val="00E6261F"/>
    <w:rsid w:val="00E62AAF"/>
    <w:rsid w:val="00E64191"/>
    <w:rsid w:val="00E6487F"/>
    <w:rsid w:val="00E6678F"/>
    <w:rsid w:val="00E66C29"/>
    <w:rsid w:val="00E67B99"/>
    <w:rsid w:val="00E67ED9"/>
    <w:rsid w:val="00E711E6"/>
    <w:rsid w:val="00E714C0"/>
    <w:rsid w:val="00E82A22"/>
    <w:rsid w:val="00E82DDF"/>
    <w:rsid w:val="00E854B4"/>
    <w:rsid w:val="00E85C7D"/>
    <w:rsid w:val="00E8694A"/>
    <w:rsid w:val="00E873F9"/>
    <w:rsid w:val="00E8753D"/>
    <w:rsid w:val="00E90544"/>
    <w:rsid w:val="00E91824"/>
    <w:rsid w:val="00E93113"/>
    <w:rsid w:val="00E9352B"/>
    <w:rsid w:val="00E94B9D"/>
    <w:rsid w:val="00E95AC8"/>
    <w:rsid w:val="00E97FF6"/>
    <w:rsid w:val="00EA1556"/>
    <w:rsid w:val="00EA3B5E"/>
    <w:rsid w:val="00EA4659"/>
    <w:rsid w:val="00EA4B0D"/>
    <w:rsid w:val="00EA4D23"/>
    <w:rsid w:val="00EA511A"/>
    <w:rsid w:val="00EA5FD1"/>
    <w:rsid w:val="00EA6E6B"/>
    <w:rsid w:val="00EB0600"/>
    <w:rsid w:val="00EB549A"/>
    <w:rsid w:val="00EB7822"/>
    <w:rsid w:val="00EB7A14"/>
    <w:rsid w:val="00EC037C"/>
    <w:rsid w:val="00EC4797"/>
    <w:rsid w:val="00EC4D0E"/>
    <w:rsid w:val="00EC4DC2"/>
    <w:rsid w:val="00EC7F88"/>
    <w:rsid w:val="00ED05E7"/>
    <w:rsid w:val="00ED0FAE"/>
    <w:rsid w:val="00ED22A9"/>
    <w:rsid w:val="00ED3891"/>
    <w:rsid w:val="00ED3AA5"/>
    <w:rsid w:val="00ED55D3"/>
    <w:rsid w:val="00ED58DB"/>
    <w:rsid w:val="00ED6F1C"/>
    <w:rsid w:val="00EE2273"/>
    <w:rsid w:val="00EE24E7"/>
    <w:rsid w:val="00EE26B4"/>
    <w:rsid w:val="00EE2947"/>
    <w:rsid w:val="00EE4137"/>
    <w:rsid w:val="00EE75C4"/>
    <w:rsid w:val="00EF0297"/>
    <w:rsid w:val="00EF1C82"/>
    <w:rsid w:val="00EF24FE"/>
    <w:rsid w:val="00EF485F"/>
    <w:rsid w:val="00EF488D"/>
    <w:rsid w:val="00EF68B1"/>
    <w:rsid w:val="00F01531"/>
    <w:rsid w:val="00F01B4C"/>
    <w:rsid w:val="00F0406C"/>
    <w:rsid w:val="00F042C7"/>
    <w:rsid w:val="00F0531A"/>
    <w:rsid w:val="00F05946"/>
    <w:rsid w:val="00F05FB0"/>
    <w:rsid w:val="00F10C13"/>
    <w:rsid w:val="00F11651"/>
    <w:rsid w:val="00F11821"/>
    <w:rsid w:val="00F12544"/>
    <w:rsid w:val="00F15091"/>
    <w:rsid w:val="00F16151"/>
    <w:rsid w:val="00F177CF"/>
    <w:rsid w:val="00F17872"/>
    <w:rsid w:val="00F17BBD"/>
    <w:rsid w:val="00F21152"/>
    <w:rsid w:val="00F256C5"/>
    <w:rsid w:val="00F25E36"/>
    <w:rsid w:val="00F27580"/>
    <w:rsid w:val="00F27BA3"/>
    <w:rsid w:val="00F27CF6"/>
    <w:rsid w:val="00F3160E"/>
    <w:rsid w:val="00F3288F"/>
    <w:rsid w:val="00F345B9"/>
    <w:rsid w:val="00F37A26"/>
    <w:rsid w:val="00F37B71"/>
    <w:rsid w:val="00F402B4"/>
    <w:rsid w:val="00F40372"/>
    <w:rsid w:val="00F438EF"/>
    <w:rsid w:val="00F460BA"/>
    <w:rsid w:val="00F47F16"/>
    <w:rsid w:val="00F5125E"/>
    <w:rsid w:val="00F51C2F"/>
    <w:rsid w:val="00F53A27"/>
    <w:rsid w:val="00F54968"/>
    <w:rsid w:val="00F54E1E"/>
    <w:rsid w:val="00F60CF1"/>
    <w:rsid w:val="00F63898"/>
    <w:rsid w:val="00F658A6"/>
    <w:rsid w:val="00F6794E"/>
    <w:rsid w:val="00F713E1"/>
    <w:rsid w:val="00F717C8"/>
    <w:rsid w:val="00F72566"/>
    <w:rsid w:val="00F744E2"/>
    <w:rsid w:val="00F758EF"/>
    <w:rsid w:val="00F75EBF"/>
    <w:rsid w:val="00F763BF"/>
    <w:rsid w:val="00F76503"/>
    <w:rsid w:val="00F800C2"/>
    <w:rsid w:val="00F8053E"/>
    <w:rsid w:val="00F835BE"/>
    <w:rsid w:val="00F83B99"/>
    <w:rsid w:val="00F84149"/>
    <w:rsid w:val="00F9178F"/>
    <w:rsid w:val="00F926E8"/>
    <w:rsid w:val="00F952D4"/>
    <w:rsid w:val="00FA205E"/>
    <w:rsid w:val="00FA2201"/>
    <w:rsid w:val="00FA2EF7"/>
    <w:rsid w:val="00FA46F0"/>
    <w:rsid w:val="00FA4B75"/>
    <w:rsid w:val="00FA7799"/>
    <w:rsid w:val="00FA78E4"/>
    <w:rsid w:val="00FB08C9"/>
    <w:rsid w:val="00FB0971"/>
    <w:rsid w:val="00FB0C9B"/>
    <w:rsid w:val="00FB1235"/>
    <w:rsid w:val="00FB4220"/>
    <w:rsid w:val="00FC0C7C"/>
    <w:rsid w:val="00FC23E1"/>
    <w:rsid w:val="00FC27EF"/>
    <w:rsid w:val="00FC2BCA"/>
    <w:rsid w:val="00FC3010"/>
    <w:rsid w:val="00FC37DD"/>
    <w:rsid w:val="00FC3A54"/>
    <w:rsid w:val="00FC4298"/>
    <w:rsid w:val="00FC45B7"/>
    <w:rsid w:val="00FC5088"/>
    <w:rsid w:val="00FC745D"/>
    <w:rsid w:val="00FC74DD"/>
    <w:rsid w:val="00FD4932"/>
    <w:rsid w:val="00FD5A5F"/>
    <w:rsid w:val="00FE21B1"/>
    <w:rsid w:val="00FE240D"/>
    <w:rsid w:val="00FE6F11"/>
    <w:rsid w:val="00FE7F7E"/>
    <w:rsid w:val="00FF0579"/>
    <w:rsid w:val="00FF28AA"/>
    <w:rsid w:val="00FF391D"/>
    <w:rsid w:val="00FF4E8A"/>
    <w:rsid w:val="00FF7B3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49"/>
    <o:shapelayout v:ext="edit">
      <o:idmap v:ext="edit" data="1"/>
    </o:shapelayout>
  </w:shapeDefaults>
  <w:decimalSymbol w:val=","/>
  <w:listSeparator w:val=";"/>
  <w15:chartTrackingRefBased/>
  <w15:docId w15:val="{7B4B8529-7407-438F-B4F9-32E01EDAE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E5D54"/>
    <w:rPr>
      <w:sz w:val="24"/>
      <w:szCs w:val="24"/>
    </w:rPr>
  </w:style>
  <w:style w:type="paragraph" w:styleId="Nagwek1">
    <w:name w:val="heading 1"/>
    <w:basedOn w:val="Normalny"/>
    <w:next w:val="Normalny"/>
    <w:link w:val="Nagwek1Znak"/>
    <w:qFormat/>
    <w:rsid w:val="0030545E"/>
    <w:pPr>
      <w:keepNext/>
      <w:outlineLvl w:val="0"/>
    </w:pPr>
    <w:rPr>
      <w:rFonts w:ascii="Arial" w:hAnsi="Arial"/>
      <w:i/>
      <w:sz w:val="22"/>
      <w:szCs w:val="20"/>
      <w:lang w:val="en-US" w:eastAsia="x-none"/>
    </w:rPr>
  </w:style>
  <w:style w:type="paragraph" w:styleId="Nagwek2">
    <w:name w:val="heading 2"/>
    <w:basedOn w:val="Normalny"/>
    <w:next w:val="Normalny"/>
    <w:link w:val="Nagwek2Znak"/>
    <w:qFormat/>
    <w:rsid w:val="0030545E"/>
    <w:pPr>
      <w:keepNext/>
      <w:tabs>
        <w:tab w:val="left" w:pos="284"/>
      </w:tabs>
      <w:outlineLvl w:val="1"/>
    </w:pPr>
    <w:rPr>
      <w:rFonts w:ascii="Arial" w:hAnsi="Arial"/>
      <w:i/>
      <w:szCs w:val="20"/>
      <w:lang w:val="en-US" w:eastAsia="x-none"/>
    </w:rPr>
  </w:style>
  <w:style w:type="paragraph" w:styleId="Nagwek3">
    <w:name w:val="heading 3"/>
    <w:basedOn w:val="Normalny"/>
    <w:next w:val="Normalny"/>
    <w:link w:val="Nagwek3Znak"/>
    <w:qFormat/>
    <w:rsid w:val="000A29E4"/>
    <w:pPr>
      <w:keepNext/>
      <w:tabs>
        <w:tab w:val="right" w:leader="dot" w:pos="4961"/>
      </w:tabs>
      <w:spacing w:line="288" w:lineRule="auto"/>
      <w:outlineLvl w:val="2"/>
    </w:pPr>
    <w:rPr>
      <w:rFonts w:ascii="Arial" w:hAnsi="Arial"/>
      <w:i/>
      <w:color w:val="000000"/>
      <w:sz w:val="18"/>
      <w:szCs w:val="20"/>
      <w:lang w:val="x-none" w:eastAsia="x-none"/>
    </w:rPr>
  </w:style>
  <w:style w:type="paragraph" w:styleId="Nagwek4">
    <w:name w:val="heading 4"/>
    <w:basedOn w:val="Normalny"/>
    <w:next w:val="Normalny"/>
    <w:link w:val="Nagwek4Znak"/>
    <w:qFormat/>
    <w:rsid w:val="0030545E"/>
    <w:pPr>
      <w:keepNext/>
      <w:tabs>
        <w:tab w:val="left" w:pos="284"/>
      </w:tabs>
      <w:outlineLvl w:val="3"/>
    </w:pPr>
    <w:rPr>
      <w:rFonts w:ascii="Arial" w:hAnsi="Arial"/>
      <w:szCs w:val="20"/>
      <w:lang w:val="en-US" w:eastAsia="x-none"/>
    </w:rPr>
  </w:style>
  <w:style w:type="paragraph" w:styleId="Nagwek5">
    <w:name w:val="heading 5"/>
    <w:basedOn w:val="Normalny"/>
    <w:next w:val="Normalny"/>
    <w:link w:val="Nagwek5Znak"/>
    <w:qFormat/>
    <w:rsid w:val="0030545E"/>
    <w:pPr>
      <w:keepNext/>
      <w:jc w:val="both"/>
      <w:outlineLvl w:val="4"/>
    </w:pPr>
    <w:rPr>
      <w:b/>
      <w:szCs w:val="20"/>
      <w:lang w:val="en-GB"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semiHidden/>
    <w:rsid w:val="009C7B81"/>
    <w:rPr>
      <w:rFonts w:ascii="Tahoma" w:hAnsi="Tahoma" w:cs="Tahoma"/>
      <w:sz w:val="16"/>
      <w:szCs w:val="16"/>
    </w:rPr>
  </w:style>
  <w:style w:type="character" w:styleId="Hipercze">
    <w:name w:val="Hyperlink"/>
    <w:rsid w:val="0030545E"/>
    <w:rPr>
      <w:color w:val="0000FF"/>
      <w:u w:val="single"/>
    </w:rPr>
  </w:style>
  <w:style w:type="character" w:customStyle="1" w:styleId="Nagwek1Znak">
    <w:name w:val="Nagłówek 1 Znak"/>
    <w:link w:val="Nagwek1"/>
    <w:rsid w:val="0030545E"/>
    <w:rPr>
      <w:rFonts w:ascii="Arial" w:hAnsi="Arial"/>
      <w:i/>
      <w:sz w:val="22"/>
      <w:lang w:val="en-US"/>
    </w:rPr>
  </w:style>
  <w:style w:type="character" w:customStyle="1" w:styleId="Nagwek2Znak">
    <w:name w:val="Nagłówek 2 Znak"/>
    <w:link w:val="Nagwek2"/>
    <w:rsid w:val="0030545E"/>
    <w:rPr>
      <w:rFonts w:ascii="Arial" w:hAnsi="Arial"/>
      <w:i/>
      <w:sz w:val="24"/>
      <w:lang w:val="en-US"/>
    </w:rPr>
  </w:style>
  <w:style w:type="character" w:customStyle="1" w:styleId="Nagwek4Znak">
    <w:name w:val="Nagłówek 4 Znak"/>
    <w:link w:val="Nagwek4"/>
    <w:rsid w:val="0030545E"/>
    <w:rPr>
      <w:rFonts w:ascii="Arial" w:hAnsi="Arial"/>
      <w:sz w:val="24"/>
      <w:lang w:val="en-US"/>
    </w:rPr>
  </w:style>
  <w:style w:type="character" w:customStyle="1" w:styleId="Nagwek5Znak">
    <w:name w:val="Nagłówek 5 Znak"/>
    <w:link w:val="Nagwek5"/>
    <w:rsid w:val="0030545E"/>
    <w:rPr>
      <w:b/>
      <w:sz w:val="24"/>
      <w:lang w:val="en-GB"/>
    </w:rPr>
  </w:style>
  <w:style w:type="paragraph" w:styleId="Nagwek">
    <w:name w:val="header"/>
    <w:basedOn w:val="Normalny"/>
    <w:link w:val="NagwekZnak"/>
    <w:rsid w:val="0030545E"/>
    <w:pPr>
      <w:tabs>
        <w:tab w:val="center" w:pos="4536"/>
        <w:tab w:val="right" w:pos="9072"/>
      </w:tabs>
    </w:pPr>
    <w:rPr>
      <w:sz w:val="20"/>
      <w:szCs w:val="20"/>
      <w:lang w:val="en-US" w:eastAsia="x-none"/>
    </w:rPr>
  </w:style>
  <w:style w:type="character" w:customStyle="1" w:styleId="NagwekZnak">
    <w:name w:val="Nagłówek Znak"/>
    <w:link w:val="Nagwek"/>
    <w:uiPriority w:val="99"/>
    <w:rsid w:val="0030545E"/>
    <w:rPr>
      <w:lang w:val="en-US"/>
    </w:rPr>
  </w:style>
  <w:style w:type="character" w:styleId="Numerstrony">
    <w:name w:val="page number"/>
    <w:basedOn w:val="Domylnaczcionkaakapitu"/>
    <w:rsid w:val="0030545E"/>
  </w:style>
  <w:style w:type="paragraph" w:styleId="Stopka">
    <w:name w:val="footer"/>
    <w:basedOn w:val="Normalny"/>
    <w:link w:val="StopkaZnak"/>
    <w:rsid w:val="0030545E"/>
    <w:pPr>
      <w:tabs>
        <w:tab w:val="center" w:pos="4536"/>
        <w:tab w:val="right" w:pos="9072"/>
      </w:tabs>
    </w:pPr>
    <w:rPr>
      <w:sz w:val="20"/>
      <w:szCs w:val="20"/>
      <w:lang w:val="en-US" w:eastAsia="x-none"/>
    </w:rPr>
  </w:style>
  <w:style w:type="character" w:customStyle="1" w:styleId="StopkaZnak">
    <w:name w:val="Stopka Znak"/>
    <w:link w:val="Stopka"/>
    <w:rsid w:val="0030545E"/>
    <w:rPr>
      <w:lang w:val="en-US"/>
    </w:rPr>
  </w:style>
  <w:style w:type="paragraph" w:styleId="Tekstpodstawowywcity">
    <w:name w:val="Body Text Indent"/>
    <w:basedOn w:val="Normalny"/>
    <w:link w:val="TekstpodstawowywcityZnak"/>
    <w:rsid w:val="0030545E"/>
    <w:pPr>
      <w:spacing w:line="320" w:lineRule="atLeast"/>
      <w:ind w:left="426"/>
      <w:jc w:val="both"/>
    </w:pPr>
    <w:rPr>
      <w:rFonts w:ascii="Arial" w:hAnsi="Arial"/>
      <w:sz w:val="22"/>
      <w:szCs w:val="20"/>
      <w:lang w:val="en-US" w:eastAsia="x-none"/>
    </w:rPr>
  </w:style>
  <w:style w:type="character" w:customStyle="1" w:styleId="TekstpodstawowywcityZnak">
    <w:name w:val="Tekst podstawowy wcięty Znak"/>
    <w:link w:val="Tekstpodstawowywcity"/>
    <w:rsid w:val="0030545E"/>
    <w:rPr>
      <w:rFonts w:ascii="Arial" w:hAnsi="Arial"/>
      <w:sz w:val="22"/>
      <w:lang w:val="en-US"/>
    </w:rPr>
  </w:style>
  <w:style w:type="paragraph" w:styleId="Tekstpodstawowywcity2">
    <w:name w:val="Body Text Indent 2"/>
    <w:basedOn w:val="Normalny"/>
    <w:link w:val="Tekstpodstawowywcity2Znak"/>
    <w:rsid w:val="0030545E"/>
    <w:pPr>
      <w:spacing w:line="320" w:lineRule="atLeast"/>
      <w:ind w:left="425"/>
      <w:jc w:val="both"/>
    </w:pPr>
    <w:rPr>
      <w:rFonts w:ascii="Arial" w:hAnsi="Arial"/>
      <w:sz w:val="22"/>
      <w:szCs w:val="20"/>
      <w:lang w:val="en-US" w:eastAsia="x-none"/>
    </w:rPr>
  </w:style>
  <w:style w:type="character" w:customStyle="1" w:styleId="Tekstpodstawowywcity2Znak">
    <w:name w:val="Tekst podstawowy wcięty 2 Znak"/>
    <w:link w:val="Tekstpodstawowywcity2"/>
    <w:rsid w:val="0030545E"/>
    <w:rPr>
      <w:rFonts w:ascii="Arial" w:hAnsi="Arial"/>
      <w:sz w:val="22"/>
      <w:lang w:val="en-US"/>
    </w:rPr>
  </w:style>
  <w:style w:type="paragraph" w:styleId="Tekstpodstawowy">
    <w:name w:val="Body Text"/>
    <w:basedOn w:val="Normalny"/>
    <w:link w:val="TekstpodstawowyZnak"/>
    <w:rsid w:val="0030545E"/>
    <w:pPr>
      <w:spacing w:line="320" w:lineRule="atLeast"/>
      <w:jc w:val="both"/>
    </w:pPr>
    <w:rPr>
      <w:szCs w:val="20"/>
      <w:lang w:val="en-US" w:eastAsia="x-none"/>
    </w:rPr>
  </w:style>
  <w:style w:type="character" w:customStyle="1" w:styleId="TekstpodstawowyZnak">
    <w:name w:val="Tekst podstawowy Znak"/>
    <w:link w:val="Tekstpodstawowy"/>
    <w:rsid w:val="0030545E"/>
    <w:rPr>
      <w:sz w:val="24"/>
      <w:lang w:val="en-US"/>
    </w:rPr>
  </w:style>
  <w:style w:type="paragraph" w:styleId="Tekstpodstawowywcity3">
    <w:name w:val="Body Text Indent 3"/>
    <w:basedOn w:val="Normalny"/>
    <w:link w:val="Tekstpodstawowywcity3Znak"/>
    <w:rsid w:val="0030545E"/>
    <w:pPr>
      <w:spacing w:line="320" w:lineRule="atLeast"/>
      <w:ind w:left="851"/>
      <w:jc w:val="both"/>
    </w:pPr>
    <w:rPr>
      <w:rFonts w:ascii="Arial" w:hAnsi="Arial"/>
      <w:sz w:val="22"/>
      <w:szCs w:val="20"/>
      <w:lang w:val="en-US" w:eastAsia="x-none"/>
    </w:rPr>
  </w:style>
  <w:style w:type="character" w:customStyle="1" w:styleId="Tekstpodstawowywcity3Znak">
    <w:name w:val="Tekst podstawowy wcięty 3 Znak"/>
    <w:link w:val="Tekstpodstawowywcity3"/>
    <w:rsid w:val="0030545E"/>
    <w:rPr>
      <w:rFonts w:ascii="Arial" w:hAnsi="Arial"/>
      <w:sz w:val="22"/>
      <w:lang w:val="en-US"/>
    </w:rPr>
  </w:style>
  <w:style w:type="paragraph" w:styleId="Tekstpodstawowy2">
    <w:name w:val="Body Text 2"/>
    <w:basedOn w:val="Normalny"/>
    <w:link w:val="Tekstpodstawowy2Znak"/>
    <w:rsid w:val="0030545E"/>
    <w:pPr>
      <w:tabs>
        <w:tab w:val="left" w:pos="280"/>
        <w:tab w:val="left" w:pos="280"/>
      </w:tabs>
      <w:spacing w:line="300" w:lineRule="atLeast"/>
      <w:jc w:val="both"/>
    </w:pPr>
    <w:rPr>
      <w:rFonts w:ascii="Arial" w:hAnsi="Arial"/>
      <w:sz w:val="22"/>
      <w:szCs w:val="20"/>
      <w:lang w:val="en-US" w:eastAsia="x-none"/>
    </w:rPr>
  </w:style>
  <w:style w:type="character" w:customStyle="1" w:styleId="Tekstpodstawowy2Znak">
    <w:name w:val="Tekst podstawowy 2 Znak"/>
    <w:link w:val="Tekstpodstawowy2"/>
    <w:rsid w:val="0030545E"/>
    <w:rPr>
      <w:rFonts w:ascii="Arial" w:hAnsi="Arial"/>
      <w:sz w:val="22"/>
      <w:lang w:val="en-US"/>
    </w:rPr>
  </w:style>
  <w:style w:type="paragraph" w:styleId="Tekstpodstawowy3">
    <w:name w:val="Body Text 3"/>
    <w:basedOn w:val="Normalny"/>
    <w:link w:val="Tekstpodstawowy3Znak"/>
    <w:rsid w:val="0030545E"/>
    <w:pPr>
      <w:spacing w:line="320" w:lineRule="atLeast"/>
    </w:pPr>
    <w:rPr>
      <w:sz w:val="22"/>
      <w:szCs w:val="20"/>
      <w:lang w:val="en-US" w:eastAsia="x-none"/>
    </w:rPr>
  </w:style>
  <w:style w:type="character" w:customStyle="1" w:styleId="Tekstpodstawowy3Znak">
    <w:name w:val="Tekst podstawowy 3 Znak"/>
    <w:link w:val="Tekstpodstawowy3"/>
    <w:rsid w:val="0030545E"/>
    <w:rPr>
      <w:sz w:val="22"/>
      <w:lang w:val="en-US"/>
    </w:rPr>
  </w:style>
  <w:style w:type="paragraph" w:customStyle="1" w:styleId="Normalny12">
    <w:name w:val="Normalny + 12"/>
    <w:basedOn w:val="Tekstpodstawowy"/>
    <w:rsid w:val="0030545E"/>
    <w:pPr>
      <w:tabs>
        <w:tab w:val="left" w:pos="284"/>
      </w:tabs>
      <w:spacing w:line="300" w:lineRule="atLeast"/>
    </w:pPr>
    <w:rPr>
      <w:i/>
      <w:szCs w:val="24"/>
      <w:lang w:val="en-GB"/>
    </w:rPr>
  </w:style>
  <w:style w:type="character" w:customStyle="1" w:styleId="Nagwek3Znak">
    <w:name w:val="Nagłówek 3 Znak"/>
    <w:link w:val="Nagwek3"/>
    <w:rsid w:val="000A29E4"/>
    <w:rPr>
      <w:rFonts w:ascii="Arial" w:hAnsi="Arial"/>
      <w:i/>
      <w:color w:val="000000"/>
      <w:sz w:val="18"/>
    </w:rPr>
  </w:style>
  <w:style w:type="numbering" w:customStyle="1" w:styleId="Bezlisty1">
    <w:name w:val="Bez listy1"/>
    <w:next w:val="Bezlisty"/>
    <w:semiHidden/>
    <w:rsid w:val="000A29E4"/>
  </w:style>
  <w:style w:type="paragraph" w:customStyle="1" w:styleId="Styl1">
    <w:name w:val="Styl1"/>
    <w:basedOn w:val="Nagwek4"/>
    <w:rsid w:val="000A29E4"/>
    <w:pPr>
      <w:numPr>
        <w:ilvl w:val="2"/>
        <w:numId w:val="7"/>
      </w:numPr>
      <w:tabs>
        <w:tab w:val="clear" w:pos="284"/>
      </w:tabs>
      <w:spacing w:before="240" w:after="60"/>
    </w:pPr>
    <w:rPr>
      <w:rFonts w:ascii="Times New Roman" w:hAnsi="Times New Roman"/>
      <w:b/>
      <w:bCs/>
      <w:szCs w:val="24"/>
      <w:lang w:val="pl-PL" w:eastAsia="pl-PL"/>
    </w:rPr>
  </w:style>
  <w:style w:type="paragraph" w:customStyle="1" w:styleId="Tekstpodstawowy21">
    <w:name w:val="Tekst podstawowy 21"/>
    <w:basedOn w:val="Normalny"/>
    <w:rsid w:val="000A29E4"/>
    <w:pPr>
      <w:tabs>
        <w:tab w:val="left" w:pos="-720"/>
        <w:tab w:val="left" w:pos="0"/>
        <w:tab w:val="left" w:pos="277"/>
        <w:tab w:val="left" w:pos="554"/>
        <w:tab w:val="left" w:pos="832"/>
        <w:tab w:val="left" w:pos="1109"/>
        <w:tab w:val="left" w:pos="1386"/>
        <w:tab w:val="left" w:pos="1663"/>
        <w:tab w:val="left" w:pos="1940"/>
        <w:tab w:val="left" w:pos="2218"/>
        <w:tab w:val="left" w:pos="2495"/>
        <w:tab w:val="left" w:pos="2772"/>
        <w:tab w:val="left" w:pos="3049"/>
        <w:tab w:val="left" w:pos="3326"/>
        <w:tab w:val="left" w:pos="3604"/>
        <w:tab w:val="left" w:pos="3881"/>
        <w:tab w:val="left" w:pos="4158"/>
        <w:tab w:val="left" w:pos="4435"/>
        <w:tab w:val="left" w:pos="4712"/>
        <w:tab w:val="left" w:pos="4990"/>
        <w:tab w:val="left" w:pos="5267"/>
        <w:tab w:val="left" w:pos="5544"/>
        <w:tab w:val="left" w:pos="5821"/>
        <w:tab w:val="left" w:pos="6098"/>
        <w:tab w:val="left" w:pos="6376"/>
        <w:tab w:val="left" w:pos="6653"/>
        <w:tab w:val="left" w:pos="6930"/>
        <w:tab w:val="left" w:pos="7207"/>
        <w:tab w:val="left" w:pos="7484"/>
        <w:tab w:val="left" w:pos="7762"/>
        <w:tab w:val="left" w:pos="8039"/>
        <w:tab w:val="left" w:pos="8316"/>
        <w:tab w:val="left" w:pos="8593"/>
        <w:tab w:val="left" w:pos="8870"/>
        <w:tab w:val="left" w:pos="9148"/>
        <w:tab w:val="left" w:pos="9425"/>
      </w:tabs>
      <w:spacing w:line="336" w:lineRule="auto"/>
      <w:ind w:firstLine="567"/>
      <w:jc w:val="both"/>
    </w:pPr>
    <w:rPr>
      <w:spacing w:val="-3"/>
      <w:sz w:val="26"/>
      <w:szCs w:val="20"/>
    </w:rPr>
  </w:style>
  <w:style w:type="paragraph" w:styleId="Tekstprzypisudolnego">
    <w:name w:val="footnote text"/>
    <w:basedOn w:val="Normalny"/>
    <w:link w:val="TekstprzypisudolnegoZnak"/>
    <w:rsid w:val="000A29E4"/>
    <w:rPr>
      <w:sz w:val="20"/>
      <w:szCs w:val="20"/>
    </w:rPr>
  </w:style>
  <w:style w:type="character" w:customStyle="1" w:styleId="TekstprzypisudolnegoZnak">
    <w:name w:val="Tekst przypisu dolnego Znak"/>
    <w:basedOn w:val="Domylnaczcionkaakapitu"/>
    <w:link w:val="Tekstprzypisudolnego"/>
    <w:rsid w:val="000A29E4"/>
  </w:style>
  <w:style w:type="paragraph" w:customStyle="1" w:styleId="a">
    <w:basedOn w:val="Normalny"/>
    <w:next w:val="Mapadokumentu"/>
    <w:rsid w:val="000A29E4"/>
    <w:pPr>
      <w:shd w:val="clear" w:color="auto" w:fill="000080"/>
    </w:pPr>
    <w:rPr>
      <w:rFonts w:ascii="Tahoma" w:hAnsi="Tahoma" w:cs="Tahoma"/>
      <w:sz w:val="20"/>
      <w:szCs w:val="20"/>
    </w:rPr>
  </w:style>
  <w:style w:type="character" w:customStyle="1" w:styleId="result-point">
    <w:name w:val="result-point"/>
    <w:rsid w:val="000A29E4"/>
  </w:style>
  <w:style w:type="paragraph" w:styleId="Mapadokumentu">
    <w:name w:val="Document Map"/>
    <w:basedOn w:val="Normalny"/>
    <w:link w:val="MapadokumentuZnak"/>
    <w:rsid w:val="000A29E4"/>
    <w:rPr>
      <w:rFonts w:ascii="Tahoma" w:hAnsi="Tahoma"/>
      <w:sz w:val="16"/>
      <w:szCs w:val="16"/>
      <w:lang w:val="x-none" w:eastAsia="x-none"/>
    </w:rPr>
  </w:style>
  <w:style w:type="character" w:customStyle="1" w:styleId="MapadokumentuZnak">
    <w:name w:val="Mapa dokumentu Znak"/>
    <w:link w:val="Mapadokumentu"/>
    <w:rsid w:val="000A29E4"/>
    <w:rPr>
      <w:rFonts w:ascii="Tahoma" w:hAnsi="Tahoma" w:cs="Tahoma"/>
      <w:sz w:val="16"/>
      <w:szCs w:val="16"/>
    </w:rPr>
  </w:style>
  <w:style w:type="table" w:styleId="Tabela-Siatka">
    <w:name w:val="Table Grid"/>
    <w:basedOn w:val="Standardowy"/>
    <w:rsid w:val="000A55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uiPriority w:val="99"/>
    <w:semiHidden/>
    <w:rsid w:val="000C2ACE"/>
    <w:rPr>
      <w:color w:val="808080"/>
    </w:rPr>
  </w:style>
  <w:style w:type="character" w:customStyle="1" w:styleId="TekstdymkaZnak">
    <w:name w:val="Tekst dymka Znak"/>
    <w:link w:val="Tekstdymka"/>
    <w:semiHidden/>
    <w:rsid w:val="00C30764"/>
    <w:rPr>
      <w:rFonts w:ascii="Tahoma" w:hAnsi="Tahoma" w:cs="Tahoma"/>
      <w:sz w:val="16"/>
      <w:szCs w:val="16"/>
    </w:rPr>
  </w:style>
  <w:style w:type="character" w:customStyle="1" w:styleId="hps">
    <w:name w:val="hps"/>
    <w:rsid w:val="00C30764"/>
  </w:style>
  <w:style w:type="character" w:styleId="UyteHipercze">
    <w:name w:val="FollowedHyperlink"/>
    <w:rsid w:val="00C30764"/>
    <w:rPr>
      <w:color w:val="954F72"/>
      <w:u w:val="single"/>
    </w:rPr>
  </w:style>
  <w:style w:type="character" w:styleId="Odwoaniedokomentarza">
    <w:name w:val="annotation reference"/>
    <w:rsid w:val="00C30764"/>
    <w:rPr>
      <w:sz w:val="16"/>
      <w:szCs w:val="16"/>
    </w:rPr>
  </w:style>
  <w:style w:type="paragraph" w:styleId="Tekstkomentarza">
    <w:name w:val="annotation text"/>
    <w:basedOn w:val="Normalny"/>
    <w:link w:val="TekstkomentarzaZnak"/>
    <w:rsid w:val="00C30764"/>
    <w:rPr>
      <w:sz w:val="20"/>
      <w:szCs w:val="20"/>
    </w:rPr>
  </w:style>
  <w:style w:type="character" w:customStyle="1" w:styleId="TekstkomentarzaZnak">
    <w:name w:val="Tekst komentarza Znak"/>
    <w:basedOn w:val="Domylnaczcionkaakapitu"/>
    <w:link w:val="Tekstkomentarza"/>
    <w:rsid w:val="00C30764"/>
  </w:style>
  <w:style w:type="paragraph" w:styleId="Tematkomentarza">
    <w:name w:val="annotation subject"/>
    <w:basedOn w:val="Tekstkomentarza"/>
    <w:next w:val="Tekstkomentarza"/>
    <w:link w:val="TematkomentarzaZnak"/>
    <w:rsid w:val="00C30764"/>
    <w:rPr>
      <w:b/>
      <w:bCs/>
    </w:rPr>
  </w:style>
  <w:style w:type="character" w:customStyle="1" w:styleId="TematkomentarzaZnak">
    <w:name w:val="Temat komentarza Znak"/>
    <w:link w:val="Tematkomentarza"/>
    <w:rsid w:val="00C30764"/>
    <w:rPr>
      <w:b/>
      <w:bCs/>
    </w:rPr>
  </w:style>
  <w:style w:type="numbering" w:customStyle="1" w:styleId="Bezlisty2">
    <w:name w:val="Bez listy2"/>
    <w:next w:val="Bezlisty"/>
    <w:semiHidden/>
    <w:rsid w:val="000A1559"/>
  </w:style>
  <w:style w:type="paragraph" w:styleId="NormalnyWeb">
    <w:name w:val="Normal (Web)"/>
    <w:basedOn w:val="Normalny"/>
    <w:uiPriority w:val="99"/>
    <w:unhideWhenUsed/>
    <w:rsid w:val="00852716"/>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65370">
      <w:bodyDiv w:val="1"/>
      <w:marLeft w:val="0"/>
      <w:marRight w:val="0"/>
      <w:marTop w:val="0"/>
      <w:marBottom w:val="0"/>
      <w:divBdr>
        <w:top w:val="none" w:sz="0" w:space="0" w:color="auto"/>
        <w:left w:val="none" w:sz="0" w:space="0" w:color="auto"/>
        <w:bottom w:val="none" w:sz="0" w:space="0" w:color="auto"/>
        <w:right w:val="none" w:sz="0" w:space="0" w:color="auto"/>
      </w:divBdr>
    </w:div>
    <w:div w:id="37245906">
      <w:bodyDiv w:val="1"/>
      <w:marLeft w:val="0"/>
      <w:marRight w:val="0"/>
      <w:marTop w:val="0"/>
      <w:marBottom w:val="0"/>
      <w:divBdr>
        <w:top w:val="none" w:sz="0" w:space="0" w:color="auto"/>
        <w:left w:val="none" w:sz="0" w:space="0" w:color="auto"/>
        <w:bottom w:val="none" w:sz="0" w:space="0" w:color="auto"/>
        <w:right w:val="none" w:sz="0" w:space="0" w:color="auto"/>
      </w:divBdr>
    </w:div>
    <w:div w:id="39207264">
      <w:bodyDiv w:val="1"/>
      <w:marLeft w:val="0"/>
      <w:marRight w:val="0"/>
      <w:marTop w:val="0"/>
      <w:marBottom w:val="0"/>
      <w:divBdr>
        <w:top w:val="none" w:sz="0" w:space="0" w:color="auto"/>
        <w:left w:val="none" w:sz="0" w:space="0" w:color="auto"/>
        <w:bottom w:val="none" w:sz="0" w:space="0" w:color="auto"/>
        <w:right w:val="none" w:sz="0" w:space="0" w:color="auto"/>
      </w:divBdr>
    </w:div>
    <w:div w:id="43456154">
      <w:bodyDiv w:val="1"/>
      <w:marLeft w:val="0"/>
      <w:marRight w:val="0"/>
      <w:marTop w:val="0"/>
      <w:marBottom w:val="0"/>
      <w:divBdr>
        <w:top w:val="none" w:sz="0" w:space="0" w:color="auto"/>
        <w:left w:val="none" w:sz="0" w:space="0" w:color="auto"/>
        <w:bottom w:val="none" w:sz="0" w:space="0" w:color="auto"/>
        <w:right w:val="none" w:sz="0" w:space="0" w:color="auto"/>
      </w:divBdr>
    </w:div>
    <w:div w:id="59133209">
      <w:bodyDiv w:val="1"/>
      <w:marLeft w:val="0"/>
      <w:marRight w:val="0"/>
      <w:marTop w:val="0"/>
      <w:marBottom w:val="0"/>
      <w:divBdr>
        <w:top w:val="none" w:sz="0" w:space="0" w:color="auto"/>
        <w:left w:val="none" w:sz="0" w:space="0" w:color="auto"/>
        <w:bottom w:val="none" w:sz="0" w:space="0" w:color="auto"/>
        <w:right w:val="none" w:sz="0" w:space="0" w:color="auto"/>
      </w:divBdr>
    </w:div>
    <w:div w:id="59836599">
      <w:bodyDiv w:val="1"/>
      <w:marLeft w:val="0"/>
      <w:marRight w:val="0"/>
      <w:marTop w:val="0"/>
      <w:marBottom w:val="0"/>
      <w:divBdr>
        <w:top w:val="none" w:sz="0" w:space="0" w:color="auto"/>
        <w:left w:val="none" w:sz="0" w:space="0" w:color="auto"/>
        <w:bottom w:val="none" w:sz="0" w:space="0" w:color="auto"/>
        <w:right w:val="none" w:sz="0" w:space="0" w:color="auto"/>
      </w:divBdr>
    </w:div>
    <w:div w:id="71239317">
      <w:bodyDiv w:val="1"/>
      <w:marLeft w:val="0"/>
      <w:marRight w:val="0"/>
      <w:marTop w:val="0"/>
      <w:marBottom w:val="0"/>
      <w:divBdr>
        <w:top w:val="none" w:sz="0" w:space="0" w:color="auto"/>
        <w:left w:val="none" w:sz="0" w:space="0" w:color="auto"/>
        <w:bottom w:val="none" w:sz="0" w:space="0" w:color="auto"/>
        <w:right w:val="none" w:sz="0" w:space="0" w:color="auto"/>
      </w:divBdr>
    </w:div>
    <w:div w:id="91317850">
      <w:bodyDiv w:val="1"/>
      <w:marLeft w:val="0"/>
      <w:marRight w:val="0"/>
      <w:marTop w:val="0"/>
      <w:marBottom w:val="0"/>
      <w:divBdr>
        <w:top w:val="none" w:sz="0" w:space="0" w:color="auto"/>
        <w:left w:val="none" w:sz="0" w:space="0" w:color="auto"/>
        <w:bottom w:val="none" w:sz="0" w:space="0" w:color="auto"/>
        <w:right w:val="none" w:sz="0" w:space="0" w:color="auto"/>
      </w:divBdr>
    </w:div>
    <w:div w:id="112753212">
      <w:bodyDiv w:val="1"/>
      <w:marLeft w:val="0"/>
      <w:marRight w:val="0"/>
      <w:marTop w:val="0"/>
      <w:marBottom w:val="0"/>
      <w:divBdr>
        <w:top w:val="none" w:sz="0" w:space="0" w:color="auto"/>
        <w:left w:val="none" w:sz="0" w:space="0" w:color="auto"/>
        <w:bottom w:val="none" w:sz="0" w:space="0" w:color="auto"/>
        <w:right w:val="none" w:sz="0" w:space="0" w:color="auto"/>
      </w:divBdr>
    </w:div>
    <w:div w:id="117988211">
      <w:bodyDiv w:val="1"/>
      <w:marLeft w:val="0"/>
      <w:marRight w:val="0"/>
      <w:marTop w:val="0"/>
      <w:marBottom w:val="0"/>
      <w:divBdr>
        <w:top w:val="none" w:sz="0" w:space="0" w:color="auto"/>
        <w:left w:val="none" w:sz="0" w:space="0" w:color="auto"/>
        <w:bottom w:val="none" w:sz="0" w:space="0" w:color="auto"/>
        <w:right w:val="none" w:sz="0" w:space="0" w:color="auto"/>
      </w:divBdr>
    </w:div>
    <w:div w:id="129327190">
      <w:bodyDiv w:val="1"/>
      <w:marLeft w:val="0"/>
      <w:marRight w:val="0"/>
      <w:marTop w:val="0"/>
      <w:marBottom w:val="0"/>
      <w:divBdr>
        <w:top w:val="none" w:sz="0" w:space="0" w:color="auto"/>
        <w:left w:val="none" w:sz="0" w:space="0" w:color="auto"/>
        <w:bottom w:val="none" w:sz="0" w:space="0" w:color="auto"/>
        <w:right w:val="none" w:sz="0" w:space="0" w:color="auto"/>
      </w:divBdr>
    </w:div>
    <w:div w:id="137957600">
      <w:bodyDiv w:val="1"/>
      <w:marLeft w:val="0"/>
      <w:marRight w:val="0"/>
      <w:marTop w:val="0"/>
      <w:marBottom w:val="0"/>
      <w:divBdr>
        <w:top w:val="none" w:sz="0" w:space="0" w:color="auto"/>
        <w:left w:val="none" w:sz="0" w:space="0" w:color="auto"/>
        <w:bottom w:val="none" w:sz="0" w:space="0" w:color="auto"/>
        <w:right w:val="none" w:sz="0" w:space="0" w:color="auto"/>
      </w:divBdr>
    </w:div>
    <w:div w:id="162861876">
      <w:bodyDiv w:val="1"/>
      <w:marLeft w:val="0"/>
      <w:marRight w:val="0"/>
      <w:marTop w:val="0"/>
      <w:marBottom w:val="0"/>
      <w:divBdr>
        <w:top w:val="none" w:sz="0" w:space="0" w:color="auto"/>
        <w:left w:val="none" w:sz="0" w:space="0" w:color="auto"/>
        <w:bottom w:val="none" w:sz="0" w:space="0" w:color="auto"/>
        <w:right w:val="none" w:sz="0" w:space="0" w:color="auto"/>
      </w:divBdr>
    </w:div>
    <w:div w:id="233857286">
      <w:bodyDiv w:val="1"/>
      <w:marLeft w:val="0"/>
      <w:marRight w:val="0"/>
      <w:marTop w:val="0"/>
      <w:marBottom w:val="0"/>
      <w:divBdr>
        <w:top w:val="none" w:sz="0" w:space="0" w:color="auto"/>
        <w:left w:val="none" w:sz="0" w:space="0" w:color="auto"/>
        <w:bottom w:val="none" w:sz="0" w:space="0" w:color="auto"/>
        <w:right w:val="none" w:sz="0" w:space="0" w:color="auto"/>
      </w:divBdr>
    </w:div>
    <w:div w:id="250085642">
      <w:bodyDiv w:val="1"/>
      <w:marLeft w:val="0"/>
      <w:marRight w:val="0"/>
      <w:marTop w:val="0"/>
      <w:marBottom w:val="0"/>
      <w:divBdr>
        <w:top w:val="none" w:sz="0" w:space="0" w:color="auto"/>
        <w:left w:val="none" w:sz="0" w:space="0" w:color="auto"/>
        <w:bottom w:val="none" w:sz="0" w:space="0" w:color="auto"/>
        <w:right w:val="none" w:sz="0" w:space="0" w:color="auto"/>
      </w:divBdr>
    </w:div>
    <w:div w:id="268977820">
      <w:bodyDiv w:val="1"/>
      <w:marLeft w:val="0"/>
      <w:marRight w:val="0"/>
      <w:marTop w:val="0"/>
      <w:marBottom w:val="0"/>
      <w:divBdr>
        <w:top w:val="none" w:sz="0" w:space="0" w:color="auto"/>
        <w:left w:val="none" w:sz="0" w:space="0" w:color="auto"/>
        <w:bottom w:val="none" w:sz="0" w:space="0" w:color="auto"/>
        <w:right w:val="none" w:sz="0" w:space="0" w:color="auto"/>
      </w:divBdr>
    </w:div>
    <w:div w:id="276062289">
      <w:bodyDiv w:val="1"/>
      <w:marLeft w:val="0"/>
      <w:marRight w:val="0"/>
      <w:marTop w:val="0"/>
      <w:marBottom w:val="0"/>
      <w:divBdr>
        <w:top w:val="none" w:sz="0" w:space="0" w:color="auto"/>
        <w:left w:val="none" w:sz="0" w:space="0" w:color="auto"/>
        <w:bottom w:val="none" w:sz="0" w:space="0" w:color="auto"/>
        <w:right w:val="none" w:sz="0" w:space="0" w:color="auto"/>
      </w:divBdr>
    </w:div>
    <w:div w:id="282461002">
      <w:bodyDiv w:val="1"/>
      <w:marLeft w:val="0"/>
      <w:marRight w:val="0"/>
      <w:marTop w:val="0"/>
      <w:marBottom w:val="0"/>
      <w:divBdr>
        <w:top w:val="none" w:sz="0" w:space="0" w:color="auto"/>
        <w:left w:val="none" w:sz="0" w:space="0" w:color="auto"/>
        <w:bottom w:val="none" w:sz="0" w:space="0" w:color="auto"/>
        <w:right w:val="none" w:sz="0" w:space="0" w:color="auto"/>
      </w:divBdr>
    </w:div>
    <w:div w:id="311105143">
      <w:bodyDiv w:val="1"/>
      <w:marLeft w:val="0"/>
      <w:marRight w:val="0"/>
      <w:marTop w:val="0"/>
      <w:marBottom w:val="0"/>
      <w:divBdr>
        <w:top w:val="none" w:sz="0" w:space="0" w:color="auto"/>
        <w:left w:val="none" w:sz="0" w:space="0" w:color="auto"/>
        <w:bottom w:val="none" w:sz="0" w:space="0" w:color="auto"/>
        <w:right w:val="none" w:sz="0" w:space="0" w:color="auto"/>
      </w:divBdr>
    </w:div>
    <w:div w:id="320889316">
      <w:bodyDiv w:val="1"/>
      <w:marLeft w:val="0"/>
      <w:marRight w:val="0"/>
      <w:marTop w:val="0"/>
      <w:marBottom w:val="0"/>
      <w:divBdr>
        <w:top w:val="none" w:sz="0" w:space="0" w:color="auto"/>
        <w:left w:val="none" w:sz="0" w:space="0" w:color="auto"/>
        <w:bottom w:val="none" w:sz="0" w:space="0" w:color="auto"/>
        <w:right w:val="none" w:sz="0" w:space="0" w:color="auto"/>
      </w:divBdr>
    </w:div>
    <w:div w:id="337195223">
      <w:bodyDiv w:val="1"/>
      <w:marLeft w:val="0"/>
      <w:marRight w:val="0"/>
      <w:marTop w:val="0"/>
      <w:marBottom w:val="0"/>
      <w:divBdr>
        <w:top w:val="none" w:sz="0" w:space="0" w:color="auto"/>
        <w:left w:val="none" w:sz="0" w:space="0" w:color="auto"/>
        <w:bottom w:val="none" w:sz="0" w:space="0" w:color="auto"/>
        <w:right w:val="none" w:sz="0" w:space="0" w:color="auto"/>
      </w:divBdr>
    </w:div>
    <w:div w:id="348727765">
      <w:bodyDiv w:val="1"/>
      <w:marLeft w:val="0"/>
      <w:marRight w:val="0"/>
      <w:marTop w:val="0"/>
      <w:marBottom w:val="0"/>
      <w:divBdr>
        <w:top w:val="none" w:sz="0" w:space="0" w:color="auto"/>
        <w:left w:val="none" w:sz="0" w:space="0" w:color="auto"/>
        <w:bottom w:val="none" w:sz="0" w:space="0" w:color="auto"/>
        <w:right w:val="none" w:sz="0" w:space="0" w:color="auto"/>
      </w:divBdr>
    </w:div>
    <w:div w:id="356545792">
      <w:bodyDiv w:val="1"/>
      <w:marLeft w:val="0"/>
      <w:marRight w:val="0"/>
      <w:marTop w:val="0"/>
      <w:marBottom w:val="0"/>
      <w:divBdr>
        <w:top w:val="none" w:sz="0" w:space="0" w:color="auto"/>
        <w:left w:val="none" w:sz="0" w:space="0" w:color="auto"/>
        <w:bottom w:val="none" w:sz="0" w:space="0" w:color="auto"/>
        <w:right w:val="none" w:sz="0" w:space="0" w:color="auto"/>
      </w:divBdr>
    </w:div>
    <w:div w:id="373894722">
      <w:bodyDiv w:val="1"/>
      <w:marLeft w:val="0"/>
      <w:marRight w:val="0"/>
      <w:marTop w:val="0"/>
      <w:marBottom w:val="0"/>
      <w:divBdr>
        <w:top w:val="none" w:sz="0" w:space="0" w:color="auto"/>
        <w:left w:val="none" w:sz="0" w:space="0" w:color="auto"/>
        <w:bottom w:val="none" w:sz="0" w:space="0" w:color="auto"/>
        <w:right w:val="none" w:sz="0" w:space="0" w:color="auto"/>
      </w:divBdr>
    </w:div>
    <w:div w:id="382601912">
      <w:bodyDiv w:val="1"/>
      <w:marLeft w:val="0"/>
      <w:marRight w:val="0"/>
      <w:marTop w:val="0"/>
      <w:marBottom w:val="0"/>
      <w:divBdr>
        <w:top w:val="none" w:sz="0" w:space="0" w:color="auto"/>
        <w:left w:val="none" w:sz="0" w:space="0" w:color="auto"/>
        <w:bottom w:val="none" w:sz="0" w:space="0" w:color="auto"/>
        <w:right w:val="none" w:sz="0" w:space="0" w:color="auto"/>
      </w:divBdr>
    </w:div>
    <w:div w:id="417823924">
      <w:bodyDiv w:val="1"/>
      <w:marLeft w:val="0"/>
      <w:marRight w:val="0"/>
      <w:marTop w:val="0"/>
      <w:marBottom w:val="0"/>
      <w:divBdr>
        <w:top w:val="none" w:sz="0" w:space="0" w:color="auto"/>
        <w:left w:val="none" w:sz="0" w:space="0" w:color="auto"/>
        <w:bottom w:val="none" w:sz="0" w:space="0" w:color="auto"/>
        <w:right w:val="none" w:sz="0" w:space="0" w:color="auto"/>
      </w:divBdr>
    </w:div>
    <w:div w:id="418720962">
      <w:bodyDiv w:val="1"/>
      <w:marLeft w:val="0"/>
      <w:marRight w:val="0"/>
      <w:marTop w:val="0"/>
      <w:marBottom w:val="0"/>
      <w:divBdr>
        <w:top w:val="none" w:sz="0" w:space="0" w:color="auto"/>
        <w:left w:val="none" w:sz="0" w:space="0" w:color="auto"/>
        <w:bottom w:val="none" w:sz="0" w:space="0" w:color="auto"/>
        <w:right w:val="none" w:sz="0" w:space="0" w:color="auto"/>
      </w:divBdr>
    </w:div>
    <w:div w:id="426081982">
      <w:bodyDiv w:val="1"/>
      <w:marLeft w:val="0"/>
      <w:marRight w:val="0"/>
      <w:marTop w:val="0"/>
      <w:marBottom w:val="0"/>
      <w:divBdr>
        <w:top w:val="none" w:sz="0" w:space="0" w:color="auto"/>
        <w:left w:val="none" w:sz="0" w:space="0" w:color="auto"/>
        <w:bottom w:val="none" w:sz="0" w:space="0" w:color="auto"/>
        <w:right w:val="none" w:sz="0" w:space="0" w:color="auto"/>
      </w:divBdr>
    </w:div>
    <w:div w:id="426926197">
      <w:bodyDiv w:val="1"/>
      <w:marLeft w:val="0"/>
      <w:marRight w:val="0"/>
      <w:marTop w:val="0"/>
      <w:marBottom w:val="0"/>
      <w:divBdr>
        <w:top w:val="none" w:sz="0" w:space="0" w:color="auto"/>
        <w:left w:val="none" w:sz="0" w:space="0" w:color="auto"/>
        <w:bottom w:val="none" w:sz="0" w:space="0" w:color="auto"/>
        <w:right w:val="none" w:sz="0" w:space="0" w:color="auto"/>
      </w:divBdr>
    </w:div>
    <w:div w:id="434636156">
      <w:bodyDiv w:val="1"/>
      <w:marLeft w:val="0"/>
      <w:marRight w:val="0"/>
      <w:marTop w:val="0"/>
      <w:marBottom w:val="0"/>
      <w:divBdr>
        <w:top w:val="none" w:sz="0" w:space="0" w:color="auto"/>
        <w:left w:val="none" w:sz="0" w:space="0" w:color="auto"/>
        <w:bottom w:val="none" w:sz="0" w:space="0" w:color="auto"/>
        <w:right w:val="none" w:sz="0" w:space="0" w:color="auto"/>
      </w:divBdr>
    </w:div>
    <w:div w:id="456219237">
      <w:bodyDiv w:val="1"/>
      <w:marLeft w:val="0"/>
      <w:marRight w:val="0"/>
      <w:marTop w:val="0"/>
      <w:marBottom w:val="0"/>
      <w:divBdr>
        <w:top w:val="none" w:sz="0" w:space="0" w:color="auto"/>
        <w:left w:val="none" w:sz="0" w:space="0" w:color="auto"/>
        <w:bottom w:val="none" w:sz="0" w:space="0" w:color="auto"/>
        <w:right w:val="none" w:sz="0" w:space="0" w:color="auto"/>
      </w:divBdr>
    </w:div>
    <w:div w:id="458764548">
      <w:bodyDiv w:val="1"/>
      <w:marLeft w:val="0"/>
      <w:marRight w:val="0"/>
      <w:marTop w:val="0"/>
      <w:marBottom w:val="0"/>
      <w:divBdr>
        <w:top w:val="none" w:sz="0" w:space="0" w:color="auto"/>
        <w:left w:val="none" w:sz="0" w:space="0" w:color="auto"/>
        <w:bottom w:val="none" w:sz="0" w:space="0" w:color="auto"/>
        <w:right w:val="none" w:sz="0" w:space="0" w:color="auto"/>
      </w:divBdr>
    </w:div>
    <w:div w:id="461504717">
      <w:bodyDiv w:val="1"/>
      <w:marLeft w:val="0"/>
      <w:marRight w:val="0"/>
      <w:marTop w:val="0"/>
      <w:marBottom w:val="0"/>
      <w:divBdr>
        <w:top w:val="none" w:sz="0" w:space="0" w:color="auto"/>
        <w:left w:val="none" w:sz="0" w:space="0" w:color="auto"/>
        <w:bottom w:val="none" w:sz="0" w:space="0" w:color="auto"/>
        <w:right w:val="none" w:sz="0" w:space="0" w:color="auto"/>
      </w:divBdr>
    </w:div>
    <w:div w:id="476338237">
      <w:bodyDiv w:val="1"/>
      <w:marLeft w:val="0"/>
      <w:marRight w:val="0"/>
      <w:marTop w:val="0"/>
      <w:marBottom w:val="0"/>
      <w:divBdr>
        <w:top w:val="none" w:sz="0" w:space="0" w:color="auto"/>
        <w:left w:val="none" w:sz="0" w:space="0" w:color="auto"/>
        <w:bottom w:val="none" w:sz="0" w:space="0" w:color="auto"/>
        <w:right w:val="none" w:sz="0" w:space="0" w:color="auto"/>
      </w:divBdr>
    </w:div>
    <w:div w:id="488255851">
      <w:bodyDiv w:val="1"/>
      <w:marLeft w:val="0"/>
      <w:marRight w:val="0"/>
      <w:marTop w:val="0"/>
      <w:marBottom w:val="0"/>
      <w:divBdr>
        <w:top w:val="none" w:sz="0" w:space="0" w:color="auto"/>
        <w:left w:val="none" w:sz="0" w:space="0" w:color="auto"/>
        <w:bottom w:val="none" w:sz="0" w:space="0" w:color="auto"/>
        <w:right w:val="none" w:sz="0" w:space="0" w:color="auto"/>
      </w:divBdr>
    </w:div>
    <w:div w:id="529029230">
      <w:bodyDiv w:val="1"/>
      <w:marLeft w:val="0"/>
      <w:marRight w:val="0"/>
      <w:marTop w:val="0"/>
      <w:marBottom w:val="0"/>
      <w:divBdr>
        <w:top w:val="none" w:sz="0" w:space="0" w:color="auto"/>
        <w:left w:val="none" w:sz="0" w:space="0" w:color="auto"/>
        <w:bottom w:val="none" w:sz="0" w:space="0" w:color="auto"/>
        <w:right w:val="none" w:sz="0" w:space="0" w:color="auto"/>
      </w:divBdr>
    </w:div>
    <w:div w:id="529731557">
      <w:bodyDiv w:val="1"/>
      <w:marLeft w:val="0"/>
      <w:marRight w:val="0"/>
      <w:marTop w:val="0"/>
      <w:marBottom w:val="0"/>
      <w:divBdr>
        <w:top w:val="none" w:sz="0" w:space="0" w:color="auto"/>
        <w:left w:val="none" w:sz="0" w:space="0" w:color="auto"/>
        <w:bottom w:val="none" w:sz="0" w:space="0" w:color="auto"/>
        <w:right w:val="none" w:sz="0" w:space="0" w:color="auto"/>
      </w:divBdr>
    </w:div>
    <w:div w:id="570189272">
      <w:bodyDiv w:val="1"/>
      <w:marLeft w:val="0"/>
      <w:marRight w:val="0"/>
      <w:marTop w:val="0"/>
      <w:marBottom w:val="0"/>
      <w:divBdr>
        <w:top w:val="none" w:sz="0" w:space="0" w:color="auto"/>
        <w:left w:val="none" w:sz="0" w:space="0" w:color="auto"/>
        <w:bottom w:val="none" w:sz="0" w:space="0" w:color="auto"/>
        <w:right w:val="none" w:sz="0" w:space="0" w:color="auto"/>
      </w:divBdr>
    </w:div>
    <w:div w:id="594947809">
      <w:bodyDiv w:val="1"/>
      <w:marLeft w:val="0"/>
      <w:marRight w:val="0"/>
      <w:marTop w:val="0"/>
      <w:marBottom w:val="0"/>
      <w:divBdr>
        <w:top w:val="none" w:sz="0" w:space="0" w:color="auto"/>
        <w:left w:val="none" w:sz="0" w:space="0" w:color="auto"/>
        <w:bottom w:val="none" w:sz="0" w:space="0" w:color="auto"/>
        <w:right w:val="none" w:sz="0" w:space="0" w:color="auto"/>
      </w:divBdr>
    </w:div>
    <w:div w:id="605575871">
      <w:bodyDiv w:val="1"/>
      <w:marLeft w:val="0"/>
      <w:marRight w:val="0"/>
      <w:marTop w:val="0"/>
      <w:marBottom w:val="0"/>
      <w:divBdr>
        <w:top w:val="none" w:sz="0" w:space="0" w:color="auto"/>
        <w:left w:val="none" w:sz="0" w:space="0" w:color="auto"/>
        <w:bottom w:val="none" w:sz="0" w:space="0" w:color="auto"/>
        <w:right w:val="none" w:sz="0" w:space="0" w:color="auto"/>
      </w:divBdr>
    </w:div>
    <w:div w:id="614675994">
      <w:bodyDiv w:val="1"/>
      <w:marLeft w:val="0"/>
      <w:marRight w:val="0"/>
      <w:marTop w:val="0"/>
      <w:marBottom w:val="0"/>
      <w:divBdr>
        <w:top w:val="none" w:sz="0" w:space="0" w:color="auto"/>
        <w:left w:val="none" w:sz="0" w:space="0" w:color="auto"/>
        <w:bottom w:val="none" w:sz="0" w:space="0" w:color="auto"/>
        <w:right w:val="none" w:sz="0" w:space="0" w:color="auto"/>
      </w:divBdr>
    </w:div>
    <w:div w:id="633678540">
      <w:bodyDiv w:val="1"/>
      <w:marLeft w:val="0"/>
      <w:marRight w:val="0"/>
      <w:marTop w:val="0"/>
      <w:marBottom w:val="0"/>
      <w:divBdr>
        <w:top w:val="none" w:sz="0" w:space="0" w:color="auto"/>
        <w:left w:val="none" w:sz="0" w:space="0" w:color="auto"/>
        <w:bottom w:val="none" w:sz="0" w:space="0" w:color="auto"/>
        <w:right w:val="none" w:sz="0" w:space="0" w:color="auto"/>
      </w:divBdr>
    </w:div>
    <w:div w:id="638412649">
      <w:bodyDiv w:val="1"/>
      <w:marLeft w:val="0"/>
      <w:marRight w:val="0"/>
      <w:marTop w:val="0"/>
      <w:marBottom w:val="0"/>
      <w:divBdr>
        <w:top w:val="none" w:sz="0" w:space="0" w:color="auto"/>
        <w:left w:val="none" w:sz="0" w:space="0" w:color="auto"/>
        <w:bottom w:val="none" w:sz="0" w:space="0" w:color="auto"/>
        <w:right w:val="none" w:sz="0" w:space="0" w:color="auto"/>
      </w:divBdr>
    </w:div>
    <w:div w:id="643702265">
      <w:bodyDiv w:val="1"/>
      <w:marLeft w:val="0"/>
      <w:marRight w:val="0"/>
      <w:marTop w:val="0"/>
      <w:marBottom w:val="0"/>
      <w:divBdr>
        <w:top w:val="none" w:sz="0" w:space="0" w:color="auto"/>
        <w:left w:val="none" w:sz="0" w:space="0" w:color="auto"/>
        <w:bottom w:val="none" w:sz="0" w:space="0" w:color="auto"/>
        <w:right w:val="none" w:sz="0" w:space="0" w:color="auto"/>
      </w:divBdr>
    </w:div>
    <w:div w:id="678892734">
      <w:bodyDiv w:val="1"/>
      <w:marLeft w:val="0"/>
      <w:marRight w:val="0"/>
      <w:marTop w:val="0"/>
      <w:marBottom w:val="0"/>
      <w:divBdr>
        <w:top w:val="none" w:sz="0" w:space="0" w:color="auto"/>
        <w:left w:val="none" w:sz="0" w:space="0" w:color="auto"/>
        <w:bottom w:val="none" w:sz="0" w:space="0" w:color="auto"/>
        <w:right w:val="none" w:sz="0" w:space="0" w:color="auto"/>
      </w:divBdr>
    </w:div>
    <w:div w:id="688066260">
      <w:bodyDiv w:val="1"/>
      <w:marLeft w:val="0"/>
      <w:marRight w:val="0"/>
      <w:marTop w:val="0"/>
      <w:marBottom w:val="0"/>
      <w:divBdr>
        <w:top w:val="none" w:sz="0" w:space="0" w:color="auto"/>
        <w:left w:val="none" w:sz="0" w:space="0" w:color="auto"/>
        <w:bottom w:val="none" w:sz="0" w:space="0" w:color="auto"/>
        <w:right w:val="none" w:sz="0" w:space="0" w:color="auto"/>
      </w:divBdr>
    </w:div>
    <w:div w:id="696202549">
      <w:bodyDiv w:val="1"/>
      <w:marLeft w:val="0"/>
      <w:marRight w:val="0"/>
      <w:marTop w:val="0"/>
      <w:marBottom w:val="0"/>
      <w:divBdr>
        <w:top w:val="none" w:sz="0" w:space="0" w:color="auto"/>
        <w:left w:val="none" w:sz="0" w:space="0" w:color="auto"/>
        <w:bottom w:val="none" w:sz="0" w:space="0" w:color="auto"/>
        <w:right w:val="none" w:sz="0" w:space="0" w:color="auto"/>
      </w:divBdr>
    </w:div>
    <w:div w:id="703552976">
      <w:bodyDiv w:val="1"/>
      <w:marLeft w:val="0"/>
      <w:marRight w:val="0"/>
      <w:marTop w:val="0"/>
      <w:marBottom w:val="0"/>
      <w:divBdr>
        <w:top w:val="none" w:sz="0" w:space="0" w:color="auto"/>
        <w:left w:val="none" w:sz="0" w:space="0" w:color="auto"/>
        <w:bottom w:val="none" w:sz="0" w:space="0" w:color="auto"/>
        <w:right w:val="none" w:sz="0" w:space="0" w:color="auto"/>
      </w:divBdr>
    </w:div>
    <w:div w:id="721832670">
      <w:bodyDiv w:val="1"/>
      <w:marLeft w:val="0"/>
      <w:marRight w:val="0"/>
      <w:marTop w:val="0"/>
      <w:marBottom w:val="0"/>
      <w:divBdr>
        <w:top w:val="none" w:sz="0" w:space="0" w:color="auto"/>
        <w:left w:val="none" w:sz="0" w:space="0" w:color="auto"/>
        <w:bottom w:val="none" w:sz="0" w:space="0" w:color="auto"/>
        <w:right w:val="none" w:sz="0" w:space="0" w:color="auto"/>
      </w:divBdr>
    </w:div>
    <w:div w:id="795224872">
      <w:bodyDiv w:val="1"/>
      <w:marLeft w:val="0"/>
      <w:marRight w:val="0"/>
      <w:marTop w:val="0"/>
      <w:marBottom w:val="0"/>
      <w:divBdr>
        <w:top w:val="none" w:sz="0" w:space="0" w:color="auto"/>
        <w:left w:val="none" w:sz="0" w:space="0" w:color="auto"/>
        <w:bottom w:val="none" w:sz="0" w:space="0" w:color="auto"/>
        <w:right w:val="none" w:sz="0" w:space="0" w:color="auto"/>
      </w:divBdr>
    </w:div>
    <w:div w:id="844173669">
      <w:bodyDiv w:val="1"/>
      <w:marLeft w:val="0"/>
      <w:marRight w:val="0"/>
      <w:marTop w:val="0"/>
      <w:marBottom w:val="0"/>
      <w:divBdr>
        <w:top w:val="none" w:sz="0" w:space="0" w:color="auto"/>
        <w:left w:val="none" w:sz="0" w:space="0" w:color="auto"/>
        <w:bottom w:val="none" w:sz="0" w:space="0" w:color="auto"/>
        <w:right w:val="none" w:sz="0" w:space="0" w:color="auto"/>
      </w:divBdr>
      <w:divsChild>
        <w:div w:id="631328488">
          <w:marLeft w:val="0"/>
          <w:marRight w:val="0"/>
          <w:marTop w:val="0"/>
          <w:marBottom w:val="0"/>
          <w:divBdr>
            <w:top w:val="none" w:sz="0" w:space="0" w:color="auto"/>
            <w:left w:val="none" w:sz="0" w:space="0" w:color="auto"/>
            <w:bottom w:val="none" w:sz="0" w:space="0" w:color="auto"/>
            <w:right w:val="none" w:sz="0" w:space="0" w:color="auto"/>
          </w:divBdr>
          <w:divsChild>
            <w:div w:id="1984041035">
              <w:marLeft w:val="0"/>
              <w:marRight w:val="0"/>
              <w:marTop w:val="0"/>
              <w:marBottom w:val="0"/>
              <w:divBdr>
                <w:top w:val="none" w:sz="0" w:space="0" w:color="auto"/>
                <w:left w:val="none" w:sz="0" w:space="0" w:color="auto"/>
                <w:bottom w:val="none" w:sz="0" w:space="0" w:color="auto"/>
                <w:right w:val="none" w:sz="0" w:space="0" w:color="auto"/>
              </w:divBdr>
              <w:divsChild>
                <w:div w:id="1991516475">
                  <w:marLeft w:val="0"/>
                  <w:marRight w:val="0"/>
                  <w:marTop w:val="0"/>
                  <w:marBottom w:val="0"/>
                  <w:divBdr>
                    <w:top w:val="none" w:sz="0" w:space="0" w:color="auto"/>
                    <w:left w:val="none" w:sz="0" w:space="0" w:color="auto"/>
                    <w:bottom w:val="none" w:sz="0" w:space="0" w:color="auto"/>
                    <w:right w:val="none" w:sz="0" w:space="0" w:color="auto"/>
                  </w:divBdr>
                  <w:divsChild>
                    <w:div w:id="1263950594">
                      <w:marLeft w:val="0"/>
                      <w:marRight w:val="0"/>
                      <w:marTop w:val="0"/>
                      <w:marBottom w:val="0"/>
                      <w:divBdr>
                        <w:top w:val="none" w:sz="0" w:space="0" w:color="auto"/>
                        <w:left w:val="none" w:sz="0" w:space="0" w:color="auto"/>
                        <w:bottom w:val="none" w:sz="0" w:space="0" w:color="auto"/>
                        <w:right w:val="none" w:sz="0" w:space="0" w:color="auto"/>
                      </w:divBdr>
                      <w:divsChild>
                        <w:div w:id="1356350607">
                          <w:marLeft w:val="0"/>
                          <w:marRight w:val="0"/>
                          <w:marTop w:val="0"/>
                          <w:marBottom w:val="0"/>
                          <w:divBdr>
                            <w:top w:val="none" w:sz="0" w:space="0" w:color="auto"/>
                            <w:left w:val="none" w:sz="0" w:space="0" w:color="auto"/>
                            <w:bottom w:val="none" w:sz="0" w:space="0" w:color="auto"/>
                            <w:right w:val="none" w:sz="0" w:space="0" w:color="auto"/>
                          </w:divBdr>
                          <w:divsChild>
                            <w:div w:id="231737200">
                              <w:marLeft w:val="0"/>
                              <w:marRight w:val="0"/>
                              <w:marTop w:val="0"/>
                              <w:marBottom w:val="0"/>
                              <w:divBdr>
                                <w:top w:val="none" w:sz="0" w:space="0" w:color="auto"/>
                                <w:left w:val="none" w:sz="0" w:space="0" w:color="auto"/>
                                <w:bottom w:val="none" w:sz="0" w:space="0" w:color="auto"/>
                                <w:right w:val="none" w:sz="0" w:space="0" w:color="auto"/>
                              </w:divBdr>
                              <w:divsChild>
                                <w:div w:id="317197380">
                                  <w:marLeft w:val="0"/>
                                  <w:marRight w:val="0"/>
                                  <w:marTop w:val="0"/>
                                  <w:marBottom w:val="0"/>
                                  <w:divBdr>
                                    <w:top w:val="none" w:sz="0" w:space="0" w:color="auto"/>
                                    <w:left w:val="none" w:sz="0" w:space="0" w:color="auto"/>
                                    <w:bottom w:val="none" w:sz="0" w:space="0" w:color="auto"/>
                                    <w:right w:val="none" w:sz="0" w:space="0" w:color="auto"/>
                                  </w:divBdr>
                                  <w:divsChild>
                                    <w:div w:id="36979000">
                                      <w:marLeft w:val="60"/>
                                      <w:marRight w:val="0"/>
                                      <w:marTop w:val="0"/>
                                      <w:marBottom w:val="0"/>
                                      <w:divBdr>
                                        <w:top w:val="none" w:sz="0" w:space="0" w:color="auto"/>
                                        <w:left w:val="none" w:sz="0" w:space="0" w:color="auto"/>
                                        <w:bottom w:val="none" w:sz="0" w:space="0" w:color="auto"/>
                                        <w:right w:val="none" w:sz="0" w:space="0" w:color="auto"/>
                                      </w:divBdr>
                                      <w:divsChild>
                                        <w:div w:id="2091005729">
                                          <w:marLeft w:val="0"/>
                                          <w:marRight w:val="0"/>
                                          <w:marTop w:val="0"/>
                                          <w:marBottom w:val="0"/>
                                          <w:divBdr>
                                            <w:top w:val="none" w:sz="0" w:space="0" w:color="auto"/>
                                            <w:left w:val="none" w:sz="0" w:space="0" w:color="auto"/>
                                            <w:bottom w:val="none" w:sz="0" w:space="0" w:color="auto"/>
                                            <w:right w:val="none" w:sz="0" w:space="0" w:color="auto"/>
                                          </w:divBdr>
                                          <w:divsChild>
                                            <w:div w:id="864058930">
                                              <w:marLeft w:val="0"/>
                                              <w:marRight w:val="0"/>
                                              <w:marTop w:val="0"/>
                                              <w:marBottom w:val="120"/>
                                              <w:divBdr>
                                                <w:top w:val="single" w:sz="6" w:space="0" w:color="F5F5F5"/>
                                                <w:left w:val="single" w:sz="6" w:space="0" w:color="F5F5F5"/>
                                                <w:bottom w:val="single" w:sz="6" w:space="0" w:color="F5F5F5"/>
                                                <w:right w:val="single" w:sz="6" w:space="0" w:color="F5F5F5"/>
                                              </w:divBdr>
                                              <w:divsChild>
                                                <w:div w:id="1427264709">
                                                  <w:marLeft w:val="0"/>
                                                  <w:marRight w:val="0"/>
                                                  <w:marTop w:val="0"/>
                                                  <w:marBottom w:val="0"/>
                                                  <w:divBdr>
                                                    <w:top w:val="none" w:sz="0" w:space="0" w:color="auto"/>
                                                    <w:left w:val="none" w:sz="0" w:space="0" w:color="auto"/>
                                                    <w:bottom w:val="none" w:sz="0" w:space="0" w:color="auto"/>
                                                    <w:right w:val="none" w:sz="0" w:space="0" w:color="auto"/>
                                                  </w:divBdr>
                                                  <w:divsChild>
                                                    <w:div w:id="182335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0801171">
      <w:bodyDiv w:val="1"/>
      <w:marLeft w:val="0"/>
      <w:marRight w:val="0"/>
      <w:marTop w:val="0"/>
      <w:marBottom w:val="0"/>
      <w:divBdr>
        <w:top w:val="none" w:sz="0" w:space="0" w:color="auto"/>
        <w:left w:val="none" w:sz="0" w:space="0" w:color="auto"/>
        <w:bottom w:val="none" w:sz="0" w:space="0" w:color="auto"/>
        <w:right w:val="none" w:sz="0" w:space="0" w:color="auto"/>
      </w:divBdr>
    </w:div>
    <w:div w:id="884878640">
      <w:bodyDiv w:val="1"/>
      <w:marLeft w:val="0"/>
      <w:marRight w:val="0"/>
      <w:marTop w:val="0"/>
      <w:marBottom w:val="0"/>
      <w:divBdr>
        <w:top w:val="none" w:sz="0" w:space="0" w:color="auto"/>
        <w:left w:val="none" w:sz="0" w:space="0" w:color="auto"/>
        <w:bottom w:val="none" w:sz="0" w:space="0" w:color="auto"/>
        <w:right w:val="none" w:sz="0" w:space="0" w:color="auto"/>
      </w:divBdr>
    </w:div>
    <w:div w:id="898639480">
      <w:bodyDiv w:val="1"/>
      <w:marLeft w:val="0"/>
      <w:marRight w:val="0"/>
      <w:marTop w:val="0"/>
      <w:marBottom w:val="0"/>
      <w:divBdr>
        <w:top w:val="none" w:sz="0" w:space="0" w:color="auto"/>
        <w:left w:val="none" w:sz="0" w:space="0" w:color="auto"/>
        <w:bottom w:val="none" w:sz="0" w:space="0" w:color="auto"/>
        <w:right w:val="none" w:sz="0" w:space="0" w:color="auto"/>
      </w:divBdr>
    </w:div>
    <w:div w:id="901211270">
      <w:bodyDiv w:val="1"/>
      <w:marLeft w:val="0"/>
      <w:marRight w:val="0"/>
      <w:marTop w:val="0"/>
      <w:marBottom w:val="0"/>
      <w:divBdr>
        <w:top w:val="none" w:sz="0" w:space="0" w:color="auto"/>
        <w:left w:val="none" w:sz="0" w:space="0" w:color="auto"/>
        <w:bottom w:val="none" w:sz="0" w:space="0" w:color="auto"/>
        <w:right w:val="none" w:sz="0" w:space="0" w:color="auto"/>
      </w:divBdr>
    </w:div>
    <w:div w:id="905264467">
      <w:bodyDiv w:val="1"/>
      <w:marLeft w:val="0"/>
      <w:marRight w:val="0"/>
      <w:marTop w:val="0"/>
      <w:marBottom w:val="0"/>
      <w:divBdr>
        <w:top w:val="none" w:sz="0" w:space="0" w:color="auto"/>
        <w:left w:val="none" w:sz="0" w:space="0" w:color="auto"/>
        <w:bottom w:val="none" w:sz="0" w:space="0" w:color="auto"/>
        <w:right w:val="none" w:sz="0" w:space="0" w:color="auto"/>
      </w:divBdr>
    </w:div>
    <w:div w:id="927888376">
      <w:bodyDiv w:val="1"/>
      <w:marLeft w:val="0"/>
      <w:marRight w:val="0"/>
      <w:marTop w:val="0"/>
      <w:marBottom w:val="0"/>
      <w:divBdr>
        <w:top w:val="none" w:sz="0" w:space="0" w:color="auto"/>
        <w:left w:val="none" w:sz="0" w:space="0" w:color="auto"/>
        <w:bottom w:val="none" w:sz="0" w:space="0" w:color="auto"/>
        <w:right w:val="none" w:sz="0" w:space="0" w:color="auto"/>
      </w:divBdr>
    </w:div>
    <w:div w:id="967012520">
      <w:bodyDiv w:val="1"/>
      <w:marLeft w:val="0"/>
      <w:marRight w:val="0"/>
      <w:marTop w:val="0"/>
      <w:marBottom w:val="0"/>
      <w:divBdr>
        <w:top w:val="none" w:sz="0" w:space="0" w:color="auto"/>
        <w:left w:val="none" w:sz="0" w:space="0" w:color="auto"/>
        <w:bottom w:val="none" w:sz="0" w:space="0" w:color="auto"/>
        <w:right w:val="none" w:sz="0" w:space="0" w:color="auto"/>
      </w:divBdr>
    </w:div>
    <w:div w:id="970551255">
      <w:bodyDiv w:val="1"/>
      <w:marLeft w:val="0"/>
      <w:marRight w:val="0"/>
      <w:marTop w:val="0"/>
      <w:marBottom w:val="0"/>
      <w:divBdr>
        <w:top w:val="none" w:sz="0" w:space="0" w:color="auto"/>
        <w:left w:val="none" w:sz="0" w:space="0" w:color="auto"/>
        <w:bottom w:val="none" w:sz="0" w:space="0" w:color="auto"/>
        <w:right w:val="none" w:sz="0" w:space="0" w:color="auto"/>
      </w:divBdr>
    </w:div>
    <w:div w:id="1002589861">
      <w:bodyDiv w:val="1"/>
      <w:marLeft w:val="0"/>
      <w:marRight w:val="0"/>
      <w:marTop w:val="0"/>
      <w:marBottom w:val="0"/>
      <w:divBdr>
        <w:top w:val="none" w:sz="0" w:space="0" w:color="auto"/>
        <w:left w:val="none" w:sz="0" w:space="0" w:color="auto"/>
        <w:bottom w:val="none" w:sz="0" w:space="0" w:color="auto"/>
        <w:right w:val="none" w:sz="0" w:space="0" w:color="auto"/>
      </w:divBdr>
    </w:div>
    <w:div w:id="1037198475">
      <w:bodyDiv w:val="1"/>
      <w:marLeft w:val="0"/>
      <w:marRight w:val="0"/>
      <w:marTop w:val="0"/>
      <w:marBottom w:val="0"/>
      <w:divBdr>
        <w:top w:val="none" w:sz="0" w:space="0" w:color="auto"/>
        <w:left w:val="none" w:sz="0" w:space="0" w:color="auto"/>
        <w:bottom w:val="none" w:sz="0" w:space="0" w:color="auto"/>
        <w:right w:val="none" w:sz="0" w:space="0" w:color="auto"/>
      </w:divBdr>
    </w:div>
    <w:div w:id="1056514012">
      <w:bodyDiv w:val="1"/>
      <w:marLeft w:val="0"/>
      <w:marRight w:val="0"/>
      <w:marTop w:val="0"/>
      <w:marBottom w:val="0"/>
      <w:divBdr>
        <w:top w:val="none" w:sz="0" w:space="0" w:color="auto"/>
        <w:left w:val="none" w:sz="0" w:space="0" w:color="auto"/>
        <w:bottom w:val="none" w:sz="0" w:space="0" w:color="auto"/>
        <w:right w:val="none" w:sz="0" w:space="0" w:color="auto"/>
      </w:divBdr>
    </w:div>
    <w:div w:id="1057246404">
      <w:bodyDiv w:val="1"/>
      <w:marLeft w:val="0"/>
      <w:marRight w:val="0"/>
      <w:marTop w:val="0"/>
      <w:marBottom w:val="0"/>
      <w:divBdr>
        <w:top w:val="none" w:sz="0" w:space="0" w:color="auto"/>
        <w:left w:val="none" w:sz="0" w:space="0" w:color="auto"/>
        <w:bottom w:val="none" w:sz="0" w:space="0" w:color="auto"/>
        <w:right w:val="none" w:sz="0" w:space="0" w:color="auto"/>
      </w:divBdr>
    </w:div>
    <w:div w:id="1062409427">
      <w:bodyDiv w:val="1"/>
      <w:marLeft w:val="0"/>
      <w:marRight w:val="0"/>
      <w:marTop w:val="0"/>
      <w:marBottom w:val="0"/>
      <w:divBdr>
        <w:top w:val="none" w:sz="0" w:space="0" w:color="auto"/>
        <w:left w:val="none" w:sz="0" w:space="0" w:color="auto"/>
        <w:bottom w:val="none" w:sz="0" w:space="0" w:color="auto"/>
        <w:right w:val="none" w:sz="0" w:space="0" w:color="auto"/>
      </w:divBdr>
    </w:div>
    <w:div w:id="1074158120">
      <w:bodyDiv w:val="1"/>
      <w:marLeft w:val="0"/>
      <w:marRight w:val="0"/>
      <w:marTop w:val="0"/>
      <w:marBottom w:val="0"/>
      <w:divBdr>
        <w:top w:val="none" w:sz="0" w:space="0" w:color="auto"/>
        <w:left w:val="none" w:sz="0" w:space="0" w:color="auto"/>
        <w:bottom w:val="none" w:sz="0" w:space="0" w:color="auto"/>
        <w:right w:val="none" w:sz="0" w:space="0" w:color="auto"/>
      </w:divBdr>
    </w:div>
    <w:div w:id="1076437084">
      <w:bodyDiv w:val="1"/>
      <w:marLeft w:val="0"/>
      <w:marRight w:val="0"/>
      <w:marTop w:val="0"/>
      <w:marBottom w:val="0"/>
      <w:divBdr>
        <w:top w:val="none" w:sz="0" w:space="0" w:color="auto"/>
        <w:left w:val="none" w:sz="0" w:space="0" w:color="auto"/>
        <w:bottom w:val="none" w:sz="0" w:space="0" w:color="auto"/>
        <w:right w:val="none" w:sz="0" w:space="0" w:color="auto"/>
      </w:divBdr>
    </w:div>
    <w:div w:id="1078213195">
      <w:bodyDiv w:val="1"/>
      <w:marLeft w:val="0"/>
      <w:marRight w:val="0"/>
      <w:marTop w:val="0"/>
      <w:marBottom w:val="0"/>
      <w:divBdr>
        <w:top w:val="none" w:sz="0" w:space="0" w:color="auto"/>
        <w:left w:val="none" w:sz="0" w:space="0" w:color="auto"/>
        <w:bottom w:val="none" w:sz="0" w:space="0" w:color="auto"/>
        <w:right w:val="none" w:sz="0" w:space="0" w:color="auto"/>
      </w:divBdr>
    </w:div>
    <w:div w:id="1116368383">
      <w:bodyDiv w:val="1"/>
      <w:marLeft w:val="0"/>
      <w:marRight w:val="0"/>
      <w:marTop w:val="0"/>
      <w:marBottom w:val="0"/>
      <w:divBdr>
        <w:top w:val="none" w:sz="0" w:space="0" w:color="auto"/>
        <w:left w:val="none" w:sz="0" w:space="0" w:color="auto"/>
        <w:bottom w:val="none" w:sz="0" w:space="0" w:color="auto"/>
        <w:right w:val="none" w:sz="0" w:space="0" w:color="auto"/>
      </w:divBdr>
    </w:div>
    <w:div w:id="1136291642">
      <w:bodyDiv w:val="1"/>
      <w:marLeft w:val="0"/>
      <w:marRight w:val="0"/>
      <w:marTop w:val="0"/>
      <w:marBottom w:val="0"/>
      <w:divBdr>
        <w:top w:val="none" w:sz="0" w:space="0" w:color="auto"/>
        <w:left w:val="none" w:sz="0" w:space="0" w:color="auto"/>
        <w:bottom w:val="none" w:sz="0" w:space="0" w:color="auto"/>
        <w:right w:val="none" w:sz="0" w:space="0" w:color="auto"/>
      </w:divBdr>
    </w:div>
    <w:div w:id="1144808306">
      <w:bodyDiv w:val="1"/>
      <w:marLeft w:val="0"/>
      <w:marRight w:val="0"/>
      <w:marTop w:val="0"/>
      <w:marBottom w:val="0"/>
      <w:divBdr>
        <w:top w:val="none" w:sz="0" w:space="0" w:color="auto"/>
        <w:left w:val="none" w:sz="0" w:space="0" w:color="auto"/>
        <w:bottom w:val="none" w:sz="0" w:space="0" w:color="auto"/>
        <w:right w:val="none" w:sz="0" w:space="0" w:color="auto"/>
      </w:divBdr>
    </w:div>
    <w:div w:id="1148790611">
      <w:bodyDiv w:val="1"/>
      <w:marLeft w:val="0"/>
      <w:marRight w:val="0"/>
      <w:marTop w:val="0"/>
      <w:marBottom w:val="0"/>
      <w:divBdr>
        <w:top w:val="none" w:sz="0" w:space="0" w:color="auto"/>
        <w:left w:val="none" w:sz="0" w:space="0" w:color="auto"/>
        <w:bottom w:val="none" w:sz="0" w:space="0" w:color="auto"/>
        <w:right w:val="none" w:sz="0" w:space="0" w:color="auto"/>
      </w:divBdr>
    </w:div>
    <w:div w:id="1149320070">
      <w:bodyDiv w:val="1"/>
      <w:marLeft w:val="0"/>
      <w:marRight w:val="0"/>
      <w:marTop w:val="0"/>
      <w:marBottom w:val="0"/>
      <w:divBdr>
        <w:top w:val="none" w:sz="0" w:space="0" w:color="auto"/>
        <w:left w:val="none" w:sz="0" w:space="0" w:color="auto"/>
        <w:bottom w:val="none" w:sz="0" w:space="0" w:color="auto"/>
        <w:right w:val="none" w:sz="0" w:space="0" w:color="auto"/>
      </w:divBdr>
    </w:div>
    <w:div w:id="1155759133">
      <w:bodyDiv w:val="1"/>
      <w:marLeft w:val="0"/>
      <w:marRight w:val="0"/>
      <w:marTop w:val="0"/>
      <w:marBottom w:val="0"/>
      <w:divBdr>
        <w:top w:val="none" w:sz="0" w:space="0" w:color="auto"/>
        <w:left w:val="none" w:sz="0" w:space="0" w:color="auto"/>
        <w:bottom w:val="none" w:sz="0" w:space="0" w:color="auto"/>
        <w:right w:val="none" w:sz="0" w:space="0" w:color="auto"/>
      </w:divBdr>
    </w:div>
    <w:div w:id="1157266864">
      <w:bodyDiv w:val="1"/>
      <w:marLeft w:val="0"/>
      <w:marRight w:val="0"/>
      <w:marTop w:val="0"/>
      <w:marBottom w:val="0"/>
      <w:divBdr>
        <w:top w:val="none" w:sz="0" w:space="0" w:color="auto"/>
        <w:left w:val="none" w:sz="0" w:space="0" w:color="auto"/>
        <w:bottom w:val="none" w:sz="0" w:space="0" w:color="auto"/>
        <w:right w:val="none" w:sz="0" w:space="0" w:color="auto"/>
      </w:divBdr>
    </w:div>
    <w:div w:id="1198816149">
      <w:bodyDiv w:val="1"/>
      <w:marLeft w:val="0"/>
      <w:marRight w:val="0"/>
      <w:marTop w:val="0"/>
      <w:marBottom w:val="0"/>
      <w:divBdr>
        <w:top w:val="none" w:sz="0" w:space="0" w:color="auto"/>
        <w:left w:val="none" w:sz="0" w:space="0" w:color="auto"/>
        <w:bottom w:val="none" w:sz="0" w:space="0" w:color="auto"/>
        <w:right w:val="none" w:sz="0" w:space="0" w:color="auto"/>
      </w:divBdr>
    </w:div>
    <w:div w:id="1199585618">
      <w:bodyDiv w:val="1"/>
      <w:marLeft w:val="0"/>
      <w:marRight w:val="0"/>
      <w:marTop w:val="0"/>
      <w:marBottom w:val="0"/>
      <w:divBdr>
        <w:top w:val="none" w:sz="0" w:space="0" w:color="auto"/>
        <w:left w:val="none" w:sz="0" w:space="0" w:color="auto"/>
        <w:bottom w:val="none" w:sz="0" w:space="0" w:color="auto"/>
        <w:right w:val="none" w:sz="0" w:space="0" w:color="auto"/>
      </w:divBdr>
    </w:div>
    <w:div w:id="1206211913">
      <w:bodyDiv w:val="1"/>
      <w:marLeft w:val="0"/>
      <w:marRight w:val="0"/>
      <w:marTop w:val="0"/>
      <w:marBottom w:val="0"/>
      <w:divBdr>
        <w:top w:val="none" w:sz="0" w:space="0" w:color="auto"/>
        <w:left w:val="none" w:sz="0" w:space="0" w:color="auto"/>
        <w:bottom w:val="none" w:sz="0" w:space="0" w:color="auto"/>
        <w:right w:val="none" w:sz="0" w:space="0" w:color="auto"/>
      </w:divBdr>
    </w:div>
    <w:div w:id="1208448432">
      <w:bodyDiv w:val="1"/>
      <w:marLeft w:val="0"/>
      <w:marRight w:val="0"/>
      <w:marTop w:val="0"/>
      <w:marBottom w:val="0"/>
      <w:divBdr>
        <w:top w:val="none" w:sz="0" w:space="0" w:color="auto"/>
        <w:left w:val="none" w:sz="0" w:space="0" w:color="auto"/>
        <w:bottom w:val="none" w:sz="0" w:space="0" w:color="auto"/>
        <w:right w:val="none" w:sz="0" w:space="0" w:color="auto"/>
      </w:divBdr>
    </w:div>
    <w:div w:id="1218319978">
      <w:bodyDiv w:val="1"/>
      <w:marLeft w:val="0"/>
      <w:marRight w:val="0"/>
      <w:marTop w:val="0"/>
      <w:marBottom w:val="0"/>
      <w:divBdr>
        <w:top w:val="none" w:sz="0" w:space="0" w:color="auto"/>
        <w:left w:val="none" w:sz="0" w:space="0" w:color="auto"/>
        <w:bottom w:val="none" w:sz="0" w:space="0" w:color="auto"/>
        <w:right w:val="none" w:sz="0" w:space="0" w:color="auto"/>
      </w:divBdr>
    </w:div>
    <w:div w:id="1220748504">
      <w:bodyDiv w:val="1"/>
      <w:marLeft w:val="0"/>
      <w:marRight w:val="0"/>
      <w:marTop w:val="0"/>
      <w:marBottom w:val="0"/>
      <w:divBdr>
        <w:top w:val="none" w:sz="0" w:space="0" w:color="auto"/>
        <w:left w:val="none" w:sz="0" w:space="0" w:color="auto"/>
        <w:bottom w:val="none" w:sz="0" w:space="0" w:color="auto"/>
        <w:right w:val="none" w:sz="0" w:space="0" w:color="auto"/>
      </w:divBdr>
    </w:div>
    <w:div w:id="1220828475">
      <w:bodyDiv w:val="1"/>
      <w:marLeft w:val="0"/>
      <w:marRight w:val="0"/>
      <w:marTop w:val="0"/>
      <w:marBottom w:val="0"/>
      <w:divBdr>
        <w:top w:val="none" w:sz="0" w:space="0" w:color="auto"/>
        <w:left w:val="none" w:sz="0" w:space="0" w:color="auto"/>
        <w:bottom w:val="none" w:sz="0" w:space="0" w:color="auto"/>
        <w:right w:val="none" w:sz="0" w:space="0" w:color="auto"/>
      </w:divBdr>
    </w:div>
    <w:div w:id="1239440840">
      <w:bodyDiv w:val="1"/>
      <w:marLeft w:val="0"/>
      <w:marRight w:val="0"/>
      <w:marTop w:val="0"/>
      <w:marBottom w:val="0"/>
      <w:divBdr>
        <w:top w:val="none" w:sz="0" w:space="0" w:color="auto"/>
        <w:left w:val="none" w:sz="0" w:space="0" w:color="auto"/>
        <w:bottom w:val="none" w:sz="0" w:space="0" w:color="auto"/>
        <w:right w:val="none" w:sz="0" w:space="0" w:color="auto"/>
      </w:divBdr>
    </w:div>
    <w:div w:id="1240094938">
      <w:bodyDiv w:val="1"/>
      <w:marLeft w:val="0"/>
      <w:marRight w:val="0"/>
      <w:marTop w:val="0"/>
      <w:marBottom w:val="0"/>
      <w:divBdr>
        <w:top w:val="none" w:sz="0" w:space="0" w:color="auto"/>
        <w:left w:val="none" w:sz="0" w:space="0" w:color="auto"/>
        <w:bottom w:val="none" w:sz="0" w:space="0" w:color="auto"/>
        <w:right w:val="none" w:sz="0" w:space="0" w:color="auto"/>
      </w:divBdr>
    </w:div>
    <w:div w:id="1268268517">
      <w:bodyDiv w:val="1"/>
      <w:marLeft w:val="0"/>
      <w:marRight w:val="0"/>
      <w:marTop w:val="0"/>
      <w:marBottom w:val="0"/>
      <w:divBdr>
        <w:top w:val="none" w:sz="0" w:space="0" w:color="auto"/>
        <w:left w:val="none" w:sz="0" w:space="0" w:color="auto"/>
        <w:bottom w:val="none" w:sz="0" w:space="0" w:color="auto"/>
        <w:right w:val="none" w:sz="0" w:space="0" w:color="auto"/>
      </w:divBdr>
    </w:div>
    <w:div w:id="1268349585">
      <w:bodyDiv w:val="1"/>
      <w:marLeft w:val="0"/>
      <w:marRight w:val="0"/>
      <w:marTop w:val="0"/>
      <w:marBottom w:val="0"/>
      <w:divBdr>
        <w:top w:val="none" w:sz="0" w:space="0" w:color="auto"/>
        <w:left w:val="none" w:sz="0" w:space="0" w:color="auto"/>
        <w:bottom w:val="none" w:sz="0" w:space="0" w:color="auto"/>
        <w:right w:val="none" w:sz="0" w:space="0" w:color="auto"/>
      </w:divBdr>
    </w:div>
    <w:div w:id="1269311250">
      <w:bodyDiv w:val="1"/>
      <w:marLeft w:val="0"/>
      <w:marRight w:val="0"/>
      <w:marTop w:val="0"/>
      <w:marBottom w:val="0"/>
      <w:divBdr>
        <w:top w:val="none" w:sz="0" w:space="0" w:color="auto"/>
        <w:left w:val="none" w:sz="0" w:space="0" w:color="auto"/>
        <w:bottom w:val="none" w:sz="0" w:space="0" w:color="auto"/>
        <w:right w:val="none" w:sz="0" w:space="0" w:color="auto"/>
      </w:divBdr>
    </w:div>
    <w:div w:id="1282960274">
      <w:bodyDiv w:val="1"/>
      <w:marLeft w:val="0"/>
      <w:marRight w:val="0"/>
      <w:marTop w:val="0"/>
      <w:marBottom w:val="0"/>
      <w:divBdr>
        <w:top w:val="none" w:sz="0" w:space="0" w:color="auto"/>
        <w:left w:val="none" w:sz="0" w:space="0" w:color="auto"/>
        <w:bottom w:val="none" w:sz="0" w:space="0" w:color="auto"/>
        <w:right w:val="none" w:sz="0" w:space="0" w:color="auto"/>
      </w:divBdr>
    </w:div>
    <w:div w:id="1284580027">
      <w:bodyDiv w:val="1"/>
      <w:marLeft w:val="0"/>
      <w:marRight w:val="0"/>
      <w:marTop w:val="0"/>
      <w:marBottom w:val="0"/>
      <w:divBdr>
        <w:top w:val="none" w:sz="0" w:space="0" w:color="auto"/>
        <w:left w:val="none" w:sz="0" w:space="0" w:color="auto"/>
        <w:bottom w:val="none" w:sz="0" w:space="0" w:color="auto"/>
        <w:right w:val="none" w:sz="0" w:space="0" w:color="auto"/>
      </w:divBdr>
    </w:div>
    <w:div w:id="1293293335">
      <w:bodyDiv w:val="1"/>
      <w:marLeft w:val="0"/>
      <w:marRight w:val="0"/>
      <w:marTop w:val="0"/>
      <w:marBottom w:val="0"/>
      <w:divBdr>
        <w:top w:val="none" w:sz="0" w:space="0" w:color="auto"/>
        <w:left w:val="none" w:sz="0" w:space="0" w:color="auto"/>
        <w:bottom w:val="none" w:sz="0" w:space="0" w:color="auto"/>
        <w:right w:val="none" w:sz="0" w:space="0" w:color="auto"/>
      </w:divBdr>
    </w:div>
    <w:div w:id="1312558925">
      <w:bodyDiv w:val="1"/>
      <w:marLeft w:val="0"/>
      <w:marRight w:val="0"/>
      <w:marTop w:val="0"/>
      <w:marBottom w:val="0"/>
      <w:divBdr>
        <w:top w:val="none" w:sz="0" w:space="0" w:color="auto"/>
        <w:left w:val="none" w:sz="0" w:space="0" w:color="auto"/>
        <w:bottom w:val="none" w:sz="0" w:space="0" w:color="auto"/>
        <w:right w:val="none" w:sz="0" w:space="0" w:color="auto"/>
      </w:divBdr>
    </w:div>
    <w:div w:id="1312977881">
      <w:bodyDiv w:val="1"/>
      <w:marLeft w:val="0"/>
      <w:marRight w:val="0"/>
      <w:marTop w:val="0"/>
      <w:marBottom w:val="0"/>
      <w:divBdr>
        <w:top w:val="none" w:sz="0" w:space="0" w:color="auto"/>
        <w:left w:val="none" w:sz="0" w:space="0" w:color="auto"/>
        <w:bottom w:val="none" w:sz="0" w:space="0" w:color="auto"/>
        <w:right w:val="none" w:sz="0" w:space="0" w:color="auto"/>
      </w:divBdr>
    </w:div>
    <w:div w:id="1317343220">
      <w:bodyDiv w:val="1"/>
      <w:marLeft w:val="0"/>
      <w:marRight w:val="0"/>
      <w:marTop w:val="0"/>
      <w:marBottom w:val="0"/>
      <w:divBdr>
        <w:top w:val="none" w:sz="0" w:space="0" w:color="auto"/>
        <w:left w:val="none" w:sz="0" w:space="0" w:color="auto"/>
        <w:bottom w:val="none" w:sz="0" w:space="0" w:color="auto"/>
        <w:right w:val="none" w:sz="0" w:space="0" w:color="auto"/>
      </w:divBdr>
    </w:div>
    <w:div w:id="1321959267">
      <w:bodyDiv w:val="1"/>
      <w:marLeft w:val="0"/>
      <w:marRight w:val="0"/>
      <w:marTop w:val="0"/>
      <w:marBottom w:val="0"/>
      <w:divBdr>
        <w:top w:val="none" w:sz="0" w:space="0" w:color="auto"/>
        <w:left w:val="none" w:sz="0" w:space="0" w:color="auto"/>
        <w:bottom w:val="none" w:sz="0" w:space="0" w:color="auto"/>
        <w:right w:val="none" w:sz="0" w:space="0" w:color="auto"/>
      </w:divBdr>
    </w:div>
    <w:div w:id="1328629357">
      <w:bodyDiv w:val="1"/>
      <w:marLeft w:val="0"/>
      <w:marRight w:val="0"/>
      <w:marTop w:val="0"/>
      <w:marBottom w:val="0"/>
      <w:divBdr>
        <w:top w:val="none" w:sz="0" w:space="0" w:color="auto"/>
        <w:left w:val="none" w:sz="0" w:space="0" w:color="auto"/>
        <w:bottom w:val="none" w:sz="0" w:space="0" w:color="auto"/>
        <w:right w:val="none" w:sz="0" w:space="0" w:color="auto"/>
      </w:divBdr>
    </w:div>
    <w:div w:id="1335036746">
      <w:bodyDiv w:val="1"/>
      <w:marLeft w:val="0"/>
      <w:marRight w:val="0"/>
      <w:marTop w:val="0"/>
      <w:marBottom w:val="0"/>
      <w:divBdr>
        <w:top w:val="none" w:sz="0" w:space="0" w:color="auto"/>
        <w:left w:val="none" w:sz="0" w:space="0" w:color="auto"/>
        <w:bottom w:val="none" w:sz="0" w:space="0" w:color="auto"/>
        <w:right w:val="none" w:sz="0" w:space="0" w:color="auto"/>
      </w:divBdr>
    </w:div>
    <w:div w:id="1363096349">
      <w:bodyDiv w:val="1"/>
      <w:marLeft w:val="0"/>
      <w:marRight w:val="0"/>
      <w:marTop w:val="0"/>
      <w:marBottom w:val="0"/>
      <w:divBdr>
        <w:top w:val="none" w:sz="0" w:space="0" w:color="auto"/>
        <w:left w:val="none" w:sz="0" w:space="0" w:color="auto"/>
        <w:bottom w:val="none" w:sz="0" w:space="0" w:color="auto"/>
        <w:right w:val="none" w:sz="0" w:space="0" w:color="auto"/>
      </w:divBdr>
    </w:div>
    <w:div w:id="1382511687">
      <w:bodyDiv w:val="1"/>
      <w:marLeft w:val="0"/>
      <w:marRight w:val="0"/>
      <w:marTop w:val="0"/>
      <w:marBottom w:val="0"/>
      <w:divBdr>
        <w:top w:val="none" w:sz="0" w:space="0" w:color="auto"/>
        <w:left w:val="none" w:sz="0" w:space="0" w:color="auto"/>
        <w:bottom w:val="none" w:sz="0" w:space="0" w:color="auto"/>
        <w:right w:val="none" w:sz="0" w:space="0" w:color="auto"/>
      </w:divBdr>
    </w:div>
    <w:div w:id="1383598177">
      <w:bodyDiv w:val="1"/>
      <w:marLeft w:val="0"/>
      <w:marRight w:val="0"/>
      <w:marTop w:val="0"/>
      <w:marBottom w:val="0"/>
      <w:divBdr>
        <w:top w:val="none" w:sz="0" w:space="0" w:color="auto"/>
        <w:left w:val="none" w:sz="0" w:space="0" w:color="auto"/>
        <w:bottom w:val="none" w:sz="0" w:space="0" w:color="auto"/>
        <w:right w:val="none" w:sz="0" w:space="0" w:color="auto"/>
      </w:divBdr>
    </w:div>
    <w:div w:id="1394620431">
      <w:bodyDiv w:val="1"/>
      <w:marLeft w:val="0"/>
      <w:marRight w:val="0"/>
      <w:marTop w:val="0"/>
      <w:marBottom w:val="0"/>
      <w:divBdr>
        <w:top w:val="none" w:sz="0" w:space="0" w:color="auto"/>
        <w:left w:val="none" w:sz="0" w:space="0" w:color="auto"/>
        <w:bottom w:val="none" w:sz="0" w:space="0" w:color="auto"/>
        <w:right w:val="none" w:sz="0" w:space="0" w:color="auto"/>
      </w:divBdr>
    </w:div>
    <w:div w:id="1399551349">
      <w:bodyDiv w:val="1"/>
      <w:marLeft w:val="0"/>
      <w:marRight w:val="0"/>
      <w:marTop w:val="0"/>
      <w:marBottom w:val="0"/>
      <w:divBdr>
        <w:top w:val="none" w:sz="0" w:space="0" w:color="auto"/>
        <w:left w:val="none" w:sz="0" w:space="0" w:color="auto"/>
        <w:bottom w:val="none" w:sz="0" w:space="0" w:color="auto"/>
        <w:right w:val="none" w:sz="0" w:space="0" w:color="auto"/>
      </w:divBdr>
    </w:div>
    <w:div w:id="1415475408">
      <w:bodyDiv w:val="1"/>
      <w:marLeft w:val="0"/>
      <w:marRight w:val="0"/>
      <w:marTop w:val="0"/>
      <w:marBottom w:val="0"/>
      <w:divBdr>
        <w:top w:val="none" w:sz="0" w:space="0" w:color="auto"/>
        <w:left w:val="none" w:sz="0" w:space="0" w:color="auto"/>
        <w:bottom w:val="none" w:sz="0" w:space="0" w:color="auto"/>
        <w:right w:val="none" w:sz="0" w:space="0" w:color="auto"/>
      </w:divBdr>
    </w:div>
    <w:div w:id="1422798750">
      <w:bodyDiv w:val="1"/>
      <w:marLeft w:val="0"/>
      <w:marRight w:val="0"/>
      <w:marTop w:val="0"/>
      <w:marBottom w:val="0"/>
      <w:divBdr>
        <w:top w:val="none" w:sz="0" w:space="0" w:color="auto"/>
        <w:left w:val="none" w:sz="0" w:space="0" w:color="auto"/>
        <w:bottom w:val="none" w:sz="0" w:space="0" w:color="auto"/>
        <w:right w:val="none" w:sz="0" w:space="0" w:color="auto"/>
      </w:divBdr>
    </w:div>
    <w:div w:id="1429347741">
      <w:bodyDiv w:val="1"/>
      <w:marLeft w:val="0"/>
      <w:marRight w:val="0"/>
      <w:marTop w:val="0"/>
      <w:marBottom w:val="0"/>
      <w:divBdr>
        <w:top w:val="none" w:sz="0" w:space="0" w:color="auto"/>
        <w:left w:val="none" w:sz="0" w:space="0" w:color="auto"/>
        <w:bottom w:val="none" w:sz="0" w:space="0" w:color="auto"/>
        <w:right w:val="none" w:sz="0" w:space="0" w:color="auto"/>
      </w:divBdr>
    </w:div>
    <w:div w:id="1430270074">
      <w:bodyDiv w:val="1"/>
      <w:marLeft w:val="0"/>
      <w:marRight w:val="0"/>
      <w:marTop w:val="0"/>
      <w:marBottom w:val="0"/>
      <w:divBdr>
        <w:top w:val="none" w:sz="0" w:space="0" w:color="auto"/>
        <w:left w:val="none" w:sz="0" w:space="0" w:color="auto"/>
        <w:bottom w:val="none" w:sz="0" w:space="0" w:color="auto"/>
        <w:right w:val="none" w:sz="0" w:space="0" w:color="auto"/>
      </w:divBdr>
    </w:div>
    <w:div w:id="1456757461">
      <w:bodyDiv w:val="1"/>
      <w:marLeft w:val="0"/>
      <w:marRight w:val="0"/>
      <w:marTop w:val="0"/>
      <w:marBottom w:val="0"/>
      <w:divBdr>
        <w:top w:val="none" w:sz="0" w:space="0" w:color="auto"/>
        <w:left w:val="none" w:sz="0" w:space="0" w:color="auto"/>
        <w:bottom w:val="none" w:sz="0" w:space="0" w:color="auto"/>
        <w:right w:val="none" w:sz="0" w:space="0" w:color="auto"/>
      </w:divBdr>
    </w:div>
    <w:div w:id="1469585331">
      <w:bodyDiv w:val="1"/>
      <w:marLeft w:val="0"/>
      <w:marRight w:val="0"/>
      <w:marTop w:val="0"/>
      <w:marBottom w:val="0"/>
      <w:divBdr>
        <w:top w:val="none" w:sz="0" w:space="0" w:color="auto"/>
        <w:left w:val="none" w:sz="0" w:space="0" w:color="auto"/>
        <w:bottom w:val="none" w:sz="0" w:space="0" w:color="auto"/>
        <w:right w:val="none" w:sz="0" w:space="0" w:color="auto"/>
      </w:divBdr>
    </w:div>
    <w:div w:id="1470173910">
      <w:bodyDiv w:val="1"/>
      <w:marLeft w:val="0"/>
      <w:marRight w:val="0"/>
      <w:marTop w:val="0"/>
      <w:marBottom w:val="0"/>
      <w:divBdr>
        <w:top w:val="none" w:sz="0" w:space="0" w:color="auto"/>
        <w:left w:val="none" w:sz="0" w:space="0" w:color="auto"/>
        <w:bottom w:val="none" w:sz="0" w:space="0" w:color="auto"/>
        <w:right w:val="none" w:sz="0" w:space="0" w:color="auto"/>
      </w:divBdr>
    </w:div>
    <w:div w:id="1481532083">
      <w:bodyDiv w:val="1"/>
      <w:marLeft w:val="0"/>
      <w:marRight w:val="0"/>
      <w:marTop w:val="0"/>
      <w:marBottom w:val="0"/>
      <w:divBdr>
        <w:top w:val="none" w:sz="0" w:space="0" w:color="auto"/>
        <w:left w:val="none" w:sz="0" w:space="0" w:color="auto"/>
        <w:bottom w:val="none" w:sz="0" w:space="0" w:color="auto"/>
        <w:right w:val="none" w:sz="0" w:space="0" w:color="auto"/>
      </w:divBdr>
    </w:div>
    <w:div w:id="1484926731">
      <w:bodyDiv w:val="1"/>
      <w:marLeft w:val="0"/>
      <w:marRight w:val="0"/>
      <w:marTop w:val="0"/>
      <w:marBottom w:val="0"/>
      <w:divBdr>
        <w:top w:val="none" w:sz="0" w:space="0" w:color="auto"/>
        <w:left w:val="none" w:sz="0" w:space="0" w:color="auto"/>
        <w:bottom w:val="none" w:sz="0" w:space="0" w:color="auto"/>
        <w:right w:val="none" w:sz="0" w:space="0" w:color="auto"/>
      </w:divBdr>
    </w:div>
    <w:div w:id="1504079913">
      <w:bodyDiv w:val="1"/>
      <w:marLeft w:val="0"/>
      <w:marRight w:val="0"/>
      <w:marTop w:val="0"/>
      <w:marBottom w:val="0"/>
      <w:divBdr>
        <w:top w:val="none" w:sz="0" w:space="0" w:color="auto"/>
        <w:left w:val="none" w:sz="0" w:space="0" w:color="auto"/>
        <w:bottom w:val="none" w:sz="0" w:space="0" w:color="auto"/>
        <w:right w:val="none" w:sz="0" w:space="0" w:color="auto"/>
      </w:divBdr>
    </w:div>
    <w:div w:id="1519586958">
      <w:bodyDiv w:val="1"/>
      <w:marLeft w:val="0"/>
      <w:marRight w:val="0"/>
      <w:marTop w:val="0"/>
      <w:marBottom w:val="0"/>
      <w:divBdr>
        <w:top w:val="none" w:sz="0" w:space="0" w:color="auto"/>
        <w:left w:val="none" w:sz="0" w:space="0" w:color="auto"/>
        <w:bottom w:val="none" w:sz="0" w:space="0" w:color="auto"/>
        <w:right w:val="none" w:sz="0" w:space="0" w:color="auto"/>
      </w:divBdr>
    </w:div>
    <w:div w:id="1523780959">
      <w:bodyDiv w:val="1"/>
      <w:marLeft w:val="0"/>
      <w:marRight w:val="0"/>
      <w:marTop w:val="0"/>
      <w:marBottom w:val="0"/>
      <w:divBdr>
        <w:top w:val="none" w:sz="0" w:space="0" w:color="auto"/>
        <w:left w:val="none" w:sz="0" w:space="0" w:color="auto"/>
        <w:bottom w:val="none" w:sz="0" w:space="0" w:color="auto"/>
        <w:right w:val="none" w:sz="0" w:space="0" w:color="auto"/>
      </w:divBdr>
    </w:div>
    <w:div w:id="1524826321">
      <w:bodyDiv w:val="1"/>
      <w:marLeft w:val="0"/>
      <w:marRight w:val="0"/>
      <w:marTop w:val="0"/>
      <w:marBottom w:val="0"/>
      <w:divBdr>
        <w:top w:val="none" w:sz="0" w:space="0" w:color="auto"/>
        <w:left w:val="none" w:sz="0" w:space="0" w:color="auto"/>
        <w:bottom w:val="none" w:sz="0" w:space="0" w:color="auto"/>
        <w:right w:val="none" w:sz="0" w:space="0" w:color="auto"/>
      </w:divBdr>
    </w:div>
    <w:div w:id="1531452365">
      <w:bodyDiv w:val="1"/>
      <w:marLeft w:val="0"/>
      <w:marRight w:val="0"/>
      <w:marTop w:val="0"/>
      <w:marBottom w:val="0"/>
      <w:divBdr>
        <w:top w:val="none" w:sz="0" w:space="0" w:color="auto"/>
        <w:left w:val="none" w:sz="0" w:space="0" w:color="auto"/>
        <w:bottom w:val="none" w:sz="0" w:space="0" w:color="auto"/>
        <w:right w:val="none" w:sz="0" w:space="0" w:color="auto"/>
      </w:divBdr>
    </w:div>
    <w:div w:id="1539734086">
      <w:bodyDiv w:val="1"/>
      <w:marLeft w:val="0"/>
      <w:marRight w:val="0"/>
      <w:marTop w:val="0"/>
      <w:marBottom w:val="0"/>
      <w:divBdr>
        <w:top w:val="none" w:sz="0" w:space="0" w:color="auto"/>
        <w:left w:val="none" w:sz="0" w:space="0" w:color="auto"/>
        <w:bottom w:val="none" w:sz="0" w:space="0" w:color="auto"/>
        <w:right w:val="none" w:sz="0" w:space="0" w:color="auto"/>
      </w:divBdr>
    </w:div>
    <w:div w:id="1543440694">
      <w:bodyDiv w:val="1"/>
      <w:marLeft w:val="0"/>
      <w:marRight w:val="0"/>
      <w:marTop w:val="0"/>
      <w:marBottom w:val="0"/>
      <w:divBdr>
        <w:top w:val="none" w:sz="0" w:space="0" w:color="auto"/>
        <w:left w:val="none" w:sz="0" w:space="0" w:color="auto"/>
        <w:bottom w:val="none" w:sz="0" w:space="0" w:color="auto"/>
        <w:right w:val="none" w:sz="0" w:space="0" w:color="auto"/>
      </w:divBdr>
    </w:div>
    <w:div w:id="1553419356">
      <w:bodyDiv w:val="1"/>
      <w:marLeft w:val="0"/>
      <w:marRight w:val="0"/>
      <w:marTop w:val="0"/>
      <w:marBottom w:val="0"/>
      <w:divBdr>
        <w:top w:val="none" w:sz="0" w:space="0" w:color="auto"/>
        <w:left w:val="none" w:sz="0" w:space="0" w:color="auto"/>
        <w:bottom w:val="none" w:sz="0" w:space="0" w:color="auto"/>
        <w:right w:val="none" w:sz="0" w:space="0" w:color="auto"/>
      </w:divBdr>
    </w:div>
    <w:div w:id="1554385190">
      <w:bodyDiv w:val="1"/>
      <w:marLeft w:val="0"/>
      <w:marRight w:val="0"/>
      <w:marTop w:val="0"/>
      <w:marBottom w:val="0"/>
      <w:divBdr>
        <w:top w:val="none" w:sz="0" w:space="0" w:color="auto"/>
        <w:left w:val="none" w:sz="0" w:space="0" w:color="auto"/>
        <w:bottom w:val="none" w:sz="0" w:space="0" w:color="auto"/>
        <w:right w:val="none" w:sz="0" w:space="0" w:color="auto"/>
      </w:divBdr>
    </w:div>
    <w:div w:id="1605845167">
      <w:bodyDiv w:val="1"/>
      <w:marLeft w:val="0"/>
      <w:marRight w:val="0"/>
      <w:marTop w:val="0"/>
      <w:marBottom w:val="0"/>
      <w:divBdr>
        <w:top w:val="none" w:sz="0" w:space="0" w:color="auto"/>
        <w:left w:val="none" w:sz="0" w:space="0" w:color="auto"/>
        <w:bottom w:val="none" w:sz="0" w:space="0" w:color="auto"/>
        <w:right w:val="none" w:sz="0" w:space="0" w:color="auto"/>
      </w:divBdr>
    </w:div>
    <w:div w:id="1614750241">
      <w:bodyDiv w:val="1"/>
      <w:marLeft w:val="0"/>
      <w:marRight w:val="0"/>
      <w:marTop w:val="0"/>
      <w:marBottom w:val="0"/>
      <w:divBdr>
        <w:top w:val="none" w:sz="0" w:space="0" w:color="auto"/>
        <w:left w:val="none" w:sz="0" w:space="0" w:color="auto"/>
        <w:bottom w:val="none" w:sz="0" w:space="0" w:color="auto"/>
        <w:right w:val="none" w:sz="0" w:space="0" w:color="auto"/>
      </w:divBdr>
    </w:div>
    <w:div w:id="1641569961">
      <w:bodyDiv w:val="1"/>
      <w:marLeft w:val="0"/>
      <w:marRight w:val="0"/>
      <w:marTop w:val="0"/>
      <w:marBottom w:val="0"/>
      <w:divBdr>
        <w:top w:val="none" w:sz="0" w:space="0" w:color="auto"/>
        <w:left w:val="none" w:sz="0" w:space="0" w:color="auto"/>
        <w:bottom w:val="none" w:sz="0" w:space="0" w:color="auto"/>
        <w:right w:val="none" w:sz="0" w:space="0" w:color="auto"/>
      </w:divBdr>
    </w:div>
    <w:div w:id="1644698943">
      <w:bodyDiv w:val="1"/>
      <w:marLeft w:val="0"/>
      <w:marRight w:val="0"/>
      <w:marTop w:val="0"/>
      <w:marBottom w:val="0"/>
      <w:divBdr>
        <w:top w:val="none" w:sz="0" w:space="0" w:color="auto"/>
        <w:left w:val="none" w:sz="0" w:space="0" w:color="auto"/>
        <w:bottom w:val="none" w:sz="0" w:space="0" w:color="auto"/>
        <w:right w:val="none" w:sz="0" w:space="0" w:color="auto"/>
      </w:divBdr>
    </w:div>
    <w:div w:id="1648709177">
      <w:bodyDiv w:val="1"/>
      <w:marLeft w:val="0"/>
      <w:marRight w:val="0"/>
      <w:marTop w:val="0"/>
      <w:marBottom w:val="0"/>
      <w:divBdr>
        <w:top w:val="none" w:sz="0" w:space="0" w:color="auto"/>
        <w:left w:val="none" w:sz="0" w:space="0" w:color="auto"/>
        <w:bottom w:val="none" w:sz="0" w:space="0" w:color="auto"/>
        <w:right w:val="none" w:sz="0" w:space="0" w:color="auto"/>
      </w:divBdr>
    </w:div>
    <w:div w:id="1674989885">
      <w:bodyDiv w:val="1"/>
      <w:marLeft w:val="0"/>
      <w:marRight w:val="0"/>
      <w:marTop w:val="0"/>
      <w:marBottom w:val="0"/>
      <w:divBdr>
        <w:top w:val="none" w:sz="0" w:space="0" w:color="auto"/>
        <w:left w:val="none" w:sz="0" w:space="0" w:color="auto"/>
        <w:bottom w:val="none" w:sz="0" w:space="0" w:color="auto"/>
        <w:right w:val="none" w:sz="0" w:space="0" w:color="auto"/>
      </w:divBdr>
    </w:div>
    <w:div w:id="1684743677">
      <w:bodyDiv w:val="1"/>
      <w:marLeft w:val="0"/>
      <w:marRight w:val="0"/>
      <w:marTop w:val="0"/>
      <w:marBottom w:val="0"/>
      <w:divBdr>
        <w:top w:val="none" w:sz="0" w:space="0" w:color="auto"/>
        <w:left w:val="none" w:sz="0" w:space="0" w:color="auto"/>
        <w:bottom w:val="none" w:sz="0" w:space="0" w:color="auto"/>
        <w:right w:val="none" w:sz="0" w:space="0" w:color="auto"/>
      </w:divBdr>
    </w:div>
    <w:div w:id="1693921160">
      <w:bodyDiv w:val="1"/>
      <w:marLeft w:val="0"/>
      <w:marRight w:val="0"/>
      <w:marTop w:val="0"/>
      <w:marBottom w:val="0"/>
      <w:divBdr>
        <w:top w:val="none" w:sz="0" w:space="0" w:color="auto"/>
        <w:left w:val="none" w:sz="0" w:space="0" w:color="auto"/>
        <w:bottom w:val="none" w:sz="0" w:space="0" w:color="auto"/>
        <w:right w:val="none" w:sz="0" w:space="0" w:color="auto"/>
      </w:divBdr>
    </w:div>
    <w:div w:id="1734236652">
      <w:bodyDiv w:val="1"/>
      <w:marLeft w:val="0"/>
      <w:marRight w:val="0"/>
      <w:marTop w:val="0"/>
      <w:marBottom w:val="0"/>
      <w:divBdr>
        <w:top w:val="none" w:sz="0" w:space="0" w:color="auto"/>
        <w:left w:val="none" w:sz="0" w:space="0" w:color="auto"/>
        <w:bottom w:val="none" w:sz="0" w:space="0" w:color="auto"/>
        <w:right w:val="none" w:sz="0" w:space="0" w:color="auto"/>
      </w:divBdr>
    </w:div>
    <w:div w:id="1736198721">
      <w:bodyDiv w:val="1"/>
      <w:marLeft w:val="0"/>
      <w:marRight w:val="0"/>
      <w:marTop w:val="0"/>
      <w:marBottom w:val="0"/>
      <w:divBdr>
        <w:top w:val="none" w:sz="0" w:space="0" w:color="auto"/>
        <w:left w:val="none" w:sz="0" w:space="0" w:color="auto"/>
        <w:bottom w:val="none" w:sz="0" w:space="0" w:color="auto"/>
        <w:right w:val="none" w:sz="0" w:space="0" w:color="auto"/>
      </w:divBdr>
    </w:div>
    <w:div w:id="1747991697">
      <w:bodyDiv w:val="1"/>
      <w:marLeft w:val="0"/>
      <w:marRight w:val="0"/>
      <w:marTop w:val="0"/>
      <w:marBottom w:val="0"/>
      <w:divBdr>
        <w:top w:val="none" w:sz="0" w:space="0" w:color="auto"/>
        <w:left w:val="none" w:sz="0" w:space="0" w:color="auto"/>
        <w:bottom w:val="none" w:sz="0" w:space="0" w:color="auto"/>
        <w:right w:val="none" w:sz="0" w:space="0" w:color="auto"/>
      </w:divBdr>
    </w:div>
    <w:div w:id="1761218633">
      <w:bodyDiv w:val="1"/>
      <w:marLeft w:val="0"/>
      <w:marRight w:val="0"/>
      <w:marTop w:val="0"/>
      <w:marBottom w:val="0"/>
      <w:divBdr>
        <w:top w:val="none" w:sz="0" w:space="0" w:color="auto"/>
        <w:left w:val="none" w:sz="0" w:space="0" w:color="auto"/>
        <w:bottom w:val="none" w:sz="0" w:space="0" w:color="auto"/>
        <w:right w:val="none" w:sz="0" w:space="0" w:color="auto"/>
      </w:divBdr>
    </w:div>
    <w:div w:id="1778257369">
      <w:bodyDiv w:val="1"/>
      <w:marLeft w:val="0"/>
      <w:marRight w:val="0"/>
      <w:marTop w:val="0"/>
      <w:marBottom w:val="0"/>
      <w:divBdr>
        <w:top w:val="none" w:sz="0" w:space="0" w:color="auto"/>
        <w:left w:val="none" w:sz="0" w:space="0" w:color="auto"/>
        <w:bottom w:val="none" w:sz="0" w:space="0" w:color="auto"/>
        <w:right w:val="none" w:sz="0" w:space="0" w:color="auto"/>
      </w:divBdr>
    </w:div>
    <w:div w:id="1806703714">
      <w:bodyDiv w:val="1"/>
      <w:marLeft w:val="0"/>
      <w:marRight w:val="0"/>
      <w:marTop w:val="0"/>
      <w:marBottom w:val="0"/>
      <w:divBdr>
        <w:top w:val="none" w:sz="0" w:space="0" w:color="auto"/>
        <w:left w:val="none" w:sz="0" w:space="0" w:color="auto"/>
        <w:bottom w:val="none" w:sz="0" w:space="0" w:color="auto"/>
        <w:right w:val="none" w:sz="0" w:space="0" w:color="auto"/>
      </w:divBdr>
    </w:div>
    <w:div w:id="1817261577">
      <w:bodyDiv w:val="1"/>
      <w:marLeft w:val="0"/>
      <w:marRight w:val="0"/>
      <w:marTop w:val="0"/>
      <w:marBottom w:val="0"/>
      <w:divBdr>
        <w:top w:val="none" w:sz="0" w:space="0" w:color="auto"/>
        <w:left w:val="none" w:sz="0" w:space="0" w:color="auto"/>
        <w:bottom w:val="none" w:sz="0" w:space="0" w:color="auto"/>
        <w:right w:val="none" w:sz="0" w:space="0" w:color="auto"/>
      </w:divBdr>
    </w:div>
    <w:div w:id="1822885782">
      <w:bodyDiv w:val="1"/>
      <w:marLeft w:val="0"/>
      <w:marRight w:val="0"/>
      <w:marTop w:val="0"/>
      <w:marBottom w:val="0"/>
      <w:divBdr>
        <w:top w:val="none" w:sz="0" w:space="0" w:color="auto"/>
        <w:left w:val="none" w:sz="0" w:space="0" w:color="auto"/>
        <w:bottom w:val="none" w:sz="0" w:space="0" w:color="auto"/>
        <w:right w:val="none" w:sz="0" w:space="0" w:color="auto"/>
      </w:divBdr>
    </w:div>
    <w:div w:id="1827934586">
      <w:bodyDiv w:val="1"/>
      <w:marLeft w:val="0"/>
      <w:marRight w:val="0"/>
      <w:marTop w:val="0"/>
      <w:marBottom w:val="0"/>
      <w:divBdr>
        <w:top w:val="none" w:sz="0" w:space="0" w:color="auto"/>
        <w:left w:val="none" w:sz="0" w:space="0" w:color="auto"/>
        <w:bottom w:val="none" w:sz="0" w:space="0" w:color="auto"/>
        <w:right w:val="none" w:sz="0" w:space="0" w:color="auto"/>
      </w:divBdr>
    </w:div>
    <w:div w:id="1829515673">
      <w:bodyDiv w:val="1"/>
      <w:marLeft w:val="0"/>
      <w:marRight w:val="0"/>
      <w:marTop w:val="0"/>
      <w:marBottom w:val="0"/>
      <w:divBdr>
        <w:top w:val="none" w:sz="0" w:space="0" w:color="auto"/>
        <w:left w:val="none" w:sz="0" w:space="0" w:color="auto"/>
        <w:bottom w:val="none" w:sz="0" w:space="0" w:color="auto"/>
        <w:right w:val="none" w:sz="0" w:space="0" w:color="auto"/>
      </w:divBdr>
    </w:div>
    <w:div w:id="1858691311">
      <w:bodyDiv w:val="1"/>
      <w:marLeft w:val="0"/>
      <w:marRight w:val="0"/>
      <w:marTop w:val="0"/>
      <w:marBottom w:val="0"/>
      <w:divBdr>
        <w:top w:val="none" w:sz="0" w:space="0" w:color="auto"/>
        <w:left w:val="none" w:sz="0" w:space="0" w:color="auto"/>
        <w:bottom w:val="none" w:sz="0" w:space="0" w:color="auto"/>
        <w:right w:val="none" w:sz="0" w:space="0" w:color="auto"/>
      </w:divBdr>
    </w:div>
    <w:div w:id="1916358089">
      <w:bodyDiv w:val="1"/>
      <w:marLeft w:val="0"/>
      <w:marRight w:val="0"/>
      <w:marTop w:val="0"/>
      <w:marBottom w:val="0"/>
      <w:divBdr>
        <w:top w:val="none" w:sz="0" w:space="0" w:color="auto"/>
        <w:left w:val="none" w:sz="0" w:space="0" w:color="auto"/>
        <w:bottom w:val="none" w:sz="0" w:space="0" w:color="auto"/>
        <w:right w:val="none" w:sz="0" w:space="0" w:color="auto"/>
      </w:divBdr>
    </w:div>
    <w:div w:id="1976642376">
      <w:bodyDiv w:val="1"/>
      <w:marLeft w:val="0"/>
      <w:marRight w:val="0"/>
      <w:marTop w:val="0"/>
      <w:marBottom w:val="0"/>
      <w:divBdr>
        <w:top w:val="none" w:sz="0" w:space="0" w:color="auto"/>
        <w:left w:val="none" w:sz="0" w:space="0" w:color="auto"/>
        <w:bottom w:val="none" w:sz="0" w:space="0" w:color="auto"/>
        <w:right w:val="none" w:sz="0" w:space="0" w:color="auto"/>
      </w:divBdr>
    </w:div>
    <w:div w:id="1976980309">
      <w:bodyDiv w:val="1"/>
      <w:marLeft w:val="0"/>
      <w:marRight w:val="0"/>
      <w:marTop w:val="0"/>
      <w:marBottom w:val="0"/>
      <w:divBdr>
        <w:top w:val="none" w:sz="0" w:space="0" w:color="auto"/>
        <w:left w:val="none" w:sz="0" w:space="0" w:color="auto"/>
        <w:bottom w:val="none" w:sz="0" w:space="0" w:color="auto"/>
        <w:right w:val="none" w:sz="0" w:space="0" w:color="auto"/>
      </w:divBdr>
    </w:div>
    <w:div w:id="2003580900">
      <w:bodyDiv w:val="1"/>
      <w:marLeft w:val="0"/>
      <w:marRight w:val="0"/>
      <w:marTop w:val="0"/>
      <w:marBottom w:val="0"/>
      <w:divBdr>
        <w:top w:val="none" w:sz="0" w:space="0" w:color="auto"/>
        <w:left w:val="none" w:sz="0" w:space="0" w:color="auto"/>
        <w:bottom w:val="none" w:sz="0" w:space="0" w:color="auto"/>
        <w:right w:val="none" w:sz="0" w:space="0" w:color="auto"/>
      </w:divBdr>
    </w:div>
    <w:div w:id="2035302399">
      <w:bodyDiv w:val="1"/>
      <w:marLeft w:val="0"/>
      <w:marRight w:val="0"/>
      <w:marTop w:val="0"/>
      <w:marBottom w:val="0"/>
      <w:divBdr>
        <w:top w:val="none" w:sz="0" w:space="0" w:color="auto"/>
        <w:left w:val="none" w:sz="0" w:space="0" w:color="auto"/>
        <w:bottom w:val="none" w:sz="0" w:space="0" w:color="auto"/>
        <w:right w:val="none" w:sz="0" w:space="0" w:color="auto"/>
      </w:divBdr>
    </w:div>
    <w:div w:id="2037542013">
      <w:bodyDiv w:val="1"/>
      <w:marLeft w:val="0"/>
      <w:marRight w:val="0"/>
      <w:marTop w:val="0"/>
      <w:marBottom w:val="0"/>
      <w:divBdr>
        <w:top w:val="none" w:sz="0" w:space="0" w:color="auto"/>
        <w:left w:val="none" w:sz="0" w:space="0" w:color="auto"/>
        <w:bottom w:val="none" w:sz="0" w:space="0" w:color="auto"/>
        <w:right w:val="none" w:sz="0" w:space="0" w:color="auto"/>
      </w:divBdr>
    </w:div>
    <w:div w:id="2047558207">
      <w:bodyDiv w:val="1"/>
      <w:marLeft w:val="0"/>
      <w:marRight w:val="0"/>
      <w:marTop w:val="0"/>
      <w:marBottom w:val="0"/>
      <w:divBdr>
        <w:top w:val="none" w:sz="0" w:space="0" w:color="auto"/>
        <w:left w:val="none" w:sz="0" w:space="0" w:color="auto"/>
        <w:bottom w:val="none" w:sz="0" w:space="0" w:color="auto"/>
        <w:right w:val="none" w:sz="0" w:space="0" w:color="auto"/>
      </w:divBdr>
    </w:div>
    <w:div w:id="2062629518">
      <w:bodyDiv w:val="1"/>
      <w:marLeft w:val="0"/>
      <w:marRight w:val="0"/>
      <w:marTop w:val="0"/>
      <w:marBottom w:val="0"/>
      <w:divBdr>
        <w:top w:val="none" w:sz="0" w:space="0" w:color="auto"/>
        <w:left w:val="none" w:sz="0" w:space="0" w:color="auto"/>
        <w:bottom w:val="none" w:sz="0" w:space="0" w:color="auto"/>
        <w:right w:val="none" w:sz="0" w:space="0" w:color="auto"/>
      </w:divBdr>
    </w:div>
    <w:div w:id="2065058274">
      <w:bodyDiv w:val="1"/>
      <w:marLeft w:val="0"/>
      <w:marRight w:val="0"/>
      <w:marTop w:val="0"/>
      <w:marBottom w:val="0"/>
      <w:divBdr>
        <w:top w:val="none" w:sz="0" w:space="0" w:color="auto"/>
        <w:left w:val="none" w:sz="0" w:space="0" w:color="auto"/>
        <w:bottom w:val="none" w:sz="0" w:space="0" w:color="auto"/>
        <w:right w:val="none" w:sz="0" w:space="0" w:color="auto"/>
      </w:divBdr>
    </w:div>
    <w:div w:id="2065129908">
      <w:bodyDiv w:val="1"/>
      <w:marLeft w:val="0"/>
      <w:marRight w:val="0"/>
      <w:marTop w:val="0"/>
      <w:marBottom w:val="0"/>
      <w:divBdr>
        <w:top w:val="none" w:sz="0" w:space="0" w:color="auto"/>
        <w:left w:val="none" w:sz="0" w:space="0" w:color="auto"/>
        <w:bottom w:val="none" w:sz="0" w:space="0" w:color="auto"/>
        <w:right w:val="none" w:sz="0" w:space="0" w:color="auto"/>
      </w:divBdr>
    </w:div>
    <w:div w:id="2081898581">
      <w:bodyDiv w:val="1"/>
      <w:marLeft w:val="0"/>
      <w:marRight w:val="0"/>
      <w:marTop w:val="0"/>
      <w:marBottom w:val="0"/>
      <w:divBdr>
        <w:top w:val="none" w:sz="0" w:space="0" w:color="auto"/>
        <w:left w:val="none" w:sz="0" w:space="0" w:color="auto"/>
        <w:bottom w:val="none" w:sz="0" w:space="0" w:color="auto"/>
        <w:right w:val="none" w:sz="0" w:space="0" w:color="auto"/>
      </w:divBdr>
    </w:div>
    <w:div w:id="2110390726">
      <w:bodyDiv w:val="1"/>
      <w:marLeft w:val="0"/>
      <w:marRight w:val="0"/>
      <w:marTop w:val="0"/>
      <w:marBottom w:val="0"/>
      <w:divBdr>
        <w:top w:val="none" w:sz="0" w:space="0" w:color="auto"/>
        <w:left w:val="none" w:sz="0" w:space="0" w:color="auto"/>
        <w:bottom w:val="none" w:sz="0" w:space="0" w:color="auto"/>
        <w:right w:val="none" w:sz="0" w:space="0" w:color="auto"/>
      </w:divBdr>
    </w:div>
    <w:div w:id="2135632622">
      <w:bodyDiv w:val="1"/>
      <w:marLeft w:val="0"/>
      <w:marRight w:val="0"/>
      <w:marTop w:val="0"/>
      <w:marBottom w:val="0"/>
      <w:divBdr>
        <w:top w:val="none" w:sz="0" w:space="0" w:color="auto"/>
        <w:left w:val="none" w:sz="0" w:space="0" w:color="auto"/>
        <w:bottom w:val="none" w:sz="0" w:space="0" w:color="auto"/>
        <w:right w:val="none" w:sz="0" w:space="0" w:color="auto"/>
      </w:divBdr>
    </w:div>
    <w:div w:id="214207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3.xml"/><Relationship Id="rId26" Type="http://schemas.openxmlformats.org/officeDocument/2006/relationships/chart" Target="charts/chart4.xml"/><Relationship Id="rId39" Type="http://schemas.openxmlformats.org/officeDocument/2006/relationships/chart" Target="charts/chart17.xml"/><Relationship Id="rId21" Type="http://schemas.openxmlformats.org/officeDocument/2006/relationships/header" Target="header8.xml"/><Relationship Id="rId34" Type="http://schemas.openxmlformats.org/officeDocument/2006/relationships/chart" Target="charts/chart12.xml"/><Relationship Id="rId42" Type="http://schemas.openxmlformats.org/officeDocument/2006/relationships/chart" Target="charts/chart20.xml"/><Relationship Id="rId47" Type="http://schemas.openxmlformats.org/officeDocument/2006/relationships/footer" Target="footer5.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chart" Target="charts/chart7.xml"/><Relationship Id="rId11" Type="http://schemas.openxmlformats.org/officeDocument/2006/relationships/header" Target="header1.xml"/><Relationship Id="rId24" Type="http://schemas.openxmlformats.org/officeDocument/2006/relationships/chart" Target="charts/chart2.xml"/><Relationship Id="rId32" Type="http://schemas.openxmlformats.org/officeDocument/2006/relationships/chart" Target="charts/chart10.xml"/><Relationship Id="rId37" Type="http://schemas.openxmlformats.org/officeDocument/2006/relationships/chart" Target="charts/chart15.xml"/><Relationship Id="rId40" Type="http://schemas.openxmlformats.org/officeDocument/2006/relationships/chart" Target="charts/chart18.xml"/><Relationship Id="rId45"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chart" Target="charts/chart1.xml"/><Relationship Id="rId28" Type="http://schemas.openxmlformats.org/officeDocument/2006/relationships/chart" Target="charts/chart6.xml"/><Relationship Id="rId36" Type="http://schemas.openxmlformats.org/officeDocument/2006/relationships/chart" Target="charts/chart14.xml"/><Relationship Id="rId49" Type="http://schemas.openxmlformats.org/officeDocument/2006/relationships/footer" Target="footer6.xml"/><Relationship Id="rId10" Type="http://schemas.openxmlformats.org/officeDocument/2006/relationships/hyperlink" Target="http://stat.gov.pl/en/topics/industry-construction-fixed-assets/industry/outlays-and-results-in-industry-in-i-ii-quarter-2017,4,27.html" TargetMode="External"/><Relationship Id="rId19" Type="http://schemas.openxmlformats.org/officeDocument/2006/relationships/header" Target="header6.xml"/><Relationship Id="rId31" Type="http://schemas.openxmlformats.org/officeDocument/2006/relationships/chart" Target="charts/chart9.xml"/><Relationship Id="rId44" Type="http://schemas.openxmlformats.org/officeDocument/2006/relationships/chart" Target="charts/chart22.xml"/><Relationship Id="rId4" Type="http://schemas.openxmlformats.org/officeDocument/2006/relationships/settings" Target="settings.xml"/><Relationship Id="rId9" Type="http://schemas.openxmlformats.org/officeDocument/2006/relationships/hyperlink" Target="http://stat.gov.pl/obszary-tematyczne/przemysl-budownictwo-srodki-trwale/przemysl/naklady-i-wyniki-przemyslu-w-i-ii-kwartale-2017-r-,4,27.html" TargetMode="Externa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chart" Target="charts/chart5.xml"/><Relationship Id="rId30" Type="http://schemas.openxmlformats.org/officeDocument/2006/relationships/chart" Target="charts/chart8.xml"/><Relationship Id="rId35" Type="http://schemas.openxmlformats.org/officeDocument/2006/relationships/chart" Target="charts/chart13.xml"/><Relationship Id="rId43" Type="http://schemas.openxmlformats.org/officeDocument/2006/relationships/chart" Target="charts/chart21.xml"/><Relationship Id="rId48" Type="http://schemas.openxmlformats.org/officeDocument/2006/relationships/header" Target="header11.xm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chart" Target="charts/chart3.xml"/><Relationship Id="rId33" Type="http://schemas.openxmlformats.org/officeDocument/2006/relationships/chart" Target="charts/chart11.xml"/><Relationship Id="rId38" Type="http://schemas.openxmlformats.org/officeDocument/2006/relationships/chart" Target="charts/chart16.xml"/><Relationship Id="rId46" Type="http://schemas.openxmlformats.org/officeDocument/2006/relationships/header" Target="header10.xml"/><Relationship Id="rId20" Type="http://schemas.openxmlformats.org/officeDocument/2006/relationships/header" Target="header7.xml"/><Relationship Id="rId41" Type="http://schemas.openxmlformats.org/officeDocument/2006/relationships/chart" Target="charts/chart19.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Arkusz_programu_Microsoft_Excel1.xlsx"/></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package" Target="../embeddings/Arkusz_programu_Microsoft_Excel6.xlsx"/></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package" Target="../embeddings/Arkusz_programu_Microsoft_Excel7.xlsx"/></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package" Target="../embeddings/Arkusz_programu_Microsoft_Excel8.xlsx"/></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package" Target="../embeddings/Arkusz_programu_Microsoft_Excel9.xlsx"/></Relationships>
</file>

<file path=word/charts/_rels/chart14.xml.rels><?xml version="1.0" encoding="UTF-8" standalone="yes"?>
<Relationships xmlns="http://schemas.openxmlformats.org/package/2006/relationships"><Relationship Id="rId2" Type="http://schemas.openxmlformats.org/officeDocument/2006/relationships/chartUserShapes" Target="../drawings/drawing11.xml"/><Relationship Id="rId1" Type="http://schemas.openxmlformats.org/officeDocument/2006/relationships/package" Target="../embeddings/Arkusz_programu_Microsoft_Excel10.xlsx"/></Relationships>
</file>

<file path=word/charts/_rels/chart15.xml.rels><?xml version="1.0" encoding="UTF-8" standalone="yes"?>
<Relationships xmlns="http://schemas.openxmlformats.org/package/2006/relationships"><Relationship Id="rId2" Type="http://schemas.openxmlformats.org/officeDocument/2006/relationships/chartUserShapes" Target="../drawings/drawing12.xml"/><Relationship Id="rId1" Type="http://schemas.openxmlformats.org/officeDocument/2006/relationships/package" Target="../embeddings/Arkusz_programu_Microsoft_Excel11.xlsx"/></Relationships>
</file>

<file path=word/charts/_rels/chart16.xml.rels><?xml version="1.0" encoding="UTF-8" standalone="yes"?>
<Relationships xmlns="http://schemas.openxmlformats.org/package/2006/relationships"><Relationship Id="rId2" Type="http://schemas.openxmlformats.org/officeDocument/2006/relationships/chartUserShapes" Target="../drawings/drawing13.xml"/><Relationship Id="rId1" Type="http://schemas.openxmlformats.org/officeDocument/2006/relationships/package" Target="../embeddings/Arkusz_programu_Microsoft_Excel12.xlsx"/></Relationships>
</file>

<file path=word/charts/_rels/chart17.xml.rels><?xml version="1.0" encoding="UTF-8" standalone="yes"?>
<Relationships xmlns="http://schemas.openxmlformats.org/package/2006/relationships"><Relationship Id="rId2" Type="http://schemas.openxmlformats.org/officeDocument/2006/relationships/chartUserShapes" Target="../drawings/drawing14.xml"/><Relationship Id="rId1" Type="http://schemas.openxmlformats.org/officeDocument/2006/relationships/package" Target="../embeddings/Arkusz_programu_Microsoft_Excel13.xlsx"/></Relationships>
</file>

<file path=word/charts/_rels/chart18.xml.rels><?xml version="1.0" encoding="UTF-8" standalone="yes"?>
<Relationships xmlns="http://schemas.openxmlformats.org/package/2006/relationships"><Relationship Id="rId2" Type="http://schemas.openxmlformats.org/officeDocument/2006/relationships/chartUserShapes" Target="../drawings/drawing15.xml"/><Relationship Id="rId1" Type="http://schemas.openxmlformats.org/officeDocument/2006/relationships/package" Target="../embeddings/Arkusz_programu_Microsoft_Excel14.xlsx"/></Relationships>
</file>

<file path=word/charts/_rels/chart19.xml.rels><?xml version="1.0" encoding="UTF-8" standalone="yes"?>
<Relationships xmlns="http://schemas.openxmlformats.org/package/2006/relationships"><Relationship Id="rId2" Type="http://schemas.openxmlformats.org/officeDocument/2006/relationships/chartUserShapes" Target="../drawings/drawing16.xml"/><Relationship Id="rId1" Type="http://schemas.openxmlformats.org/officeDocument/2006/relationships/package" Target="../embeddings/Arkusz_programu_Microsoft_Excel15.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Arkusz_programu_Microsoft_Excel2.xlsx"/></Relationships>
</file>

<file path=word/charts/_rels/chart20.xml.rels><?xml version="1.0" encoding="UTF-8" standalone="yes"?>
<Relationships xmlns="http://schemas.openxmlformats.org/package/2006/relationships"><Relationship Id="rId2" Type="http://schemas.openxmlformats.org/officeDocument/2006/relationships/chartUserShapes" Target="../drawings/drawing17.xml"/><Relationship Id="rId1" Type="http://schemas.openxmlformats.org/officeDocument/2006/relationships/package" Target="../embeddings/Arkusz_programu_Microsoft_Excel16.xlsx"/></Relationships>
</file>

<file path=word/charts/_rels/chart21.xml.rels><?xml version="1.0" encoding="UTF-8" standalone="yes"?>
<Relationships xmlns="http://schemas.openxmlformats.org/package/2006/relationships"><Relationship Id="rId2" Type="http://schemas.openxmlformats.org/officeDocument/2006/relationships/chartUserShapes" Target="../drawings/drawing18.xml"/><Relationship Id="rId1" Type="http://schemas.openxmlformats.org/officeDocument/2006/relationships/package" Target="../embeddings/Arkusz_programu_Microsoft_Excel17.xlsx"/></Relationships>
</file>

<file path=word/charts/_rels/chart22.xml.rels><?xml version="1.0" encoding="UTF-8" standalone="yes"?>
<Relationships xmlns="http://schemas.openxmlformats.org/package/2006/relationships"><Relationship Id="rId2" Type="http://schemas.openxmlformats.org/officeDocument/2006/relationships/chartUserShapes" Target="../drawings/drawing19.xml"/><Relationship Id="rId1" Type="http://schemas.openxmlformats.org/officeDocument/2006/relationships/package" Target="../embeddings/Arkusz_programu_Microsoft_Excel18.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Arkusz_programu_Microsoft_Excel3.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Arkusz_programu_Microsoft_Excel4.xlsx"/></Relationships>
</file>

<file path=word/charts/_rels/chart5.xml.rels><?xml version="1.0" encoding="UTF-8" standalone="yes"?>
<Relationships xmlns="http://schemas.openxmlformats.org/package/2006/relationships"><Relationship Id="rId1" Type="http://schemas.openxmlformats.org/officeDocument/2006/relationships/oleObject" Target="file:///C:\Users\SlepowronskaJ\Documents\Kwartalnik\2017\Wykresy%20do%20kwartalnika_28.08.2017.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SlepowronskaJ\Documents\Kwartalnik\2017\Wykresy%20do%20kwartalnika_28.08.2017.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SlepowronskaJ\Documents\Kwartalnik\2017\Wykresy%20do%20kwartalnika_28.08.2017.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C:\Users\SlepowronskaJ\Documents\Kwartalnik\2017\Wykresy%20do%20kwartalnika_28.08.2017.xlsx"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package" Target="../embeddings/Arkusz_programu_Microsoft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sz="1100" b="0" i="0" u="none" strike="noStrike" baseline="0">
                <a:solidFill>
                  <a:srgbClr val="000000"/>
                </a:solidFill>
                <a:latin typeface="Arial CE"/>
                <a:ea typeface="Arial CE"/>
                <a:cs typeface="Arial CE"/>
              </a:defRPr>
            </a:pPr>
            <a:r>
              <a:rPr lang="pl-PL" sz="1100" b="1" i="0" u="none" strike="noStrike" baseline="0">
                <a:solidFill>
                  <a:srgbClr val="000000"/>
                </a:solidFill>
                <a:latin typeface="Times New Roman" panose="02020603050405020304" pitchFamily="18" charset="0"/>
                <a:cs typeface="Times New Roman" panose="02020603050405020304" pitchFamily="18" charset="0"/>
              </a:rPr>
              <a:t>Produkcja sprzedana przemysłu</a:t>
            </a:r>
            <a:r>
              <a:rPr lang="pl-PL" sz="1100" b="1" i="1" u="none" strike="noStrike" baseline="30000">
                <a:solidFill>
                  <a:srgbClr val="000000"/>
                </a:solidFill>
                <a:latin typeface="Times New Roman" panose="02020603050405020304" pitchFamily="18" charset="0"/>
                <a:cs typeface="Times New Roman" panose="02020603050405020304" pitchFamily="18" charset="0"/>
              </a:rPr>
              <a:t>a</a:t>
            </a:r>
            <a:r>
              <a:rPr lang="pl-PL" sz="1100" b="1" i="0" u="none" strike="noStrike" baseline="0">
                <a:solidFill>
                  <a:srgbClr val="000000"/>
                </a:solidFill>
                <a:latin typeface="Times New Roman" panose="02020603050405020304" pitchFamily="18" charset="0"/>
                <a:cs typeface="Times New Roman" panose="02020603050405020304" pitchFamily="18" charset="0"/>
              </a:rPr>
              <a:t> w cenach stałych</a:t>
            </a:r>
          </a:p>
          <a:p>
            <a:pPr algn="ctr">
              <a:defRPr sz="1100" b="0" i="0" u="none" strike="noStrike" baseline="0">
                <a:solidFill>
                  <a:srgbClr val="000000"/>
                </a:solidFill>
                <a:latin typeface="Arial CE"/>
                <a:ea typeface="Arial CE"/>
                <a:cs typeface="Arial CE"/>
              </a:defRPr>
            </a:pPr>
            <a:r>
              <a:rPr lang="pl-PL" sz="1100" b="1" i="0" u="none" strike="noStrike" baseline="0">
                <a:solidFill>
                  <a:srgbClr val="000000"/>
                </a:solidFill>
                <a:latin typeface="Times New Roman" panose="02020603050405020304" pitchFamily="18" charset="0"/>
                <a:cs typeface="Times New Roman" panose="02020603050405020304" pitchFamily="18" charset="0"/>
              </a:rPr>
              <a:t>(przeciętna miesięczna 2010=100)</a:t>
            </a:r>
          </a:p>
          <a:p>
            <a:pPr algn="ctr">
              <a:defRPr sz="1100" b="0" i="0" u="none" strike="noStrike" baseline="0">
                <a:solidFill>
                  <a:srgbClr val="000000"/>
                </a:solidFill>
                <a:latin typeface="Arial CE"/>
                <a:ea typeface="Arial CE"/>
                <a:cs typeface="Arial CE"/>
              </a:defRPr>
            </a:pPr>
            <a:r>
              <a:rPr lang="pl-PL" sz="1100" b="1" i="1" u="none" strike="noStrike" baseline="0">
                <a:solidFill>
                  <a:srgbClr val="000000"/>
                </a:solidFill>
                <a:latin typeface="Times New Roman" panose="02020603050405020304" pitchFamily="18" charset="0"/>
                <a:cs typeface="Times New Roman" panose="02020603050405020304" pitchFamily="18" charset="0"/>
              </a:rPr>
              <a:t>Sold production of industry</a:t>
            </a:r>
            <a:r>
              <a:rPr lang="pl-PL" sz="1100" b="1" i="1" u="none" strike="noStrike" baseline="30000">
                <a:solidFill>
                  <a:srgbClr val="000000"/>
                </a:solidFill>
                <a:latin typeface="Times New Roman" panose="02020603050405020304" pitchFamily="18" charset="0"/>
                <a:cs typeface="Times New Roman" panose="02020603050405020304" pitchFamily="18" charset="0"/>
              </a:rPr>
              <a:t>a</a:t>
            </a:r>
            <a:r>
              <a:rPr lang="pl-PL" sz="1100" b="1" i="1" u="none" strike="noStrike" baseline="0">
                <a:solidFill>
                  <a:srgbClr val="000000"/>
                </a:solidFill>
                <a:latin typeface="Times New Roman" panose="02020603050405020304" pitchFamily="18" charset="0"/>
                <a:cs typeface="Times New Roman" panose="02020603050405020304" pitchFamily="18" charset="0"/>
              </a:rPr>
              <a:t> in constant prices</a:t>
            </a:r>
          </a:p>
          <a:p>
            <a:pPr algn="ctr">
              <a:defRPr sz="1100" b="0" i="0" u="none" strike="noStrike" baseline="0">
                <a:solidFill>
                  <a:srgbClr val="000000"/>
                </a:solidFill>
                <a:latin typeface="Arial CE"/>
                <a:ea typeface="Arial CE"/>
                <a:cs typeface="Arial CE"/>
              </a:defRPr>
            </a:pPr>
            <a:r>
              <a:rPr lang="pl-PL" sz="1100" b="1" i="1" u="none" strike="noStrike" baseline="0">
                <a:solidFill>
                  <a:srgbClr val="000000"/>
                </a:solidFill>
                <a:latin typeface="Times New Roman" panose="02020603050405020304" pitchFamily="18" charset="0"/>
                <a:cs typeface="Times New Roman" panose="02020603050405020304" pitchFamily="18" charset="0"/>
              </a:rPr>
              <a:t>(monthly average 2010=100)</a:t>
            </a:r>
            <a:endParaRPr lang="pl-PL" sz="1100">
              <a:latin typeface="Times New Roman" panose="02020603050405020304" pitchFamily="18" charset="0"/>
              <a:cs typeface="Times New Roman" panose="02020603050405020304" pitchFamily="18" charset="0"/>
            </a:endParaRPr>
          </a:p>
        </c:rich>
      </c:tx>
      <c:layout>
        <c:manualLayout>
          <c:xMode val="edge"/>
          <c:yMode val="edge"/>
          <c:x val="0.20481982326661921"/>
          <c:y val="2.9527565255131814E-2"/>
        </c:manualLayout>
      </c:layout>
      <c:overlay val="0"/>
      <c:spPr>
        <a:noFill/>
        <a:ln w="25400">
          <a:noFill/>
        </a:ln>
      </c:spPr>
    </c:title>
    <c:autoTitleDeleted val="0"/>
    <c:plotArea>
      <c:layout>
        <c:manualLayout>
          <c:layoutTarget val="inner"/>
          <c:xMode val="edge"/>
          <c:yMode val="edge"/>
          <c:x val="9.7948603202843751E-2"/>
          <c:y val="0.21341020656484941"/>
          <c:w val="0.87415280652275063"/>
          <c:h val="0.49345749778617004"/>
        </c:manualLayout>
      </c:layout>
      <c:lineChart>
        <c:grouping val="standard"/>
        <c:varyColors val="0"/>
        <c:ser>
          <c:idx val="2"/>
          <c:order val="0"/>
          <c:tx>
            <c:strRef>
              <c:f>wykresy_1!$J$4</c:f>
              <c:strCache>
                <c:ptCount val="1"/>
                <c:pt idx="0">
                  <c:v>2010</c:v>
                </c:pt>
              </c:strCache>
            </c:strRef>
          </c:tx>
          <c:spPr>
            <a:ln w="12700">
              <a:solidFill>
                <a:schemeClr val="accent2">
                  <a:lumMod val="75000"/>
                </a:schemeClr>
              </a:solidFill>
              <a:prstDash val="solid"/>
            </a:ln>
          </c:spPr>
          <c:marker>
            <c:symbol val="circle"/>
            <c:size val="4"/>
            <c:spPr>
              <a:solidFill>
                <a:schemeClr val="accent2">
                  <a:lumMod val="75000"/>
                </a:schemeClr>
              </a:solidFill>
              <a:ln w="9525">
                <a:solidFill>
                  <a:srgbClr val="800000"/>
                </a:solidFill>
                <a:prstDash val="solid"/>
              </a:ln>
            </c:spPr>
          </c:marker>
          <c:cat>
            <c:strRef>
              <c:f>wykresy_1!$K$3:$V$3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wykresy_1!$K$4:$V$4</c:f>
              <c:numCache>
                <c:formatCode>General</c:formatCode>
                <c:ptCount val="12"/>
                <c:pt idx="0">
                  <c:v>87.4</c:v>
                </c:pt>
                <c:pt idx="1">
                  <c:v>89.6</c:v>
                </c:pt>
                <c:pt idx="2">
                  <c:v>106.6</c:v>
                </c:pt>
                <c:pt idx="3">
                  <c:v>96.5</c:v>
                </c:pt>
                <c:pt idx="4">
                  <c:v>97.4</c:v>
                </c:pt>
                <c:pt idx="5">
                  <c:v>103.8</c:v>
                </c:pt>
                <c:pt idx="6">
                  <c:v>98.6</c:v>
                </c:pt>
                <c:pt idx="7">
                  <c:v>97.1</c:v>
                </c:pt>
                <c:pt idx="8">
                  <c:v>108.5</c:v>
                </c:pt>
                <c:pt idx="9">
                  <c:v>107.2</c:v>
                </c:pt>
                <c:pt idx="10">
                  <c:v>105.7</c:v>
                </c:pt>
                <c:pt idx="11">
                  <c:v>101.7</c:v>
                </c:pt>
              </c:numCache>
            </c:numRef>
          </c:val>
          <c:smooth val="0"/>
        </c:ser>
        <c:ser>
          <c:idx val="3"/>
          <c:order val="1"/>
          <c:tx>
            <c:strRef>
              <c:f>wykresy_1!$J$5</c:f>
              <c:strCache>
                <c:ptCount val="1"/>
                <c:pt idx="0">
                  <c:v>2014</c:v>
                </c:pt>
              </c:strCache>
            </c:strRef>
          </c:tx>
          <c:spPr>
            <a:ln w="12700">
              <a:solidFill>
                <a:srgbClr val="FF0000"/>
              </a:solidFill>
              <a:prstDash val="solid"/>
            </a:ln>
          </c:spPr>
          <c:marker>
            <c:symbol val="triangle"/>
            <c:size val="4"/>
            <c:spPr>
              <a:solidFill>
                <a:srgbClr val="FF0000"/>
              </a:solidFill>
              <a:ln>
                <a:solidFill>
                  <a:srgbClr val="FF0000"/>
                </a:solidFill>
                <a:prstDash val="solid"/>
              </a:ln>
            </c:spPr>
          </c:marker>
          <c:cat>
            <c:strRef>
              <c:f>wykresy_1!$K$3:$V$3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wykresy_1!$K$5:$V$5</c:f>
              <c:numCache>
                <c:formatCode>General</c:formatCode>
                <c:ptCount val="12"/>
                <c:pt idx="0">
                  <c:v>108.8</c:v>
                </c:pt>
                <c:pt idx="1">
                  <c:v>106.8</c:v>
                </c:pt>
                <c:pt idx="2">
                  <c:v>116.9</c:v>
                </c:pt>
                <c:pt idx="3">
                  <c:v>114.3</c:v>
                </c:pt>
                <c:pt idx="4">
                  <c:v>112.4</c:v>
                </c:pt>
                <c:pt idx="5">
                  <c:v>112.4</c:v>
                </c:pt>
                <c:pt idx="6">
                  <c:v>114.8</c:v>
                </c:pt>
                <c:pt idx="7">
                  <c:v>105.1</c:v>
                </c:pt>
                <c:pt idx="8">
                  <c:v>122.4</c:v>
                </c:pt>
                <c:pt idx="9">
                  <c:v>126.8</c:v>
                </c:pt>
                <c:pt idx="10">
                  <c:v>117.3</c:v>
                </c:pt>
                <c:pt idx="11">
                  <c:v>114.2</c:v>
                </c:pt>
              </c:numCache>
            </c:numRef>
          </c:val>
          <c:smooth val="0"/>
        </c:ser>
        <c:ser>
          <c:idx val="4"/>
          <c:order val="2"/>
          <c:tx>
            <c:strRef>
              <c:f>wykresy_1!$J$6</c:f>
              <c:strCache>
                <c:ptCount val="1"/>
                <c:pt idx="0">
                  <c:v>2015</c:v>
                </c:pt>
              </c:strCache>
            </c:strRef>
          </c:tx>
          <c:spPr>
            <a:ln w="12700">
              <a:solidFill>
                <a:srgbClr val="008000"/>
              </a:solidFill>
              <a:prstDash val="solid"/>
            </a:ln>
          </c:spPr>
          <c:marker>
            <c:symbol val="square"/>
            <c:size val="3"/>
            <c:spPr>
              <a:solidFill>
                <a:srgbClr val="008000"/>
              </a:solidFill>
              <a:ln>
                <a:solidFill>
                  <a:srgbClr val="008000"/>
                </a:solidFill>
                <a:prstDash val="solid"/>
              </a:ln>
            </c:spPr>
          </c:marker>
          <c:cat>
            <c:strRef>
              <c:f>wykresy_1!$K$3:$V$3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wykresy_1!$K$6:$V$6</c:f>
              <c:numCache>
                <c:formatCode>General</c:formatCode>
                <c:ptCount val="12"/>
                <c:pt idx="0">
                  <c:v>110.5</c:v>
                </c:pt>
                <c:pt idx="1">
                  <c:v>112.1</c:v>
                </c:pt>
                <c:pt idx="2">
                  <c:v>127.2</c:v>
                </c:pt>
                <c:pt idx="3">
                  <c:v>117.1</c:v>
                </c:pt>
                <c:pt idx="4">
                  <c:v>115.5</c:v>
                </c:pt>
                <c:pt idx="5">
                  <c:v>120.7</c:v>
                </c:pt>
                <c:pt idx="6">
                  <c:v>119.2</c:v>
                </c:pt>
                <c:pt idx="7">
                  <c:v>110.7</c:v>
                </c:pt>
                <c:pt idx="8">
                  <c:v>127.3</c:v>
                </c:pt>
                <c:pt idx="9">
                  <c:v>129.80000000000001</c:v>
                </c:pt>
                <c:pt idx="10">
                  <c:v>126.4</c:v>
                </c:pt>
                <c:pt idx="11">
                  <c:v>121.8</c:v>
                </c:pt>
              </c:numCache>
            </c:numRef>
          </c:val>
          <c:smooth val="0"/>
        </c:ser>
        <c:ser>
          <c:idx val="1"/>
          <c:order val="3"/>
          <c:tx>
            <c:strRef>
              <c:f>wykresy_1!$J$7</c:f>
              <c:strCache>
                <c:ptCount val="1"/>
                <c:pt idx="0">
                  <c:v>2016</c:v>
                </c:pt>
              </c:strCache>
            </c:strRef>
          </c:tx>
          <c:spPr>
            <a:ln w="12700">
              <a:solidFill>
                <a:srgbClr val="9900FF"/>
              </a:solidFill>
              <a:prstDash val="solid"/>
            </a:ln>
          </c:spPr>
          <c:marker>
            <c:symbol val="diamond"/>
            <c:size val="4"/>
            <c:spPr>
              <a:solidFill>
                <a:srgbClr val="9900FF"/>
              </a:solidFill>
              <a:ln>
                <a:solidFill>
                  <a:srgbClr val="9900FF"/>
                </a:solidFill>
                <a:prstDash val="solid"/>
              </a:ln>
            </c:spPr>
          </c:marker>
          <c:cat>
            <c:strRef>
              <c:f>wykresy_1!$K$3:$V$3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wykresy_1!$K$7:$V$7</c:f>
              <c:numCache>
                <c:formatCode>0.0</c:formatCode>
                <c:ptCount val="12"/>
                <c:pt idx="0">
                  <c:v>112</c:v>
                </c:pt>
                <c:pt idx="1">
                  <c:v>119.7</c:v>
                </c:pt>
                <c:pt idx="2">
                  <c:v>128.1</c:v>
                </c:pt>
                <c:pt idx="3">
                  <c:v>124</c:v>
                </c:pt>
                <c:pt idx="4">
                  <c:v>119.2</c:v>
                </c:pt>
                <c:pt idx="5">
                  <c:v>127.9</c:v>
                </c:pt>
                <c:pt idx="6">
                  <c:v>115.1</c:v>
                </c:pt>
                <c:pt idx="7">
                  <c:v>119</c:v>
                </c:pt>
                <c:pt idx="8">
                  <c:v>131.4</c:v>
                </c:pt>
                <c:pt idx="9">
                  <c:v>128.1</c:v>
                </c:pt>
                <c:pt idx="10">
                  <c:v>130.4</c:v>
                </c:pt>
                <c:pt idx="11">
                  <c:v>124.5</c:v>
                </c:pt>
              </c:numCache>
            </c:numRef>
          </c:val>
          <c:smooth val="0"/>
        </c:ser>
        <c:ser>
          <c:idx val="0"/>
          <c:order val="4"/>
          <c:tx>
            <c:strRef>
              <c:f>wykresy_1!$J$8</c:f>
              <c:strCache>
                <c:ptCount val="1"/>
                <c:pt idx="0">
                  <c:v>2017</c:v>
                </c:pt>
              </c:strCache>
            </c:strRef>
          </c:tx>
          <c:spPr>
            <a:ln w="22225">
              <a:solidFill>
                <a:srgbClr val="0000FF"/>
              </a:solidFill>
            </a:ln>
          </c:spPr>
          <c:marker>
            <c:symbol val="triangle"/>
            <c:size val="5"/>
            <c:spPr>
              <a:solidFill>
                <a:srgbClr val="0000FF"/>
              </a:solidFill>
              <a:ln w="12700" cap="flat">
                <a:solidFill>
                  <a:srgbClr val="0000FF">
                    <a:alpha val="95000"/>
                  </a:srgbClr>
                </a:solidFill>
              </a:ln>
            </c:spPr>
          </c:marker>
          <c:cat>
            <c:strRef>
              <c:f>wykresy_1!$K$3:$V$3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wykresy_1!$K$8:$V$8</c:f>
              <c:numCache>
                <c:formatCode>0.0</c:formatCode>
                <c:ptCount val="12"/>
                <c:pt idx="0">
                  <c:v>122.2</c:v>
                </c:pt>
                <c:pt idx="1">
                  <c:v>121</c:v>
                </c:pt>
                <c:pt idx="2">
                  <c:v>142.19999999999999</c:v>
                </c:pt>
                <c:pt idx="3">
                  <c:v>123.3</c:v>
                </c:pt>
                <c:pt idx="4">
                  <c:v>130.1</c:v>
                </c:pt>
                <c:pt idx="5">
                  <c:v>133.6</c:v>
                </c:pt>
              </c:numCache>
            </c:numRef>
          </c:val>
          <c:smooth val="0"/>
        </c:ser>
        <c:dLbls>
          <c:showLegendKey val="0"/>
          <c:showVal val="0"/>
          <c:showCatName val="0"/>
          <c:showSerName val="0"/>
          <c:showPercent val="0"/>
          <c:showBubbleSize val="0"/>
        </c:dLbls>
        <c:marker val="1"/>
        <c:smooth val="0"/>
        <c:axId val="-980550496"/>
        <c:axId val="-980547232"/>
        <c:extLst>
          <c:ext xmlns:c15="http://schemas.microsoft.com/office/drawing/2012/chart" uri="{02D57815-91ED-43cb-92C2-25804820EDAC}">
            <c15:filteredLineSeries>
              <c15:ser>
                <c:idx val="5"/>
                <c:order val="5"/>
                <c:tx>
                  <c:strRef>
                    <c:extLst>
                      <c:ext uri="{02D57815-91ED-43cb-92C2-25804820EDAC}">
                        <c15:formulaRef>
                          <c15:sqref>wykresy_1!$J$9</c15:sqref>
                        </c15:formulaRef>
                      </c:ext>
                    </c:extLst>
                    <c:strCache>
                      <c:ptCount val="1"/>
                    </c:strCache>
                  </c:strRef>
                </c:tx>
                <c:spPr>
                  <a:ln w="28575">
                    <a:solidFill>
                      <a:srgbClr val="0000FF"/>
                    </a:solidFill>
                  </a:ln>
                </c:spPr>
                <c:marker>
                  <c:symbol val="square"/>
                  <c:size val="4"/>
                  <c:spPr>
                    <a:solidFill>
                      <a:srgbClr val="0000FF"/>
                    </a:solidFill>
                    <a:ln>
                      <a:solidFill>
                        <a:srgbClr val="0000FF"/>
                      </a:solidFill>
                    </a:ln>
                  </c:spPr>
                </c:marker>
                <c:val>
                  <c:numRef>
                    <c:extLst>
                      <c:ext uri="{02D57815-91ED-43cb-92C2-25804820EDAC}">
                        <c15:formulaRef>
                          <c15:sqref>wykresy_1!$K$9:$V$9</c15:sqref>
                        </c15:formulaRef>
                      </c:ext>
                    </c:extLst>
                    <c:numCache>
                      <c:formatCode>General</c:formatCode>
                      <c:ptCount val="12"/>
                    </c:numCache>
                  </c:numRef>
                </c:val>
                <c:smooth val="0"/>
              </c15:ser>
            </c15:filteredLineSeries>
          </c:ext>
        </c:extLst>
      </c:lineChart>
      <c:catAx>
        <c:axId val="-980550496"/>
        <c:scaling>
          <c:orientation val="minMax"/>
        </c:scaling>
        <c:delete val="0"/>
        <c:axPos val="b"/>
        <c:title>
          <c:tx>
            <c:rich>
              <a:bodyPr/>
              <a:lstStyle/>
              <a:p>
                <a:pPr>
                  <a:defRPr sz="1100" b="0" i="0" u="none" strike="noStrike" baseline="0">
                    <a:solidFill>
                      <a:srgbClr val="000000"/>
                    </a:solidFill>
                    <a:latin typeface="Times New Roman" panose="02020603050405020304" pitchFamily="18" charset="0"/>
                    <a:ea typeface="Calibri"/>
                    <a:cs typeface="Times New Roman" panose="02020603050405020304" pitchFamily="18" charset="0"/>
                  </a:defRPr>
                </a:pPr>
                <a:r>
                  <a:rPr lang="pl-PL" sz="1100" b="0" i="0" u="none" strike="noStrike" baseline="0">
                    <a:solidFill>
                      <a:srgbClr val="000000"/>
                    </a:solidFill>
                    <a:latin typeface="Times New Roman" panose="02020603050405020304" pitchFamily="18" charset="0"/>
                    <a:cs typeface="Times New Roman" panose="02020603050405020304" pitchFamily="18" charset="0"/>
                  </a:rPr>
                  <a:t>miesiące            </a:t>
                </a:r>
                <a:r>
                  <a:rPr lang="pl-PL" sz="1100" b="0" i="1" u="none" strike="noStrike" baseline="0">
                    <a:solidFill>
                      <a:srgbClr val="000000"/>
                    </a:solidFill>
                    <a:latin typeface="Times New Roman" panose="02020603050405020304" pitchFamily="18" charset="0"/>
                    <a:cs typeface="Times New Roman" panose="02020603050405020304" pitchFamily="18" charset="0"/>
                  </a:rPr>
                  <a:t>months</a:t>
                </a:r>
                <a:endParaRPr lang="pl-PL" sz="1100">
                  <a:latin typeface="Times New Roman" panose="02020603050405020304" pitchFamily="18" charset="0"/>
                  <a:cs typeface="Times New Roman" panose="02020603050405020304" pitchFamily="18" charset="0"/>
                </a:endParaRPr>
              </a:p>
            </c:rich>
          </c:tx>
          <c:layout>
            <c:manualLayout>
              <c:xMode val="edge"/>
              <c:yMode val="edge"/>
              <c:x val="0.41079849152507336"/>
              <c:y val="0.77362284565368356"/>
            </c:manualLayout>
          </c:layout>
          <c:overlay val="0"/>
          <c:spPr>
            <a:noFill/>
            <a:ln w="25400">
              <a:noFill/>
            </a:ln>
          </c:spPr>
        </c:title>
        <c:numFmt formatCode="General" sourceLinked="1"/>
        <c:majorTickMark val="out"/>
        <c:minorTickMark val="none"/>
        <c:tickLblPos val="nextTo"/>
        <c:spPr>
          <a:ln w="12700">
            <a:solidFill>
              <a:srgbClr val="000000"/>
            </a:solidFill>
            <a:prstDash val="solid"/>
          </a:ln>
        </c:spPr>
        <c:txPr>
          <a:bodyPr rot="0" vert="horz"/>
          <a:lstStyle/>
          <a:p>
            <a:pPr>
              <a:defRPr sz="1100" b="0" i="0" u="none" strike="noStrike" baseline="0">
                <a:solidFill>
                  <a:srgbClr val="000000"/>
                </a:solidFill>
                <a:latin typeface="Times New Roman" panose="02020603050405020304" pitchFamily="18" charset="0"/>
                <a:ea typeface="Arial CE"/>
                <a:cs typeface="Times New Roman" panose="02020603050405020304" pitchFamily="18" charset="0"/>
              </a:defRPr>
            </a:pPr>
            <a:endParaRPr lang="pl-PL"/>
          </a:p>
        </c:txPr>
        <c:crossAx val="-980547232"/>
        <c:crossesAt val="80"/>
        <c:auto val="0"/>
        <c:lblAlgn val="ctr"/>
        <c:lblOffset val="100"/>
        <c:tickLblSkip val="1"/>
        <c:tickMarkSkip val="1"/>
        <c:noMultiLvlLbl val="0"/>
      </c:catAx>
      <c:valAx>
        <c:axId val="-980547232"/>
        <c:scaling>
          <c:orientation val="minMax"/>
          <c:max val="150"/>
          <c:min val="80"/>
        </c:scaling>
        <c:delete val="0"/>
        <c:axPos val="l"/>
        <c:majorGridlines>
          <c:spPr>
            <a:ln w="3175">
              <a:solidFill>
                <a:srgbClr val="000000"/>
              </a:solidFill>
              <a:prstDash val="dash"/>
            </a:ln>
          </c:spPr>
        </c:majorGridlines>
        <c:numFmt formatCode="General" sourceLinked="1"/>
        <c:majorTickMark val="out"/>
        <c:minorTickMark val="none"/>
        <c:tickLblPos val="nextTo"/>
        <c:spPr>
          <a:ln w="12700">
            <a:solidFill>
              <a:srgbClr val="000000"/>
            </a:solidFill>
            <a:prstDash val="solid"/>
          </a:ln>
        </c:spPr>
        <c:txPr>
          <a:bodyPr rot="0" vert="horz"/>
          <a:lstStyle/>
          <a:p>
            <a:pPr>
              <a:defRPr sz="1100" b="0" i="0" u="none" strike="noStrike" baseline="0">
                <a:solidFill>
                  <a:srgbClr val="000000"/>
                </a:solidFill>
                <a:latin typeface="Times New Roman" panose="02020603050405020304" pitchFamily="18" charset="0"/>
                <a:ea typeface="Arial CE"/>
                <a:cs typeface="Times New Roman" panose="02020603050405020304" pitchFamily="18" charset="0"/>
              </a:defRPr>
            </a:pPr>
            <a:endParaRPr lang="pl-PL"/>
          </a:p>
        </c:txPr>
        <c:crossAx val="-980550496"/>
        <c:crossesAt val="1"/>
        <c:crossBetween val="midCat"/>
        <c:majorUnit val="10"/>
      </c:valAx>
      <c:spPr>
        <a:noFill/>
        <a:ln w="25400">
          <a:noFill/>
        </a:ln>
      </c:spPr>
    </c:plotArea>
    <c:legend>
      <c:legendPos val="r"/>
      <c:layout>
        <c:manualLayout>
          <c:xMode val="edge"/>
          <c:yMode val="edge"/>
          <c:x val="8.0608720911467563E-2"/>
          <c:y val="0.82735104668679704"/>
          <c:w val="0.89119187143946643"/>
          <c:h val="7.1968702776002397E-2"/>
        </c:manualLayout>
      </c:layout>
      <c:overlay val="0"/>
      <c:spPr>
        <a:solidFill>
          <a:srgbClr val="FFFFFF"/>
        </a:solidFill>
        <a:ln w="25400">
          <a:noFill/>
        </a:ln>
      </c:spPr>
      <c:txPr>
        <a:bodyPr/>
        <a:lstStyle/>
        <a:p>
          <a:pPr>
            <a:defRPr sz="1100" b="0" i="0" u="none" strike="noStrike" baseline="0">
              <a:solidFill>
                <a:srgbClr val="000000"/>
              </a:solidFill>
              <a:latin typeface="Times New Roman" panose="02020603050405020304" pitchFamily="18" charset="0"/>
              <a:ea typeface="Arial CE"/>
              <a:cs typeface="Times New Roman" panose="02020603050405020304" pitchFamily="18" charset="0"/>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Arial CE"/>
          <a:ea typeface="Arial CE"/>
          <a:cs typeface="Arial CE"/>
        </a:defRPr>
      </a:pPr>
      <a:endParaRPr lang="pl-PL"/>
    </a:p>
  </c:tx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385999833874235"/>
          <c:y val="0.19474688135893123"/>
          <c:w val="0.71213714178304566"/>
          <c:h val="0.62684950897991687"/>
        </c:manualLayout>
      </c:layout>
      <c:barChart>
        <c:barDir val="bar"/>
        <c:grouping val="clustered"/>
        <c:varyColors val="0"/>
        <c:ser>
          <c:idx val="2"/>
          <c:order val="0"/>
          <c:tx>
            <c:strRef>
              <c:f>wykresy_4!$I$39</c:f>
              <c:strCache>
                <c:ptCount val="1"/>
                <c:pt idx="0">
                  <c:v>przeciętne zatrudnienie</c:v>
                </c:pt>
              </c:strCache>
            </c:strRef>
          </c:tx>
          <c:spPr>
            <a:solidFill>
              <a:srgbClr val="FFFF66"/>
            </a:solidFill>
          </c:spPr>
          <c:invertIfNegative val="0"/>
          <c:cat>
            <c:strRef>
              <c:f>wykresy_4!$J$33:$Q$33</c:f>
              <c:strCache>
                <c:ptCount val="8"/>
                <c:pt idx="0">
                  <c:v>2000,00 i mniej</c:v>
                </c:pt>
                <c:pt idx="1">
                  <c:v>2000,01-2500,00</c:v>
                </c:pt>
                <c:pt idx="2">
                  <c:v>2500,01-3000,00</c:v>
                </c:pt>
                <c:pt idx="3">
                  <c:v>3000,01-3500,00</c:v>
                </c:pt>
                <c:pt idx="4">
                  <c:v>3500,01-4000,00</c:v>
                </c:pt>
                <c:pt idx="5">
                  <c:v>4000,01-4500,00</c:v>
                </c:pt>
                <c:pt idx="6">
                  <c:v>4500,01-5500,00</c:v>
                </c:pt>
                <c:pt idx="7">
                  <c:v>5500,01 i więcej</c:v>
                </c:pt>
              </c:strCache>
            </c:strRef>
          </c:cat>
          <c:val>
            <c:numRef>
              <c:f>wykresy_4!$J$39:$Q$39</c:f>
              <c:numCache>
                <c:formatCode>0.0</c:formatCode>
                <c:ptCount val="8"/>
                <c:pt idx="0">
                  <c:v>0.7</c:v>
                </c:pt>
                <c:pt idx="1">
                  <c:v>5.8</c:v>
                </c:pt>
                <c:pt idx="2">
                  <c:v>7.8</c:v>
                </c:pt>
                <c:pt idx="3">
                  <c:v>11.7</c:v>
                </c:pt>
                <c:pt idx="4">
                  <c:v>15.7</c:v>
                </c:pt>
                <c:pt idx="5">
                  <c:v>13.5</c:v>
                </c:pt>
                <c:pt idx="6">
                  <c:v>18.8</c:v>
                </c:pt>
                <c:pt idx="7">
                  <c:v>26</c:v>
                </c:pt>
              </c:numCache>
            </c:numRef>
          </c:val>
        </c:ser>
        <c:ser>
          <c:idx val="1"/>
          <c:order val="1"/>
          <c:tx>
            <c:strRef>
              <c:f>wykresy_4!$I$37</c:f>
              <c:strCache>
                <c:ptCount val="1"/>
                <c:pt idx="0">
                  <c:v>produkcja sprzedana</c:v>
                </c:pt>
              </c:strCache>
            </c:strRef>
          </c:tx>
          <c:spPr>
            <a:solidFill>
              <a:srgbClr val="00FF00"/>
            </a:solidFill>
          </c:spPr>
          <c:invertIfNegative val="0"/>
          <c:cat>
            <c:strRef>
              <c:f>wykresy_4!$J$33:$Q$33</c:f>
              <c:strCache>
                <c:ptCount val="8"/>
                <c:pt idx="0">
                  <c:v>2000,00 i mniej</c:v>
                </c:pt>
                <c:pt idx="1">
                  <c:v>2000,01-2500,00</c:v>
                </c:pt>
                <c:pt idx="2">
                  <c:v>2500,01-3000,00</c:v>
                </c:pt>
                <c:pt idx="3">
                  <c:v>3000,01-3500,00</c:v>
                </c:pt>
                <c:pt idx="4">
                  <c:v>3500,01-4000,00</c:v>
                </c:pt>
                <c:pt idx="5">
                  <c:v>4000,01-4500,00</c:v>
                </c:pt>
                <c:pt idx="6">
                  <c:v>4500,01-5500,00</c:v>
                </c:pt>
                <c:pt idx="7">
                  <c:v>5500,01 i więcej</c:v>
                </c:pt>
              </c:strCache>
            </c:strRef>
          </c:cat>
          <c:val>
            <c:numRef>
              <c:f>wykresy_4!$J$37:$Q$37</c:f>
              <c:numCache>
                <c:formatCode>0.0</c:formatCode>
                <c:ptCount val="8"/>
                <c:pt idx="0">
                  <c:v>0.3</c:v>
                </c:pt>
                <c:pt idx="1">
                  <c:v>2.2999999999999998</c:v>
                </c:pt>
                <c:pt idx="2">
                  <c:v>3.4</c:v>
                </c:pt>
                <c:pt idx="3">
                  <c:v>6.7</c:v>
                </c:pt>
                <c:pt idx="4">
                  <c:v>10.3</c:v>
                </c:pt>
                <c:pt idx="5">
                  <c:v>11.3</c:v>
                </c:pt>
                <c:pt idx="6">
                  <c:v>19.600000000000001</c:v>
                </c:pt>
                <c:pt idx="7">
                  <c:v>46.1</c:v>
                </c:pt>
              </c:numCache>
            </c:numRef>
          </c:val>
        </c:ser>
        <c:ser>
          <c:idx val="0"/>
          <c:order val="2"/>
          <c:tx>
            <c:strRef>
              <c:f>wykresy_4!$I$35</c:f>
              <c:strCache>
                <c:ptCount val="1"/>
                <c:pt idx="0">
                  <c:v>liczba podmiotów</c:v>
                </c:pt>
              </c:strCache>
            </c:strRef>
          </c:tx>
          <c:spPr>
            <a:solidFill>
              <a:srgbClr val="FF0000"/>
            </a:solidFill>
          </c:spPr>
          <c:invertIfNegative val="0"/>
          <c:cat>
            <c:strRef>
              <c:f>wykresy_4!$J$33:$Q$33</c:f>
              <c:strCache>
                <c:ptCount val="8"/>
                <c:pt idx="0">
                  <c:v>2000,00 i mniej</c:v>
                </c:pt>
                <c:pt idx="1">
                  <c:v>2000,01-2500,00</c:v>
                </c:pt>
                <c:pt idx="2">
                  <c:v>2500,01-3000,00</c:v>
                </c:pt>
                <c:pt idx="3">
                  <c:v>3000,01-3500,00</c:v>
                </c:pt>
                <c:pt idx="4">
                  <c:v>3500,01-4000,00</c:v>
                </c:pt>
                <c:pt idx="5">
                  <c:v>4000,01-4500,00</c:v>
                </c:pt>
                <c:pt idx="6">
                  <c:v>4500,01-5500,00</c:v>
                </c:pt>
                <c:pt idx="7">
                  <c:v>5500,01 i więcej</c:v>
                </c:pt>
              </c:strCache>
            </c:strRef>
          </c:cat>
          <c:val>
            <c:numRef>
              <c:f>wykresy_4!$J$35:$Q$35</c:f>
              <c:numCache>
                <c:formatCode>0.0</c:formatCode>
                <c:ptCount val="8"/>
                <c:pt idx="0">
                  <c:v>1.8</c:v>
                </c:pt>
                <c:pt idx="1">
                  <c:v>13.7</c:v>
                </c:pt>
                <c:pt idx="2">
                  <c:v>12.8</c:v>
                </c:pt>
                <c:pt idx="3">
                  <c:v>16.100000000000001</c:v>
                </c:pt>
                <c:pt idx="4">
                  <c:v>15.7</c:v>
                </c:pt>
                <c:pt idx="5">
                  <c:v>12.9</c:v>
                </c:pt>
                <c:pt idx="6">
                  <c:v>15.6</c:v>
                </c:pt>
                <c:pt idx="7">
                  <c:v>11.4</c:v>
                </c:pt>
              </c:numCache>
            </c:numRef>
          </c:val>
        </c:ser>
        <c:dLbls>
          <c:showLegendKey val="0"/>
          <c:showVal val="0"/>
          <c:showCatName val="0"/>
          <c:showSerName val="0"/>
          <c:showPercent val="0"/>
          <c:showBubbleSize val="0"/>
        </c:dLbls>
        <c:gapWidth val="150"/>
        <c:axId val="-1110001792"/>
        <c:axId val="-1109999072"/>
      </c:barChart>
      <c:catAx>
        <c:axId val="-1110001792"/>
        <c:scaling>
          <c:orientation val="minMax"/>
        </c:scaling>
        <c:delete val="0"/>
        <c:axPos val="l"/>
        <c:title>
          <c:tx>
            <c:rich>
              <a:bodyPr rot="0" vert="horz"/>
              <a:lstStyle/>
              <a:p>
                <a:pPr>
                  <a:defRPr sz="1100">
                    <a:latin typeface="Times New Roman" panose="02020603050405020304" pitchFamily="18" charset="0"/>
                    <a:cs typeface="Times New Roman" panose="02020603050405020304" pitchFamily="18" charset="0"/>
                  </a:defRPr>
                </a:pPr>
                <a:r>
                  <a:rPr lang="pl-PL" sz="1100" b="0" i="0" baseline="0">
                    <a:effectLst/>
                    <a:latin typeface="Times New Roman" panose="02020603050405020304" pitchFamily="18" charset="0"/>
                    <a:cs typeface="Times New Roman" panose="02020603050405020304" pitchFamily="18" charset="0"/>
                  </a:rPr>
                  <a:t>w zł   </a:t>
                </a:r>
                <a:r>
                  <a:rPr lang="pl-PL" sz="1100" b="0" i="1" baseline="0">
                    <a:effectLst/>
                    <a:latin typeface="Times New Roman" panose="02020603050405020304" pitchFamily="18" charset="0"/>
                    <a:cs typeface="Times New Roman" panose="02020603050405020304" pitchFamily="18" charset="0"/>
                  </a:rPr>
                  <a:t>in zl</a:t>
                </a:r>
                <a:endParaRPr lang="pl-PL" sz="1100">
                  <a:effectLst/>
                  <a:latin typeface="Times New Roman" panose="02020603050405020304" pitchFamily="18" charset="0"/>
                  <a:cs typeface="Times New Roman" panose="02020603050405020304" pitchFamily="18" charset="0"/>
                </a:endParaRPr>
              </a:p>
            </c:rich>
          </c:tx>
          <c:layout>
            <c:manualLayout>
              <c:xMode val="edge"/>
              <c:yMode val="edge"/>
              <c:x val="6.7241794418442261E-2"/>
              <c:y val="0.14654728833053171"/>
            </c:manualLayout>
          </c:layout>
          <c:overlay val="0"/>
        </c:title>
        <c:numFmt formatCode="General" sourceLinked="0"/>
        <c:majorTickMark val="out"/>
        <c:minorTickMark val="none"/>
        <c:tickLblPos val="nextTo"/>
        <c:txPr>
          <a:bodyPr/>
          <a:lstStyle/>
          <a:p>
            <a:pPr>
              <a:defRPr sz="1100">
                <a:latin typeface="Times New Roman" panose="02020603050405020304" pitchFamily="18" charset="0"/>
                <a:cs typeface="Times New Roman" panose="02020603050405020304" pitchFamily="18" charset="0"/>
              </a:defRPr>
            </a:pPr>
            <a:endParaRPr lang="pl-PL"/>
          </a:p>
        </c:txPr>
        <c:crossAx val="-1109999072"/>
        <c:crosses val="autoZero"/>
        <c:auto val="1"/>
        <c:lblAlgn val="ctr"/>
        <c:lblOffset val="100"/>
        <c:noMultiLvlLbl val="0"/>
      </c:catAx>
      <c:valAx>
        <c:axId val="-1109999072"/>
        <c:scaling>
          <c:orientation val="minMax"/>
        </c:scaling>
        <c:delete val="0"/>
        <c:axPos val="b"/>
        <c:majorGridlines>
          <c:spPr>
            <a:ln w="3175" cmpd="sng">
              <a:solidFill>
                <a:schemeClr val="tx1"/>
              </a:solidFill>
              <a:prstDash val="dash"/>
            </a:ln>
          </c:spPr>
        </c:majorGridlines>
        <c:numFmt formatCode="0%" sourceLinked="0"/>
        <c:majorTickMark val="out"/>
        <c:minorTickMark val="none"/>
        <c:tickLblPos val="nextTo"/>
        <c:txPr>
          <a:bodyPr/>
          <a:lstStyle/>
          <a:p>
            <a:pPr>
              <a:defRPr sz="1100">
                <a:latin typeface="Times New Roman" panose="02020603050405020304" pitchFamily="18" charset="0"/>
                <a:cs typeface="Times New Roman" panose="02020603050405020304" pitchFamily="18" charset="0"/>
              </a:defRPr>
            </a:pPr>
            <a:endParaRPr lang="pl-PL"/>
          </a:p>
        </c:txPr>
        <c:crossAx val="-1110001792"/>
        <c:crosses val="autoZero"/>
        <c:crossBetween val="between"/>
        <c:dispUnits>
          <c:builtInUnit val="hundreds"/>
        </c:dispUnits>
      </c:valAx>
    </c:plotArea>
    <c:legend>
      <c:legendPos val="r"/>
      <c:layout>
        <c:manualLayout>
          <c:xMode val="edge"/>
          <c:yMode val="edge"/>
          <c:x val="8.6091037581155924E-2"/>
          <c:y val="0.87992295317923974"/>
          <c:w val="0.84525798636378824"/>
          <c:h val="0.11072876979087291"/>
        </c:manualLayout>
      </c:layout>
      <c:overlay val="0"/>
      <c:spPr>
        <a:ln w="22225"/>
        <a:effectLst>
          <a:glow rad="647700">
            <a:schemeClr val="accent1">
              <a:alpha val="40000"/>
            </a:schemeClr>
          </a:glow>
        </a:effectLst>
      </c:spPr>
      <c:txPr>
        <a:bodyPr/>
        <a:lstStyle/>
        <a:p>
          <a:pPr>
            <a:defRPr sz="1100">
              <a:latin typeface="Times New Roman" panose="02020603050405020304" pitchFamily="18" charset="0"/>
              <a:cs typeface="Times New Roman" panose="02020603050405020304" pitchFamily="18" charset="0"/>
            </a:defRPr>
          </a:pPr>
          <a:endParaRPr lang="pl-PL"/>
        </a:p>
      </c:txPr>
    </c:legend>
    <c:plotVisOnly val="1"/>
    <c:dispBlanksAs val="gap"/>
    <c:showDLblsOverMax val="0"/>
  </c:chart>
  <c:spPr>
    <a:ln>
      <a:noFill/>
    </a:ln>
  </c:spPr>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b="0" i="0" u="none" strike="noStrike" baseline="0">
                <a:solidFill>
                  <a:srgbClr val="000000"/>
                </a:solidFill>
                <a:latin typeface="Arial CE"/>
                <a:ea typeface="Arial CE"/>
                <a:cs typeface="Arial CE"/>
              </a:defRPr>
            </a:pPr>
            <a:r>
              <a:rPr lang="pl-PL" sz="1100" b="1" i="0" u="none" strike="noStrike" baseline="0">
                <a:solidFill>
                  <a:srgbClr val="000000"/>
                </a:solidFill>
                <a:latin typeface="Times New Roman" panose="02020603050405020304" pitchFamily="18" charset="0"/>
                <a:cs typeface="Times New Roman" panose="02020603050405020304" pitchFamily="18" charset="0"/>
              </a:rPr>
              <a:t>Wydobycie węgla kamiennego</a:t>
            </a:r>
            <a:r>
              <a:rPr lang="pl-PL" sz="1100" b="1" i="1" u="none" strike="noStrike" baseline="30000">
                <a:solidFill>
                  <a:srgbClr val="000000"/>
                </a:solidFill>
                <a:latin typeface="Times New Roman" panose="02020603050405020304" pitchFamily="18" charset="0"/>
                <a:cs typeface="Times New Roman" panose="02020603050405020304" pitchFamily="18" charset="0"/>
              </a:rPr>
              <a:t>a</a:t>
            </a:r>
            <a:endParaRPr lang="pl-PL" sz="1100" b="1" i="0" u="none" strike="noStrike" baseline="0">
              <a:solidFill>
                <a:srgbClr val="000000"/>
              </a:solidFill>
              <a:latin typeface="Times New Roman" panose="02020603050405020304" pitchFamily="18" charset="0"/>
              <a:cs typeface="Times New Roman" panose="02020603050405020304" pitchFamily="18" charset="0"/>
            </a:endParaRPr>
          </a:p>
          <a:p>
            <a:pPr>
              <a:defRPr sz="1100" b="0" i="0" u="none" strike="noStrike" baseline="0">
                <a:solidFill>
                  <a:srgbClr val="000000"/>
                </a:solidFill>
                <a:latin typeface="Arial CE"/>
                <a:ea typeface="Arial CE"/>
                <a:cs typeface="Arial CE"/>
              </a:defRPr>
            </a:pPr>
            <a:r>
              <a:rPr lang="pl-PL" sz="1100" b="1" i="1" u="none" strike="noStrike" baseline="0">
                <a:solidFill>
                  <a:srgbClr val="000000"/>
                </a:solidFill>
                <a:latin typeface="Times New Roman" panose="02020603050405020304" pitchFamily="18" charset="0"/>
                <a:cs typeface="Times New Roman" panose="02020603050405020304" pitchFamily="18" charset="0"/>
              </a:rPr>
              <a:t>Extraction of hard coal</a:t>
            </a:r>
            <a:r>
              <a:rPr lang="pl-PL" sz="1100" b="1" i="1" u="none" strike="noStrike" baseline="30000">
                <a:solidFill>
                  <a:srgbClr val="000000"/>
                </a:solidFill>
                <a:latin typeface="Times New Roman" panose="02020603050405020304" pitchFamily="18" charset="0"/>
                <a:cs typeface="Times New Roman" panose="02020603050405020304" pitchFamily="18" charset="0"/>
              </a:rPr>
              <a:t>a</a:t>
            </a:r>
            <a:endParaRPr lang="pl-PL" sz="1100">
              <a:latin typeface="Times New Roman" panose="02020603050405020304" pitchFamily="18" charset="0"/>
              <a:cs typeface="Times New Roman" panose="02020603050405020304" pitchFamily="18" charset="0"/>
            </a:endParaRPr>
          </a:p>
        </c:rich>
      </c:tx>
      <c:layout>
        <c:manualLayout>
          <c:xMode val="edge"/>
          <c:yMode val="edge"/>
          <c:x val="0.3092623828112856"/>
          <c:y val="2.6209697472026526E-2"/>
        </c:manualLayout>
      </c:layout>
      <c:overlay val="0"/>
      <c:spPr>
        <a:noFill/>
        <a:ln w="25400">
          <a:noFill/>
        </a:ln>
      </c:spPr>
    </c:title>
    <c:autoTitleDeleted val="0"/>
    <c:plotArea>
      <c:layout>
        <c:manualLayout>
          <c:layoutTarget val="inner"/>
          <c:xMode val="edge"/>
          <c:yMode val="edge"/>
          <c:x val="7.2538982450518222E-2"/>
          <c:y val="0.19909985105961173"/>
          <c:w val="0.89292033159328377"/>
          <c:h val="0.5052019336834026"/>
        </c:manualLayout>
      </c:layout>
      <c:lineChart>
        <c:grouping val="standard"/>
        <c:varyColors val="0"/>
        <c:ser>
          <c:idx val="0"/>
          <c:order val="0"/>
          <c:tx>
            <c:strRef>
              <c:f>'dane - wyroby'!$A$1</c:f>
              <c:strCache>
                <c:ptCount val="1"/>
                <c:pt idx="0">
                  <c:v>2010</c:v>
                </c:pt>
              </c:strCache>
            </c:strRef>
          </c:tx>
          <c:spPr>
            <a:ln w="12700">
              <a:solidFill>
                <a:schemeClr val="accent2">
                  <a:lumMod val="75000"/>
                </a:schemeClr>
              </a:solidFill>
              <a:prstDash val="solid"/>
            </a:ln>
          </c:spPr>
          <c:marker>
            <c:symbol val="circle"/>
            <c:size val="4"/>
            <c:spPr>
              <a:solidFill>
                <a:schemeClr val="accent2">
                  <a:lumMod val="75000"/>
                </a:schemeClr>
              </a:solidFill>
              <a:ln>
                <a:solidFill>
                  <a:schemeClr val="accent2">
                    <a:lumMod val="75000"/>
                  </a:schemeClr>
                </a:solidFill>
                <a:prstDash val="solid"/>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wyroby'!$G$2:$S$2</c:f>
              <c:numCache>
                <c:formatCode>General</c:formatCode>
                <c:ptCount val="13"/>
                <c:pt idx="1">
                  <c:v>6.4</c:v>
                </c:pt>
                <c:pt idx="2">
                  <c:v>6.3</c:v>
                </c:pt>
                <c:pt idx="3">
                  <c:v>7.2</c:v>
                </c:pt>
                <c:pt idx="4">
                  <c:v>6.3</c:v>
                </c:pt>
                <c:pt idx="5">
                  <c:v>5.7</c:v>
                </c:pt>
                <c:pt idx="6">
                  <c:v>6</c:v>
                </c:pt>
                <c:pt idx="7">
                  <c:v>6.4</c:v>
                </c:pt>
                <c:pt idx="8">
                  <c:v>6.3</c:v>
                </c:pt>
                <c:pt idx="9">
                  <c:v>6.4</c:v>
                </c:pt>
                <c:pt idx="10">
                  <c:v>6.6</c:v>
                </c:pt>
                <c:pt idx="11">
                  <c:v>6.5</c:v>
                </c:pt>
                <c:pt idx="12">
                  <c:v>6.6</c:v>
                </c:pt>
              </c:numCache>
            </c:numRef>
          </c:val>
          <c:smooth val="0"/>
        </c:ser>
        <c:ser>
          <c:idx val="1"/>
          <c:order val="1"/>
          <c:tx>
            <c:strRef>
              <c:f>'dane - wyroby'!$B$1</c:f>
              <c:strCache>
                <c:ptCount val="1"/>
                <c:pt idx="0">
                  <c:v>2014</c:v>
                </c:pt>
              </c:strCache>
            </c:strRef>
          </c:tx>
          <c:spPr>
            <a:ln w="12700">
              <a:solidFill>
                <a:srgbClr val="FF0000"/>
              </a:solidFill>
              <a:prstDash val="solid"/>
            </a:ln>
          </c:spPr>
          <c:marker>
            <c:symbol val="triangle"/>
            <c:size val="4"/>
            <c:spPr>
              <a:solidFill>
                <a:srgbClr val="FF0000"/>
              </a:solidFill>
              <a:ln>
                <a:solidFill>
                  <a:srgbClr val="FF0000"/>
                </a:solidFill>
                <a:prstDash val="solid"/>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wyroby'!$T$2:$AF$2</c:f>
              <c:numCache>
                <c:formatCode>General</c:formatCode>
                <c:ptCount val="13"/>
                <c:pt idx="1">
                  <c:v>6.2</c:v>
                </c:pt>
                <c:pt idx="2">
                  <c:v>6.2</c:v>
                </c:pt>
                <c:pt idx="3">
                  <c:v>6.1</c:v>
                </c:pt>
                <c:pt idx="4">
                  <c:v>5.6</c:v>
                </c:pt>
                <c:pt idx="5">
                  <c:v>5.7</c:v>
                </c:pt>
                <c:pt idx="6">
                  <c:v>5.6</c:v>
                </c:pt>
                <c:pt idx="7">
                  <c:v>6.5</c:v>
                </c:pt>
                <c:pt idx="8">
                  <c:v>5.5</c:v>
                </c:pt>
                <c:pt idx="9">
                  <c:v>6.5</c:v>
                </c:pt>
                <c:pt idx="10">
                  <c:v>6.7</c:v>
                </c:pt>
                <c:pt idx="11">
                  <c:v>5.9</c:v>
                </c:pt>
                <c:pt idx="12">
                  <c:v>6.3</c:v>
                </c:pt>
              </c:numCache>
            </c:numRef>
          </c:val>
          <c:smooth val="0"/>
        </c:ser>
        <c:ser>
          <c:idx val="2"/>
          <c:order val="2"/>
          <c:tx>
            <c:strRef>
              <c:f>'dane - wyroby'!$C$1</c:f>
              <c:strCache>
                <c:ptCount val="1"/>
                <c:pt idx="0">
                  <c:v>2015</c:v>
                </c:pt>
              </c:strCache>
            </c:strRef>
          </c:tx>
          <c:spPr>
            <a:ln w="12700">
              <a:solidFill>
                <a:srgbClr val="008000"/>
              </a:solidFill>
              <a:prstDash val="solid"/>
            </a:ln>
          </c:spPr>
          <c:marker>
            <c:symbol val="square"/>
            <c:size val="3"/>
            <c:spPr>
              <a:solidFill>
                <a:srgbClr val="008000"/>
              </a:solidFill>
              <a:ln>
                <a:solidFill>
                  <a:srgbClr val="008000"/>
                </a:solidFill>
                <a:prstDash val="solid"/>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wyroby'!$AG$2:$AS$2</c:f>
              <c:numCache>
                <c:formatCode>General</c:formatCode>
                <c:ptCount val="13"/>
                <c:pt idx="1">
                  <c:v>5.7</c:v>
                </c:pt>
                <c:pt idx="2">
                  <c:v>5.2</c:v>
                </c:pt>
                <c:pt idx="3">
                  <c:v>6.1</c:v>
                </c:pt>
                <c:pt idx="4">
                  <c:v>5.9</c:v>
                </c:pt>
                <c:pt idx="5">
                  <c:v>5.7</c:v>
                </c:pt>
                <c:pt idx="6">
                  <c:v>5.9</c:v>
                </c:pt>
                <c:pt idx="7">
                  <c:v>6.1</c:v>
                </c:pt>
                <c:pt idx="8">
                  <c:v>5.6</c:v>
                </c:pt>
                <c:pt idx="9">
                  <c:v>6.1</c:v>
                </c:pt>
                <c:pt idx="10">
                  <c:v>6.8</c:v>
                </c:pt>
                <c:pt idx="11">
                  <c:v>6.7</c:v>
                </c:pt>
                <c:pt idx="12">
                  <c:v>6.5</c:v>
                </c:pt>
              </c:numCache>
            </c:numRef>
          </c:val>
          <c:smooth val="0"/>
        </c:ser>
        <c:ser>
          <c:idx val="3"/>
          <c:order val="3"/>
          <c:tx>
            <c:strRef>
              <c:f>'dane - wyroby'!$D$1</c:f>
              <c:strCache>
                <c:ptCount val="1"/>
                <c:pt idx="0">
                  <c:v>2016</c:v>
                </c:pt>
              </c:strCache>
            </c:strRef>
          </c:tx>
          <c:spPr>
            <a:ln w="12700">
              <a:solidFill>
                <a:srgbClr val="9900FF"/>
              </a:solidFill>
              <a:prstDash val="solid"/>
            </a:ln>
          </c:spPr>
          <c:marker>
            <c:symbol val="diamond"/>
            <c:size val="4"/>
            <c:spPr>
              <a:solidFill>
                <a:srgbClr val="9900FF"/>
              </a:solidFill>
              <a:ln>
                <a:solidFill>
                  <a:srgbClr val="9900FF"/>
                </a:solidFill>
                <a:prstDash val="solid"/>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wyroby'!$AT$2:$BF$2</c:f>
              <c:numCache>
                <c:formatCode>General</c:formatCode>
                <c:ptCount val="13"/>
                <c:pt idx="1">
                  <c:v>6</c:v>
                </c:pt>
                <c:pt idx="2">
                  <c:v>6.1</c:v>
                </c:pt>
                <c:pt idx="3">
                  <c:v>5.6</c:v>
                </c:pt>
                <c:pt idx="4">
                  <c:v>5.3</c:v>
                </c:pt>
                <c:pt idx="5">
                  <c:v>5.5</c:v>
                </c:pt>
                <c:pt idx="6">
                  <c:v>5.9</c:v>
                </c:pt>
                <c:pt idx="7">
                  <c:v>5.7</c:v>
                </c:pt>
                <c:pt idx="8">
                  <c:v>5.9</c:v>
                </c:pt>
                <c:pt idx="9">
                  <c:v>6.2</c:v>
                </c:pt>
                <c:pt idx="10">
                  <c:v>6.3</c:v>
                </c:pt>
                <c:pt idx="11">
                  <c:v>6.1</c:v>
                </c:pt>
                <c:pt idx="12">
                  <c:v>6</c:v>
                </c:pt>
              </c:numCache>
            </c:numRef>
          </c:val>
          <c:smooth val="0"/>
        </c:ser>
        <c:ser>
          <c:idx val="4"/>
          <c:order val="4"/>
          <c:tx>
            <c:strRef>
              <c:f>'dane - wyroby'!$E$1</c:f>
              <c:strCache>
                <c:ptCount val="1"/>
                <c:pt idx="0">
                  <c:v>2017</c:v>
                </c:pt>
              </c:strCache>
            </c:strRef>
          </c:tx>
          <c:spPr>
            <a:ln w="25400">
              <a:solidFill>
                <a:srgbClr val="0000FF"/>
              </a:solidFill>
            </a:ln>
          </c:spPr>
          <c:marker>
            <c:symbol val="triangle"/>
            <c:size val="5"/>
            <c:spPr>
              <a:solidFill>
                <a:srgbClr val="0000FF"/>
              </a:solidFill>
              <a:ln>
                <a:solidFill>
                  <a:srgbClr val="0000FF"/>
                </a:solidFill>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wyroby'!$BG$2:$BS$2</c:f>
              <c:numCache>
                <c:formatCode>General</c:formatCode>
                <c:ptCount val="13"/>
                <c:pt idx="1">
                  <c:v>5.6</c:v>
                </c:pt>
                <c:pt idx="2">
                  <c:v>5.2</c:v>
                </c:pt>
                <c:pt idx="3">
                  <c:v>6</c:v>
                </c:pt>
                <c:pt idx="4">
                  <c:v>5.3</c:v>
                </c:pt>
                <c:pt idx="5">
                  <c:v>5.5</c:v>
                </c:pt>
                <c:pt idx="6">
                  <c:v>5.2</c:v>
                </c:pt>
              </c:numCache>
            </c:numRef>
          </c:val>
          <c:smooth val="0"/>
        </c:ser>
        <c:dLbls>
          <c:showLegendKey val="0"/>
          <c:showVal val="0"/>
          <c:showCatName val="0"/>
          <c:showSerName val="0"/>
          <c:showPercent val="0"/>
          <c:showBubbleSize val="0"/>
        </c:dLbls>
        <c:marker val="1"/>
        <c:smooth val="0"/>
        <c:axId val="-980538992"/>
        <c:axId val="-980527568"/>
        <c:extLst>
          <c:ext xmlns:c15="http://schemas.microsoft.com/office/drawing/2012/chart" uri="{02D57815-91ED-43cb-92C2-25804820EDAC}">
            <c15:filteredLineSeries>
              <c15:ser>
                <c:idx val="5"/>
                <c:order val="5"/>
                <c:tx>
                  <c:strRef>
                    <c:extLst>
                      <c:ext uri="{02D57815-91ED-43cb-92C2-25804820EDAC}">
                        <c15:formulaRef>
                          <c15:sqref>'dane - wyroby'!$F$1</c15:sqref>
                        </c15:formulaRef>
                      </c:ext>
                    </c:extLst>
                    <c:strCache>
                      <c:ptCount val="1"/>
                    </c:strCache>
                  </c:strRef>
                </c:tx>
                <c:spPr>
                  <a:ln w="28575">
                    <a:solidFill>
                      <a:srgbClr val="0000FF"/>
                    </a:solidFill>
                  </a:ln>
                </c:spPr>
                <c:marker>
                  <c:symbol val="square"/>
                  <c:size val="4"/>
                  <c:spPr>
                    <a:solidFill>
                      <a:srgbClr val="0000FF"/>
                    </a:solidFill>
                    <a:ln>
                      <a:solidFill>
                        <a:srgbClr val="0000FF"/>
                      </a:solidFill>
                    </a:ln>
                  </c:spPr>
                </c:marker>
                <c:val>
                  <c:numRef>
                    <c:extLst>
                      <c:ext uri="{02D57815-91ED-43cb-92C2-25804820EDAC}">
                        <c15:formulaRef>
                          <c15:sqref>'dane - wyroby'!$BT$2:$CF$2</c15:sqref>
                        </c15:formulaRef>
                      </c:ext>
                    </c:extLst>
                    <c:numCache>
                      <c:formatCode>General</c:formatCode>
                      <c:ptCount val="13"/>
                    </c:numCache>
                  </c:numRef>
                </c:val>
                <c:smooth val="0"/>
              </c15:ser>
            </c15:filteredLineSeries>
          </c:ext>
        </c:extLst>
      </c:lineChart>
      <c:catAx>
        <c:axId val="-980538992"/>
        <c:scaling>
          <c:orientation val="minMax"/>
        </c:scaling>
        <c:delete val="0"/>
        <c:axPos val="b"/>
        <c:title>
          <c:tx>
            <c:rich>
              <a:bodyPr/>
              <a:lstStyle/>
              <a:p>
                <a:pPr>
                  <a:defRPr sz="1100" b="0" i="0" u="none" strike="noStrike" baseline="0">
                    <a:solidFill>
                      <a:srgbClr val="000000"/>
                    </a:solidFill>
                    <a:latin typeface="Times New Roman" panose="02020603050405020304" pitchFamily="18" charset="0"/>
                    <a:ea typeface="Calibri"/>
                    <a:cs typeface="Times New Roman" panose="02020603050405020304" pitchFamily="18" charset="0"/>
                  </a:defRPr>
                </a:pPr>
                <a:r>
                  <a:rPr lang="pl-PL" sz="1100" b="0" i="0" u="none" strike="noStrike" baseline="0">
                    <a:solidFill>
                      <a:srgbClr val="000000"/>
                    </a:solidFill>
                    <a:latin typeface="Times New Roman" panose="02020603050405020304" pitchFamily="18" charset="0"/>
                    <a:cs typeface="Times New Roman" panose="02020603050405020304" pitchFamily="18" charset="0"/>
                  </a:rPr>
                  <a:t>miesiące    </a:t>
                </a:r>
                <a:r>
                  <a:rPr lang="pl-PL" sz="1100" b="0" i="1" u="none" strike="noStrike" baseline="0">
                    <a:solidFill>
                      <a:srgbClr val="000000"/>
                    </a:solidFill>
                    <a:latin typeface="Times New Roman" panose="02020603050405020304" pitchFamily="18" charset="0"/>
                    <a:cs typeface="Times New Roman" panose="02020603050405020304" pitchFamily="18" charset="0"/>
                  </a:rPr>
                  <a:t>months</a:t>
                </a:r>
                <a:endParaRPr lang="pl-PL" sz="1100">
                  <a:latin typeface="Times New Roman" panose="02020603050405020304" pitchFamily="18" charset="0"/>
                  <a:cs typeface="Times New Roman" panose="02020603050405020304" pitchFamily="18" charset="0"/>
                </a:endParaRPr>
              </a:p>
            </c:rich>
          </c:tx>
          <c:layout>
            <c:manualLayout>
              <c:xMode val="edge"/>
              <c:yMode val="edge"/>
              <c:x val="0.38514753013386283"/>
              <c:y val="0.76209740919481839"/>
            </c:manualLayout>
          </c:layout>
          <c:overlay val="0"/>
          <c:spPr>
            <a:noFill/>
            <a:ln w="25400">
              <a:noFill/>
            </a:ln>
          </c:spPr>
        </c:title>
        <c:numFmt formatCode="General" sourceLinked="1"/>
        <c:majorTickMark val="out"/>
        <c:minorTickMark val="none"/>
        <c:tickLblPos val="nextTo"/>
        <c:spPr>
          <a:ln w="12700">
            <a:solidFill>
              <a:srgbClr val="000000"/>
            </a:solidFill>
            <a:prstDash val="solid"/>
          </a:ln>
        </c:spPr>
        <c:txPr>
          <a:bodyPr rot="0" vert="horz"/>
          <a:lstStyle/>
          <a:p>
            <a:pPr>
              <a:defRPr sz="1100" b="0" i="0" u="none" strike="noStrike" baseline="0">
                <a:solidFill>
                  <a:srgbClr val="000000"/>
                </a:solidFill>
                <a:latin typeface="Times New Roman" panose="02020603050405020304" pitchFamily="18" charset="0"/>
                <a:ea typeface="Arial CE"/>
                <a:cs typeface="Times New Roman" panose="02020603050405020304" pitchFamily="18" charset="0"/>
              </a:defRPr>
            </a:pPr>
            <a:endParaRPr lang="pl-PL"/>
          </a:p>
        </c:txPr>
        <c:crossAx val="-980527568"/>
        <c:crossesAt val="5"/>
        <c:auto val="0"/>
        <c:lblAlgn val="ctr"/>
        <c:lblOffset val="100"/>
        <c:tickLblSkip val="1"/>
        <c:tickMarkSkip val="1"/>
        <c:noMultiLvlLbl val="0"/>
      </c:catAx>
      <c:valAx>
        <c:axId val="-980527568"/>
        <c:scaling>
          <c:orientation val="minMax"/>
          <c:max val="7.5"/>
          <c:min val="5"/>
        </c:scaling>
        <c:delete val="0"/>
        <c:axPos val="l"/>
        <c:majorGridlines>
          <c:spPr>
            <a:ln w="3175">
              <a:solidFill>
                <a:srgbClr val="000000"/>
              </a:solidFill>
              <a:prstDash val="dash"/>
            </a:ln>
          </c:spPr>
        </c:majorGridlines>
        <c:numFmt formatCode="General" sourceLinked="1"/>
        <c:majorTickMark val="out"/>
        <c:minorTickMark val="none"/>
        <c:tickLblPos val="nextTo"/>
        <c:spPr>
          <a:ln w="12700">
            <a:solidFill>
              <a:srgbClr val="000000"/>
            </a:solidFill>
            <a:prstDash val="solid"/>
          </a:ln>
        </c:spPr>
        <c:txPr>
          <a:bodyPr rot="0" vert="horz"/>
          <a:lstStyle/>
          <a:p>
            <a:pPr>
              <a:defRPr sz="1100" b="0" i="0" u="none" strike="noStrike" baseline="0">
                <a:solidFill>
                  <a:srgbClr val="000000"/>
                </a:solidFill>
                <a:latin typeface="Times New Roman" panose="02020603050405020304" pitchFamily="18" charset="0"/>
                <a:ea typeface="Arial CE"/>
                <a:cs typeface="Times New Roman" panose="02020603050405020304" pitchFamily="18" charset="0"/>
              </a:defRPr>
            </a:pPr>
            <a:endParaRPr lang="pl-PL"/>
          </a:p>
        </c:txPr>
        <c:crossAx val="-980538992"/>
        <c:crosses val="autoZero"/>
        <c:crossBetween val="midCat"/>
        <c:majorUnit val="0.5"/>
      </c:valAx>
      <c:spPr>
        <a:noFill/>
        <a:ln w="25400">
          <a:noFill/>
        </a:ln>
      </c:spPr>
    </c:plotArea>
    <c:legend>
      <c:legendPos val="b"/>
      <c:layout>
        <c:manualLayout>
          <c:xMode val="edge"/>
          <c:yMode val="edge"/>
          <c:x val="0.13492003854848092"/>
          <c:y val="0.82958495648570241"/>
          <c:w val="0.75848843767625496"/>
          <c:h val="6.5942395358474931E-2"/>
        </c:manualLayout>
      </c:layout>
      <c:overlay val="0"/>
      <c:spPr>
        <a:solidFill>
          <a:srgbClr val="FFFFFF"/>
        </a:solidFill>
        <a:ln w="25400">
          <a:noFill/>
        </a:ln>
      </c:spPr>
      <c:txPr>
        <a:bodyPr/>
        <a:lstStyle/>
        <a:p>
          <a:pPr>
            <a:defRPr sz="1100" b="0" i="0" u="none" strike="noStrike" baseline="0">
              <a:solidFill>
                <a:srgbClr val="000000"/>
              </a:solidFill>
              <a:latin typeface="Times New Roman" panose="02020603050405020304" pitchFamily="18" charset="0"/>
              <a:ea typeface="Arial CE"/>
              <a:cs typeface="Times New Roman" panose="02020603050405020304" pitchFamily="18" charset="0"/>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Arial CE"/>
          <a:ea typeface="Arial CE"/>
          <a:cs typeface="Arial CE"/>
        </a:defRPr>
      </a:pPr>
      <a:endParaRPr lang="pl-PL"/>
    </a:p>
  </c:txPr>
  <c:externalData r:id="rId1">
    <c:autoUpdate val="0"/>
  </c:externalData>
  <c:userShapes r:id="rId2"/>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b="0" i="0" u="none" strike="noStrike" baseline="0">
                <a:solidFill>
                  <a:srgbClr val="000000"/>
                </a:solidFill>
                <a:latin typeface="Arial CE"/>
                <a:ea typeface="Arial CE"/>
                <a:cs typeface="Arial CE"/>
              </a:defRPr>
            </a:pPr>
            <a:r>
              <a:rPr lang="pl-PL" sz="1050" b="1" i="0" u="none" strike="noStrike" baseline="0">
                <a:solidFill>
                  <a:srgbClr val="000000"/>
                </a:solidFill>
                <a:latin typeface="Times New Roman" panose="02020603050405020304" pitchFamily="18" charset="0"/>
                <a:cs typeface="Times New Roman" panose="02020603050405020304" pitchFamily="18" charset="0"/>
              </a:rPr>
              <a:t>Produkcja energii elektrycznej</a:t>
            </a:r>
          </a:p>
          <a:p>
            <a:pPr>
              <a:defRPr sz="1050" b="0" i="0" u="none" strike="noStrike" baseline="0">
                <a:solidFill>
                  <a:srgbClr val="000000"/>
                </a:solidFill>
                <a:latin typeface="Arial CE"/>
                <a:ea typeface="Arial CE"/>
                <a:cs typeface="Arial CE"/>
              </a:defRPr>
            </a:pPr>
            <a:r>
              <a:rPr lang="pl-PL" sz="1050" b="1" i="1" u="none" strike="noStrike" baseline="0">
                <a:solidFill>
                  <a:srgbClr val="000000"/>
                </a:solidFill>
                <a:latin typeface="Times New Roman" panose="02020603050405020304" pitchFamily="18" charset="0"/>
                <a:cs typeface="Times New Roman" panose="02020603050405020304" pitchFamily="18" charset="0"/>
              </a:rPr>
              <a:t>Production of </a:t>
            </a:r>
            <a:r>
              <a:rPr lang="pl-PL" sz="1100" b="1" i="1" u="none" strike="noStrike" baseline="0">
                <a:solidFill>
                  <a:srgbClr val="000000"/>
                </a:solidFill>
                <a:latin typeface="Times New Roman" panose="02020603050405020304" pitchFamily="18" charset="0"/>
                <a:cs typeface="Times New Roman" panose="02020603050405020304" pitchFamily="18" charset="0"/>
              </a:rPr>
              <a:t>electricity</a:t>
            </a:r>
            <a:endParaRPr lang="pl-PL" sz="1100">
              <a:latin typeface="Times New Roman" panose="02020603050405020304" pitchFamily="18" charset="0"/>
              <a:cs typeface="Times New Roman" panose="02020603050405020304" pitchFamily="18" charset="0"/>
            </a:endParaRPr>
          </a:p>
        </c:rich>
      </c:tx>
      <c:layout>
        <c:manualLayout>
          <c:xMode val="edge"/>
          <c:yMode val="edge"/>
          <c:x val="0.31732436532911945"/>
          <c:y val="4.4660194174757278E-2"/>
        </c:manualLayout>
      </c:layout>
      <c:overlay val="0"/>
      <c:spPr>
        <a:noFill/>
        <a:ln w="25400">
          <a:noFill/>
        </a:ln>
      </c:spPr>
    </c:title>
    <c:autoTitleDeleted val="0"/>
    <c:plotArea>
      <c:layout>
        <c:manualLayout>
          <c:layoutTarget val="inner"/>
          <c:xMode val="edge"/>
          <c:yMode val="edge"/>
          <c:x val="5.5460263007432821E-2"/>
          <c:y val="0.18434860885490498"/>
          <c:w val="0.88850846285081109"/>
          <c:h val="0.58252427184466016"/>
        </c:manualLayout>
      </c:layout>
      <c:lineChart>
        <c:grouping val="standard"/>
        <c:varyColors val="0"/>
        <c:ser>
          <c:idx val="0"/>
          <c:order val="0"/>
          <c:tx>
            <c:strRef>
              <c:f>'dane - wyroby'!$A$1</c:f>
              <c:strCache>
                <c:ptCount val="1"/>
                <c:pt idx="0">
                  <c:v>2010</c:v>
                </c:pt>
              </c:strCache>
            </c:strRef>
          </c:tx>
          <c:spPr>
            <a:ln w="12700">
              <a:solidFill>
                <a:schemeClr val="accent2">
                  <a:lumMod val="75000"/>
                </a:schemeClr>
              </a:solidFill>
              <a:prstDash val="solid"/>
            </a:ln>
          </c:spPr>
          <c:marker>
            <c:symbol val="circle"/>
            <c:size val="4"/>
            <c:spPr>
              <a:solidFill>
                <a:schemeClr val="accent2">
                  <a:lumMod val="75000"/>
                </a:schemeClr>
              </a:solidFill>
              <a:ln>
                <a:solidFill>
                  <a:schemeClr val="accent2">
                    <a:lumMod val="75000"/>
                  </a:schemeClr>
                </a:solidFill>
                <a:prstDash val="solid"/>
              </a:ln>
            </c:spPr>
          </c:marker>
          <c:dLbls>
            <c:dLbl>
              <c:idx val="0"/>
              <c:spPr>
                <a:noFill/>
                <a:ln w="25400">
                  <a:noFill/>
                </a:ln>
              </c:spPr>
              <c:txPr>
                <a:bodyPr/>
                <a:lstStyle/>
                <a:p>
                  <a:pPr algn="ctr" rtl="0">
                    <a:defRPr sz="1000" b="0" i="0" u="none" strike="noStrike" baseline="0">
                      <a:solidFill>
                        <a:srgbClr val="000000"/>
                      </a:solidFill>
                      <a:latin typeface="Arial CE"/>
                      <a:ea typeface="Arial CE"/>
                      <a:cs typeface="Arial CE"/>
                    </a:defRPr>
                  </a:pPr>
                  <a:endParaRPr lang="pl-PL"/>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wyroby'!$G$24:$S$24</c:f>
              <c:numCache>
                <c:formatCode>General</c:formatCode>
                <c:ptCount val="13"/>
                <c:pt idx="1">
                  <c:v>14.9</c:v>
                </c:pt>
                <c:pt idx="2">
                  <c:v>13.3</c:v>
                </c:pt>
                <c:pt idx="3">
                  <c:v>13.8</c:v>
                </c:pt>
                <c:pt idx="4">
                  <c:v>12</c:v>
                </c:pt>
                <c:pt idx="5">
                  <c:v>12.1</c:v>
                </c:pt>
                <c:pt idx="6">
                  <c:v>11.8</c:v>
                </c:pt>
                <c:pt idx="7">
                  <c:v>12.3</c:v>
                </c:pt>
                <c:pt idx="8">
                  <c:v>12.1</c:v>
                </c:pt>
                <c:pt idx="9">
                  <c:v>12.6</c:v>
                </c:pt>
                <c:pt idx="10">
                  <c:v>13.9</c:v>
                </c:pt>
                <c:pt idx="11">
                  <c:v>13.6</c:v>
                </c:pt>
                <c:pt idx="12">
                  <c:v>15.2</c:v>
                </c:pt>
              </c:numCache>
            </c:numRef>
          </c:val>
          <c:smooth val="0"/>
        </c:ser>
        <c:ser>
          <c:idx val="1"/>
          <c:order val="1"/>
          <c:tx>
            <c:strRef>
              <c:f>'dane - wyroby'!$B$1</c:f>
              <c:strCache>
                <c:ptCount val="1"/>
                <c:pt idx="0">
                  <c:v>2014</c:v>
                </c:pt>
              </c:strCache>
            </c:strRef>
          </c:tx>
          <c:spPr>
            <a:ln w="12700">
              <a:solidFill>
                <a:srgbClr val="FF0000"/>
              </a:solidFill>
              <a:prstDash val="solid"/>
            </a:ln>
          </c:spPr>
          <c:marker>
            <c:symbol val="triangle"/>
            <c:size val="4"/>
            <c:spPr>
              <a:solidFill>
                <a:srgbClr val="FF0000"/>
              </a:solidFill>
              <a:ln>
                <a:solidFill>
                  <a:srgbClr val="FF0000"/>
                </a:solidFill>
                <a:prstDash val="solid"/>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wyroby'!$T$24:$AF$24</c:f>
              <c:numCache>
                <c:formatCode>General</c:formatCode>
                <c:ptCount val="13"/>
                <c:pt idx="1">
                  <c:v>14.9</c:v>
                </c:pt>
                <c:pt idx="2">
                  <c:v>13</c:v>
                </c:pt>
                <c:pt idx="3">
                  <c:v>13.6</c:v>
                </c:pt>
                <c:pt idx="4">
                  <c:v>12.5</c:v>
                </c:pt>
                <c:pt idx="5">
                  <c:v>12.5</c:v>
                </c:pt>
                <c:pt idx="6">
                  <c:v>11.9</c:v>
                </c:pt>
                <c:pt idx="7">
                  <c:v>13.1</c:v>
                </c:pt>
                <c:pt idx="8">
                  <c:v>12.4</c:v>
                </c:pt>
                <c:pt idx="9">
                  <c:v>12.8</c:v>
                </c:pt>
                <c:pt idx="10">
                  <c:v>13.9</c:v>
                </c:pt>
                <c:pt idx="11">
                  <c:v>13.8</c:v>
                </c:pt>
                <c:pt idx="12">
                  <c:v>14.6</c:v>
                </c:pt>
              </c:numCache>
            </c:numRef>
          </c:val>
          <c:smooth val="0"/>
        </c:ser>
        <c:ser>
          <c:idx val="2"/>
          <c:order val="2"/>
          <c:tx>
            <c:strRef>
              <c:f>'dane - wyroby'!$C$1</c:f>
              <c:strCache>
                <c:ptCount val="1"/>
                <c:pt idx="0">
                  <c:v>2015</c:v>
                </c:pt>
              </c:strCache>
            </c:strRef>
          </c:tx>
          <c:spPr>
            <a:ln w="12700">
              <a:solidFill>
                <a:srgbClr val="008000"/>
              </a:solidFill>
              <a:prstDash val="solid"/>
            </a:ln>
          </c:spPr>
          <c:marker>
            <c:symbol val="square"/>
            <c:size val="3"/>
            <c:spPr>
              <a:solidFill>
                <a:srgbClr val="008000"/>
              </a:solidFill>
              <a:ln>
                <a:solidFill>
                  <a:srgbClr val="008000"/>
                </a:solidFill>
                <a:prstDash val="solid"/>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wyroby'!$AG$24:$AS$24</c:f>
              <c:numCache>
                <c:formatCode>General</c:formatCode>
                <c:ptCount val="13"/>
                <c:pt idx="1">
                  <c:v>14.8</c:v>
                </c:pt>
                <c:pt idx="2">
                  <c:v>13.6</c:v>
                </c:pt>
                <c:pt idx="3">
                  <c:v>14.3</c:v>
                </c:pt>
                <c:pt idx="4">
                  <c:v>12.9</c:v>
                </c:pt>
                <c:pt idx="5">
                  <c:v>12.8</c:v>
                </c:pt>
                <c:pt idx="6">
                  <c:v>12.5</c:v>
                </c:pt>
                <c:pt idx="7">
                  <c:v>13.5</c:v>
                </c:pt>
                <c:pt idx="8">
                  <c:v>13.2</c:v>
                </c:pt>
                <c:pt idx="9">
                  <c:v>13.5</c:v>
                </c:pt>
                <c:pt idx="10">
                  <c:v>14.4</c:v>
                </c:pt>
                <c:pt idx="11">
                  <c:v>14.3</c:v>
                </c:pt>
                <c:pt idx="12">
                  <c:v>14.8</c:v>
                </c:pt>
              </c:numCache>
            </c:numRef>
          </c:val>
          <c:smooth val="0"/>
        </c:ser>
        <c:ser>
          <c:idx val="3"/>
          <c:order val="3"/>
          <c:tx>
            <c:strRef>
              <c:f>'dane - wyroby'!$D$1</c:f>
              <c:strCache>
                <c:ptCount val="1"/>
                <c:pt idx="0">
                  <c:v>2016</c:v>
                </c:pt>
              </c:strCache>
            </c:strRef>
          </c:tx>
          <c:spPr>
            <a:ln w="12700">
              <a:solidFill>
                <a:srgbClr val="9900FF"/>
              </a:solidFill>
              <a:prstDash val="solid"/>
            </a:ln>
          </c:spPr>
          <c:marker>
            <c:symbol val="diamond"/>
            <c:size val="4"/>
            <c:spPr>
              <a:solidFill>
                <a:srgbClr val="9900FF"/>
              </a:solidFill>
              <a:ln>
                <a:solidFill>
                  <a:srgbClr val="9900FF"/>
                </a:solidFill>
                <a:prstDash val="solid"/>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wyroby'!$AT$24:$BF$24</c:f>
              <c:numCache>
                <c:formatCode>General</c:formatCode>
                <c:ptCount val="13"/>
                <c:pt idx="1">
                  <c:v>15.4</c:v>
                </c:pt>
                <c:pt idx="2">
                  <c:v>13.8</c:v>
                </c:pt>
                <c:pt idx="3">
                  <c:v>14</c:v>
                </c:pt>
                <c:pt idx="4">
                  <c:v>13.1</c:v>
                </c:pt>
                <c:pt idx="5">
                  <c:v>12.7</c:v>
                </c:pt>
                <c:pt idx="6">
                  <c:v>12.8</c:v>
                </c:pt>
                <c:pt idx="7">
                  <c:v>13.2</c:v>
                </c:pt>
                <c:pt idx="8">
                  <c:v>13.1</c:v>
                </c:pt>
                <c:pt idx="9">
                  <c:v>13.1</c:v>
                </c:pt>
                <c:pt idx="10">
                  <c:v>14.7</c:v>
                </c:pt>
                <c:pt idx="11">
                  <c:v>15.1</c:v>
                </c:pt>
                <c:pt idx="12">
                  <c:v>15.6</c:v>
                </c:pt>
              </c:numCache>
            </c:numRef>
          </c:val>
          <c:smooth val="0"/>
        </c:ser>
        <c:ser>
          <c:idx val="4"/>
          <c:order val="4"/>
          <c:tx>
            <c:strRef>
              <c:f>'dane - wyroby'!$E$1</c:f>
              <c:strCache>
                <c:ptCount val="1"/>
                <c:pt idx="0">
                  <c:v>2017</c:v>
                </c:pt>
              </c:strCache>
            </c:strRef>
          </c:tx>
          <c:spPr>
            <a:ln w="25400">
              <a:solidFill>
                <a:srgbClr val="0000FF"/>
              </a:solidFill>
            </a:ln>
          </c:spPr>
          <c:marker>
            <c:symbol val="triangle"/>
            <c:size val="5"/>
            <c:spPr>
              <a:solidFill>
                <a:srgbClr val="0000FF"/>
              </a:solidFill>
              <a:ln>
                <a:solidFill>
                  <a:srgbClr val="0000FF"/>
                </a:solidFill>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wyroby'!$BG$24:$BS$24</c:f>
              <c:numCache>
                <c:formatCode>General</c:formatCode>
                <c:ptCount val="13"/>
                <c:pt idx="1">
                  <c:v>16.399999999999999</c:v>
                </c:pt>
                <c:pt idx="2">
                  <c:v>14.5</c:v>
                </c:pt>
                <c:pt idx="3">
                  <c:v>14.4</c:v>
                </c:pt>
                <c:pt idx="4">
                  <c:v>13.4</c:v>
                </c:pt>
                <c:pt idx="5">
                  <c:v>13.4</c:v>
                </c:pt>
                <c:pt idx="6">
                  <c:v>13</c:v>
                </c:pt>
              </c:numCache>
            </c:numRef>
          </c:val>
          <c:smooth val="0"/>
        </c:ser>
        <c:dLbls>
          <c:showLegendKey val="0"/>
          <c:showVal val="0"/>
          <c:showCatName val="0"/>
          <c:showSerName val="0"/>
          <c:showPercent val="0"/>
          <c:showBubbleSize val="0"/>
        </c:dLbls>
        <c:marker val="1"/>
        <c:smooth val="0"/>
        <c:axId val="-980527024"/>
        <c:axId val="-980533008"/>
        <c:extLst>
          <c:ext xmlns:c15="http://schemas.microsoft.com/office/drawing/2012/chart" uri="{02D57815-91ED-43cb-92C2-25804820EDAC}">
            <c15:filteredLineSeries>
              <c15:ser>
                <c:idx val="5"/>
                <c:order val="5"/>
                <c:tx>
                  <c:strRef>
                    <c:extLst>
                      <c:ext uri="{02D57815-91ED-43cb-92C2-25804820EDAC}">
                        <c15:formulaRef>
                          <c15:sqref>'dane - wyroby'!$F$1</c15:sqref>
                        </c15:formulaRef>
                      </c:ext>
                    </c:extLst>
                    <c:strCache>
                      <c:ptCount val="1"/>
                    </c:strCache>
                  </c:strRef>
                </c:tx>
                <c:spPr>
                  <a:ln w="28575">
                    <a:solidFill>
                      <a:srgbClr val="0000FF"/>
                    </a:solidFill>
                  </a:ln>
                </c:spPr>
                <c:marker>
                  <c:symbol val="square"/>
                  <c:size val="4"/>
                  <c:spPr>
                    <a:solidFill>
                      <a:srgbClr val="0000FF"/>
                    </a:solidFill>
                    <a:ln>
                      <a:solidFill>
                        <a:srgbClr val="0000FF"/>
                      </a:solidFill>
                    </a:ln>
                  </c:spPr>
                </c:marker>
                <c:val>
                  <c:numRef>
                    <c:extLst>
                      <c:ext uri="{02D57815-91ED-43cb-92C2-25804820EDAC}">
                        <c15:formulaRef>
                          <c15:sqref>'dane - wyroby'!$BT$24:$CF$24</c15:sqref>
                        </c15:formulaRef>
                      </c:ext>
                    </c:extLst>
                    <c:numCache>
                      <c:formatCode>General</c:formatCode>
                      <c:ptCount val="13"/>
                    </c:numCache>
                  </c:numRef>
                </c:val>
                <c:smooth val="0"/>
              </c15:ser>
            </c15:filteredLineSeries>
          </c:ext>
        </c:extLst>
      </c:lineChart>
      <c:catAx>
        <c:axId val="-980527024"/>
        <c:scaling>
          <c:orientation val="minMax"/>
        </c:scaling>
        <c:delete val="0"/>
        <c:axPos val="b"/>
        <c:title>
          <c:tx>
            <c:rich>
              <a:bodyPr/>
              <a:lstStyle/>
              <a:p>
                <a:pPr>
                  <a:defRPr sz="1100" b="0" i="0" u="none" strike="noStrike" baseline="0">
                    <a:solidFill>
                      <a:srgbClr val="000000"/>
                    </a:solidFill>
                    <a:latin typeface="Times New Roman" panose="02020603050405020304" pitchFamily="18" charset="0"/>
                    <a:ea typeface="Calibri"/>
                    <a:cs typeface="Times New Roman" panose="02020603050405020304" pitchFamily="18" charset="0"/>
                  </a:defRPr>
                </a:pPr>
                <a:r>
                  <a:rPr lang="pl-PL" sz="1100" b="0" i="0" u="none" strike="noStrike" baseline="0">
                    <a:solidFill>
                      <a:srgbClr val="000000"/>
                    </a:solidFill>
                    <a:latin typeface="Times New Roman" panose="02020603050405020304" pitchFamily="18" charset="0"/>
                    <a:cs typeface="Times New Roman" panose="02020603050405020304" pitchFamily="18" charset="0"/>
                  </a:rPr>
                  <a:t>miesiące      </a:t>
                </a:r>
                <a:r>
                  <a:rPr lang="pl-PL" sz="1100" b="0" i="1" u="none" strike="noStrike" baseline="0">
                    <a:solidFill>
                      <a:srgbClr val="000000"/>
                    </a:solidFill>
                    <a:latin typeface="Times New Roman" panose="02020603050405020304" pitchFamily="18" charset="0"/>
                    <a:cs typeface="Times New Roman" panose="02020603050405020304" pitchFamily="18" charset="0"/>
                  </a:rPr>
                  <a:t>months</a:t>
                </a:r>
                <a:endParaRPr lang="pl-PL" sz="1100">
                  <a:latin typeface="Times New Roman" panose="02020603050405020304" pitchFamily="18" charset="0"/>
                  <a:cs typeface="Times New Roman" panose="02020603050405020304" pitchFamily="18" charset="0"/>
                </a:endParaRPr>
              </a:p>
            </c:rich>
          </c:tx>
          <c:layout>
            <c:manualLayout>
              <c:xMode val="edge"/>
              <c:yMode val="edge"/>
              <c:x val="0.41509469978345331"/>
              <c:y val="0.83506885883679782"/>
            </c:manualLayout>
          </c:layout>
          <c:overlay val="0"/>
          <c:spPr>
            <a:noFill/>
            <a:ln w="25400">
              <a:noFill/>
            </a:ln>
          </c:spPr>
        </c:title>
        <c:numFmt formatCode="General" sourceLinked="1"/>
        <c:majorTickMark val="out"/>
        <c:minorTickMark val="none"/>
        <c:tickLblPos val="nextTo"/>
        <c:spPr>
          <a:ln w="12700">
            <a:solidFill>
              <a:srgbClr val="000000"/>
            </a:solidFill>
            <a:prstDash val="solid"/>
          </a:ln>
        </c:spPr>
        <c:txPr>
          <a:bodyPr rot="0" vert="horz"/>
          <a:lstStyle/>
          <a:p>
            <a:pPr>
              <a:defRPr sz="1100" b="0" i="0" u="none" strike="noStrike" baseline="0">
                <a:solidFill>
                  <a:srgbClr val="000000"/>
                </a:solidFill>
                <a:latin typeface="Times New Roman" panose="02020603050405020304" pitchFamily="18" charset="0"/>
                <a:ea typeface="Arial CE"/>
                <a:cs typeface="Times New Roman" panose="02020603050405020304" pitchFamily="18" charset="0"/>
              </a:defRPr>
            </a:pPr>
            <a:endParaRPr lang="pl-PL"/>
          </a:p>
        </c:txPr>
        <c:crossAx val="-980533008"/>
        <c:crossesAt val="10"/>
        <c:auto val="0"/>
        <c:lblAlgn val="ctr"/>
        <c:lblOffset val="100"/>
        <c:tickLblSkip val="1"/>
        <c:tickMarkSkip val="1"/>
        <c:noMultiLvlLbl val="0"/>
      </c:catAx>
      <c:valAx>
        <c:axId val="-980533008"/>
        <c:scaling>
          <c:orientation val="minMax"/>
          <c:max val="17"/>
          <c:min val="11"/>
        </c:scaling>
        <c:delete val="0"/>
        <c:axPos val="l"/>
        <c:majorGridlines>
          <c:spPr>
            <a:ln w="3175">
              <a:solidFill>
                <a:srgbClr val="000000"/>
              </a:solidFill>
              <a:prstDash val="dash"/>
            </a:ln>
          </c:spPr>
        </c:majorGridlines>
        <c:numFmt formatCode="General" sourceLinked="1"/>
        <c:majorTickMark val="out"/>
        <c:minorTickMark val="none"/>
        <c:tickLblPos val="nextTo"/>
        <c:spPr>
          <a:ln w="12700">
            <a:solidFill>
              <a:srgbClr val="000000"/>
            </a:solidFill>
            <a:prstDash val="solid"/>
          </a:ln>
        </c:spPr>
        <c:txPr>
          <a:bodyPr rot="0" vert="horz"/>
          <a:lstStyle/>
          <a:p>
            <a:pPr>
              <a:defRPr sz="1100" b="0" i="0" u="none" strike="noStrike" baseline="0">
                <a:solidFill>
                  <a:srgbClr val="000000"/>
                </a:solidFill>
                <a:latin typeface="Times New Roman" panose="02020603050405020304" pitchFamily="18" charset="0"/>
                <a:ea typeface="Arial CE"/>
                <a:cs typeface="Times New Roman" panose="02020603050405020304" pitchFamily="18" charset="0"/>
              </a:defRPr>
            </a:pPr>
            <a:endParaRPr lang="pl-PL"/>
          </a:p>
        </c:txPr>
        <c:crossAx val="-980527024"/>
        <c:crosses val="autoZero"/>
        <c:crossBetween val="midCat"/>
        <c:majorUnit val="1"/>
      </c:valAx>
      <c:spPr>
        <a:noFill/>
        <a:ln w="25400">
          <a:noFill/>
        </a:ln>
      </c:spPr>
    </c:plotArea>
    <c:legend>
      <c:legendPos val="b"/>
      <c:layout>
        <c:manualLayout>
          <c:xMode val="edge"/>
          <c:yMode val="edge"/>
          <c:x val="0.13493442822220122"/>
          <c:y val="0.90203875960971369"/>
          <c:w val="0.75746140651801031"/>
          <c:h val="4.7458896810040667E-2"/>
        </c:manualLayout>
      </c:layout>
      <c:overlay val="0"/>
      <c:spPr>
        <a:solidFill>
          <a:srgbClr val="FFFFFF"/>
        </a:solidFill>
        <a:ln w="25400">
          <a:noFill/>
        </a:ln>
      </c:spPr>
      <c:txPr>
        <a:bodyPr/>
        <a:lstStyle/>
        <a:p>
          <a:pPr>
            <a:defRPr sz="1100" b="0" i="0" u="none" strike="noStrike" baseline="0">
              <a:solidFill>
                <a:srgbClr val="000000"/>
              </a:solidFill>
              <a:latin typeface="Times New Roman" panose="02020603050405020304" pitchFamily="18" charset="0"/>
              <a:ea typeface="Arial CE"/>
              <a:cs typeface="Times New Roman" panose="02020603050405020304" pitchFamily="18" charset="0"/>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Arial CE"/>
          <a:ea typeface="Arial CE"/>
          <a:cs typeface="Arial CE"/>
        </a:defRPr>
      </a:pPr>
      <a:endParaRPr lang="pl-PL"/>
    </a:p>
  </c:txPr>
  <c:externalData r:id="rId1">
    <c:autoUpdate val="0"/>
  </c:externalData>
  <c:userShapes r:id="rId2"/>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pl-PL" sz="1100" b="1"/>
              <a:t>Produkcja masła</a:t>
            </a:r>
            <a:r>
              <a:rPr lang="pl-PL" sz="1100" b="1" i="1" baseline="30000"/>
              <a:t>a</a:t>
            </a:r>
          </a:p>
          <a:p>
            <a:pPr>
              <a:defRPr sz="1100"/>
            </a:pPr>
            <a:r>
              <a:rPr lang="pl-PL" sz="1100" b="1" i="1"/>
              <a:t>Production of butter</a:t>
            </a:r>
            <a:r>
              <a:rPr lang="pl-PL" sz="1100" b="1" i="1" baseline="30000"/>
              <a:t>a</a:t>
            </a:r>
            <a:r>
              <a:rPr lang="pl-PL" sz="1100" b="1" i="1"/>
              <a:t> </a:t>
            </a:r>
          </a:p>
        </c:rich>
      </c:tx>
      <c:layout>
        <c:manualLayout>
          <c:xMode val="edge"/>
          <c:yMode val="edge"/>
          <c:x val="0.38758389261744969"/>
          <c:y val="1.050420168067227E-2"/>
        </c:manualLayout>
      </c:layout>
      <c:overlay val="0"/>
      <c:spPr>
        <a:noFill/>
        <a:ln w="25400">
          <a:noFill/>
        </a:ln>
      </c:spPr>
    </c:title>
    <c:autoTitleDeleted val="0"/>
    <c:plotArea>
      <c:layout>
        <c:manualLayout>
          <c:layoutTarget val="inner"/>
          <c:xMode val="edge"/>
          <c:yMode val="edge"/>
          <c:x val="7.5503355704697989E-2"/>
          <c:y val="0.18018754867180062"/>
          <c:w val="0.89261744966442957"/>
          <c:h val="0.53810897300938987"/>
        </c:manualLayout>
      </c:layout>
      <c:lineChart>
        <c:grouping val="standard"/>
        <c:varyColors val="0"/>
        <c:ser>
          <c:idx val="0"/>
          <c:order val="0"/>
          <c:tx>
            <c:strRef>
              <c:f>'dane - wyroby'!$A$1</c:f>
              <c:strCache>
                <c:ptCount val="1"/>
                <c:pt idx="0">
                  <c:v>2010</c:v>
                </c:pt>
              </c:strCache>
            </c:strRef>
          </c:tx>
          <c:spPr>
            <a:ln w="12700">
              <a:solidFill>
                <a:schemeClr val="accent2">
                  <a:lumMod val="75000"/>
                </a:schemeClr>
              </a:solidFill>
              <a:prstDash val="solid"/>
            </a:ln>
          </c:spPr>
          <c:marker>
            <c:symbol val="circle"/>
            <c:size val="4"/>
            <c:spPr>
              <a:solidFill>
                <a:schemeClr val="accent2">
                  <a:lumMod val="75000"/>
                </a:schemeClr>
              </a:solidFill>
              <a:ln>
                <a:solidFill>
                  <a:schemeClr val="accent2">
                    <a:lumMod val="75000"/>
                  </a:schemeClr>
                </a:solidFill>
                <a:prstDash val="solid"/>
              </a:ln>
            </c:spPr>
          </c:marker>
          <c:dLbls>
            <c:dLbl>
              <c:idx val="0"/>
              <c:spPr>
                <a:noFill/>
                <a:ln w="25400">
                  <a:noFill/>
                </a:ln>
              </c:spPr>
              <c:txPr>
                <a:bodyPr/>
                <a:lstStyle/>
                <a:p>
                  <a:pPr algn="ctr" rtl="0">
                    <a:defRPr/>
                  </a:pPr>
                  <a:endParaRPr lang="pl-PL"/>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wyroby'!$G$4:$S$4</c:f>
              <c:numCache>
                <c:formatCode>General</c:formatCode>
                <c:ptCount val="13"/>
                <c:pt idx="1">
                  <c:v>14.6</c:v>
                </c:pt>
                <c:pt idx="2">
                  <c:v>12.7</c:v>
                </c:pt>
                <c:pt idx="3">
                  <c:v>15.4</c:v>
                </c:pt>
                <c:pt idx="4">
                  <c:v>14.6</c:v>
                </c:pt>
                <c:pt idx="5">
                  <c:v>15.6</c:v>
                </c:pt>
                <c:pt idx="6">
                  <c:v>14.1</c:v>
                </c:pt>
                <c:pt idx="7">
                  <c:v>14.3</c:v>
                </c:pt>
                <c:pt idx="8">
                  <c:v>14.6</c:v>
                </c:pt>
                <c:pt idx="9">
                  <c:v>15.6</c:v>
                </c:pt>
                <c:pt idx="10">
                  <c:v>15.7</c:v>
                </c:pt>
                <c:pt idx="11">
                  <c:v>12.8</c:v>
                </c:pt>
                <c:pt idx="12">
                  <c:v>15.3</c:v>
                </c:pt>
              </c:numCache>
            </c:numRef>
          </c:val>
          <c:smooth val="0"/>
        </c:ser>
        <c:ser>
          <c:idx val="1"/>
          <c:order val="1"/>
          <c:tx>
            <c:strRef>
              <c:f>'dane - wyroby'!$B$1</c:f>
              <c:strCache>
                <c:ptCount val="1"/>
                <c:pt idx="0">
                  <c:v>2014</c:v>
                </c:pt>
              </c:strCache>
            </c:strRef>
          </c:tx>
          <c:spPr>
            <a:ln w="12700">
              <a:solidFill>
                <a:srgbClr val="FF0000"/>
              </a:solidFill>
              <a:prstDash val="solid"/>
            </a:ln>
          </c:spPr>
          <c:marker>
            <c:symbol val="triangle"/>
            <c:size val="4"/>
            <c:spPr>
              <a:solidFill>
                <a:srgbClr val="FF0000"/>
              </a:solidFill>
              <a:ln>
                <a:solidFill>
                  <a:srgbClr val="FF0000"/>
                </a:solidFill>
                <a:prstDash val="solid"/>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wyroby'!$T$4:$AF$4</c:f>
              <c:numCache>
                <c:formatCode>General</c:formatCode>
                <c:ptCount val="13"/>
                <c:pt idx="1">
                  <c:v>15.3</c:v>
                </c:pt>
                <c:pt idx="2">
                  <c:v>12.8</c:v>
                </c:pt>
                <c:pt idx="3">
                  <c:v>14.9</c:v>
                </c:pt>
                <c:pt idx="4">
                  <c:v>14.2</c:v>
                </c:pt>
                <c:pt idx="5">
                  <c:v>14.9</c:v>
                </c:pt>
                <c:pt idx="6">
                  <c:v>14.5</c:v>
                </c:pt>
                <c:pt idx="7">
                  <c:v>15.6</c:v>
                </c:pt>
                <c:pt idx="8">
                  <c:v>14.5</c:v>
                </c:pt>
                <c:pt idx="9">
                  <c:v>15.8</c:v>
                </c:pt>
                <c:pt idx="10">
                  <c:v>14.7</c:v>
                </c:pt>
                <c:pt idx="11">
                  <c:v>15.1</c:v>
                </c:pt>
                <c:pt idx="12">
                  <c:v>15.8</c:v>
                </c:pt>
              </c:numCache>
            </c:numRef>
          </c:val>
          <c:smooth val="0"/>
        </c:ser>
        <c:ser>
          <c:idx val="2"/>
          <c:order val="2"/>
          <c:tx>
            <c:strRef>
              <c:f>'dane - wyroby'!$C$1</c:f>
              <c:strCache>
                <c:ptCount val="1"/>
                <c:pt idx="0">
                  <c:v>2015</c:v>
                </c:pt>
              </c:strCache>
            </c:strRef>
          </c:tx>
          <c:spPr>
            <a:ln w="12700">
              <a:solidFill>
                <a:srgbClr val="008000"/>
              </a:solidFill>
              <a:prstDash val="solid"/>
            </a:ln>
          </c:spPr>
          <c:marker>
            <c:symbol val="square"/>
            <c:size val="3"/>
            <c:spPr>
              <a:solidFill>
                <a:srgbClr val="008000"/>
              </a:solidFill>
              <a:ln>
                <a:solidFill>
                  <a:srgbClr val="008000"/>
                </a:solidFill>
                <a:prstDash val="solid"/>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wyroby'!$AG$4:$AS$4</c:f>
              <c:numCache>
                <c:formatCode>General</c:formatCode>
                <c:ptCount val="13"/>
                <c:pt idx="1">
                  <c:v>16.5</c:v>
                </c:pt>
                <c:pt idx="2">
                  <c:v>15.1</c:v>
                </c:pt>
                <c:pt idx="3">
                  <c:v>15.4</c:v>
                </c:pt>
                <c:pt idx="4">
                  <c:v>15.2</c:v>
                </c:pt>
                <c:pt idx="5">
                  <c:v>16.3</c:v>
                </c:pt>
                <c:pt idx="6">
                  <c:v>14.7</c:v>
                </c:pt>
                <c:pt idx="7">
                  <c:v>15.9</c:v>
                </c:pt>
                <c:pt idx="8">
                  <c:v>16.100000000000001</c:v>
                </c:pt>
                <c:pt idx="9">
                  <c:v>14.8</c:v>
                </c:pt>
                <c:pt idx="10">
                  <c:v>17.100000000000001</c:v>
                </c:pt>
                <c:pt idx="11">
                  <c:v>15.2</c:v>
                </c:pt>
                <c:pt idx="12">
                  <c:v>17.399999999999999</c:v>
                </c:pt>
              </c:numCache>
            </c:numRef>
          </c:val>
          <c:smooth val="0"/>
        </c:ser>
        <c:ser>
          <c:idx val="3"/>
          <c:order val="3"/>
          <c:tx>
            <c:strRef>
              <c:f>'dane - wyroby'!$D$1</c:f>
              <c:strCache>
                <c:ptCount val="1"/>
                <c:pt idx="0">
                  <c:v>2016</c:v>
                </c:pt>
              </c:strCache>
            </c:strRef>
          </c:tx>
          <c:spPr>
            <a:ln w="12700">
              <a:solidFill>
                <a:srgbClr val="9900FF"/>
              </a:solidFill>
              <a:prstDash val="solid"/>
            </a:ln>
          </c:spPr>
          <c:marker>
            <c:symbol val="diamond"/>
            <c:size val="4"/>
            <c:spPr>
              <a:solidFill>
                <a:srgbClr val="9900FF"/>
              </a:solidFill>
              <a:ln>
                <a:solidFill>
                  <a:srgbClr val="9900FF"/>
                </a:solidFill>
                <a:prstDash val="solid"/>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wyroby'!$AT$4:$BF$4</c:f>
              <c:numCache>
                <c:formatCode>General</c:formatCode>
                <c:ptCount val="13"/>
                <c:pt idx="1">
                  <c:v>19.3</c:v>
                </c:pt>
                <c:pt idx="2">
                  <c:v>15.5</c:v>
                </c:pt>
                <c:pt idx="3">
                  <c:v>18.8</c:v>
                </c:pt>
                <c:pt idx="4">
                  <c:v>19</c:v>
                </c:pt>
                <c:pt idx="5">
                  <c:v>19.2</c:v>
                </c:pt>
                <c:pt idx="6">
                  <c:v>15</c:v>
                </c:pt>
                <c:pt idx="7">
                  <c:v>16.5</c:v>
                </c:pt>
                <c:pt idx="8">
                  <c:v>16.5</c:v>
                </c:pt>
                <c:pt idx="9">
                  <c:v>14.3</c:v>
                </c:pt>
                <c:pt idx="10">
                  <c:v>16</c:v>
                </c:pt>
                <c:pt idx="11">
                  <c:v>14.8</c:v>
                </c:pt>
                <c:pt idx="12">
                  <c:v>17.5</c:v>
                </c:pt>
              </c:numCache>
            </c:numRef>
          </c:val>
          <c:smooth val="0"/>
        </c:ser>
        <c:ser>
          <c:idx val="4"/>
          <c:order val="4"/>
          <c:tx>
            <c:strRef>
              <c:f>'dane - wyroby'!$E$1</c:f>
              <c:strCache>
                <c:ptCount val="1"/>
                <c:pt idx="0">
                  <c:v>2017</c:v>
                </c:pt>
              </c:strCache>
            </c:strRef>
          </c:tx>
          <c:spPr>
            <a:ln w="25400">
              <a:solidFill>
                <a:srgbClr val="0000FF"/>
              </a:solidFill>
            </a:ln>
          </c:spPr>
          <c:marker>
            <c:symbol val="triangle"/>
            <c:size val="5"/>
            <c:spPr>
              <a:solidFill>
                <a:srgbClr val="0000FF"/>
              </a:solidFill>
              <a:ln>
                <a:solidFill>
                  <a:srgbClr val="0000FF"/>
                </a:solidFill>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wyroby'!$BG$4:$BS$4</c:f>
              <c:numCache>
                <c:formatCode>General</c:formatCode>
                <c:ptCount val="13"/>
                <c:pt idx="1">
                  <c:v>18.100000000000001</c:v>
                </c:pt>
                <c:pt idx="2">
                  <c:v>15.9</c:v>
                </c:pt>
                <c:pt idx="3">
                  <c:v>17.8</c:v>
                </c:pt>
                <c:pt idx="4">
                  <c:v>17.3</c:v>
                </c:pt>
                <c:pt idx="5">
                  <c:v>18.399999999999999</c:v>
                </c:pt>
                <c:pt idx="6">
                  <c:v>16.600000000000001</c:v>
                </c:pt>
              </c:numCache>
            </c:numRef>
          </c:val>
          <c:smooth val="0"/>
        </c:ser>
        <c:dLbls>
          <c:showLegendKey val="0"/>
          <c:showVal val="0"/>
          <c:showCatName val="0"/>
          <c:showSerName val="0"/>
          <c:showPercent val="0"/>
          <c:showBubbleSize val="0"/>
        </c:dLbls>
        <c:marker val="1"/>
        <c:smooth val="0"/>
        <c:axId val="-980534640"/>
        <c:axId val="-980536816"/>
        <c:extLst>
          <c:ext xmlns:c15="http://schemas.microsoft.com/office/drawing/2012/chart" uri="{02D57815-91ED-43cb-92C2-25804820EDAC}">
            <c15:filteredLineSeries>
              <c15:ser>
                <c:idx val="5"/>
                <c:order val="5"/>
                <c:tx>
                  <c:strRef>
                    <c:extLst>
                      <c:ext uri="{02D57815-91ED-43cb-92C2-25804820EDAC}">
                        <c15:formulaRef>
                          <c15:sqref>'dane - wyroby'!$F$1</c15:sqref>
                        </c15:formulaRef>
                      </c:ext>
                    </c:extLst>
                    <c:strCache>
                      <c:ptCount val="1"/>
                    </c:strCache>
                  </c:strRef>
                </c:tx>
                <c:spPr>
                  <a:ln w="28575">
                    <a:solidFill>
                      <a:srgbClr val="0000FF"/>
                    </a:solidFill>
                  </a:ln>
                </c:spPr>
                <c:marker>
                  <c:symbol val="square"/>
                  <c:size val="4"/>
                  <c:spPr>
                    <a:solidFill>
                      <a:srgbClr val="0000FF"/>
                    </a:solidFill>
                    <a:ln>
                      <a:solidFill>
                        <a:srgbClr val="0000FF"/>
                      </a:solidFill>
                    </a:ln>
                  </c:spPr>
                </c:marker>
                <c:val>
                  <c:numRef>
                    <c:extLst>
                      <c:ext uri="{02D57815-91ED-43cb-92C2-25804820EDAC}">
                        <c15:formulaRef>
                          <c15:sqref>'dane - wyroby'!$BT$4:$CF$4</c15:sqref>
                        </c15:formulaRef>
                      </c:ext>
                    </c:extLst>
                    <c:numCache>
                      <c:formatCode>General</c:formatCode>
                      <c:ptCount val="13"/>
                    </c:numCache>
                  </c:numRef>
                </c:val>
                <c:smooth val="0"/>
              </c15:ser>
            </c15:filteredLineSeries>
          </c:ext>
        </c:extLst>
      </c:lineChart>
      <c:catAx>
        <c:axId val="-980534640"/>
        <c:scaling>
          <c:orientation val="minMax"/>
        </c:scaling>
        <c:delete val="0"/>
        <c:axPos val="b"/>
        <c:title>
          <c:tx>
            <c:rich>
              <a:bodyPr/>
              <a:lstStyle/>
              <a:p>
                <a:pPr>
                  <a:defRPr sz="1100"/>
                </a:pPr>
                <a:r>
                  <a:rPr lang="pl-PL" sz="1100"/>
                  <a:t>miesiące     months</a:t>
                </a:r>
              </a:p>
            </c:rich>
          </c:tx>
          <c:layout>
            <c:manualLayout>
              <c:xMode val="edge"/>
              <c:yMode val="edge"/>
              <c:x val="0.40939597315436244"/>
              <c:y val="0.78781512605042014"/>
            </c:manualLayout>
          </c:layout>
          <c:overlay val="0"/>
          <c:spPr>
            <a:noFill/>
            <a:ln w="25400">
              <a:noFill/>
            </a:ln>
          </c:spPr>
        </c:title>
        <c:numFmt formatCode="General" sourceLinked="1"/>
        <c:majorTickMark val="out"/>
        <c:minorTickMark val="none"/>
        <c:tickLblPos val="nextTo"/>
        <c:spPr>
          <a:ln w="12700">
            <a:solidFill>
              <a:srgbClr val="000000"/>
            </a:solidFill>
            <a:prstDash val="solid"/>
          </a:ln>
        </c:spPr>
        <c:txPr>
          <a:bodyPr rot="0" vert="horz"/>
          <a:lstStyle/>
          <a:p>
            <a:pPr>
              <a:defRPr sz="1100"/>
            </a:pPr>
            <a:endParaRPr lang="pl-PL"/>
          </a:p>
        </c:txPr>
        <c:crossAx val="-980536816"/>
        <c:crossesAt val="11"/>
        <c:auto val="0"/>
        <c:lblAlgn val="ctr"/>
        <c:lblOffset val="100"/>
        <c:tickLblSkip val="1"/>
        <c:tickMarkSkip val="1"/>
        <c:noMultiLvlLbl val="0"/>
      </c:catAx>
      <c:valAx>
        <c:axId val="-980536816"/>
        <c:scaling>
          <c:orientation val="minMax"/>
          <c:max val="20"/>
          <c:min val="12"/>
        </c:scaling>
        <c:delete val="0"/>
        <c:axPos val="l"/>
        <c:majorGridlines>
          <c:spPr>
            <a:ln w="3175">
              <a:solidFill>
                <a:srgbClr val="000000"/>
              </a:solidFill>
              <a:prstDash val="dash"/>
            </a:ln>
          </c:spPr>
        </c:majorGridlines>
        <c:numFmt formatCode="General" sourceLinked="1"/>
        <c:majorTickMark val="out"/>
        <c:minorTickMark val="none"/>
        <c:tickLblPos val="nextTo"/>
        <c:spPr>
          <a:ln w="12700">
            <a:solidFill>
              <a:srgbClr val="000000"/>
            </a:solidFill>
            <a:prstDash val="solid"/>
          </a:ln>
        </c:spPr>
        <c:txPr>
          <a:bodyPr rot="0" vert="horz"/>
          <a:lstStyle/>
          <a:p>
            <a:pPr>
              <a:defRPr sz="1100"/>
            </a:pPr>
            <a:endParaRPr lang="pl-PL"/>
          </a:p>
        </c:txPr>
        <c:crossAx val="-980534640"/>
        <c:crosses val="autoZero"/>
        <c:crossBetween val="midCat"/>
        <c:majorUnit val="1"/>
      </c:valAx>
      <c:spPr>
        <a:noFill/>
        <a:ln w="25400">
          <a:noFill/>
        </a:ln>
      </c:spPr>
    </c:plotArea>
    <c:legend>
      <c:legendPos val="b"/>
      <c:legendEntry>
        <c:idx val="1"/>
        <c:txPr>
          <a:bodyPr/>
          <a:lstStyle/>
          <a:p>
            <a:pPr>
              <a:defRPr sz="1100"/>
            </a:pPr>
            <a:endParaRPr lang="pl-PL"/>
          </a:p>
        </c:txPr>
      </c:legendEntry>
      <c:layout>
        <c:manualLayout>
          <c:xMode val="edge"/>
          <c:yMode val="edge"/>
          <c:x val="0.14158814024468439"/>
          <c:y val="0.84702080951537495"/>
          <c:w val="0.76699239956568943"/>
          <c:h val="4.9238201053089223E-2"/>
        </c:manualLayout>
      </c:layout>
      <c:overlay val="0"/>
      <c:spPr>
        <a:solidFill>
          <a:srgbClr val="FFFFFF"/>
        </a:solidFill>
        <a:ln w="25400">
          <a:noFill/>
        </a:ln>
      </c:spPr>
      <c:txPr>
        <a:bodyPr/>
        <a:lstStyle/>
        <a:p>
          <a:pPr>
            <a:defRPr sz="1100"/>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Times New Roman" panose="02020603050405020304" pitchFamily="18" charset="0"/>
          <a:ea typeface="Arial CE"/>
          <a:cs typeface="Times New Roman" panose="02020603050405020304" pitchFamily="18" charset="0"/>
        </a:defRPr>
      </a:pPr>
      <a:endParaRPr lang="pl-PL"/>
    </a:p>
  </c:txPr>
  <c:externalData r:id="rId1">
    <c:autoUpdate val="0"/>
  </c:externalData>
  <c:userShapes r:id="rId2"/>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5858727014163472E-2"/>
          <c:y val="0.20625925490656952"/>
          <c:w val="0.88215633245924818"/>
          <c:h val="0.52862992125984254"/>
        </c:manualLayout>
      </c:layout>
      <c:lineChart>
        <c:grouping val="standard"/>
        <c:varyColors val="0"/>
        <c:ser>
          <c:idx val="0"/>
          <c:order val="0"/>
          <c:tx>
            <c:strRef>
              <c:f>'dane - wyroby'!$A$1</c:f>
              <c:strCache>
                <c:ptCount val="1"/>
                <c:pt idx="0">
                  <c:v>2010</c:v>
                </c:pt>
              </c:strCache>
            </c:strRef>
          </c:tx>
          <c:spPr>
            <a:ln w="12700">
              <a:solidFill>
                <a:schemeClr val="accent2">
                  <a:lumMod val="75000"/>
                </a:schemeClr>
              </a:solidFill>
              <a:prstDash val="solid"/>
            </a:ln>
          </c:spPr>
          <c:marker>
            <c:symbol val="circle"/>
            <c:size val="4"/>
            <c:spPr>
              <a:solidFill>
                <a:schemeClr val="accent2">
                  <a:lumMod val="75000"/>
                </a:schemeClr>
              </a:solidFill>
              <a:ln>
                <a:solidFill>
                  <a:schemeClr val="accent2">
                    <a:lumMod val="75000"/>
                  </a:schemeClr>
                </a:solidFill>
                <a:prstDash val="solid"/>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wyroby'!$G$14:$S$14</c:f>
              <c:numCache>
                <c:formatCode>General</c:formatCode>
                <c:ptCount val="13"/>
                <c:pt idx="1">
                  <c:v>134</c:v>
                </c:pt>
                <c:pt idx="2">
                  <c:v>145</c:v>
                </c:pt>
                <c:pt idx="3">
                  <c:v>180</c:v>
                </c:pt>
                <c:pt idx="4">
                  <c:v>155</c:v>
                </c:pt>
                <c:pt idx="5">
                  <c:v>165</c:v>
                </c:pt>
                <c:pt idx="6">
                  <c:v>172</c:v>
                </c:pt>
                <c:pt idx="7">
                  <c:v>175</c:v>
                </c:pt>
                <c:pt idx="8">
                  <c:v>139</c:v>
                </c:pt>
                <c:pt idx="9">
                  <c:v>197</c:v>
                </c:pt>
                <c:pt idx="10">
                  <c:v>185</c:v>
                </c:pt>
                <c:pt idx="11">
                  <c:v>138</c:v>
                </c:pt>
                <c:pt idx="12">
                  <c:v>80.7</c:v>
                </c:pt>
              </c:numCache>
            </c:numRef>
          </c:val>
          <c:smooth val="0"/>
        </c:ser>
        <c:ser>
          <c:idx val="1"/>
          <c:order val="1"/>
          <c:tx>
            <c:strRef>
              <c:f>'dane - wyroby'!$B$1</c:f>
              <c:strCache>
                <c:ptCount val="1"/>
                <c:pt idx="0">
                  <c:v>2014</c:v>
                </c:pt>
              </c:strCache>
            </c:strRef>
          </c:tx>
          <c:spPr>
            <a:ln w="12700">
              <a:solidFill>
                <a:srgbClr val="FF0000"/>
              </a:solidFill>
              <a:prstDash val="solid"/>
            </a:ln>
          </c:spPr>
          <c:marker>
            <c:symbol val="triangle"/>
            <c:size val="4"/>
            <c:spPr>
              <a:solidFill>
                <a:srgbClr val="FF0000"/>
              </a:solidFill>
              <a:ln>
                <a:solidFill>
                  <a:srgbClr val="FF0000"/>
                </a:solidFill>
                <a:prstDash val="solid"/>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wyroby'!$T$14:$AF$14</c:f>
              <c:numCache>
                <c:formatCode>General</c:formatCode>
                <c:ptCount val="13"/>
                <c:pt idx="1">
                  <c:v>234</c:v>
                </c:pt>
                <c:pt idx="2">
                  <c:v>218</c:v>
                </c:pt>
                <c:pt idx="3">
                  <c:v>222</c:v>
                </c:pt>
                <c:pt idx="4">
                  <c:v>257</c:v>
                </c:pt>
                <c:pt idx="5">
                  <c:v>298</c:v>
                </c:pt>
                <c:pt idx="6">
                  <c:v>321</c:v>
                </c:pt>
                <c:pt idx="7">
                  <c:v>330</c:v>
                </c:pt>
                <c:pt idx="8">
                  <c:v>273</c:v>
                </c:pt>
                <c:pt idx="9">
                  <c:v>298</c:v>
                </c:pt>
                <c:pt idx="10">
                  <c:v>311</c:v>
                </c:pt>
                <c:pt idx="11">
                  <c:v>246</c:v>
                </c:pt>
                <c:pt idx="12">
                  <c:v>173</c:v>
                </c:pt>
              </c:numCache>
            </c:numRef>
          </c:val>
          <c:smooth val="0"/>
        </c:ser>
        <c:ser>
          <c:idx val="2"/>
          <c:order val="2"/>
          <c:tx>
            <c:strRef>
              <c:f>'dane - wyroby'!$C$1</c:f>
              <c:strCache>
                <c:ptCount val="1"/>
                <c:pt idx="0">
                  <c:v>2015</c:v>
                </c:pt>
              </c:strCache>
            </c:strRef>
          </c:tx>
          <c:spPr>
            <a:ln w="12700">
              <a:solidFill>
                <a:srgbClr val="008000"/>
              </a:solidFill>
              <a:prstDash val="solid"/>
            </a:ln>
          </c:spPr>
          <c:marker>
            <c:symbol val="square"/>
            <c:size val="3"/>
            <c:spPr>
              <a:solidFill>
                <a:srgbClr val="008000"/>
              </a:solidFill>
              <a:ln>
                <a:solidFill>
                  <a:srgbClr val="008000"/>
                </a:solidFill>
                <a:prstDash val="solid"/>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wyroby'!$AG$14:$AS$14</c:f>
              <c:numCache>
                <c:formatCode>General</c:formatCode>
                <c:ptCount val="13"/>
                <c:pt idx="1">
                  <c:v>250</c:v>
                </c:pt>
                <c:pt idx="2">
                  <c:v>254</c:v>
                </c:pt>
                <c:pt idx="3">
                  <c:v>233</c:v>
                </c:pt>
                <c:pt idx="4">
                  <c:v>239</c:v>
                </c:pt>
                <c:pt idx="5">
                  <c:v>262</c:v>
                </c:pt>
                <c:pt idx="6">
                  <c:v>324</c:v>
                </c:pt>
                <c:pt idx="7">
                  <c:v>280</c:v>
                </c:pt>
                <c:pt idx="8">
                  <c:v>281</c:v>
                </c:pt>
                <c:pt idx="9">
                  <c:v>369</c:v>
                </c:pt>
                <c:pt idx="10">
                  <c:v>360</c:v>
                </c:pt>
                <c:pt idx="11">
                  <c:v>313</c:v>
                </c:pt>
                <c:pt idx="12">
                  <c:v>182</c:v>
                </c:pt>
              </c:numCache>
            </c:numRef>
          </c:val>
          <c:smooth val="0"/>
        </c:ser>
        <c:ser>
          <c:idx val="3"/>
          <c:order val="3"/>
          <c:tx>
            <c:strRef>
              <c:f>'dane - wyroby'!$D$1</c:f>
              <c:strCache>
                <c:ptCount val="1"/>
                <c:pt idx="0">
                  <c:v>2016</c:v>
                </c:pt>
              </c:strCache>
            </c:strRef>
          </c:tx>
          <c:spPr>
            <a:ln w="12700">
              <a:solidFill>
                <a:srgbClr val="9900FF"/>
              </a:solidFill>
              <a:prstDash val="solid"/>
            </a:ln>
          </c:spPr>
          <c:marker>
            <c:symbol val="diamond"/>
            <c:size val="4"/>
            <c:spPr>
              <a:solidFill>
                <a:srgbClr val="9900FF"/>
              </a:solidFill>
              <a:ln>
                <a:solidFill>
                  <a:srgbClr val="9900FF"/>
                </a:solidFill>
                <a:prstDash val="solid"/>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wyroby'!$AT$14:$BF$14</c:f>
              <c:numCache>
                <c:formatCode>General</c:formatCode>
                <c:ptCount val="13"/>
                <c:pt idx="1">
                  <c:v>231</c:v>
                </c:pt>
                <c:pt idx="2">
                  <c:v>257</c:v>
                </c:pt>
                <c:pt idx="3">
                  <c:v>259</c:v>
                </c:pt>
                <c:pt idx="4">
                  <c:v>272</c:v>
                </c:pt>
                <c:pt idx="5">
                  <c:v>254</c:v>
                </c:pt>
                <c:pt idx="6">
                  <c:v>317</c:v>
                </c:pt>
                <c:pt idx="7">
                  <c:v>338</c:v>
                </c:pt>
                <c:pt idx="8">
                  <c:v>236</c:v>
                </c:pt>
                <c:pt idx="9">
                  <c:v>286</c:v>
                </c:pt>
                <c:pt idx="10">
                  <c:v>277</c:v>
                </c:pt>
                <c:pt idx="11">
                  <c:v>261</c:v>
                </c:pt>
                <c:pt idx="12">
                  <c:v>169</c:v>
                </c:pt>
              </c:numCache>
            </c:numRef>
          </c:val>
          <c:smooth val="0"/>
        </c:ser>
        <c:ser>
          <c:idx val="4"/>
          <c:order val="4"/>
          <c:tx>
            <c:strRef>
              <c:f>'dane - wyroby'!$E$1</c:f>
              <c:strCache>
                <c:ptCount val="1"/>
                <c:pt idx="0">
                  <c:v>2017</c:v>
                </c:pt>
              </c:strCache>
            </c:strRef>
          </c:tx>
          <c:spPr>
            <a:ln w="25400">
              <a:solidFill>
                <a:srgbClr val="0000FF"/>
              </a:solidFill>
            </a:ln>
          </c:spPr>
          <c:marker>
            <c:symbol val="triangle"/>
            <c:size val="5"/>
            <c:spPr>
              <a:solidFill>
                <a:srgbClr val="0000FF"/>
              </a:solidFill>
              <a:ln>
                <a:solidFill>
                  <a:srgbClr val="0000FF"/>
                </a:solidFill>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wyroby'!$BG$14:$BS$14</c:f>
              <c:numCache>
                <c:formatCode>General</c:formatCode>
                <c:ptCount val="13"/>
                <c:pt idx="1">
                  <c:v>253</c:v>
                </c:pt>
                <c:pt idx="2">
                  <c:v>239</c:v>
                </c:pt>
                <c:pt idx="3">
                  <c:v>246</c:v>
                </c:pt>
                <c:pt idx="4">
                  <c:v>255</c:v>
                </c:pt>
                <c:pt idx="5">
                  <c:v>291</c:v>
                </c:pt>
                <c:pt idx="6">
                  <c:v>322</c:v>
                </c:pt>
              </c:numCache>
            </c:numRef>
          </c:val>
          <c:smooth val="0"/>
        </c:ser>
        <c:dLbls>
          <c:showLegendKey val="0"/>
          <c:showVal val="0"/>
          <c:showCatName val="0"/>
          <c:showSerName val="0"/>
          <c:showPercent val="0"/>
          <c:showBubbleSize val="0"/>
        </c:dLbls>
        <c:marker val="1"/>
        <c:smooth val="0"/>
        <c:axId val="-980536272"/>
        <c:axId val="-980534096"/>
        <c:extLst>
          <c:ext xmlns:c15="http://schemas.microsoft.com/office/drawing/2012/chart" uri="{02D57815-91ED-43cb-92C2-25804820EDAC}">
            <c15:filteredLineSeries>
              <c15:ser>
                <c:idx val="5"/>
                <c:order val="5"/>
                <c:tx>
                  <c:strRef>
                    <c:extLst>
                      <c:ext uri="{02D57815-91ED-43cb-92C2-25804820EDAC}">
                        <c15:formulaRef>
                          <c15:sqref>'dane - wyroby'!$F$1</c15:sqref>
                        </c15:formulaRef>
                      </c:ext>
                    </c:extLst>
                    <c:strCache>
                      <c:ptCount val="1"/>
                    </c:strCache>
                  </c:strRef>
                </c:tx>
                <c:spPr>
                  <a:ln w="28575">
                    <a:solidFill>
                      <a:srgbClr val="0000FF"/>
                    </a:solidFill>
                  </a:ln>
                </c:spPr>
                <c:marker>
                  <c:symbol val="square"/>
                  <c:size val="4"/>
                  <c:spPr>
                    <a:solidFill>
                      <a:srgbClr val="0000FF"/>
                    </a:solidFill>
                    <a:ln>
                      <a:solidFill>
                        <a:srgbClr val="0000FF"/>
                      </a:solidFill>
                    </a:ln>
                  </c:spPr>
                </c:marker>
                <c:val>
                  <c:numRef>
                    <c:extLst>
                      <c:ext uri="{02D57815-91ED-43cb-92C2-25804820EDAC}">
                        <c15:formulaRef>
                          <c15:sqref>'dane - wyroby'!$BT$14:$CF$14</c15:sqref>
                        </c15:formulaRef>
                      </c:ext>
                    </c:extLst>
                    <c:numCache>
                      <c:formatCode>General</c:formatCode>
                      <c:ptCount val="13"/>
                    </c:numCache>
                  </c:numRef>
                </c:val>
                <c:smooth val="0"/>
              </c15:ser>
            </c15:filteredLineSeries>
          </c:ext>
        </c:extLst>
      </c:lineChart>
      <c:catAx>
        <c:axId val="-980536272"/>
        <c:scaling>
          <c:orientation val="minMax"/>
        </c:scaling>
        <c:delete val="0"/>
        <c:axPos val="b"/>
        <c:title>
          <c:tx>
            <c:rich>
              <a:bodyPr/>
              <a:lstStyle/>
              <a:p>
                <a:pPr>
                  <a:defRPr sz="1100" b="0" i="0" u="none" strike="noStrike" baseline="0">
                    <a:solidFill>
                      <a:srgbClr val="000000"/>
                    </a:solidFill>
                    <a:latin typeface="Times New Roman" panose="02020603050405020304" pitchFamily="18" charset="0"/>
                    <a:ea typeface="Calibri"/>
                    <a:cs typeface="Times New Roman" panose="02020603050405020304" pitchFamily="18" charset="0"/>
                  </a:defRPr>
                </a:pPr>
                <a:r>
                  <a:rPr lang="pl-PL" sz="1100" b="0" i="0" u="none" strike="noStrike" baseline="0">
                    <a:solidFill>
                      <a:srgbClr val="000000"/>
                    </a:solidFill>
                    <a:latin typeface="Times New Roman" panose="02020603050405020304" pitchFamily="18" charset="0"/>
                    <a:cs typeface="Times New Roman" panose="02020603050405020304" pitchFamily="18" charset="0"/>
                  </a:rPr>
                  <a:t>miesiące     </a:t>
                </a:r>
                <a:r>
                  <a:rPr lang="pl-PL" sz="1100" b="0" i="1" u="none" strike="noStrike" baseline="0">
                    <a:solidFill>
                      <a:srgbClr val="000000"/>
                    </a:solidFill>
                    <a:latin typeface="Times New Roman" panose="02020603050405020304" pitchFamily="18" charset="0"/>
                    <a:cs typeface="Times New Roman" panose="02020603050405020304" pitchFamily="18" charset="0"/>
                  </a:rPr>
                  <a:t>months</a:t>
                </a:r>
                <a:endParaRPr lang="pl-PL" sz="1100">
                  <a:latin typeface="Times New Roman" panose="02020603050405020304" pitchFamily="18" charset="0"/>
                  <a:cs typeface="Times New Roman" panose="02020603050405020304" pitchFamily="18" charset="0"/>
                </a:endParaRPr>
              </a:p>
            </c:rich>
          </c:tx>
          <c:layout>
            <c:manualLayout>
              <c:xMode val="edge"/>
              <c:yMode val="edge"/>
              <c:x val="0.41751098624946842"/>
              <c:y val="0.80113118213164536"/>
            </c:manualLayout>
          </c:layout>
          <c:overlay val="0"/>
          <c:spPr>
            <a:noFill/>
            <a:ln w="25400">
              <a:noFill/>
            </a:ln>
          </c:spPr>
        </c:title>
        <c:numFmt formatCode="General" sourceLinked="1"/>
        <c:majorTickMark val="out"/>
        <c:minorTickMark val="none"/>
        <c:tickLblPos val="nextTo"/>
        <c:spPr>
          <a:ln w="12700">
            <a:solidFill>
              <a:srgbClr val="000000"/>
            </a:solidFill>
            <a:prstDash val="solid"/>
          </a:ln>
        </c:spPr>
        <c:txPr>
          <a:bodyPr rot="0" vert="horz"/>
          <a:lstStyle/>
          <a:p>
            <a:pPr>
              <a:defRPr sz="1100" b="0" i="0" u="none" strike="noStrike" baseline="0">
                <a:solidFill>
                  <a:srgbClr val="000000"/>
                </a:solidFill>
                <a:latin typeface="Times New Roman" panose="02020603050405020304" pitchFamily="18" charset="0"/>
                <a:ea typeface="Arial CE"/>
                <a:cs typeface="Times New Roman" panose="02020603050405020304" pitchFamily="18" charset="0"/>
              </a:defRPr>
            </a:pPr>
            <a:endParaRPr lang="pl-PL"/>
          </a:p>
        </c:txPr>
        <c:crossAx val="-980534096"/>
        <c:crossesAt val="50"/>
        <c:auto val="0"/>
        <c:lblAlgn val="ctr"/>
        <c:lblOffset val="100"/>
        <c:tickLblSkip val="1"/>
        <c:tickMarkSkip val="1"/>
        <c:noMultiLvlLbl val="0"/>
      </c:catAx>
      <c:valAx>
        <c:axId val="-980534096"/>
        <c:scaling>
          <c:orientation val="minMax"/>
          <c:max val="400"/>
          <c:min val="50"/>
        </c:scaling>
        <c:delete val="0"/>
        <c:axPos val="l"/>
        <c:majorGridlines>
          <c:spPr>
            <a:ln w="3175">
              <a:solidFill>
                <a:srgbClr val="000000"/>
              </a:solidFill>
              <a:prstDash val="dash"/>
            </a:ln>
          </c:spPr>
        </c:majorGridlines>
        <c:numFmt formatCode="General" sourceLinked="1"/>
        <c:majorTickMark val="out"/>
        <c:minorTickMark val="none"/>
        <c:tickLblPos val="nextTo"/>
        <c:spPr>
          <a:ln w="12700">
            <a:solidFill>
              <a:srgbClr val="000000"/>
            </a:solidFill>
            <a:prstDash val="solid"/>
          </a:ln>
        </c:spPr>
        <c:txPr>
          <a:bodyPr rot="0" vert="horz"/>
          <a:lstStyle/>
          <a:p>
            <a:pPr>
              <a:defRPr sz="1100" b="0" i="0" u="none" strike="noStrike" baseline="0">
                <a:solidFill>
                  <a:srgbClr val="000000"/>
                </a:solidFill>
                <a:latin typeface="Times New Roman" panose="02020603050405020304" pitchFamily="18" charset="0"/>
                <a:ea typeface="Arial CE"/>
                <a:cs typeface="Times New Roman" panose="02020603050405020304" pitchFamily="18" charset="0"/>
              </a:defRPr>
            </a:pPr>
            <a:endParaRPr lang="pl-PL"/>
          </a:p>
        </c:txPr>
        <c:crossAx val="-980536272"/>
        <c:crosses val="autoZero"/>
        <c:crossBetween val="midCat"/>
        <c:majorUnit val="50"/>
      </c:valAx>
      <c:spPr>
        <a:noFill/>
        <a:ln w="25400">
          <a:noFill/>
        </a:ln>
      </c:spPr>
    </c:plotArea>
    <c:legend>
      <c:legendPos val="b"/>
      <c:layout>
        <c:manualLayout>
          <c:xMode val="edge"/>
          <c:yMode val="edge"/>
          <c:x val="0.15912573939714164"/>
          <c:y val="0.85686212752817659"/>
          <c:w val="0.74238952536824876"/>
          <c:h val="4.4920672229404157E-2"/>
        </c:manualLayout>
      </c:layout>
      <c:overlay val="0"/>
      <c:spPr>
        <a:solidFill>
          <a:srgbClr val="FFFFFF"/>
        </a:solidFill>
        <a:ln w="25400">
          <a:noFill/>
        </a:ln>
      </c:spPr>
      <c:txPr>
        <a:bodyPr/>
        <a:lstStyle/>
        <a:p>
          <a:pPr>
            <a:defRPr sz="1100" b="0" i="0" u="none" strike="noStrike" baseline="0">
              <a:solidFill>
                <a:srgbClr val="000000"/>
              </a:solidFill>
              <a:latin typeface="Times New Roman" panose="02020603050405020304" pitchFamily="18" charset="0"/>
              <a:ea typeface="Arial CE"/>
              <a:cs typeface="Times New Roman" panose="02020603050405020304" pitchFamily="18" charset="0"/>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Arial CE"/>
          <a:ea typeface="Arial CE"/>
          <a:cs typeface="Arial CE"/>
        </a:defRPr>
      </a:pPr>
      <a:endParaRPr lang="pl-PL"/>
    </a:p>
  </c:txPr>
  <c:externalData r:id="rId1">
    <c:autoUpdate val="0"/>
  </c:externalData>
  <c:userShapes r:id="rId2"/>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Arial CE"/>
                <a:ea typeface="Arial CE"/>
                <a:cs typeface="Arial CE"/>
              </a:defRPr>
            </a:pPr>
            <a:r>
              <a:rPr lang="pl-PL" sz="1200" b="1" i="0" u="none" strike="noStrike" baseline="0">
                <a:solidFill>
                  <a:srgbClr val="000000"/>
                </a:solidFill>
                <a:latin typeface="Times New Roman" panose="02020603050405020304" pitchFamily="18" charset="0"/>
                <a:cs typeface="Times New Roman" panose="02020603050405020304" pitchFamily="18" charset="0"/>
              </a:rPr>
              <a:t>Produkcja obuwia</a:t>
            </a:r>
            <a:r>
              <a:rPr lang="pl-PL" sz="1200" b="1" i="1" u="none" strike="noStrike" baseline="30000">
                <a:solidFill>
                  <a:srgbClr val="000000"/>
                </a:solidFill>
                <a:latin typeface="Times New Roman" panose="02020603050405020304" pitchFamily="18" charset="0"/>
                <a:cs typeface="Times New Roman" panose="02020603050405020304" pitchFamily="18" charset="0"/>
              </a:rPr>
              <a:t>a</a:t>
            </a:r>
          </a:p>
          <a:p>
            <a:pPr>
              <a:defRPr sz="1000" b="0" i="0" u="none" strike="noStrike" baseline="0">
                <a:solidFill>
                  <a:srgbClr val="000000"/>
                </a:solidFill>
                <a:latin typeface="Arial CE"/>
                <a:ea typeface="Arial CE"/>
                <a:cs typeface="Arial CE"/>
              </a:defRPr>
            </a:pPr>
            <a:r>
              <a:rPr lang="pl-PL" sz="1200" b="1" i="1" u="none" strike="noStrike" baseline="0">
                <a:solidFill>
                  <a:srgbClr val="000000"/>
                </a:solidFill>
                <a:latin typeface="Times New Roman" panose="02020603050405020304" pitchFamily="18" charset="0"/>
                <a:cs typeface="Times New Roman" panose="02020603050405020304" pitchFamily="18" charset="0"/>
              </a:rPr>
              <a:t>Production of footwear</a:t>
            </a:r>
            <a:r>
              <a:rPr lang="pl-PL" sz="1200" b="1" i="1" u="none" strike="noStrike" baseline="30000">
                <a:solidFill>
                  <a:srgbClr val="000000"/>
                </a:solidFill>
                <a:latin typeface="Times New Roman" panose="02020603050405020304" pitchFamily="18" charset="0"/>
                <a:cs typeface="Times New Roman" panose="02020603050405020304" pitchFamily="18" charset="0"/>
              </a:rPr>
              <a:t>a</a:t>
            </a:r>
            <a:endParaRPr lang="pl-PL" baseline="30000">
              <a:latin typeface="Times New Roman" panose="02020603050405020304" pitchFamily="18" charset="0"/>
              <a:cs typeface="Times New Roman" panose="02020603050405020304" pitchFamily="18" charset="0"/>
            </a:endParaRPr>
          </a:p>
        </c:rich>
      </c:tx>
      <c:layout>
        <c:manualLayout>
          <c:xMode val="edge"/>
          <c:yMode val="edge"/>
          <c:x val="0.37779979489318805"/>
          <c:y val="2.7659499549701445E-2"/>
        </c:manualLayout>
      </c:layout>
      <c:overlay val="0"/>
      <c:spPr>
        <a:noFill/>
        <a:ln w="25400">
          <a:noFill/>
        </a:ln>
      </c:spPr>
    </c:title>
    <c:autoTitleDeleted val="0"/>
    <c:plotArea>
      <c:layout>
        <c:manualLayout>
          <c:layoutTarget val="inner"/>
          <c:xMode val="edge"/>
          <c:yMode val="edge"/>
          <c:x val="7.4918565642870805E-2"/>
          <c:y val="0.19322592846938888"/>
          <c:w val="0.89250814332247552"/>
          <c:h val="0.55106382978723401"/>
        </c:manualLayout>
      </c:layout>
      <c:lineChart>
        <c:grouping val="standard"/>
        <c:varyColors val="0"/>
        <c:ser>
          <c:idx val="0"/>
          <c:order val="0"/>
          <c:tx>
            <c:strRef>
              <c:f>'dane - wyroby'!$A$1</c:f>
              <c:strCache>
                <c:ptCount val="1"/>
                <c:pt idx="0">
                  <c:v>2010</c:v>
                </c:pt>
              </c:strCache>
            </c:strRef>
          </c:tx>
          <c:spPr>
            <a:ln w="12700">
              <a:solidFill>
                <a:schemeClr val="accent2">
                  <a:lumMod val="75000"/>
                </a:schemeClr>
              </a:solidFill>
              <a:prstDash val="solid"/>
            </a:ln>
          </c:spPr>
          <c:marker>
            <c:symbol val="circle"/>
            <c:size val="4"/>
            <c:spPr>
              <a:solidFill>
                <a:schemeClr val="accent2">
                  <a:lumMod val="75000"/>
                </a:schemeClr>
              </a:solidFill>
              <a:ln>
                <a:solidFill>
                  <a:schemeClr val="accent2">
                    <a:lumMod val="75000"/>
                  </a:schemeClr>
                </a:solidFill>
                <a:prstDash val="solid"/>
              </a:ln>
            </c:spPr>
          </c:marker>
          <c:dLbls>
            <c:dLbl>
              <c:idx val="0"/>
              <c:spPr>
                <a:noFill/>
                <a:ln w="25400">
                  <a:noFill/>
                </a:ln>
              </c:spPr>
              <c:txPr>
                <a:bodyPr/>
                <a:lstStyle/>
                <a:p>
                  <a:pPr algn="ctr" rtl="0">
                    <a:defRPr sz="1000" b="0" i="0" u="none" strike="noStrike" baseline="0">
                      <a:solidFill>
                        <a:srgbClr val="000000"/>
                      </a:solidFill>
                      <a:latin typeface="Arial CE"/>
                      <a:ea typeface="Arial CE"/>
                      <a:cs typeface="Arial CE"/>
                    </a:defRPr>
                  </a:pPr>
                  <a:endParaRPr lang="pl-PL"/>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wyroby'!$G$6:$S$6</c:f>
              <c:numCache>
                <c:formatCode>General</c:formatCode>
                <c:ptCount val="13"/>
                <c:pt idx="1">
                  <c:v>2.5</c:v>
                </c:pt>
                <c:pt idx="2">
                  <c:v>2.5</c:v>
                </c:pt>
                <c:pt idx="3">
                  <c:v>3.3</c:v>
                </c:pt>
                <c:pt idx="4">
                  <c:v>3</c:v>
                </c:pt>
                <c:pt idx="5">
                  <c:v>2.5</c:v>
                </c:pt>
                <c:pt idx="6">
                  <c:v>2.4</c:v>
                </c:pt>
                <c:pt idx="7">
                  <c:v>2.2000000000000002</c:v>
                </c:pt>
                <c:pt idx="8">
                  <c:v>2.7</c:v>
                </c:pt>
                <c:pt idx="9">
                  <c:v>2.6</c:v>
                </c:pt>
                <c:pt idx="10">
                  <c:v>2.2999999999999998</c:v>
                </c:pt>
                <c:pt idx="11">
                  <c:v>2.1</c:v>
                </c:pt>
                <c:pt idx="12">
                  <c:v>2.2999999999999998</c:v>
                </c:pt>
              </c:numCache>
            </c:numRef>
          </c:val>
          <c:smooth val="0"/>
        </c:ser>
        <c:ser>
          <c:idx val="1"/>
          <c:order val="1"/>
          <c:tx>
            <c:strRef>
              <c:f>'dane - wyroby'!$B$1</c:f>
              <c:strCache>
                <c:ptCount val="1"/>
                <c:pt idx="0">
                  <c:v>2014</c:v>
                </c:pt>
              </c:strCache>
            </c:strRef>
          </c:tx>
          <c:spPr>
            <a:ln w="12700">
              <a:solidFill>
                <a:srgbClr val="FF0000"/>
              </a:solidFill>
              <a:prstDash val="solid"/>
            </a:ln>
          </c:spPr>
          <c:marker>
            <c:symbol val="triangle"/>
            <c:size val="4"/>
            <c:spPr>
              <a:solidFill>
                <a:srgbClr val="FF0000"/>
              </a:solidFill>
              <a:ln>
                <a:solidFill>
                  <a:srgbClr val="FF0000"/>
                </a:solidFill>
                <a:prstDash val="solid"/>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wyroby'!$T$6:$AF$6</c:f>
              <c:numCache>
                <c:formatCode>General</c:formatCode>
                <c:ptCount val="13"/>
                <c:pt idx="1">
                  <c:v>3.4</c:v>
                </c:pt>
                <c:pt idx="2">
                  <c:v>3.4</c:v>
                </c:pt>
                <c:pt idx="3">
                  <c:v>2.9</c:v>
                </c:pt>
                <c:pt idx="4">
                  <c:v>3.4</c:v>
                </c:pt>
                <c:pt idx="5">
                  <c:v>3.2</c:v>
                </c:pt>
                <c:pt idx="6">
                  <c:v>2.7</c:v>
                </c:pt>
                <c:pt idx="7">
                  <c:v>3.1</c:v>
                </c:pt>
                <c:pt idx="8">
                  <c:v>3</c:v>
                </c:pt>
                <c:pt idx="9">
                  <c:v>3.1</c:v>
                </c:pt>
                <c:pt idx="10">
                  <c:v>2.8</c:v>
                </c:pt>
                <c:pt idx="11">
                  <c:v>2.6</c:v>
                </c:pt>
                <c:pt idx="12">
                  <c:v>2.8</c:v>
                </c:pt>
              </c:numCache>
            </c:numRef>
          </c:val>
          <c:smooth val="0"/>
        </c:ser>
        <c:ser>
          <c:idx val="2"/>
          <c:order val="2"/>
          <c:tx>
            <c:strRef>
              <c:f>'dane - wyroby'!$C$1</c:f>
              <c:strCache>
                <c:ptCount val="1"/>
                <c:pt idx="0">
                  <c:v>2015</c:v>
                </c:pt>
              </c:strCache>
            </c:strRef>
          </c:tx>
          <c:spPr>
            <a:ln w="12700">
              <a:solidFill>
                <a:srgbClr val="008000"/>
              </a:solidFill>
              <a:prstDash val="solid"/>
            </a:ln>
          </c:spPr>
          <c:marker>
            <c:symbol val="square"/>
            <c:size val="3"/>
            <c:spPr>
              <a:solidFill>
                <a:srgbClr val="008000"/>
              </a:solidFill>
              <a:ln>
                <a:solidFill>
                  <a:srgbClr val="008000"/>
                </a:solidFill>
                <a:prstDash val="solid"/>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wyroby'!$AG$6:$AS$6</c:f>
              <c:numCache>
                <c:formatCode>General</c:formatCode>
                <c:ptCount val="13"/>
                <c:pt idx="1">
                  <c:v>3.1</c:v>
                </c:pt>
                <c:pt idx="2">
                  <c:v>4.5</c:v>
                </c:pt>
                <c:pt idx="3">
                  <c:v>3.7</c:v>
                </c:pt>
                <c:pt idx="4">
                  <c:v>3.1</c:v>
                </c:pt>
                <c:pt idx="5">
                  <c:v>2.7</c:v>
                </c:pt>
                <c:pt idx="6">
                  <c:v>2.8</c:v>
                </c:pt>
                <c:pt idx="7">
                  <c:v>2.7</c:v>
                </c:pt>
                <c:pt idx="8">
                  <c:v>2.5</c:v>
                </c:pt>
                <c:pt idx="9">
                  <c:v>2.6</c:v>
                </c:pt>
                <c:pt idx="10">
                  <c:v>2.6</c:v>
                </c:pt>
                <c:pt idx="11">
                  <c:v>2.6</c:v>
                </c:pt>
                <c:pt idx="12">
                  <c:v>2.2999999999999998</c:v>
                </c:pt>
              </c:numCache>
            </c:numRef>
          </c:val>
          <c:smooth val="0"/>
        </c:ser>
        <c:ser>
          <c:idx val="3"/>
          <c:order val="3"/>
          <c:tx>
            <c:strRef>
              <c:f>'dane - wyroby'!$D$1</c:f>
              <c:strCache>
                <c:ptCount val="1"/>
                <c:pt idx="0">
                  <c:v>2016</c:v>
                </c:pt>
              </c:strCache>
            </c:strRef>
          </c:tx>
          <c:spPr>
            <a:ln w="12700">
              <a:solidFill>
                <a:srgbClr val="9900FF"/>
              </a:solidFill>
              <a:prstDash val="solid"/>
            </a:ln>
          </c:spPr>
          <c:marker>
            <c:symbol val="diamond"/>
            <c:size val="4"/>
            <c:spPr>
              <a:solidFill>
                <a:srgbClr val="9900FF"/>
              </a:solidFill>
              <a:ln>
                <a:solidFill>
                  <a:srgbClr val="9900FF"/>
                </a:solidFill>
                <a:prstDash val="solid"/>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wyroby'!$AT$6:$BF$6</c:f>
              <c:numCache>
                <c:formatCode>General</c:formatCode>
                <c:ptCount val="13"/>
                <c:pt idx="1">
                  <c:v>2.7</c:v>
                </c:pt>
                <c:pt idx="2">
                  <c:v>3.5</c:v>
                </c:pt>
                <c:pt idx="3">
                  <c:v>3.9</c:v>
                </c:pt>
                <c:pt idx="4">
                  <c:v>3.5</c:v>
                </c:pt>
                <c:pt idx="5">
                  <c:v>3</c:v>
                </c:pt>
                <c:pt idx="6">
                  <c:v>3.1</c:v>
                </c:pt>
                <c:pt idx="7">
                  <c:v>2.5</c:v>
                </c:pt>
                <c:pt idx="8">
                  <c:v>3.4</c:v>
                </c:pt>
                <c:pt idx="9">
                  <c:v>3</c:v>
                </c:pt>
                <c:pt idx="10">
                  <c:v>2.6</c:v>
                </c:pt>
                <c:pt idx="11">
                  <c:v>3.1</c:v>
                </c:pt>
                <c:pt idx="12">
                  <c:v>3</c:v>
                </c:pt>
              </c:numCache>
            </c:numRef>
          </c:val>
          <c:smooth val="0"/>
        </c:ser>
        <c:ser>
          <c:idx val="4"/>
          <c:order val="4"/>
          <c:tx>
            <c:strRef>
              <c:f>'dane - wyroby'!$E$1</c:f>
              <c:strCache>
                <c:ptCount val="1"/>
                <c:pt idx="0">
                  <c:v>2017</c:v>
                </c:pt>
              </c:strCache>
            </c:strRef>
          </c:tx>
          <c:spPr>
            <a:ln w="25400">
              <a:solidFill>
                <a:srgbClr val="0000FF"/>
              </a:solidFill>
            </a:ln>
          </c:spPr>
          <c:marker>
            <c:symbol val="triangle"/>
            <c:size val="5"/>
            <c:spPr>
              <a:solidFill>
                <a:srgbClr val="0000FF"/>
              </a:solidFill>
              <a:ln>
                <a:solidFill>
                  <a:srgbClr val="0000FF"/>
                </a:solidFill>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wyroby'!$BG$6:$BS$6</c:f>
              <c:numCache>
                <c:formatCode>General</c:formatCode>
                <c:ptCount val="13"/>
                <c:pt idx="1">
                  <c:v>3.3</c:v>
                </c:pt>
                <c:pt idx="2">
                  <c:v>3.6</c:v>
                </c:pt>
                <c:pt idx="3">
                  <c:v>4.2</c:v>
                </c:pt>
                <c:pt idx="4">
                  <c:v>3.2</c:v>
                </c:pt>
                <c:pt idx="5">
                  <c:v>3.1</c:v>
                </c:pt>
                <c:pt idx="6">
                  <c:v>2.9</c:v>
                </c:pt>
              </c:numCache>
            </c:numRef>
          </c:val>
          <c:smooth val="0"/>
        </c:ser>
        <c:dLbls>
          <c:showLegendKey val="0"/>
          <c:showVal val="0"/>
          <c:showCatName val="0"/>
          <c:showSerName val="0"/>
          <c:showPercent val="0"/>
          <c:showBubbleSize val="0"/>
        </c:dLbls>
        <c:marker val="1"/>
        <c:smooth val="0"/>
        <c:axId val="-980525936"/>
        <c:axId val="-980539536"/>
        <c:extLst>
          <c:ext xmlns:c15="http://schemas.microsoft.com/office/drawing/2012/chart" uri="{02D57815-91ED-43cb-92C2-25804820EDAC}">
            <c15:filteredLineSeries>
              <c15:ser>
                <c:idx val="5"/>
                <c:order val="5"/>
                <c:tx>
                  <c:strRef>
                    <c:extLst>
                      <c:ext uri="{02D57815-91ED-43cb-92C2-25804820EDAC}">
                        <c15:formulaRef>
                          <c15:sqref>'dane - wyroby'!$F$1</c15:sqref>
                        </c15:formulaRef>
                      </c:ext>
                    </c:extLst>
                    <c:strCache>
                      <c:ptCount val="1"/>
                    </c:strCache>
                  </c:strRef>
                </c:tx>
                <c:spPr>
                  <a:ln>
                    <a:solidFill>
                      <a:srgbClr val="0000FF"/>
                    </a:solidFill>
                  </a:ln>
                </c:spPr>
                <c:marker>
                  <c:symbol val="square"/>
                  <c:size val="4"/>
                  <c:spPr>
                    <a:solidFill>
                      <a:srgbClr val="0000FF"/>
                    </a:solidFill>
                    <a:ln>
                      <a:solidFill>
                        <a:srgbClr val="0000FF"/>
                      </a:solidFill>
                    </a:ln>
                  </c:spPr>
                </c:marker>
                <c:val>
                  <c:numRef>
                    <c:extLst>
                      <c:ext uri="{02D57815-91ED-43cb-92C2-25804820EDAC}">
                        <c15:formulaRef>
                          <c15:sqref>'dane - wyroby'!$BT$6:$CF$6</c15:sqref>
                        </c15:formulaRef>
                      </c:ext>
                    </c:extLst>
                    <c:numCache>
                      <c:formatCode>General</c:formatCode>
                      <c:ptCount val="13"/>
                    </c:numCache>
                  </c:numRef>
                </c:val>
                <c:smooth val="0"/>
              </c15:ser>
            </c15:filteredLineSeries>
          </c:ext>
        </c:extLst>
      </c:lineChart>
      <c:catAx>
        <c:axId val="-980525936"/>
        <c:scaling>
          <c:orientation val="minMax"/>
        </c:scaling>
        <c:delete val="0"/>
        <c:axPos val="b"/>
        <c:title>
          <c:tx>
            <c:rich>
              <a:bodyPr/>
              <a:lstStyle/>
              <a:p>
                <a:pPr>
                  <a:defRPr sz="1100" b="0" i="0" u="none" strike="noStrike" baseline="0">
                    <a:solidFill>
                      <a:srgbClr val="000000"/>
                    </a:solidFill>
                    <a:latin typeface="Times New Roman" panose="02020603050405020304" pitchFamily="18" charset="0"/>
                    <a:ea typeface="Calibri"/>
                    <a:cs typeface="Times New Roman" panose="02020603050405020304" pitchFamily="18" charset="0"/>
                  </a:defRPr>
                </a:pPr>
                <a:r>
                  <a:rPr lang="pl-PL" sz="1100" b="0" i="0" u="none" strike="noStrike" baseline="0">
                    <a:solidFill>
                      <a:srgbClr val="000000"/>
                    </a:solidFill>
                    <a:latin typeface="Times New Roman" panose="02020603050405020304" pitchFamily="18" charset="0"/>
                    <a:cs typeface="Times New Roman" panose="02020603050405020304" pitchFamily="18" charset="0"/>
                  </a:rPr>
                  <a:t>miesiące     </a:t>
                </a:r>
                <a:r>
                  <a:rPr lang="pl-PL" sz="1100" b="0" i="1" u="none" strike="noStrike" baseline="0">
                    <a:solidFill>
                      <a:srgbClr val="000000"/>
                    </a:solidFill>
                    <a:latin typeface="Times New Roman" panose="02020603050405020304" pitchFamily="18" charset="0"/>
                    <a:cs typeface="Times New Roman" panose="02020603050405020304" pitchFamily="18" charset="0"/>
                  </a:rPr>
                  <a:t>months</a:t>
                </a:r>
                <a:endParaRPr lang="pl-PL" sz="1100">
                  <a:latin typeface="Times New Roman" panose="02020603050405020304" pitchFamily="18" charset="0"/>
                  <a:cs typeface="Times New Roman" panose="02020603050405020304" pitchFamily="18" charset="0"/>
                </a:endParaRPr>
              </a:p>
            </c:rich>
          </c:tx>
          <c:layout>
            <c:manualLayout>
              <c:xMode val="edge"/>
              <c:yMode val="edge"/>
              <c:x val="0.4250814343571292"/>
              <c:y val="0.80750379497233937"/>
            </c:manualLayout>
          </c:layout>
          <c:overlay val="0"/>
          <c:spPr>
            <a:noFill/>
            <a:ln w="25400">
              <a:noFill/>
            </a:ln>
          </c:spPr>
        </c:title>
        <c:numFmt formatCode="General" sourceLinked="1"/>
        <c:majorTickMark val="out"/>
        <c:minorTickMark val="none"/>
        <c:tickLblPos val="nextTo"/>
        <c:spPr>
          <a:ln w="12700">
            <a:solidFill>
              <a:srgbClr val="000000"/>
            </a:solidFill>
            <a:prstDash val="solid"/>
          </a:ln>
        </c:spPr>
        <c:txPr>
          <a:bodyPr rot="0" vert="horz"/>
          <a:lstStyle/>
          <a:p>
            <a:pPr>
              <a:defRPr sz="1100" b="0" i="0" u="none" strike="noStrike" baseline="0">
                <a:solidFill>
                  <a:srgbClr val="000000"/>
                </a:solidFill>
                <a:latin typeface="Times New Roman" panose="02020603050405020304" pitchFamily="18" charset="0"/>
                <a:ea typeface="Arial CE"/>
                <a:cs typeface="Times New Roman" panose="02020603050405020304" pitchFamily="18" charset="0"/>
              </a:defRPr>
            </a:pPr>
            <a:endParaRPr lang="pl-PL"/>
          </a:p>
        </c:txPr>
        <c:crossAx val="-980539536"/>
        <c:crossesAt val="1"/>
        <c:auto val="0"/>
        <c:lblAlgn val="ctr"/>
        <c:lblOffset val="100"/>
        <c:tickLblSkip val="1"/>
        <c:tickMarkSkip val="1"/>
        <c:noMultiLvlLbl val="0"/>
      </c:catAx>
      <c:valAx>
        <c:axId val="-980539536"/>
        <c:scaling>
          <c:orientation val="minMax"/>
          <c:max val="5"/>
          <c:min val="2"/>
        </c:scaling>
        <c:delete val="0"/>
        <c:axPos val="l"/>
        <c:majorGridlines>
          <c:spPr>
            <a:ln w="3175">
              <a:solidFill>
                <a:srgbClr val="000000"/>
              </a:solidFill>
              <a:prstDash val="dash"/>
            </a:ln>
          </c:spPr>
        </c:majorGridlines>
        <c:numFmt formatCode="General" sourceLinked="1"/>
        <c:majorTickMark val="out"/>
        <c:minorTickMark val="none"/>
        <c:tickLblPos val="nextTo"/>
        <c:spPr>
          <a:ln w="12700">
            <a:solidFill>
              <a:srgbClr val="000000"/>
            </a:solidFill>
            <a:prstDash val="solid"/>
          </a:ln>
        </c:spPr>
        <c:txPr>
          <a:bodyPr rot="0" vert="horz"/>
          <a:lstStyle/>
          <a:p>
            <a:pPr>
              <a:defRPr sz="1100" b="0" i="0" u="none" strike="noStrike" baseline="0">
                <a:solidFill>
                  <a:srgbClr val="000000"/>
                </a:solidFill>
                <a:latin typeface="Times New Roman" panose="02020603050405020304" pitchFamily="18" charset="0"/>
                <a:ea typeface="Arial CE"/>
                <a:cs typeface="Times New Roman" panose="02020603050405020304" pitchFamily="18" charset="0"/>
              </a:defRPr>
            </a:pPr>
            <a:endParaRPr lang="pl-PL"/>
          </a:p>
        </c:txPr>
        <c:crossAx val="-980525936"/>
        <c:crosses val="autoZero"/>
        <c:crossBetween val="midCat"/>
        <c:majorUnit val="0.5"/>
      </c:valAx>
      <c:spPr>
        <a:noFill/>
        <a:ln w="25400">
          <a:noFill/>
        </a:ln>
      </c:spPr>
    </c:plotArea>
    <c:legend>
      <c:legendPos val="b"/>
      <c:layout>
        <c:manualLayout>
          <c:xMode val="edge"/>
          <c:yMode val="edge"/>
          <c:x val="0.13261928351671273"/>
          <c:y val="0.86063988839422179"/>
          <c:w val="0.75761589403973506"/>
          <c:h val="4.9542129863553816E-2"/>
        </c:manualLayout>
      </c:layout>
      <c:overlay val="0"/>
      <c:spPr>
        <a:solidFill>
          <a:srgbClr val="FFFFFF"/>
        </a:solidFill>
        <a:ln w="25400">
          <a:noFill/>
        </a:ln>
      </c:spPr>
      <c:txPr>
        <a:bodyPr/>
        <a:lstStyle/>
        <a:p>
          <a:pPr>
            <a:defRPr sz="1100" b="0" i="0" u="none" strike="noStrike" baseline="0">
              <a:solidFill>
                <a:srgbClr val="000000"/>
              </a:solidFill>
              <a:latin typeface="Times New Roman" panose="02020603050405020304" pitchFamily="18" charset="0"/>
              <a:ea typeface="Arial CE"/>
              <a:cs typeface="Times New Roman" panose="02020603050405020304" pitchFamily="18" charset="0"/>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Arial CE"/>
          <a:ea typeface="Arial CE"/>
          <a:cs typeface="Arial CE"/>
        </a:defRPr>
      </a:pPr>
      <a:endParaRPr lang="pl-PL"/>
    </a:p>
  </c:txPr>
  <c:externalData r:id="rId1">
    <c:autoUpdate val="0"/>
  </c:externalData>
  <c:userShapes r:id="rId2"/>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Arial CE"/>
                <a:ea typeface="Arial CE"/>
                <a:cs typeface="Arial CE"/>
              </a:defRPr>
            </a:pPr>
            <a:r>
              <a:rPr lang="pl-PL" sz="1200" b="1" i="0" u="none" strike="noStrike" baseline="0">
                <a:solidFill>
                  <a:srgbClr val="000000"/>
                </a:solidFill>
                <a:latin typeface="Times New Roman" panose="02020603050405020304" pitchFamily="18" charset="0"/>
                <a:cs typeface="Times New Roman" panose="02020603050405020304" pitchFamily="18" charset="0"/>
              </a:rPr>
              <a:t>Produkcja odbiorników telewizyjnych</a:t>
            </a:r>
            <a:r>
              <a:rPr lang="pl-PL" sz="1200" b="1" i="1" u="none" strike="noStrike" baseline="30000">
                <a:solidFill>
                  <a:srgbClr val="000000"/>
                </a:solidFill>
                <a:latin typeface="Times New Roman" panose="02020603050405020304" pitchFamily="18" charset="0"/>
                <a:cs typeface="Times New Roman" panose="02020603050405020304" pitchFamily="18" charset="0"/>
              </a:rPr>
              <a:t>b</a:t>
            </a:r>
            <a:endParaRPr lang="pl-PL" sz="1200" b="1" i="0" u="none" strike="noStrike" baseline="0">
              <a:solidFill>
                <a:srgbClr val="000000"/>
              </a:solidFill>
              <a:latin typeface="Times New Roman" panose="02020603050405020304" pitchFamily="18" charset="0"/>
              <a:cs typeface="Times New Roman" panose="02020603050405020304" pitchFamily="18" charset="0"/>
            </a:endParaRPr>
          </a:p>
          <a:p>
            <a:pPr>
              <a:defRPr sz="1000" b="0" i="0" u="none" strike="noStrike" baseline="0">
                <a:solidFill>
                  <a:srgbClr val="000000"/>
                </a:solidFill>
                <a:latin typeface="Arial CE"/>
                <a:ea typeface="Arial CE"/>
                <a:cs typeface="Arial CE"/>
              </a:defRPr>
            </a:pPr>
            <a:r>
              <a:rPr lang="pl-PL" sz="1200" b="1" i="1" u="none" strike="noStrike" baseline="0">
                <a:solidFill>
                  <a:srgbClr val="000000"/>
                </a:solidFill>
                <a:latin typeface="Times New Roman" panose="02020603050405020304" pitchFamily="18" charset="0"/>
                <a:cs typeface="Times New Roman" panose="02020603050405020304" pitchFamily="18" charset="0"/>
              </a:rPr>
              <a:t>Production of television receivers</a:t>
            </a:r>
            <a:r>
              <a:rPr lang="pl-PL" sz="1200" b="1" i="1" u="none" strike="noStrike" baseline="30000">
                <a:solidFill>
                  <a:srgbClr val="000000"/>
                </a:solidFill>
                <a:latin typeface="Times New Roman" panose="02020603050405020304" pitchFamily="18" charset="0"/>
                <a:cs typeface="Times New Roman" panose="02020603050405020304" pitchFamily="18" charset="0"/>
              </a:rPr>
              <a:t>b</a:t>
            </a:r>
            <a:endParaRPr lang="pl-PL">
              <a:latin typeface="Times New Roman" panose="02020603050405020304" pitchFamily="18" charset="0"/>
              <a:cs typeface="Times New Roman" panose="02020603050405020304" pitchFamily="18" charset="0"/>
            </a:endParaRPr>
          </a:p>
        </c:rich>
      </c:tx>
      <c:layout>
        <c:manualLayout>
          <c:xMode val="edge"/>
          <c:yMode val="edge"/>
          <c:x val="0.27564287137375154"/>
          <c:y val="2.9608855072891169E-2"/>
        </c:manualLayout>
      </c:layout>
      <c:overlay val="0"/>
      <c:spPr>
        <a:noFill/>
        <a:ln w="25400">
          <a:noFill/>
        </a:ln>
      </c:spPr>
    </c:title>
    <c:autoTitleDeleted val="0"/>
    <c:plotArea>
      <c:layout>
        <c:manualLayout>
          <c:layoutTarget val="inner"/>
          <c:xMode val="edge"/>
          <c:yMode val="edge"/>
          <c:x val="8.4967455843188072E-2"/>
          <c:y val="0.18882501811065847"/>
          <c:w val="0.88398833867624504"/>
          <c:h val="0.53743627552173956"/>
        </c:manualLayout>
      </c:layout>
      <c:lineChart>
        <c:grouping val="standard"/>
        <c:varyColors val="0"/>
        <c:ser>
          <c:idx val="0"/>
          <c:order val="0"/>
          <c:tx>
            <c:strRef>
              <c:f>'dane - wyroby'!$A$1</c:f>
              <c:strCache>
                <c:ptCount val="1"/>
                <c:pt idx="0">
                  <c:v>2010</c:v>
                </c:pt>
              </c:strCache>
            </c:strRef>
          </c:tx>
          <c:spPr>
            <a:ln w="12700">
              <a:solidFill>
                <a:schemeClr val="accent2">
                  <a:lumMod val="75000"/>
                </a:schemeClr>
              </a:solidFill>
              <a:prstDash val="solid"/>
            </a:ln>
          </c:spPr>
          <c:marker>
            <c:symbol val="circle"/>
            <c:size val="4"/>
            <c:spPr>
              <a:solidFill>
                <a:schemeClr val="accent2">
                  <a:lumMod val="75000"/>
                </a:schemeClr>
              </a:solidFill>
              <a:ln>
                <a:solidFill>
                  <a:schemeClr val="accent2">
                    <a:lumMod val="75000"/>
                  </a:schemeClr>
                </a:solidFill>
                <a:prstDash val="solid"/>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wyroby'!$G$16:$S$16</c:f>
              <c:numCache>
                <c:formatCode>General</c:formatCode>
                <c:ptCount val="13"/>
                <c:pt idx="1">
                  <c:v>2285</c:v>
                </c:pt>
                <c:pt idx="2">
                  <c:v>2383</c:v>
                </c:pt>
                <c:pt idx="3">
                  <c:v>2149</c:v>
                </c:pt>
                <c:pt idx="4">
                  <c:v>1965</c:v>
                </c:pt>
                <c:pt idx="5">
                  <c:v>2124</c:v>
                </c:pt>
                <c:pt idx="6">
                  <c:v>2063</c:v>
                </c:pt>
                <c:pt idx="7">
                  <c:v>1399</c:v>
                </c:pt>
                <c:pt idx="8">
                  <c:v>1548</c:v>
                </c:pt>
                <c:pt idx="9">
                  <c:v>2089</c:v>
                </c:pt>
                <c:pt idx="10">
                  <c:v>2342</c:v>
                </c:pt>
                <c:pt idx="11">
                  <c:v>2418</c:v>
                </c:pt>
                <c:pt idx="12">
                  <c:v>1874</c:v>
                </c:pt>
              </c:numCache>
            </c:numRef>
          </c:val>
          <c:smooth val="0"/>
        </c:ser>
        <c:ser>
          <c:idx val="1"/>
          <c:order val="1"/>
          <c:tx>
            <c:strRef>
              <c:f>'dane - wyroby'!$B$1</c:f>
              <c:strCache>
                <c:ptCount val="1"/>
                <c:pt idx="0">
                  <c:v>2014</c:v>
                </c:pt>
              </c:strCache>
            </c:strRef>
          </c:tx>
          <c:spPr>
            <a:ln w="12700">
              <a:solidFill>
                <a:srgbClr val="FF0000"/>
              </a:solidFill>
              <a:prstDash val="solid"/>
            </a:ln>
          </c:spPr>
          <c:marker>
            <c:symbol val="triangle"/>
            <c:size val="4"/>
            <c:spPr>
              <a:solidFill>
                <a:srgbClr val="FF0000"/>
              </a:solidFill>
              <a:ln>
                <a:solidFill>
                  <a:srgbClr val="FF0000"/>
                </a:solidFill>
                <a:prstDash val="solid"/>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wyroby'!$T$16:$AF$16</c:f>
              <c:numCache>
                <c:formatCode>General</c:formatCode>
                <c:ptCount val="13"/>
                <c:pt idx="1">
                  <c:v>1756</c:v>
                </c:pt>
                <c:pt idx="2">
                  <c:v>1531</c:v>
                </c:pt>
                <c:pt idx="3">
                  <c:v>1525</c:v>
                </c:pt>
                <c:pt idx="4">
                  <c:v>1608</c:v>
                </c:pt>
                <c:pt idx="5">
                  <c:v>1690</c:v>
                </c:pt>
                <c:pt idx="6">
                  <c:v>1213</c:v>
                </c:pt>
                <c:pt idx="7">
                  <c:v>1139</c:v>
                </c:pt>
                <c:pt idx="8">
                  <c:v>1482</c:v>
                </c:pt>
                <c:pt idx="9">
                  <c:v>1881</c:v>
                </c:pt>
                <c:pt idx="10">
                  <c:v>2208</c:v>
                </c:pt>
                <c:pt idx="11">
                  <c:v>2124</c:v>
                </c:pt>
                <c:pt idx="12">
                  <c:v>1474</c:v>
                </c:pt>
              </c:numCache>
            </c:numRef>
          </c:val>
          <c:smooth val="0"/>
        </c:ser>
        <c:ser>
          <c:idx val="2"/>
          <c:order val="2"/>
          <c:tx>
            <c:strRef>
              <c:f>'dane - wyroby'!$C$1</c:f>
              <c:strCache>
                <c:ptCount val="1"/>
                <c:pt idx="0">
                  <c:v>2015</c:v>
                </c:pt>
              </c:strCache>
            </c:strRef>
          </c:tx>
          <c:spPr>
            <a:ln w="12700">
              <a:solidFill>
                <a:srgbClr val="008000"/>
              </a:solidFill>
              <a:prstDash val="solid"/>
            </a:ln>
          </c:spPr>
          <c:marker>
            <c:symbol val="square"/>
            <c:size val="3"/>
            <c:spPr>
              <a:solidFill>
                <a:srgbClr val="008000"/>
              </a:solidFill>
              <a:ln>
                <a:solidFill>
                  <a:srgbClr val="008000"/>
                </a:solidFill>
                <a:prstDash val="solid"/>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wyroby'!$AG$16:$AS$16</c:f>
              <c:numCache>
                <c:formatCode>General</c:formatCode>
                <c:ptCount val="13"/>
                <c:pt idx="1">
                  <c:v>1746</c:v>
                </c:pt>
                <c:pt idx="2">
                  <c:v>1517</c:v>
                </c:pt>
                <c:pt idx="3">
                  <c:v>1920</c:v>
                </c:pt>
                <c:pt idx="4">
                  <c:v>1695</c:v>
                </c:pt>
                <c:pt idx="5">
                  <c:v>1525</c:v>
                </c:pt>
                <c:pt idx="6">
                  <c:v>1327</c:v>
                </c:pt>
                <c:pt idx="7">
                  <c:v>1276</c:v>
                </c:pt>
                <c:pt idx="8">
                  <c:v>1424</c:v>
                </c:pt>
                <c:pt idx="9">
                  <c:v>2003</c:v>
                </c:pt>
                <c:pt idx="10">
                  <c:v>2164</c:v>
                </c:pt>
                <c:pt idx="11">
                  <c:v>2057</c:v>
                </c:pt>
                <c:pt idx="12">
                  <c:v>1469</c:v>
                </c:pt>
              </c:numCache>
            </c:numRef>
          </c:val>
          <c:smooth val="0"/>
        </c:ser>
        <c:ser>
          <c:idx val="3"/>
          <c:order val="3"/>
          <c:tx>
            <c:strRef>
              <c:f>'dane - wyroby'!$D$1</c:f>
              <c:strCache>
                <c:ptCount val="1"/>
                <c:pt idx="0">
                  <c:v>2016</c:v>
                </c:pt>
              </c:strCache>
            </c:strRef>
          </c:tx>
          <c:spPr>
            <a:ln w="12700">
              <a:solidFill>
                <a:srgbClr val="9900FF"/>
              </a:solidFill>
              <a:prstDash val="solid"/>
            </a:ln>
          </c:spPr>
          <c:marker>
            <c:symbol val="diamond"/>
            <c:size val="4"/>
            <c:spPr>
              <a:solidFill>
                <a:srgbClr val="9900FF"/>
              </a:solidFill>
              <a:ln>
                <a:solidFill>
                  <a:srgbClr val="9900FF"/>
                </a:solidFill>
                <a:prstDash val="solid"/>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wyroby'!$AT$16:$BF$16</c:f>
              <c:numCache>
                <c:formatCode>General</c:formatCode>
                <c:ptCount val="13"/>
                <c:pt idx="1">
                  <c:v>1714</c:v>
                </c:pt>
                <c:pt idx="2">
                  <c:v>1687</c:v>
                </c:pt>
                <c:pt idx="3">
                  <c:v>1671</c:v>
                </c:pt>
                <c:pt idx="4">
                  <c:v>1738</c:v>
                </c:pt>
                <c:pt idx="5">
                  <c:v>1572</c:v>
                </c:pt>
                <c:pt idx="6">
                  <c:v>1431</c:v>
                </c:pt>
                <c:pt idx="7">
                  <c:v>1046</c:v>
                </c:pt>
                <c:pt idx="8">
                  <c:v>1570</c:v>
                </c:pt>
                <c:pt idx="9">
                  <c:v>1770</c:v>
                </c:pt>
                <c:pt idx="10">
                  <c:v>2081</c:v>
                </c:pt>
                <c:pt idx="11">
                  <c:v>2318</c:v>
                </c:pt>
                <c:pt idx="12">
                  <c:v>1466</c:v>
                </c:pt>
              </c:numCache>
            </c:numRef>
          </c:val>
          <c:smooth val="0"/>
        </c:ser>
        <c:ser>
          <c:idx val="4"/>
          <c:order val="4"/>
          <c:tx>
            <c:strRef>
              <c:f>'dane - wyroby'!$E$1</c:f>
              <c:strCache>
                <c:ptCount val="1"/>
                <c:pt idx="0">
                  <c:v>2017</c:v>
                </c:pt>
              </c:strCache>
            </c:strRef>
          </c:tx>
          <c:spPr>
            <a:ln w="25400">
              <a:solidFill>
                <a:srgbClr val="0000FF"/>
              </a:solidFill>
            </a:ln>
          </c:spPr>
          <c:marker>
            <c:symbol val="triangle"/>
            <c:size val="5"/>
            <c:spPr>
              <a:solidFill>
                <a:srgbClr val="0000FF"/>
              </a:solidFill>
              <a:ln>
                <a:solidFill>
                  <a:srgbClr val="0000FF"/>
                </a:solidFill>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wyroby'!$BG$16:$BS$16</c:f>
              <c:numCache>
                <c:formatCode>General</c:formatCode>
                <c:ptCount val="13"/>
                <c:pt idx="1">
                  <c:v>1811</c:v>
                </c:pt>
                <c:pt idx="2">
                  <c:v>1643</c:v>
                </c:pt>
                <c:pt idx="3">
                  <c:v>1861</c:v>
                </c:pt>
                <c:pt idx="4">
                  <c:v>1617</c:v>
                </c:pt>
                <c:pt idx="5">
                  <c:v>1595</c:v>
                </c:pt>
                <c:pt idx="6">
                  <c:v>1404</c:v>
                </c:pt>
              </c:numCache>
            </c:numRef>
          </c:val>
          <c:smooth val="0"/>
        </c:ser>
        <c:dLbls>
          <c:showLegendKey val="0"/>
          <c:showVal val="0"/>
          <c:showCatName val="0"/>
          <c:showSerName val="0"/>
          <c:showPercent val="0"/>
          <c:showBubbleSize val="0"/>
        </c:dLbls>
        <c:marker val="1"/>
        <c:smooth val="0"/>
        <c:axId val="-980537904"/>
        <c:axId val="-980535184"/>
        <c:extLst>
          <c:ext xmlns:c15="http://schemas.microsoft.com/office/drawing/2012/chart" uri="{02D57815-91ED-43cb-92C2-25804820EDAC}">
            <c15:filteredLineSeries>
              <c15:ser>
                <c:idx val="5"/>
                <c:order val="5"/>
                <c:tx>
                  <c:strRef>
                    <c:extLst>
                      <c:ext uri="{02D57815-91ED-43cb-92C2-25804820EDAC}">
                        <c15:formulaRef>
                          <c15:sqref>'dane - wyroby'!$F$1</c15:sqref>
                        </c15:formulaRef>
                      </c:ext>
                    </c:extLst>
                    <c:strCache>
                      <c:ptCount val="1"/>
                    </c:strCache>
                  </c:strRef>
                </c:tx>
                <c:spPr>
                  <a:ln>
                    <a:solidFill>
                      <a:srgbClr val="0000FF"/>
                    </a:solidFill>
                  </a:ln>
                </c:spPr>
                <c:marker>
                  <c:symbol val="square"/>
                  <c:size val="4"/>
                  <c:spPr>
                    <a:solidFill>
                      <a:srgbClr val="0000FF"/>
                    </a:solidFill>
                    <a:ln>
                      <a:solidFill>
                        <a:srgbClr val="0000FF"/>
                      </a:solidFill>
                    </a:ln>
                  </c:spPr>
                </c:marker>
                <c:val>
                  <c:numRef>
                    <c:extLst>
                      <c:ext uri="{02D57815-91ED-43cb-92C2-25804820EDAC}">
                        <c15:formulaRef>
                          <c15:sqref>'dane - wyroby'!$BT$16:$CF$16</c15:sqref>
                        </c15:formulaRef>
                      </c:ext>
                    </c:extLst>
                    <c:numCache>
                      <c:formatCode>General</c:formatCode>
                      <c:ptCount val="13"/>
                    </c:numCache>
                  </c:numRef>
                </c:val>
                <c:smooth val="0"/>
              </c15:ser>
            </c15:filteredLineSeries>
          </c:ext>
        </c:extLst>
      </c:lineChart>
      <c:catAx>
        <c:axId val="-980537904"/>
        <c:scaling>
          <c:orientation val="minMax"/>
        </c:scaling>
        <c:delete val="0"/>
        <c:axPos val="b"/>
        <c:title>
          <c:tx>
            <c:rich>
              <a:bodyPr/>
              <a:lstStyle/>
              <a:p>
                <a:pPr>
                  <a:defRPr sz="1100" b="0" i="0" u="none" strike="noStrike" baseline="0">
                    <a:solidFill>
                      <a:srgbClr val="000000"/>
                    </a:solidFill>
                    <a:latin typeface="Calibri"/>
                    <a:ea typeface="Calibri"/>
                    <a:cs typeface="Calibri"/>
                  </a:defRPr>
                </a:pPr>
                <a:r>
                  <a:rPr lang="pl-PL" sz="1100" b="0" i="0" u="none" strike="noStrike" baseline="0">
                    <a:solidFill>
                      <a:srgbClr val="000000"/>
                    </a:solidFill>
                    <a:latin typeface="Times New Roman" panose="02020603050405020304" pitchFamily="18" charset="0"/>
                    <a:cs typeface="Times New Roman" panose="02020603050405020304" pitchFamily="18" charset="0"/>
                  </a:rPr>
                  <a:t>miesiące      </a:t>
                </a:r>
                <a:r>
                  <a:rPr lang="pl-PL" sz="1100" b="0" i="1" u="none" strike="noStrike" baseline="0">
                    <a:solidFill>
                      <a:srgbClr val="000000"/>
                    </a:solidFill>
                    <a:latin typeface="Times New Roman" panose="02020603050405020304" pitchFamily="18" charset="0"/>
                    <a:cs typeface="Times New Roman" panose="02020603050405020304" pitchFamily="18" charset="0"/>
                  </a:rPr>
                  <a:t>months</a:t>
                </a:r>
                <a:endParaRPr lang="pl-PL" sz="1100">
                  <a:latin typeface="Times New Roman" panose="02020603050405020304" pitchFamily="18" charset="0"/>
                  <a:cs typeface="Times New Roman" panose="02020603050405020304" pitchFamily="18" charset="0"/>
                </a:endParaRPr>
              </a:p>
            </c:rich>
          </c:tx>
          <c:layout>
            <c:manualLayout>
              <c:xMode val="edge"/>
              <c:yMode val="edge"/>
              <c:x val="0.41993532671161204"/>
              <c:y val="0.78384814257768343"/>
            </c:manualLayout>
          </c:layout>
          <c:overlay val="0"/>
          <c:spPr>
            <a:noFill/>
            <a:ln w="25400">
              <a:noFill/>
            </a:ln>
          </c:spPr>
        </c:title>
        <c:numFmt formatCode="General" sourceLinked="1"/>
        <c:majorTickMark val="out"/>
        <c:minorTickMark val="none"/>
        <c:tickLblPos val="nextTo"/>
        <c:spPr>
          <a:ln w="12700">
            <a:solidFill>
              <a:srgbClr val="000000"/>
            </a:solidFill>
            <a:prstDash val="solid"/>
          </a:ln>
        </c:spPr>
        <c:txPr>
          <a:bodyPr rot="0" vert="horz"/>
          <a:lstStyle/>
          <a:p>
            <a:pPr>
              <a:defRPr sz="1100" b="0" i="0" u="none" strike="noStrike" baseline="0">
                <a:solidFill>
                  <a:srgbClr val="000000"/>
                </a:solidFill>
                <a:latin typeface="Times New Roman" panose="02020603050405020304" pitchFamily="18" charset="0"/>
                <a:ea typeface="Arial CE"/>
                <a:cs typeface="Times New Roman" panose="02020603050405020304" pitchFamily="18" charset="0"/>
              </a:defRPr>
            </a:pPr>
            <a:endParaRPr lang="pl-PL"/>
          </a:p>
        </c:txPr>
        <c:crossAx val="-980535184"/>
        <c:crossesAt val="500"/>
        <c:auto val="0"/>
        <c:lblAlgn val="ctr"/>
        <c:lblOffset val="100"/>
        <c:tickLblSkip val="1"/>
        <c:tickMarkSkip val="1"/>
        <c:noMultiLvlLbl val="0"/>
      </c:catAx>
      <c:valAx>
        <c:axId val="-980535184"/>
        <c:scaling>
          <c:orientation val="minMax"/>
          <c:max val="3000"/>
          <c:min val="500"/>
        </c:scaling>
        <c:delete val="0"/>
        <c:axPos val="l"/>
        <c:majorGridlines>
          <c:spPr>
            <a:ln w="3175">
              <a:solidFill>
                <a:srgbClr val="000000"/>
              </a:solidFill>
              <a:prstDash val="dash"/>
            </a:ln>
          </c:spPr>
        </c:majorGridlines>
        <c:numFmt formatCode="General" sourceLinked="1"/>
        <c:majorTickMark val="out"/>
        <c:minorTickMark val="none"/>
        <c:tickLblPos val="nextTo"/>
        <c:spPr>
          <a:ln w="12700">
            <a:solidFill>
              <a:srgbClr val="000000"/>
            </a:solidFill>
            <a:prstDash val="solid"/>
          </a:ln>
        </c:spPr>
        <c:txPr>
          <a:bodyPr rot="0" vert="horz"/>
          <a:lstStyle/>
          <a:p>
            <a:pPr>
              <a:defRPr sz="1100" b="0" i="0" u="none" strike="noStrike" baseline="0">
                <a:solidFill>
                  <a:srgbClr val="000000"/>
                </a:solidFill>
                <a:latin typeface="Times New Roman" panose="02020603050405020304" pitchFamily="18" charset="0"/>
                <a:ea typeface="Arial CE"/>
                <a:cs typeface="Times New Roman" panose="02020603050405020304" pitchFamily="18" charset="0"/>
              </a:defRPr>
            </a:pPr>
            <a:endParaRPr lang="pl-PL"/>
          </a:p>
        </c:txPr>
        <c:crossAx val="-980537904"/>
        <c:crosses val="autoZero"/>
        <c:crossBetween val="midCat"/>
        <c:majorUnit val="500"/>
      </c:valAx>
      <c:spPr>
        <a:noFill/>
        <a:ln w="25400">
          <a:noFill/>
        </a:ln>
      </c:spPr>
    </c:plotArea>
    <c:legend>
      <c:legendPos val="b"/>
      <c:layout>
        <c:manualLayout>
          <c:xMode val="edge"/>
          <c:yMode val="edge"/>
          <c:x val="0.13609036494200602"/>
          <c:y val="0.83744472952116944"/>
          <c:w val="0.77711771177117717"/>
          <c:h val="4.5088914447491815E-2"/>
        </c:manualLayout>
      </c:layout>
      <c:overlay val="0"/>
      <c:spPr>
        <a:solidFill>
          <a:srgbClr val="FFFFFF"/>
        </a:solidFill>
        <a:ln w="25400">
          <a:noFill/>
        </a:ln>
      </c:spPr>
      <c:txPr>
        <a:bodyPr/>
        <a:lstStyle/>
        <a:p>
          <a:pPr>
            <a:defRPr sz="1100" b="0" i="0" u="none" strike="noStrike" baseline="0">
              <a:solidFill>
                <a:srgbClr val="000000"/>
              </a:solidFill>
              <a:latin typeface="Times New Roman" panose="02020603050405020304" pitchFamily="18" charset="0"/>
              <a:ea typeface="Arial CE"/>
              <a:cs typeface="Times New Roman" panose="02020603050405020304" pitchFamily="18" charset="0"/>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Arial CE"/>
          <a:ea typeface="Arial CE"/>
          <a:cs typeface="Arial CE"/>
        </a:defRPr>
      </a:pPr>
      <a:endParaRPr lang="pl-PL"/>
    </a:p>
  </c:txPr>
  <c:externalData r:id="rId1">
    <c:autoUpdate val="0"/>
  </c:externalData>
  <c:userShapes r:id="rId2"/>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Arial CE"/>
                <a:ea typeface="Arial CE"/>
                <a:cs typeface="Arial CE"/>
              </a:defRPr>
            </a:pPr>
            <a:r>
              <a:rPr lang="pl-PL" sz="1200" b="1" i="0" u="none" strike="noStrike" baseline="0">
                <a:solidFill>
                  <a:srgbClr val="000000"/>
                </a:solidFill>
                <a:latin typeface="Times New Roman" panose="02020603050405020304" pitchFamily="18" charset="0"/>
                <a:cs typeface="Times New Roman" panose="02020603050405020304" pitchFamily="18" charset="0"/>
              </a:rPr>
              <a:t>Produkcja nawozów azotowych</a:t>
            </a:r>
            <a:r>
              <a:rPr lang="pl-PL" sz="1200" b="1" i="1" u="none" strike="noStrike" baseline="30000">
                <a:solidFill>
                  <a:srgbClr val="000000"/>
                </a:solidFill>
                <a:latin typeface="Times New Roman" panose="02020603050405020304" pitchFamily="18" charset="0"/>
                <a:cs typeface="Times New Roman" panose="02020603050405020304" pitchFamily="18" charset="0"/>
              </a:rPr>
              <a:t>a</a:t>
            </a:r>
            <a:endParaRPr lang="pl-PL" sz="1200" b="1" i="0" u="none" strike="noStrike" baseline="30000">
              <a:solidFill>
                <a:srgbClr val="000000"/>
              </a:solidFill>
              <a:latin typeface="Times New Roman" panose="02020603050405020304" pitchFamily="18" charset="0"/>
              <a:cs typeface="Times New Roman" panose="02020603050405020304" pitchFamily="18" charset="0"/>
            </a:endParaRPr>
          </a:p>
          <a:p>
            <a:pPr>
              <a:defRPr sz="1000" b="0" i="0" u="none" strike="noStrike" baseline="0">
                <a:solidFill>
                  <a:srgbClr val="000000"/>
                </a:solidFill>
                <a:latin typeface="Arial CE"/>
                <a:ea typeface="Arial CE"/>
                <a:cs typeface="Arial CE"/>
              </a:defRPr>
            </a:pPr>
            <a:r>
              <a:rPr lang="pl-PL" sz="1200" b="1" i="1" u="none" strike="noStrike" baseline="0">
                <a:solidFill>
                  <a:srgbClr val="000000"/>
                </a:solidFill>
                <a:latin typeface="Times New Roman" panose="02020603050405020304" pitchFamily="18" charset="0"/>
                <a:cs typeface="Times New Roman" panose="02020603050405020304" pitchFamily="18" charset="0"/>
              </a:rPr>
              <a:t>Production of nitrogenous fertilizers</a:t>
            </a:r>
            <a:r>
              <a:rPr lang="pl-PL" sz="1200" b="1" i="1" u="none" strike="noStrike" baseline="30000">
                <a:solidFill>
                  <a:srgbClr val="000000"/>
                </a:solidFill>
                <a:latin typeface="Times New Roman" panose="02020603050405020304" pitchFamily="18" charset="0"/>
                <a:cs typeface="Times New Roman" panose="02020603050405020304" pitchFamily="18" charset="0"/>
              </a:rPr>
              <a:t>a</a:t>
            </a:r>
            <a:r>
              <a:rPr lang="pl-PL" sz="1200" b="1" i="1" u="none" strike="noStrike" baseline="30000">
                <a:solidFill>
                  <a:srgbClr val="000000"/>
                </a:solidFill>
                <a:latin typeface="Arial CE"/>
                <a:cs typeface="Arial CE"/>
              </a:rPr>
              <a:t> </a:t>
            </a:r>
            <a:r>
              <a:rPr lang="pl-PL" sz="1200" b="1" i="1" u="none" strike="noStrike" baseline="0">
                <a:solidFill>
                  <a:srgbClr val="000000"/>
                </a:solidFill>
                <a:latin typeface="Arial CE"/>
                <a:cs typeface="Arial CE"/>
              </a:rPr>
              <a:t>  </a:t>
            </a:r>
            <a:r>
              <a:rPr lang="pl-PL" sz="1200" b="1" i="0" u="none" strike="noStrike" baseline="0">
                <a:solidFill>
                  <a:srgbClr val="000000"/>
                </a:solidFill>
                <a:latin typeface="Arial CE"/>
                <a:cs typeface="Arial CE"/>
              </a:rPr>
              <a:t> </a:t>
            </a:r>
            <a:endParaRPr lang="pl-PL"/>
          </a:p>
        </c:rich>
      </c:tx>
      <c:layout>
        <c:manualLayout>
          <c:xMode val="edge"/>
          <c:yMode val="edge"/>
          <c:x val="0.28047515905172044"/>
          <c:y val="3.8793991176634839E-2"/>
        </c:manualLayout>
      </c:layout>
      <c:overlay val="0"/>
      <c:spPr>
        <a:noFill/>
        <a:ln w="25400">
          <a:noFill/>
        </a:ln>
      </c:spPr>
    </c:title>
    <c:autoTitleDeleted val="0"/>
    <c:plotArea>
      <c:layout>
        <c:manualLayout>
          <c:layoutTarget val="inner"/>
          <c:xMode val="edge"/>
          <c:yMode val="edge"/>
          <c:x val="9.2233155455405946E-2"/>
          <c:y val="0.2104783039907068"/>
          <c:w val="0.87864216512781457"/>
          <c:h val="0.55476986653264082"/>
        </c:manualLayout>
      </c:layout>
      <c:lineChart>
        <c:grouping val="standard"/>
        <c:varyColors val="0"/>
        <c:ser>
          <c:idx val="0"/>
          <c:order val="0"/>
          <c:tx>
            <c:strRef>
              <c:f>'dane - wyroby'!$A$1</c:f>
              <c:strCache>
                <c:ptCount val="1"/>
                <c:pt idx="0">
                  <c:v>2010</c:v>
                </c:pt>
              </c:strCache>
            </c:strRef>
          </c:tx>
          <c:spPr>
            <a:ln w="12700">
              <a:solidFill>
                <a:schemeClr val="accent2">
                  <a:lumMod val="75000"/>
                </a:schemeClr>
              </a:solidFill>
              <a:prstDash val="solid"/>
            </a:ln>
          </c:spPr>
          <c:marker>
            <c:symbol val="circle"/>
            <c:size val="4"/>
            <c:spPr>
              <a:solidFill>
                <a:schemeClr val="accent2">
                  <a:lumMod val="75000"/>
                </a:schemeClr>
              </a:solidFill>
              <a:ln>
                <a:solidFill>
                  <a:schemeClr val="accent2">
                    <a:lumMod val="75000"/>
                  </a:schemeClr>
                </a:solidFill>
                <a:prstDash val="solid"/>
              </a:ln>
            </c:spPr>
          </c:marker>
          <c:dLbls>
            <c:dLbl>
              <c:idx val="0"/>
              <c:spPr>
                <a:noFill/>
                <a:ln w="25400">
                  <a:noFill/>
                </a:ln>
              </c:spPr>
              <c:txPr>
                <a:bodyPr/>
                <a:lstStyle/>
                <a:p>
                  <a:pPr algn="ctr" rtl="0">
                    <a:defRPr sz="1000" b="0" i="0" u="none" strike="noStrike" baseline="0">
                      <a:solidFill>
                        <a:srgbClr val="000000"/>
                      </a:solidFill>
                      <a:latin typeface="Arial CE"/>
                      <a:ea typeface="Arial CE"/>
                      <a:cs typeface="Arial CE"/>
                    </a:defRPr>
                  </a:pPr>
                  <a:endParaRPr lang="pl-PL"/>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wyroby'!$G$8:$S$8</c:f>
              <c:numCache>
                <c:formatCode>General</c:formatCode>
                <c:ptCount val="13"/>
                <c:pt idx="1">
                  <c:v>153</c:v>
                </c:pt>
                <c:pt idx="2">
                  <c:v>148</c:v>
                </c:pt>
                <c:pt idx="3">
                  <c:v>159</c:v>
                </c:pt>
                <c:pt idx="4">
                  <c:v>141</c:v>
                </c:pt>
                <c:pt idx="5">
                  <c:v>120</c:v>
                </c:pt>
                <c:pt idx="6">
                  <c:v>118</c:v>
                </c:pt>
                <c:pt idx="7">
                  <c:v>89.8</c:v>
                </c:pt>
                <c:pt idx="8">
                  <c:v>113</c:v>
                </c:pt>
                <c:pt idx="9">
                  <c:v>112</c:v>
                </c:pt>
                <c:pt idx="10">
                  <c:v>126</c:v>
                </c:pt>
                <c:pt idx="11">
                  <c:v>146</c:v>
                </c:pt>
                <c:pt idx="12">
                  <c:v>164</c:v>
                </c:pt>
              </c:numCache>
            </c:numRef>
          </c:val>
          <c:smooth val="0"/>
        </c:ser>
        <c:ser>
          <c:idx val="1"/>
          <c:order val="1"/>
          <c:tx>
            <c:strRef>
              <c:f>'dane - wyroby'!$B$1</c:f>
              <c:strCache>
                <c:ptCount val="1"/>
                <c:pt idx="0">
                  <c:v>2014</c:v>
                </c:pt>
              </c:strCache>
            </c:strRef>
          </c:tx>
          <c:spPr>
            <a:ln w="12700">
              <a:solidFill>
                <a:srgbClr val="FF0000"/>
              </a:solidFill>
              <a:prstDash val="solid"/>
            </a:ln>
          </c:spPr>
          <c:marker>
            <c:symbol val="triangle"/>
            <c:size val="4"/>
            <c:spPr>
              <a:solidFill>
                <a:srgbClr val="FF0000"/>
              </a:solidFill>
              <a:ln>
                <a:solidFill>
                  <a:srgbClr val="FF0000"/>
                </a:solidFill>
                <a:prstDash val="solid"/>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wyroby'!$T$8:$AF$8</c:f>
              <c:numCache>
                <c:formatCode>General</c:formatCode>
                <c:ptCount val="13"/>
                <c:pt idx="1">
                  <c:v>177</c:v>
                </c:pt>
                <c:pt idx="2">
                  <c:v>157</c:v>
                </c:pt>
                <c:pt idx="3">
                  <c:v>183</c:v>
                </c:pt>
                <c:pt idx="4">
                  <c:v>178</c:v>
                </c:pt>
                <c:pt idx="5">
                  <c:v>155</c:v>
                </c:pt>
                <c:pt idx="6">
                  <c:v>143</c:v>
                </c:pt>
                <c:pt idx="7">
                  <c:v>142</c:v>
                </c:pt>
                <c:pt idx="8">
                  <c:v>130</c:v>
                </c:pt>
                <c:pt idx="9">
                  <c:v>155</c:v>
                </c:pt>
                <c:pt idx="10">
                  <c:v>164</c:v>
                </c:pt>
                <c:pt idx="11">
                  <c:v>179</c:v>
                </c:pt>
                <c:pt idx="12">
                  <c:v>179</c:v>
                </c:pt>
              </c:numCache>
            </c:numRef>
          </c:val>
          <c:smooth val="0"/>
        </c:ser>
        <c:ser>
          <c:idx val="2"/>
          <c:order val="2"/>
          <c:tx>
            <c:strRef>
              <c:f>'dane - wyroby'!$C$1</c:f>
              <c:strCache>
                <c:ptCount val="1"/>
                <c:pt idx="0">
                  <c:v>2015</c:v>
                </c:pt>
              </c:strCache>
            </c:strRef>
          </c:tx>
          <c:spPr>
            <a:ln w="12700">
              <a:solidFill>
                <a:srgbClr val="008000"/>
              </a:solidFill>
              <a:prstDash val="solid"/>
            </a:ln>
          </c:spPr>
          <c:marker>
            <c:symbol val="square"/>
            <c:size val="3"/>
            <c:spPr>
              <a:solidFill>
                <a:srgbClr val="008000"/>
              </a:solidFill>
              <a:ln>
                <a:solidFill>
                  <a:srgbClr val="008000"/>
                </a:solidFill>
                <a:prstDash val="solid"/>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wyroby'!$AG$8:$AS$8</c:f>
              <c:numCache>
                <c:formatCode>General</c:formatCode>
                <c:ptCount val="13"/>
                <c:pt idx="1">
                  <c:v>182</c:v>
                </c:pt>
                <c:pt idx="2">
                  <c:v>162</c:v>
                </c:pt>
                <c:pt idx="3">
                  <c:v>191</c:v>
                </c:pt>
                <c:pt idx="4">
                  <c:v>177</c:v>
                </c:pt>
                <c:pt idx="5">
                  <c:v>175</c:v>
                </c:pt>
                <c:pt idx="6">
                  <c:v>123</c:v>
                </c:pt>
                <c:pt idx="7">
                  <c:v>158</c:v>
                </c:pt>
                <c:pt idx="8">
                  <c:v>120</c:v>
                </c:pt>
                <c:pt idx="9">
                  <c:v>168</c:v>
                </c:pt>
                <c:pt idx="10">
                  <c:v>174</c:v>
                </c:pt>
                <c:pt idx="11">
                  <c:v>179</c:v>
                </c:pt>
                <c:pt idx="12">
                  <c:v>196</c:v>
                </c:pt>
              </c:numCache>
            </c:numRef>
          </c:val>
          <c:smooth val="0"/>
        </c:ser>
        <c:ser>
          <c:idx val="3"/>
          <c:order val="3"/>
          <c:tx>
            <c:strRef>
              <c:f>'dane - wyroby'!$D$1</c:f>
              <c:strCache>
                <c:ptCount val="1"/>
                <c:pt idx="0">
                  <c:v>2016</c:v>
                </c:pt>
              </c:strCache>
            </c:strRef>
          </c:tx>
          <c:spPr>
            <a:ln w="12700">
              <a:solidFill>
                <a:srgbClr val="9900FF"/>
              </a:solidFill>
              <a:prstDash val="solid"/>
            </a:ln>
          </c:spPr>
          <c:marker>
            <c:symbol val="diamond"/>
            <c:size val="4"/>
            <c:spPr>
              <a:solidFill>
                <a:srgbClr val="9900FF"/>
              </a:solidFill>
              <a:ln>
                <a:solidFill>
                  <a:srgbClr val="9900FF"/>
                </a:solidFill>
                <a:prstDash val="solid"/>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wyroby'!$AT$8:$BF$8</c:f>
              <c:numCache>
                <c:formatCode>General</c:formatCode>
                <c:ptCount val="13"/>
                <c:pt idx="1">
                  <c:v>180</c:v>
                </c:pt>
                <c:pt idx="2">
                  <c:v>169</c:v>
                </c:pt>
                <c:pt idx="3">
                  <c:v>187</c:v>
                </c:pt>
                <c:pt idx="4">
                  <c:v>175</c:v>
                </c:pt>
                <c:pt idx="5">
                  <c:v>176</c:v>
                </c:pt>
                <c:pt idx="6">
                  <c:v>129</c:v>
                </c:pt>
                <c:pt idx="7">
                  <c:v>108</c:v>
                </c:pt>
                <c:pt idx="8">
                  <c:v>143</c:v>
                </c:pt>
                <c:pt idx="9">
                  <c:v>154</c:v>
                </c:pt>
                <c:pt idx="10">
                  <c:v>167</c:v>
                </c:pt>
                <c:pt idx="11">
                  <c:v>183</c:v>
                </c:pt>
                <c:pt idx="12">
                  <c:v>199</c:v>
                </c:pt>
              </c:numCache>
            </c:numRef>
          </c:val>
          <c:smooth val="0"/>
        </c:ser>
        <c:ser>
          <c:idx val="4"/>
          <c:order val="4"/>
          <c:tx>
            <c:strRef>
              <c:f>'dane - wyroby'!$E$1</c:f>
              <c:strCache>
                <c:ptCount val="1"/>
                <c:pt idx="0">
                  <c:v>2017</c:v>
                </c:pt>
              </c:strCache>
            </c:strRef>
          </c:tx>
          <c:spPr>
            <a:ln w="25400">
              <a:solidFill>
                <a:srgbClr val="0000FF"/>
              </a:solidFill>
            </a:ln>
          </c:spPr>
          <c:marker>
            <c:symbol val="triangle"/>
            <c:size val="5"/>
            <c:spPr>
              <a:solidFill>
                <a:srgbClr val="0000FF"/>
              </a:solidFill>
              <a:ln>
                <a:solidFill>
                  <a:srgbClr val="0000FF"/>
                </a:solidFill>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wyroby'!$BG$8:$BS$8</c:f>
              <c:numCache>
                <c:formatCode>General</c:formatCode>
                <c:ptCount val="13"/>
                <c:pt idx="1">
                  <c:v>182</c:v>
                </c:pt>
                <c:pt idx="2">
                  <c:v>171</c:v>
                </c:pt>
                <c:pt idx="3">
                  <c:v>190</c:v>
                </c:pt>
                <c:pt idx="4">
                  <c:v>186</c:v>
                </c:pt>
                <c:pt idx="5">
                  <c:v>183</c:v>
                </c:pt>
                <c:pt idx="6">
                  <c:v>133</c:v>
                </c:pt>
              </c:numCache>
            </c:numRef>
          </c:val>
          <c:smooth val="0"/>
        </c:ser>
        <c:dLbls>
          <c:showLegendKey val="0"/>
          <c:showVal val="0"/>
          <c:showCatName val="0"/>
          <c:showSerName val="0"/>
          <c:showPercent val="0"/>
          <c:showBubbleSize val="0"/>
        </c:dLbls>
        <c:marker val="1"/>
        <c:smooth val="0"/>
        <c:axId val="-980531376"/>
        <c:axId val="-980530832"/>
        <c:extLst>
          <c:ext xmlns:c15="http://schemas.microsoft.com/office/drawing/2012/chart" uri="{02D57815-91ED-43cb-92C2-25804820EDAC}">
            <c15:filteredLineSeries>
              <c15:ser>
                <c:idx val="5"/>
                <c:order val="5"/>
                <c:tx>
                  <c:strRef>
                    <c:extLst>
                      <c:ext uri="{02D57815-91ED-43cb-92C2-25804820EDAC}">
                        <c15:formulaRef>
                          <c15:sqref>'dane - wyroby'!$F$1</c15:sqref>
                        </c15:formulaRef>
                      </c:ext>
                    </c:extLst>
                    <c:strCache>
                      <c:ptCount val="1"/>
                    </c:strCache>
                  </c:strRef>
                </c:tx>
                <c:spPr>
                  <a:ln>
                    <a:solidFill>
                      <a:srgbClr val="0000FF"/>
                    </a:solidFill>
                  </a:ln>
                </c:spPr>
                <c:marker>
                  <c:symbol val="square"/>
                  <c:size val="4"/>
                  <c:spPr>
                    <a:solidFill>
                      <a:srgbClr val="0000FF"/>
                    </a:solidFill>
                    <a:ln>
                      <a:solidFill>
                        <a:srgbClr val="0000FF"/>
                      </a:solidFill>
                    </a:ln>
                  </c:spPr>
                </c:marker>
                <c:val>
                  <c:numRef>
                    <c:extLst>
                      <c:ext uri="{02D57815-91ED-43cb-92C2-25804820EDAC}">
                        <c15:formulaRef>
                          <c15:sqref>'dane - wyroby'!$BT$8:$CF$8</c15:sqref>
                        </c15:formulaRef>
                      </c:ext>
                    </c:extLst>
                    <c:numCache>
                      <c:formatCode>General</c:formatCode>
                      <c:ptCount val="13"/>
                    </c:numCache>
                  </c:numRef>
                </c:val>
                <c:smooth val="0"/>
              </c15:ser>
            </c15:filteredLineSeries>
          </c:ext>
        </c:extLst>
      </c:lineChart>
      <c:catAx>
        <c:axId val="-980531376"/>
        <c:scaling>
          <c:orientation val="minMax"/>
        </c:scaling>
        <c:delete val="0"/>
        <c:axPos val="b"/>
        <c:title>
          <c:tx>
            <c:rich>
              <a:bodyPr/>
              <a:lstStyle/>
              <a:p>
                <a:pPr>
                  <a:defRPr sz="1100" b="0" i="0" u="none" strike="noStrike" baseline="0">
                    <a:solidFill>
                      <a:srgbClr val="000000"/>
                    </a:solidFill>
                    <a:latin typeface="Times New Roman" panose="02020603050405020304" pitchFamily="18" charset="0"/>
                    <a:ea typeface="Calibri"/>
                    <a:cs typeface="Times New Roman" panose="02020603050405020304" pitchFamily="18" charset="0"/>
                  </a:defRPr>
                </a:pPr>
                <a:r>
                  <a:rPr lang="pl-PL" sz="1100" b="0" i="0" u="none" strike="noStrike" baseline="0">
                    <a:solidFill>
                      <a:srgbClr val="000000"/>
                    </a:solidFill>
                    <a:latin typeface="Times New Roman" panose="02020603050405020304" pitchFamily="18" charset="0"/>
                    <a:cs typeface="Times New Roman" panose="02020603050405020304" pitchFamily="18" charset="0"/>
                  </a:rPr>
                  <a:t>miesiące      </a:t>
                </a:r>
                <a:r>
                  <a:rPr lang="pl-PL" sz="1100" b="0" i="1" u="none" strike="noStrike" baseline="0">
                    <a:solidFill>
                      <a:srgbClr val="000000"/>
                    </a:solidFill>
                    <a:latin typeface="Times New Roman" panose="02020603050405020304" pitchFamily="18" charset="0"/>
                    <a:cs typeface="Times New Roman" panose="02020603050405020304" pitchFamily="18" charset="0"/>
                  </a:rPr>
                  <a:t>months</a:t>
                </a:r>
                <a:endParaRPr lang="pl-PL" sz="1100">
                  <a:latin typeface="Times New Roman" panose="02020603050405020304" pitchFamily="18" charset="0"/>
                  <a:cs typeface="Times New Roman" panose="02020603050405020304" pitchFamily="18" charset="0"/>
                </a:endParaRPr>
              </a:p>
            </c:rich>
          </c:tx>
          <c:layout>
            <c:manualLayout>
              <c:xMode val="edge"/>
              <c:yMode val="edge"/>
              <c:x val="0.42125202796252409"/>
              <c:y val="0.83404255319148934"/>
            </c:manualLayout>
          </c:layout>
          <c:overlay val="0"/>
          <c:spPr>
            <a:noFill/>
            <a:ln w="25400">
              <a:noFill/>
            </a:ln>
          </c:spPr>
        </c:title>
        <c:numFmt formatCode="General" sourceLinked="1"/>
        <c:majorTickMark val="out"/>
        <c:minorTickMark val="none"/>
        <c:tickLblPos val="nextTo"/>
        <c:spPr>
          <a:ln w="12700">
            <a:solidFill>
              <a:srgbClr val="000000"/>
            </a:solidFill>
            <a:prstDash val="solid"/>
          </a:ln>
        </c:spPr>
        <c:txPr>
          <a:bodyPr rot="0" vert="horz"/>
          <a:lstStyle/>
          <a:p>
            <a:pPr>
              <a:defRPr sz="1100" b="0" i="0" u="none" strike="noStrike" baseline="0">
                <a:solidFill>
                  <a:srgbClr val="000000"/>
                </a:solidFill>
                <a:latin typeface="Times New Roman" panose="02020603050405020304" pitchFamily="18" charset="0"/>
                <a:ea typeface="Arial CE"/>
                <a:cs typeface="Times New Roman" panose="02020603050405020304" pitchFamily="18" charset="0"/>
              </a:defRPr>
            </a:pPr>
            <a:endParaRPr lang="pl-PL"/>
          </a:p>
        </c:txPr>
        <c:crossAx val="-980530832"/>
        <c:crossesAt val="80"/>
        <c:auto val="0"/>
        <c:lblAlgn val="ctr"/>
        <c:lblOffset val="100"/>
        <c:tickLblSkip val="1"/>
        <c:tickMarkSkip val="1"/>
        <c:noMultiLvlLbl val="0"/>
      </c:catAx>
      <c:valAx>
        <c:axId val="-980530832"/>
        <c:scaling>
          <c:orientation val="minMax"/>
          <c:max val="200"/>
          <c:min val="80"/>
        </c:scaling>
        <c:delete val="0"/>
        <c:axPos val="l"/>
        <c:majorGridlines>
          <c:spPr>
            <a:ln w="3175">
              <a:solidFill>
                <a:srgbClr val="000000"/>
              </a:solidFill>
              <a:prstDash val="dash"/>
            </a:ln>
          </c:spPr>
        </c:majorGridlines>
        <c:numFmt formatCode="General" sourceLinked="1"/>
        <c:majorTickMark val="out"/>
        <c:minorTickMark val="none"/>
        <c:tickLblPos val="nextTo"/>
        <c:spPr>
          <a:ln w="12700">
            <a:solidFill>
              <a:srgbClr val="000000"/>
            </a:solidFill>
            <a:prstDash val="solid"/>
          </a:ln>
        </c:spPr>
        <c:txPr>
          <a:bodyPr rot="0" vert="horz"/>
          <a:lstStyle/>
          <a:p>
            <a:pPr>
              <a:defRPr sz="1100" b="0" i="0" u="none" strike="noStrike" baseline="0">
                <a:solidFill>
                  <a:srgbClr val="000000"/>
                </a:solidFill>
                <a:latin typeface="Times New Roman" panose="02020603050405020304" pitchFamily="18" charset="0"/>
                <a:ea typeface="Arial CE"/>
                <a:cs typeface="Times New Roman" panose="02020603050405020304" pitchFamily="18" charset="0"/>
              </a:defRPr>
            </a:pPr>
            <a:endParaRPr lang="pl-PL"/>
          </a:p>
        </c:txPr>
        <c:crossAx val="-980531376"/>
        <c:crosses val="autoZero"/>
        <c:crossBetween val="midCat"/>
        <c:majorUnit val="20"/>
      </c:valAx>
      <c:spPr>
        <a:noFill/>
        <a:ln w="25400">
          <a:noFill/>
        </a:ln>
      </c:spPr>
    </c:plotArea>
    <c:legend>
      <c:legendPos val="b"/>
      <c:layout>
        <c:manualLayout>
          <c:xMode val="edge"/>
          <c:yMode val="edge"/>
          <c:x val="0.14778890502764822"/>
          <c:y val="0.900709219858156"/>
          <c:w val="0.76634304207119741"/>
          <c:h val="5.122868152119283E-2"/>
        </c:manualLayout>
      </c:layout>
      <c:overlay val="0"/>
      <c:spPr>
        <a:solidFill>
          <a:srgbClr val="FFFFFF"/>
        </a:solidFill>
        <a:ln w="25400">
          <a:noFill/>
        </a:ln>
      </c:spPr>
      <c:txPr>
        <a:bodyPr/>
        <a:lstStyle/>
        <a:p>
          <a:pPr>
            <a:defRPr sz="1100" b="0" i="0" u="none" strike="noStrike" baseline="0">
              <a:solidFill>
                <a:srgbClr val="000000"/>
              </a:solidFill>
              <a:latin typeface="Times New Roman" panose="02020603050405020304" pitchFamily="18" charset="0"/>
              <a:ea typeface="Arial CE"/>
              <a:cs typeface="Times New Roman" panose="02020603050405020304" pitchFamily="18" charset="0"/>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Arial CE"/>
          <a:ea typeface="Arial CE"/>
          <a:cs typeface="Arial CE"/>
        </a:defRPr>
      </a:pPr>
      <a:endParaRPr lang="pl-PL"/>
    </a:p>
  </c:txPr>
  <c:externalData r:id="rId1">
    <c:autoUpdate val="0"/>
  </c:externalData>
  <c:userShapes r:id="rId2"/>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Arial CE"/>
                <a:ea typeface="Arial CE"/>
                <a:cs typeface="Arial CE"/>
              </a:defRPr>
            </a:pPr>
            <a:r>
              <a:rPr lang="pl-PL" sz="1200" b="1" i="0" u="none" strike="noStrike" baseline="0">
                <a:solidFill>
                  <a:srgbClr val="000000"/>
                </a:solidFill>
                <a:latin typeface="Times New Roman" panose="02020603050405020304" pitchFamily="18" charset="0"/>
                <a:cs typeface="Times New Roman" panose="02020603050405020304" pitchFamily="18" charset="0"/>
              </a:rPr>
              <a:t>Produkcja nawozów fosforowych</a:t>
            </a:r>
            <a:r>
              <a:rPr lang="pl-PL" sz="1200" b="1" i="1" u="none" strike="noStrike" baseline="30000">
                <a:solidFill>
                  <a:srgbClr val="000000"/>
                </a:solidFill>
                <a:latin typeface="Times New Roman" panose="02020603050405020304" pitchFamily="18" charset="0"/>
                <a:cs typeface="Times New Roman" panose="02020603050405020304" pitchFamily="18" charset="0"/>
              </a:rPr>
              <a:t>a</a:t>
            </a:r>
            <a:endParaRPr lang="pl-PL" sz="1200" b="1" i="0" u="none" strike="noStrike" baseline="30000">
              <a:solidFill>
                <a:srgbClr val="000000"/>
              </a:solidFill>
              <a:latin typeface="Times New Roman" panose="02020603050405020304" pitchFamily="18" charset="0"/>
              <a:cs typeface="Times New Roman" panose="02020603050405020304" pitchFamily="18" charset="0"/>
            </a:endParaRPr>
          </a:p>
          <a:p>
            <a:pPr>
              <a:defRPr sz="1000" b="0" i="0" u="none" strike="noStrike" baseline="0">
                <a:solidFill>
                  <a:srgbClr val="000000"/>
                </a:solidFill>
                <a:latin typeface="Arial CE"/>
                <a:ea typeface="Arial CE"/>
                <a:cs typeface="Arial CE"/>
              </a:defRPr>
            </a:pPr>
            <a:r>
              <a:rPr lang="pl-PL" sz="1200" b="1" i="1" u="none" strike="noStrike" baseline="0">
                <a:solidFill>
                  <a:srgbClr val="000000"/>
                </a:solidFill>
                <a:latin typeface="Times New Roman" panose="02020603050405020304" pitchFamily="18" charset="0"/>
                <a:cs typeface="Times New Roman" panose="02020603050405020304" pitchFamily="18" charset="0"/>
              </a:rPr>
              <a:t>Production of phosphatic fertilizers</a:t>
            </a:r>
            <a:r>
              <a:rPr lang="pl-PL" sz="1200" b="1" i="1" u="none" strike="noStrike" baseline="30000">
                <a:solidFill>
                  <a:srgbClr val="000000"/>
                </a:solidFill>
                <a:latin typeface="Times New Roman" panose="02020603050405020304" pitchFamily="18" charset="0"/>
                <a:cs typeface="Times New Roman" panose="02020603050405020304" pitchFamily="18" charset="0"/>
              </a:rPr>
              <a:t>a</a:t>
            </a:r>
            <a:r>
              <a:rPr lang="pl-PL" sz="1200" b="1" i="1" u="none" strike="noStrike" baseline="0">
                <a:solidFill>
                  <a:srgbClr val="000000"/>
                </a:solidFill>
                <a:latin typeface="Times New Roman" panose="02020603050405020304" pitchFamily="18" charset="0"/>
                <a:cs typeface="Times New Roman" panose="02020603050405020304" pitchFamily="18" charset="0"/>
              </a:rPr>
              <a:t> </a:t>
            </a:r>
            <a:r>
              <a:rPr lang="pl-PL" sz="1200" b="1" i="0" u="none" strike="noStrike" baseline="0">
                <a:solidFill>
                  <a:srgbClr val="000000"/>
                </a:solidFill>
                <a:latin typeface="Times New Roman" panose="02020603050405020304" pitchFamily="18" charset="0"/>
                <a:cs typeface="Times New Roman" panose="02020603050405020304" pitchFamily="18" charset="0"/>
              </a:rPr>
              <a:t> </a:t>
            </a:r>
            <a:endParaRPr lang="pl-PL">
              <a:latin typeface="Times New Roman" panose="02020603050405020304" pitchFamily="18" charset="0"/>
              <a:cs typeface="Times New Roman" panose="02020603050405020304" pitchFamily="18" charset="0"/>
            </a:endParaRPr>
          </a:p>
        </c:rich>
      </c:tx>
      <c:layout>
        <c:manualLayout>
          <c:xMode val="edge"/>
          <c:yMode val="edge"/>
          <c:x val="0.29153094462540718"/>
          <c:y val="9.5785440613026813E-3"/>
        </c:manualLayout>
      </c:layout>
      <c:overlay val="0"/>
      <c:spPr>
        <a:noFill/>
        <a:ln w="25400">
          <a:noFill/>
        </a:ln>
      </c:spPr>
    </c:title>
    <c:autoTitleDeleted val="0"/>
    <c:plotArea>
      <c:layout>
        <c:manualLayout>
          <c:layoutTarget val="inner"/>
          <c:xMode val="edge"/>
          <c:yMode val="edge"/>
          <c:x val="8.7947839853351667E-2"/>
          <c:y val="0.18199272580010467"/>
          <c:w val="0.88273615635179148"/>
          <c:h val="0.54227659395682881"/>
        </c:manualLayout>
      </c:layout>
      <c:lineChart>
        <c:grouping val="standard"/>
        <c:varyColors val="0"/>
        <c:ser>
          <c:idx val="0"/>
          <c:order val="0"/>
          <c:tx>
            <c:strRef>
              <c:f>'dane - wyroby'!$A$1</c:f>
              <c:strCache>
                <c:ptCount val="1"/>
                <c:pt idx="0">
                  <c:v>2010</c:v>
                </c:pt>
              </c:strCache>
            </c:strRef>
          </c:tx>
          <c:spPr>
            <a:ln w="12700">
              <a:solidFill>
                <a:schemeClr val="accent2">
                  <a:lumMod val="75000"/>
                </a:schemeClr>
              </a:solidFill>
              <a:prstDash val="solid"/>
            </a:ln>
          </c:spPr>
          <c:marker>
            <c:symbol val="circle"/>
            <c:size val="4"/>
            <c:spPr>
              <a:solidFill>
                <a:schemeClr val="accent2">
                  <a:lumMod val="75000"/>
                </a:schemeClr>
              </a:solidFill>
              <a:ln>
                <a:solidFill>
                  <a:schemeClr val="accent2">
                    <a:lumMod val="75000"/>
                  </a:schemeClr>
                </a:solidFill>
                <a:prstDash val="solid"/>
              </a:ln>
            </c:spPr>
          </c:marker>
          <c:dLbls>
            <c:dLbl>
              <c:idx val="0"/>
              <c:spPr>
                <a:noFill/>
                <a:ln w="25400">
                  <a:noFill/>
                </a:ln>
              </c:spPr>
              <c:txPr>
                <a:bodyPr/>
                <a:lstStyle/>
                <a:p>
                  <a:pPr algn="ctr" rtl="0">
                    <a:defRPr sz="1000" b="0" i="0" u="none" strike="noStrike" baseline="0">
                      <a:solidFill>
                        <a:srgbClr val="000000"/>
                      </a:solidFill>
                      <a:latin typeface="Arial CE"/>
                      <a:ea typeface="Arial CE"/>
                      <a:cs typeface="Arial CE"/>
                    </a:defRPr>
                  </a:pPr>
                  <a:endParaRPr lang="pl-PL"/>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wyroby'!$G$10:$S$10</c:f>
              <c:numCache>
                <c:formatCode>General</c:formatCode>
                <c:ptCount val="13"/>
                <c:pt idx="1">
                  <c:v>33.799999999999997</c:v>
                </c:pt>
                <c:pt idx="2">
                  <c:v>38.9</c:v>
                </c:pt>
                <c:pt idx="3">
                  <c:v>40.9</c:v>
                </c:pt>
                <c:pt idx="4">
                  <c:v>36.799999999999997</c:v>
                </c:pt>
                <c:pt idx="5">
                  <c:v>32.799999999999997</c:v>
                </c:pt>
                <c:pt idx="6">
                  <c:v>37.5</c:v>
                </c:pt>
                <c:pt idx="7">
                  <c:v>38</c:v>
                </c:pt>
                <c:pt idx="8">
                  <c:v>50.6</c:v>
                </c:pt>
                <c:pt idx="9">
                  <c:v>39.5</c:v>
                </c:pt>
                <c:pt idx="10">
                  <c:v>39.799999999999997</c:v>
                </c:pt>
                <c:pt idx="11">
                  <c:v>46.7</c:v>
                </c:pt>
                <c:pt idx="12">
                  <c:v>42.8</c:v>
                </c:pt>
              </c:numCache>
            </c:numRef>
          </c:val>
          <c:smooth val="0"/>
        </c:ser>
        <c:ser>
          <c:idx val="1"/>
          <c:order val="1"/>
          <c:tx>
            <c:strRef>
              <c:f>'dane - wyroby'!$B$1</c:f>
              <c:strCache>
                <c:ptCount val="1"/>
                <c:pt idx="0">
                  <c:v>2014</c:v>
                </c:pt>
              </c:strCache>
            </c:strRef>
          </c:tx>
          <c:spPr>
            <a:ln w="12700">
              <a:solidFill>
                <a:srgbClr val="FF0000"/>
              </a:solidFill>
              <a:prstDash val="solid"/>
            </a:ln>
          </c:spPr>
          <c:marker>
            <c:symbol val="triangle"/>
            <c:size val="4"/>
            <c:spPr>
              <a:solidFill>
                <a:srgbClr val="FF0000"/>
              </a:solidFill>
              <a:ln>
                <a:solidFill>
                  <a:srgbClr val="FF0000"/>
                </a:solidFill>
                <a:prstDash val="solid"/>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wyroby'!$T$10:$AF$10</c:f>
              <c:numCache>
                <c:formatCode>General</c:formatCode>
                <c:ptCount val="13"/>
                <c:pt idx="1">
                  <c:v>28.6</c:v>
                </c:pt>
                <c:pt idx="2">
                  <c:v>23</c:v>
                </c:pt>
                <c:pt idx="3">
                  <c:v>41.7</c:v>
                </c:pt>
                <c:pt idx="4">
                  <c:v>43.7</c:v>
                </c:pt>
                <c:pt idx="5">
                  <c:v>35.299999999999997</c:v>
                </c:pt>
                <c:pt idx="6">
                  <c:v>36.9</c:v>
                </c:pt>
                <c:pt idx="7">
                  <c:v>35.9</c:v>
                </c:pt>
                <c:pt idx="8">
                  <c:v>35.799999999999997</c:v>
                </c:pt>
                <c:pt idx="9">
                  <c:v>29.4</c:v>
                </c:pt>
                <c:pt idx="10">
                  <c:v>29.2</c:v>
                </c:pt>
                <c:pt idx="11">
                  <c:v>35.799999999999997</c:v>
                </c:pt>
                <c:pt idx="12">
                  <c:v>33.1</c:v>
                </c:pt>
              </c:numCache>
            </c:numRef>
          </c:val>
          <c:smooth val="0"/>
        </c:ser>
        <c:ser>
          <c:idx val="2"/>
          <c:order val="2"/>
          <c:tx>
            <c:strRef>
              <c:f>'dane - wyroby'!$C$1</c:f>
              <c:strCache>
                <c:ptCount val="1"/>
                <c:pt idx="0">
                  <c:v>2015</c:v>
                </c:pt>
              </c:strCache>
            </c:strRef>
          </c:tx>
          <c:spPr>
            <a:ln w="12700">
              <a:solidFill>
                <a:srgbClr val="008000"/>
              </a:solidFill>
              <a:prstDash val="solid"/>
            </a:ln>
          </c:spPr>
          <c:marker>
            <c:symbol val="square"/>
            <c:size val="3"/>
            <c:spPr>
              <a:solidFill>
                <a:srgbClr val="008000"/>
              </a:solidFill>
              <a:ln>
                <a:solidFill>
                  <a:srgbClr val="008000"/>
                </a:solidFill>
                <a:prstDash val="solid"/>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wyroby'!$AG$10:$AS$10</c:f>
              <c:numCache>
                <c:formatCode>General</c:formatCode>
                <c:ptCount val="13"/>
                <c:pt idx="1">
                  <c:v>39.299999999999997</c:v>
                </c:pt>
                <c:pt idx="2">
                  <c:v>34.4</c:v>
                </c:pt>
                <c:pt idx="3">
                  <c:v>44.8</c:v>
                </c:pt>
                <c:pt idx="4">
                  <c:v>41.3</c:v>
                </c:pt>
                <c:pt idx="5">
                  <c:v>31.2</c:v>
                </c:pt>
                <c:pt idx="6">
                  <c:v>45.7</c:v>
                </c:pt>
                <c:pt idx="7">
                  <c:v>46.9</c:v>
                </c:pt>
                <c:pt idx="8">
                  <c:v>42</c:v>
                </c:pt>
                <c:pt idx="9">
                  <c:v>33.200000000000003</c:v>
                </c:pt>
                <c:pt idx="10">
                  <c:v>39.4</c:v>
                </c:pt>
                <c:pt idx="11">
                  <c:v>36</c:v>
                </c:pt>
                <c:pt idx="12">
                  <c:v>34.6</c:v>
                </c:pt>
              </c:numCache>
            </c:numRef>
          </c:val>
          <c:smooth val="0"/>
        </c:ser>
        <c:ser>
          <c:idx val="3"/>
          <c:order val="3"/>
          <c:tx>
            <c:strRef>
              <c:f>'dane - wyroby'!$D$1</c:f>
              <c:strCache>
                <c:ptCount val="1"/>
                <c:pt idx="0">
                  <c:v>2016</c:v>
                </c:pt>
              </c:strCache>
            </c:strRef>
          </c:tx>
          <c:spPr>
            <a:ln w="12700">
              <a:solidFill>
                <a:srgbClr val="9900FF"/>
              </a:solidFill>
              <a:prstDash val="solid"/>
            </a:ln>
          </c:spPr>
          <c:marker>
            <c:symbol val="diamond"/>
            <c:size val="4"/>
            <c:spPr>
              <a:solidFill>
                <a:srgbClr val="9900FF"/>
              </a:solidFill>
              <a:ln>
                <a:solidFill>
                  <a:srgbClr val="9900FF"/>
                </a:solidFill>
                <a:prstDash val="solid"/>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wyroby'!$AT$10:$BF$10</c:f>
              <c:numCache>
                <c:formatCode>General</c:formatCode>
                <c:ptCount val="13"/>
                <c:pt idx="1">
                  <c:v>39.4</c:v>
                </c:pt>
                <c:pt idx="2">
                  <c:v>36.9</c:v>
                </c:pt>
                <c:pt idx="3">
                  <c:v>46</c:v>
                </c:pt>
                <c:pt idx="4">
                  <c:v>43.1</c:v>
                </c:pt>
                <c:pt idx="5">
                  <c:v>47.8</c:v>
                </c:pt>
                <c:pt idx="6">
                  <c:v>38.9</c:v>
                </c:pt>
                <c:pt idx="7">
                  <c:v>41.7</c:v>
                </c:pt>
                <c:pt idx="8">
                  <c:v>29.9</c:v>
                </c:pt>
                <c:pt idx="9">
                  <c:v>31.1</c:v>
                </c:pt>
                <c:pt idx="10">
                  <c:v>33.4</c:v>
                </c:pt>
                <c:pt idx="11">
                  <c:v>36.700000000000003</c:v>
                </c:pt>
                <c:pt idx="12">
                  <c:v>45.6</c:v>
                </c:pt>
              </c:numCache>
            </c:numRef>
          </c:val>
          <c:smooth val="0"/>
        </c:ser>
        <c:ser>
          <c:idx val="4"/>
          <c:order val="4"/>
          <c:tx>
            <c:strRef>
              <c:f>'dane - wyroby'!$E$1</c:f>
              <c:strCache>
                <c:ptCount val="1"/>
                <c:pt idx="0">
                  <c:v>2017</c:v>
                </c:pt>
              </c:strCache>
            </c:strRef>
          </c:tx>
          <c:spPr>
            <a:ln w="25400">
              <a:solidFill>
                <a:srgbClr val="0000FF"/>
              </a:solidFill>
            </a:ln>
          </c:spPr>
          <c:marker>
            <c:symbol val="triangle"/>
            <c:size val="5"/>
            <c:spPr>
              <a:solidFill>
                <a:srgbClr val="0000FF"/>
              </a:solidFill>
              <a:ln>
                <a:solidFill>
                  <a:srgbClr val="0000FF"/>
                </a:solidFill>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wyroby'!$BG$10:$BS$10</c:f>
              <c:numCache>
                <c:formatCode>General</c:formatCode>
                <c:ptCount val="13"/>
                <c:pt idx="1">
                  <c:v>46.3</c:v>
                </c:pt>
                <c:pt idx="2">
                  <c:v>37.6</c:v>
                </c:pt>
                <c:pt idx="3">
                  <c:v>42.5</c:v>
                </c:pt>
                <c:pt idx="4">
                  <c:v>43.7</c:v>
                </c:pt>
                <c:pt idx="5">
                  <c:v>41.5</c:v>
                </c:pt>
                <c:pt idx="6">
                  <c:v>29.6</c:v>
                </c:pt>
              </c:numCache>
            </c:numRef>
          </c:val>
          <c:smooth val="0"/>
        </c:ser>
        <c:dLbls>
          <c:showLegendKey val="0"/>
          <c:showVal val="0"/>
          <c:showCatName val="0"/>
          <c:showSerName val="0"/>
          <c:showPercent val="0"/>
          <c:showBubbleSize val="0"/>
        </c:dLbls>
        <c:marker val="1"/>
        <c:smooth val="0"/>
        <c:axId val="-974638944"/>
        <c:axId val="-974634048"/>
        <c:extLst>
          <c:ext xmlns:c15="http://schemas.microsoft.com/office/drawing/2012/chart" uri="{02D57815-91ED-43cb-92C2-25804820EDAC}">
            <c15:filteredLineSeries>
              <c15:ser>
                <c:idx val="5"/>
                <c:order val="5"/>
                <c:tx>
                  <c:strRef>
                    <c:extLst>
                      <c:ext uri="{02D57815-91ED-43cb-92C2-25804820EDAC}">
                        <c15:formulaRef>
                          <c15:sqref>'dane - wyroby'!$F$1</c15:sqref>
                        </c15:formulaRef>
                      </c:ext>
                    </c:extLst>
                    <c:strCache>
                      <c:ptCount val="1"/>
                    </c:strCache>
                  </c:strRef>
                </c:tx>
                <c:spPr>
                  <a:ln>
                    <a:solidFill>
                      <a:srgbClr val="0000FF"/>
                    </a:solidFill>
                  </a:ln>
                </c:spPr>
                <c:marker>
                  <c:symbol val="square"/>
                  <c:size val="4"/>
                  <c:spPr>
                    <a:solidFill>
                      <a:srgbClr val="0000FF"/>
                    </a:solidFill>
                    <a:ln>
                      <a:solidFill>
                        <a:srgbClr val="0000FF"/>
                      </a:solidFill>
                    </a:ln>
                  </c:spPr>
                </c:marker>
                <c:val>
                  <c:numRef>
                    <c:extLst>
                      <c:ext uri="{02D57815-91ED-43cb-92C2-25804820EDAC}">
                        <c15:formulaRef>
                          <c15:sqref>'dane - wyroby'!$BT$10:$CF$10</c15:sqref>
                        </c15:formulaRef>
                      </c:ext>
                    </c:extLst>
                    <c:numCache>
                      <c:formatCode>General</c:formatCode>
                      <c:ptCount val="13"/>
                    </c:numCache>
                  </c:numRef>
                </c:val>
                <c:smooth val="0"/>
              </c15:ser>
            </c15:filteredLineSeries>
          </c:ext>
        </c:extLst>
      </c:lineChart>
      <c:catAx>
        <c:axId val="-974638944"/>
        <c:scaling>
          <c:orientation val="minMax"/>
        </c:scaling>
        <c:delete val="0"/>
        <c:axPos val="b"/>
        <c:title>
          <c:tx>
            <c:rich>
              <a:bodyPr/>
              <a:lstStyle/>
              <a:p>
                <a:pPr>
                  <a:defRPr sz="1100" b="0" i="0" u="none" strike="noStrike" baseline="0">
                    <a:solidFill>
                      <a:srgbClr val="000000"/>
                    </a:solidFill>
                    <a:latin typeface="Calibri"/>
                    <a:ea typeface="Calibri"/>
                    <a:cs typeface="Calibri"/>
                  </a:defRPr>
                </a:pPr>
                <a:r>
                  <a:rPr lang="pl-PL" sz="1100" b="0" i="0" u="none" strike="noStrike" baseline="0">
                    <a:solidFill>
                      <a:srgbClr val="000000"/>
                    </a:solidFill>
                    <a:latin typeface="Times New Roman" panose="02020603050405020304" pitchFamily="18" charset="0"/>
                    <a:cs typeface="Times New Roman" panose="02020603050405020304" pitchFamily="18" charset="0"/>
                  </a:rPr>
                  <a:t>miesiące      </a:t>
                </a:r>
                <a:r>
                  <a:rPr lang="pl-PL" sz="1100" b="0" i="1" u="none" strike="noStrike" baseline="0">
                    <a:solidFill>
                      <a:srgbClr val="000000"/>
                    </a:solidFill>
                    <a:latin typeface="Times New Roman" panose="02020603050405020304" pitchFamily="18" charset="0"/>
                    <a:cs typeface="Times New Roman" panose="02020603050405020304" pitchFamily="18" charset="0"/>
                  </a:rPr>
                  <a:t>months</a:t>
                </a:r>
                <a:endParaRPr lang="pl-PL" sz="1100">
                  <a:latin typeface="Times New Roman" panose="02020603050405020304" pitchFamily="18" charset="0"/>
                  <a:cs typeface="Times New Roman" panose="02020603050405020304" pitchFamily="18" charset="0"/>
                </a:endParaRPr>
              </a:p>
            </c:rich>
          </c:tx>
          <c:layout>
            <c:manualLayout>
              <c:xMode val="edge"/>
              <c:yMode val="edge"/>
              <c:x val="0.42508143322475572"/>
              <c:y val="0.78557191650478719"/>
            </c:manualLayout>
          </c:layout>
          <c:overlay val="0"/>
          <c:spPr>
            <a:noFill/>
            <a:ln w="25400">
              <a:noFill/>
            </a:ln>
          </c:spPr>
        </c:title>
        <c:numFmt formatCode="General" sourceLinked="1"/>
        <c:majorTickMark val="out"/>
        <c:minorTickMark val="none"/>
        <c:tickLblPos val="nextTo"/>
        <c:spPr>
          <a:ln w="12700">
            <a:solidFill>
              <a:srgbClr val="000000"/>
            </a:solidFill>
            <a:prstDash val="solid"/>
          </a:ln>
        </c:spPr>
        <c:txPr>
          <a:bodyPr rot="0" vert="horz"/>
          <a:lstStyle/>
          <a:p>
            <a:pPr>
              <a:defRPr sz="1100" b="0" i="0" u="none" strike="noStrike" baseline="0">
                <a:solidFill>
                  <a:srgbClr val="000000"/>
                </a:solidFill>
                <a:latin typeface="Times New Roman" panose="02020603050405020304" pitchFamily="18" charset="0"/>
                <a:ea typeface="Arial CE"/>
                <a:cs typeface="Times New Roman" panose="02020603050405020304" pitchFamily="18" charset="0"/>
              </a:defRPr>
            </a:pPr>
            <a:endParaRPr lang="pl-PL"/>
          </a:p>
        </c:txPr>
        <c:crossAx val="-974634048"/>
        <c:crossesAt val="10"/>
        <c:auto val="0"/>
        <c:lblAlgn val="ctr"/>
        <c:lblOffset val="100"/>
        <c:tickLblSkip val="1"/>
        <c:tickMarkSkip val="1"/>
        <c:noMultiLvlLbl val="0"/>
      </c:catAx>
      <c:valAx>
        <c:axId val="-974634048"/>
        <c:scaling>
          <c:orientation val="minMax"/>
          <c:max val="55"/>
          <c:min val="20"/>
        </c:scaling>
        <c:delete val="0"/>
        <c:axPos val="l"/>
        <c:majorGridlines>
          <c:spPr>
            <a:ln w="3175">
              <a:solidFill>
                <a:srgbClr val="000000"/>
              </a:solidFill>
              <a:prstDash val="dash"/>
            </a:ln>
          </c:spPr>
        </c:majorGridlines>
        <c:numFmt formatCode="General" sourceLinked="1"/>
        <c:majorTickMark val="out"/>
        <c:minorTickMark val="none"/>
        <c:tickLblPos val="nextTo"/>
        <c:spPr>
          <a:ln w="12700">
            <a:solidFill>
              <a:srgbClr val="000000"/>
            </a:solidFill>
            <a:prstDash val="solid"/>
          </a:ln>
        </c:spPr>
        <c:txPr>
          <a:bodyPr rot="0" vert="horz"/>
          <a:lstStyle/>
          <a:p>
            <a:pPr>
              <a:defRPr sz="1100" b="0" i="0" u="none" strike="noStrike" baseline="0">
                <a:solidFill>
                  <a:srgbClr val="000000"/>
                </a:solidFill>
                <a:latin typeface="Times New Roman" panose="02020603050405020304" pitchFamily="18" charset="0"/>
                <a:ea typeface="Arial CE"/>
                <a:cs typeface="Times New Roman" panose="02020603050405020304" pitchFamily="18" charset="0"/>
              </a:defRPr>
            </a:pPr>
            <a:endParaRPr lang="pl-PL"/>
          </a:p>
        </c:txPr>
        <c:crossAx val="-974638944"/>
        <c:crosses val="autoZero"/>
        <c:crossBetween val="midCat"/>
        <c:majorUnit val="5"/>
      </c:valAx>
      <c:spPr>
        <a:noFill/>
        <a:ln w="25400">
          <a:noFill/>
        </a:ln>
      </c:spPr>
    </c:plotArea>
    <c:legend>
      <c:legendPos val="b"/>
      <c:layout>
        <c:manualLayout>
          <c:xMode val="edge"/>
          <c:yMode val="edge"/>
          <c:x val="0.14169381107491857"/>
          <c:y val="0.84627944105856823"/>
          <c:w val="0.77133550488599345"/>
          <c:h val="4.5343654077138661E-2"/>
        </c:manualLayout>
      </c:layout>
      <c:overlay val="0"/>
      <c:spPr>
        <a:solidFill>
          <a:srgbClr val="FFFFFF"/>
        </a:solidFill>
        <a:ln w="25400">
          <a:noFill/>
        </a:ln>
      </c:spPr>
      <c:txPr>
        <a:bodyPr/>
        <a:lstStyle/>
        <a:p>
          <a:pPr>
            <a:defRPr sz="1100" b="0" i="0" u="none" strike="noStrike" baseline="0">
              <a:solidFill>
                <a:srgbClr val="000000"/>
              </a:solidFill>
              <a:latin typeface="Times New Roman" panose="02020603050405020304" pitchFamily="18" charset="0"/>
              <a:ea typeface="Arial CE"/>
              <a:cs typeface="Times New Roman" panose="02020603050405020304" pitchFamily="18" charset="0"/>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Arial CE"/>
          <a:ea typeface="Arial CE"/>
          <a:cs typeface="Arial CE"/>
        </a:defRPr>
      </a:pPr>
      <a:endParaRPr lang="pl-PL"/>
    </a:p>
  </c:txPr>
  <c:externalData r:id="rId1">
    <c:autoUpdate val="0"/>
  </c:externalData>
  <c:userShapes r:id="rId2"/>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Arial CE"/>
                <a:ea typeface="Arial CE"/>
                <a:cs typeface="Arial CE"/>
              </a:defRPr>
            </a:pPr>
            <a:r>
              <a:rPr lang="pl-PL" sz="1200" b="1" i="0" u="none" strike="noStrike" baseline="0">
                <a:solidFill>
                  <a:srgbClr val="000000"/>
                </a:solidFill>
                <a:latin typeface="Times New Roman" panose="02020603050405020304" pitchFamily="18" charset="0"/>
                <a:cs typeface="Times New Roman" panose="02020603050405020304" pitchFamily="18" charset="0"/>
              </a:rPr>
              <a:t>Produkcja cementu</a:t>
            </a:r>
            <a:r>
              <a:rPr lang="pl-PL" sz="1200" b="1" i="1" u="none" strike="noStrike" baseline="30000">
                <a:solidFill>
                  <a:srgbClr val="000000"/>
                </a:solidFill>
                <a:latin typeface="Times New Roman" panose="02020603050405020304" pitchFamily="18" charset="0"/>
                <a:cs typeface="Times New Roman" panose="02020603050405020304" pitchFamily="18" charset="0"/>
              </a:rPr>
              <a:t>a</a:t>
            </a:r>
            <a:endParaRPr lang="pl-PL" sz="1200" b="1" i="0" u="none" strike="noStrike" baseline="0">
              <a:solidFill>
                <a:srgbClr val="000000"/>
              </a:solidFill>
              <a:latin typeface="Times New Roman" panose="02020603050405020304" pitchFamily="18" charset="0"/>
              <a:cs typeface="Times New Roman" panose="02020603050405020304" pitchFamily="18" charset="0"/>
            </a:endParaRPr>
          </a:p>
          <a:p>
            <a:pPr>
              <a:defRPr sz="1000" b="0" i="0" u="none" strike="noStrike" baseline="0">
                <a:solidFill>
                  <a:srgbClr val="000000"/>
                </a:solidFill>
                <a:latin typeface="Arial CE"/>
                <a:ea typeface="Arial CE"/>
                <a:cs typeface="Arial CE"/>
              </a:defRPr>
            </a:pPr>
            <a:r>
              <a:rPr lang="pl-PL" sz="1200" b="1" i="1" u="none" strike="noStrike" baseline="0">
                <a:solidFill>
                  <a:srgbClr val="000000"/>
                </a:solidFill>
                <a:latin typeface="Times New Roman" panose="02020603050405020304" pitchFamily="18" charset="0"/>
                <a:cs typeface="Times New Roman" panose="02020603050405020304" pitchFamily="18" charset="0"/>
              </a:rPr>
              <a:t>Production of cement</a:t>
            </a:r>
            <a:r>
              <a:rPr lang="pl-PL" sz="1200" b="1" i="1" u="none" strike="noStrike" baseline="30000">
                <a:solidFill>
                  <a:srgbClr val="000000"/>
                </a:solidFill>
                <a:latin typeface="Times New Roman" panose="02020603050405020304" pitchFamily="18" charset="0"/>
                <a:cs typeface="Times New Roman" panose="02020603050405020304" pitchFamily="18" charset="0"/>
              </a:rPr>
              <a:t>a</a:t>
            </a:r>
            <a:endParaRPr lang="pl-PL">
              <a:latin typeface="Times New Roman" panose="02020603050405020304" pitchFamily="18" charset="0"/>
              <a:cs typeface="Times New Roman" panose="02020603050405020304" pitchFamily="18" charset="0"/>
            </a:endParaRPr>
          </a:p>
        </c:rich>
      </c:tx>
      <c:layout>
        <c:manualLayout>
          <c:xMode val="edge"/>
          <c:yMode val="edge"/>
          <c:x val="0.36677631578947367"/>
          <c:y val="1.0060362173038229E-2"/>
        </c:manualLayout>
      </c:layout>
      <c:overlay val="0"/>
      <c:spPr>
        <a:noFill/>
        <a:ln w="25400">
          <a:noFill/>
        </a:ln>
      </c:spPr>
    </c:title>
    <c:autoTitleDeleted val="0"/>
    <c:plotArea>
      <c:layout>
        <c:manualLayout>
          <c:layoutTarget val="inner"/>
          <c:xMode val="edge"/>
          <c:yMode val="edge"/>
          <c:x val="8.5526315789473686E-2"/>
          <c:y val="0.17706237424547283"/>
          <c:w val="0.87993421052631582"/>
          <c:h val="0.54929577464788737"/>
        </c:manualLayout>
      </c:layout>
      <c:lineChart>
        <c:grouping val="standard"/>
        <c:varyColors val="0"/>
        <c:ser>
          <c:idx val="0"/>
          <c:order val="0"/>
          <c:tx>
            <c:strRef>
              <c:f>'dane - wyroby'!$A$1</c:f>
              <c:strCache>
                <c:ptCount val="1"/>
                <c:pt idx="0">
                  <c:v>2010</c:v>
                </c:pt>
              </c:strCache>
            </c:strRef>
          </c:tx>
          <c:spPr>
            <a:ln w="12700">
              <a:solidFill>
                <a:schemeClr val="accent2">
                  <a:lumMod val="75000"/>
                </a:schemeClr>
              </a:solidFill>
              <a:prstDash val="solid"/>
            </a:ln>
          </c:spPr>
          <c:marker>
            <c:symbol val="circle"/>
            <c:size val="4"/>
            <c:spPr>
              <a:solidFill>
                <a:schemeClr val="accent2">
                  <a:lumMod val="75000"/>
                </a:schemeClr>
              </a:solidFill>
              <a:ln>
                <a:solidFill>
                  <a:schemeClr val="accent2">
                    <a:lumMod val="75000"/>
                  </a:schemeClr>
                </a:solidFill>
                <a:prstDash val="solid"/>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wyroby'!$G$12:$S$12</c:f>
              <c:numCache>
                <c:formatCode>General</c:formatCode>
                <c:ptCount val="13"/>
                <c:pt idx="1">
                  <c:v>253</c:v>
                </c:pt>
                <c:pt idx="2">
                  <c:v>441</c:v>
                </c:pt>
                <c:pt idx="3">
                  <c:v>1113</c:v>
                </c:pt>
                <c:pt idx="4">
                  <c:v>1459</c:v>
                </c:pt>
                <c:pt idx="5">
                  <c:v>1581</c:v>
                </c:pt>
                <c:pt idx="6">
                  <c:v>1631</c:v>
                </c:pt>
                <c:pt idx="7">
                  <c:v>1883</c:v>
                </c:pt>
                <c:pt idx="8">
                  <c:v>1772</c:v>
                </c:pt>
                <c:pt idx="9">
                  <c:v>1691</c:v>
                </c:pt>
                <c:pt idx="10">
                  <c:v>1833</c:v>
                </c:pt>
                <c:pt idx="11">
                  <c:v>1304</c:v>
                </c:pt>
                <c:pt idx="12">
                  <c:v>424</c:v>
                </c:pt>
              </c:numCache>
            </c:numRef>
          </c:val>
          <c:smooth val="0"/>
        </c:ser>
        <c:ser>
          <c:idx val="1"/>
          <c:order val="1"/>
          <c:tx>
            <c:strRef>
              <c:f>'dane - wyroby'!$B$1</c:f>
              <c:strCache>
                <c:ptCount val="1"/>
                <c:pt idx="0">
                  <c:v>2014</c:v>
                </c:pt>
              </c:strCache>
            </c:strRef>
          </c:tx>
          <c:spPr>
            <a:ln w="12700">
              <a:solidFill>
                <a:srgbClr val="FF0000"/>
              </a:solidFill>
              <a:prstDash val="solid"/>
            </a:ln>
          </c:spPr>
          <c:marker>
            <c:symbol val="triangle"/>
            <c:size val="4"/>
            <c:spPr>
              <a:solidFill>
                <a:srgbClr val="FF0000"/>
              </a:solidFill>
              <a:ln>
                <a:solidFill>
                  <a:srgbClr val="FF0000"/>
                </a:solidFill>
                <a:prstDash val="solid"/>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wyroby'!$T$12:$AF$12</c:f>
              <c:numCache>
                <c:formatCode>General</c:formatCode>
                <c:ptCount val="13"/>
                <c:pt idx="1">
                  <c:v>493</c:v>
                </c:pt>
                <c:pt idx="2">
                  <c:v>626</c:v>
                </c:pt>
                <c:pt idx="3">
                  <c:v>1404</c:v>
                </c:pt>
                <c:pt idx="4">
                  <c:v>1441</c:v>
                </c:pt>
                <c:pt idx="5">
                  <c:v>1561</c:v>
                </c:pt>
                <c:pt idx="6">
                  <c:v>1485</c:v>
                </c:pt>
                <c:pt idx="7">
                  <c:v>1612</c:v>
                </c:pt>
                <c:pt idx="8">
                  <c:v>1499</c:v>
                </c:pt>
                <c:pt idx="9">
                  <c:v>1551</c:v>
                </c:pt>
                <c:pt idx="10">
                  <c:v>1579</c:v>
                </c:pt>
                <c:pt idx="11">
                  <c:v>1243</c:v>
                </c:pt>
                <c:pt idx="12">
                  <c:v>863</c:v>
                </c:pt>
              </c:numCache>
            </c:numRef>
          </c:val>
          <c:smooth val="0"/>
        </c:ser>
        <c:ser>
          <c:idx val="2"/>
          <c:order val="2"/>
          <c:tx>
            <c:strRef>
              <c:f>'dane - wyroby'!$C$1</c:f>
              <c:strCache>
                <c:ptCount val="1"/>
                <c:pt idx="0">
                  <c:v>2015</c:v>
                </c:pt>
              </c:strCache>
            </c:strRef>
          </c:tx>
          <c:spPr>
            <a:ln w="12700">
              <a:solidFill>
                <a:srgbClr val="008000"/>
              </a:solidFill>
              <a:prstDash val="solid"/>
            </a:ln>
          </c:spPr>
          <c:marker>
            <c:symbol val="square"/>
            <c:size val="3"/>
            <c:spPr>
              <a:solidFill>
                <a:srgbClr val="008000"/>
              </a:solidFill>
              <a:ln>
                <a:solidFill>
                  <a:srgbClr val="008000"/>
                </a:solidFill>
                <a:prstDash val="solid"/>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wyroby'!$AG$12:$AS$12</c:f>
              <c:numCache>
                <c:formatCode>General</c:formatCode>
                <c:ptCount val="13"/>
                <c:pt idx="1">
                  <c:v>496</c:v>
                </c:pt>
                <c:pt idx="2">
                  <c:v>692</c:v>
                </c:pt>
                <c:pt idx="3">
                  <c:v>1349</c:v>
                </c:pt>
                <c:pt idx="4">
                  <c:v>1354</c:v>
                </c:pt>
                <c:pt idx="5">
                  <c:v>1564</c:v>
                </c:pt>
                <c:pt idx="6">
                  <c:v>1481</c:v>
                </c:pt>
                <c:pt idx="7">
                  <c:v>1573</c:v>
                </c:pt>
                <c:pt idx="8">
                  <c:v>1393</c:v>
                </c:pt>
                <c:pt idx="9">
                  <c:v>1503</c:v>
                </c:pt>
                <c:pt idx="10">
                  <c:v>1479</c:v>
                </c:pt>
                <c:pt idx="11">
                  <c:v>1158</c:v>
                </c:pt>
                <c:pt idx="12">
                  <c:v>974</c:v>
                </c:pt>
              </c:numCache>
            </c:numRef>
          </c:val>
          <c:smooth val="0"/>
        </c:ser>
        <c:ser>
          <c:idx val="3"/>
          <c:order val="3"/>
          <c:tx>
            <c:strRef>
              <c:f>'dane - wyroby'!$D$1</c:f>
              <c:strCache>
                <c:ptCount val="1"/>
                <c:pt idx="0">
                  <c:v>2016</c:v>
                </c:pt>
              </c:strCache>
            </c:strRef>
          </c:tx>
          <c:spPr>
            <a:ln w="12700">
              <a:solidFill>
                <a:srgbClr val="9900FF"/>
              </a:solidFill>
              <a:prstDash val="solid"/>
            </a:ln>
          </c:spPr>
          <c:marker>
            <c:symbol val="diamond"/>
            <c:size val="4"/>
            <c:spPr>
              <a:solidFill>
                <a:srgbClr val="9900FF"/>
              </a:solidFill>
              <a:ln>
                <a:solidFill>
                  <a:srgbClr val="9900FF"/>
                </a:solidFill>
                <a:prstDash val="solid"/>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wyroby'!$AT$12:$BF$12</c:f>
              <c:numCache>
                <c:formatCode>General</c:formatCode>
                <c:ptCount val="13"/>
                <c:pt idx="1">
                  <c:v>421</c:v>
                </c:pt>
                <c:pt idx="2">
                  <c:v>818</c:v>
                </c:pt>
                <c:pt idx="3">
                  <c:v>1280</c:v>
                </c:pt>
                <c:pt idx="4">
                  <c:v>1512</c:v>
                </c:pt>
                <c:pt idx="5">
                  <c:v>1541</c:v>
                </c:pt>
                <c:pt idx="6">
                  <c:v>1605</c:v>
                </c:pt>
                <c:pt idx="7">
                  <c:v>1570</c:v>
                </c:pt>
                <c:pt idx="8">
                  <c:v>1496</c:v>
                </c:pt>
                <c:pt idx="9">
                  <c:v>1582</c:v>
                </c:pt>
                <c:pt idx="10">
                  <c:v>1438</c:v>
                </c:pt>
                <c:pt idx="11">
                  <c:v>1228</c:v>
                </c:pt>
                <c:pt idx="12">
                  <c:v>1023</c:v>
                </c:pt>
              </c:numCache>
            </c:numRef>
          </c:val>
          <c:smooth val="0"/>
        </c:ser>
        <c:ser>
          <c:idx val="4"/>
          <c:order val="4"/>
          <c:tx>
            <c:strRef>
              <c:f>'dane - wyroby'!$E$1</c:f>
              <c:strCache>
                <c:ptCount val="1"/>
                <c:pt idx="0">
                  <c:v>2017</c:v>
                </c:pt>
              </c:strCache>
            </c:strRef>
          </c:tx>
          <c:spPr>
            <a:ln w="25400">
              <a:solidFill>
                <a:srgbClr val="0000FF"/>
              </a:solidFill>
            </a:ln>
          </c:spPr>
          <c:marker>
            <c:symbol val="triangle"/>
            <c:size val="5"/>
            <c:spPr>
              <a:solidFill>
                <a:srgbClr val="0000FF"/>
              </a:solidFill>
              <a:ln>
                <a:solidFill>
                  <a:srgbClr val="0000FF"/>
                </a:solidFill>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wyroby'!$BG$12:$BS$12</c:f>
              <c:numCache>
                <c:formatCode>General</c:formatCode>
                <c:ptCount val="13"/>
                <c:pt idx="1">
                  <c:v>386</c:v>
                </c:pt>
                <c:pt idx="2">
                  <c:v>682</c:v>
                </c:pt>
                <c:pt idx="3">
                  <c:v>1519</c:v>
                </c:pt>
                <c:pt idx="4">
                  <c:v>1505</c:v>
                </c:pt>
                <c:pt idx="5">
                  <c:v>1640</c:v>
                </c:pt>
                <c:pt idx="6">
                  <c:v>1821</c:v>
                </c:pt>
              </c:numCache>
            </c:numRef>
          </c:val>
          <c:smooth val="0"/>
        </c:ser>
        <c:dLbls>
          <c:showLegendKey val="0"/>
          <c:showVal val="0"/>
          <c:showCatName val="0"/>
          <c:showSerName val="0"/>
          <c:showPercent val="0"/>
          <c:showBubbleSize val="0"/>
        </c:dLbls>
        <c:marker val="1"/>
        <c:smooth val="0"/>
        <c:axId val="-974637856"/>
        <c:axId val="-974625344"/>
        <c:extLst>
          <c:ext xmlns:c15="http://schemas.microsoft.com/office/drawing/2012/chart" uri="{02D57815-91ED-43cb-92C2-25804820EDAC}">
            <c15:filteredLineSeries>
              <c15:ser>
                <c:idx val="5"/>
                <c:order val="5"/>
                <c:tx>
                  <c:strRef>
                    <c:extLst>
                      <c:ext uri="{02D57815-91ED-43cb-92C2-25804820EDAC}">
                        <c15:formulaRef>
                          <c15:sqref>'dane - wyroby'!$F$1</c15:sqref>
                        </c15:formulaRef>
                      </c:ext>
                    </c:extLst>
                    <c:strCache>
                      <c:ptCount val="1"/>
                    </c:strCache>
                  </c:strRef>
                </c:tx>
                <c:spPr>
                  <a:ln>
                    <a:solidFill>
                      <a:srgbClr val="0000FF"/>
                    </a:solidFill>
                  </a:ln>
                </c:spPr>
                <c:marker>
                  <c:symbol val="square"/>
                  <c:size val="4"/>
                  <c:spPr>
                    <a:solidFill>
                      <a:srgbClr val="0000FF"/>
                    </a:solidFill>
                    <a:ln>
                      <a:solidFill>
                        <a:srgbClr val="0000FF"/>
                      </a:solidFill>
                    </a:ln>
                  </c:spPr>
                </c:marker>
                <c:val>
                  <c:numRef>
                    <c:extLst>
                      <c:ext uri="{02D57815-91ED-43cb-92C2-25804820EDAC}">
                        <c15:formulaRef>
                          <c15:sqref>'dane - wyroby'!$BT$12:$CF$12</c15:sqref>
                        </c15:formulaRef>
                      </c:ext>
                    </c:extLst>
                    <c:numCache>
                      <c:formatCode>General</c:formatCode>
                      <c:ptCount val="13"/>
                    </c:numCache>
                  </c:numRef>
                </c:val>
                <c:smooth val="0"/>
              </c15:ser>
            </c15:filteredLineSeries>
          </c:ext>
        </c:extLst>
      </c:lineChart>
      <c:catAx>
        <c:axId val="-974637856"/>
        <c:scaling>
          <c:orientation val="minMax"/>
        </c:scaling>
        <c:delete val="0"/>
        <c:axPos val="b"/>
        <c:title>
          <c:tx>
            <c:rich>
              <a:bodyPr/>
              <a:lstStyle/>
              <a:p>
                <a:pPr>
                  <a:defRPr sz="1100" b="0" i="0" u="none" strike="noStrike" baseline="0">
                    <a:solidFill>
                      <a:srgbClr val="000000"/>
                    </a:solidFill>
                    <a:latin typeface="Times New Roman" panose="02020603050405020304" pitchFamily="18" charset="0"/>
                    <a:ea typeface="Calibri"/>
                    <a:cs typeface="Times New Roman" panose="02020603050405020304" pitchFamily="18" charset="0"/>
                  </a:defRPr>
                </a:pPr>
                <a:r>
                  <a:rPr lang="pl-PL" sz="1100" b="0" i="0" u="none" strike="noStrike" baseline="0">
                    <a:solidFill>
                      <a:srgbClr val="000000"/>
                    </a:solidFill>
                    <a:latin typeface="Times New Roman" panose="02020603050405020304" pitchFamily="18" charset="0"/>
                    <a:cs typeface="Times New Roman" panose="02020603050405020304" pitchFamily="18" charset="0"/>
                  </a:rPr>
                  <a:t>miesiące      </a:t>
                </a:r>
                <a:r>
                  <a:rPr lang="pl-PL" sz="1100" b="0" i="1" u="none" strike="noStrike" baseline="0">
                    <a:solidFill>
                      <a:srgbClr val="000000"/>
                    </a:solidFill>
                    <a:latin typeface="Times New Roman" panose="02020603050405020304" pitchFamily="18" charset="0"/>
                    <a:cs typeface="Times New Roman" panose="02020603050405020304" pitchFamily="18" charset="0"/>
                  </a:rPr>
                  <a:t>months</a:t>
                </a:r>
                <a:endParaRPr lang="pl-PL" sz="1100">
                  <a:latin typeface="Times New Roman" panose="02020603050405020304" pitchFamily="18" charset="0"/>
                  <a:cs typeface="Times New Roman" panose="02020603050405020304" pitchFamily="18" charset="0"/>
                </a:endParaRPr>
              </a:p>
            </c:rich>
          </c:tx>
          <c:layout>
            <c:manualLayout>
              <c:xMode val="edge"/>
              <c:yMode val="edge"/>
              <c:x val="0.40625"/>
              <c:y val="0.78068410462776661"/>
            </c:manualLayout>
          </c:layout>
          <c:overlay val="0"/>
          <c:spPr>
            <a:noFill/>
            <a:ln w="25400">
              <a:noFill/>
            </a:ln>
          </c:spPr>
        </c:title>
        <c:numFmt formatCode="General" sourceLinked="1"/>
        <c:majorTickMark val="out"/>
        <c:minorTickMark val="none"/>
        <c:tickLblPos val="nextTo"/>
        <c:spPr>
          <a:ln w="12700">
            <a:solidFill>
              <a:srgbClr val="000000"/>
            </a:solidFill>
            <a:prstDash val="solid"/>
          </a:ln>
        </c:spPr>
        <c:txPr>
          <a:bodyPr rot="0" vert="horz"/>
          <a:lstStyle/>
          <a:p>
            <a:pPr>
              <a:defRPr sz="1100" b="0" i="0" u="none" strike="noStrike" baseline="0">
                <a:solidFill>
                  <a:srgbClr val="000000"/>
                </a:solidFill>
                <a:latin typeface="Times New Roman" panose="02020603050405020304" pitchFamily="18" charset="0"/>
                <a:ea typeface="Arial CE"/>
                <a:cs typeface="Times New Roman" panose="02020603050405020304" pitchFamily="18" charset="0"/>
              </a:defRPr>
            </a:pPr>
            <a:endParaRPr lang="pl-PL"/>
          </a:p>
        </c:txPr>
        <c:crossAx val="-974625344"/>
        <c:crossesAt val="0"/>
        <c:auto val="0"/>
        <c:lblAlgn val="ctr"/>
        <c:lblOffset val="100"/>
        <c:tickLblSkip val="1"/>
        <c:tickMarkSkip val="1"/>
        <c:noMultiLvlLbl val="0"/>
      </c:catAx>
      <c:valAx>
        <c:axId val="-974625344"/>
        <c:scaling>
          <c:orientation val="minMax"/>
          <c:max val="2400"/>
          <c:min val="0"/>
        </c:scaling>
        <c:delete val="0"/>
        <c:axPos val="l"/>
        <c:majorGridlines>
          <c:spPr>
            <a:ln w="3175">
              <a:solidFill>
                <a:srgbClr val="000000"/>
              </a:solidFill>
              <a:prstDash val="dash"/>
            </a:ln>
          </c:spPr>
        </c:majorGridlines>
        <c:numFmt formatCode="General" sourceLinked="1"/>
        <c:majorTickMark val="out"/>
        <c:minorTickMark val="none"/>
        <c:tickLblPos val="nextTo"/>
        <c:spPr>
          <a:ln w="12700">
            <a:solidFill>
              <a:srgbClr val="000000"/>
            </a:solidFill>
            <a:prstDash val="solid"/>
          </a:ln>
        </c:spPr>
        <c:txPr>
          <a:bodyPr rot="0" vert="horz"/>
          <a:lstStyle/>
          <a:p>
            <a:pPr>
              <a:defRPr sz="1100" b="0" i="0" u="none" strike="noStrike" baseline="0">
                <a:solidFill>
                  <a:srgbClr val="000000"/>
                </a:solidFill>
                <a:latin typeface="Times New Roman" panose="02020603050405020304" pitchFamily="18" charset="0"/>
                <a:ea typeface="Arial CE"/>
                <a:cs typeface="Times New Roman" panose="02020603050405020304" pitchFamily="18" charset="0"/>
              </a:defRPr>
            </a:pPr>
            <a:endParaRPr lang="pl-PL"/>
          </a:p>
        </c:txPr>
        <c:crossAx val="-974637856"/>
        <c:crosses val="autoZero"/>
        <c:crossBetween val="midCat"/>
        <c:majorUnit val="400"/>
      </c:valAx>
      <c:spPr>
        <a:noFill/>
        <a:ln w="25400">
          <a:noFill/>
        </a:ln>
      </c:spPr>
    </c:plotArea>
    <c:legend>
      <c:legendPos val="b"/>
      <c:layout>
        <c:manualLayout>
          <c:xMode val="edge"/>
          <c:yMode val="edge"/>
          <c:x val="0.15186403508771928"/>
          <c:y val="0.84305835010060359"/>
          <c:w val="0.7745614035087719"/>
          <c:h val="4.84456344365405E-2"/>
        </c:manualLayout>
      </c:layout>
      <c:overlay val="0"/>
      <c:spPr>
        <a:solidFill>
          <a:srgbClr val="FFFFFF"/>
        </a:solidFill>
        <a:ln w="25400">
          <a:noFill/>
        </a:ln>
      </c:spPr>
      <c:txPr>
        <a:bodyPr/>
        <a:lstStyle/>
        <a:p>
          <a:pPr>
            <a:defRPr sz="1100" b="0" i="0" u="none" strike="noStrike" baseline="0">
              <a:solidFill>
                <a:srgbClr val="000000"/>
              </a:solidFill>
              <a:latin typeface="Times New Roman" panose="02020603050405020304" pitchFamily="18" charset="0"/>
              <a:ea typeface="Arial CE"/>
              <a:cs typeface="Times New Roman" panose="02020603050405020304" pitchFamily="18" charset="0"/>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Arial CE"/>
          <a:ea typeface="Arial CE"/>
          <a:cs typeface="Arial CE"/>
        </a:defRPr>
      </a:pPr>
      <a:endParaRPr lang="pl-PL"/>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Arial CE"/>
                <a:ea typeface="Arial CE"/>
                <a:cs typeface="Arial CE"/>
              </a:defRPr>
            </a:pPr>
            <a:r>
              <a:rPr lang="pl-PL" sz="1100" b="1" i="0" u="none" strike="noStrike" baseline="0">
                <a:solidFill>
                  <a:srgbClr val="000000"/>
                </a:solidFill>
                <a:latin typeface="Times New Roman" panose="02020603050405020304" pitchFamily="18" charset="0"/>
                <a:cs typeface="Times New Roman" panose="02020603050405020304" pitchFamily="18" charset="0"/>
              </a:rPr>
              <a:t>Przedsiębiorstwa przemysłowe</a:t>
            </a:r>
          </a:p>
          <a:p>
            <a:pPr>
              <a:defRPr sz="1000" b="0" i="0" u="none" strike="noStrike" baseline="0">
                <a:solidFill>
                  <a:srgbClr val="000000"/>
                </a:solidFill>
                <a:latin typeface="Arial CE"/>
                <a:ea typeface="Arial CE"/>
                <a:cs typeface="Arial CE"/>
              </a:defRPr>
            </a:pPr>
            <a:r>
              <a:rPr lang="pl-PL" sz="1100" b="1" i="0" u="none" strike="noStrike" baseline="0">
                <a:solidFill>
                  <a:srgbClr val="000000"/>
                </a:solidFill>
                <a:latin typeface="Times New Roman" panose="02020603050405020304" pitchFamily="18" charset="0"/>
                <a:cs typeface="Times New Roman" panose="02020603050405020304" pitchFamily="18" charset="0"/>
              </a:rPr>
              <a:t>według wskaźnika rentowności obrotu netto </a:t>
            </a:r>
          </a:p>
          <a:p>
            <a:pPr>
              <a:defRPr sz="1000" b="0" i="0" u="none" strike="noStrike" baseline="0">
                <a:solidFill>
                  <a:srgbClr val="000000"/>
                </a:solidFill>
                <a:latin typeface="Arial CE"/>
                <a:ea typeface="Arial CE"/>
                <a:cs typeface="Arial CE"/>
              </a:defRPr>
            </a:pPr>
            <a:r>
              <a:rPr lang="pl-PL" sz="1100" b="1" i="0" u="none" strike="noStrike" baseline="0">
                <a:solidFill>
                  <a:sysClr val="windowText" lastClr="000000"/>
                </a:solidFill>
                <a:latin typeface="Times New Roman" panose="02020603050405020304" pitchFamily="18" charset="0"/>
                <a:cs typeface="Times New Roman" panose="02020603050405020304" pitchFamily="18" charset="0"/>
              </a:rPr>
              <a:t>w I-II kwartale 2017 roku</a:t>
            </a:r>
          </a:p>
          <a:p>
            <a:pPr>
              <a:defRPr sz="1000" b="0" i="0" u="none" strike="noStrike" baseline="0">
                <a:solidFill>
                  <a:srgbClr val="000000"/>
                </a:solidFill>
                <a:latin typeface="Arial CE"/>
                <a:ea typeface="Arial CE"/>
                <a:cs typeface="Arial CE"/>
              </a:defRPr>
            </a:pPr>
            <a:r>
              <a:rPr lang="pl-PL" sz="1100" b="1" i="1" u="none" strike="noStrike" baseline="0">
                <a:solidFill>
                  <a:srgbClr val="000000"/>
                </a:solidFill>
                <a:latin typeface="Times New Roman" panose="02020603050405020304" pitchFamily="18" charset="0"/>
                <a:cs typeface="Times New Roman" panose="02020603050405020304" pitchFamily="18" charset="0"/>
              </a:rPr>
              <a:t>Industrial enterprises by profitability rate of net turnover </a:t>
            </a:r>
          </a:p>
          <a:p>
            <a:pPr>
              <a:defRPr sz="1000" b="0" i="0" u="none" strike="noStrike" baseline="0">
                <a:solidFill>
                  <a:srgbClr val="000000"/>
                </a:solidFill>
                <a:latin typeface="Arial CE"/>
                <a:ea typeface="Arial CE"/>
                <a:cs typeface="Arial CE"/>
              </a:defRPr>
            </a:pPr>
            <a:r>
              <a:rPr lang="pl-PL" sz="1100" b="1" i="1" u="none" strike="noStrike" baseline="0">
                <a:solidFill>
                  <a:srgbClr val="000000"/>
                </a:solidFill>
                <a:latin typeface="Times New Roman" panose="02020603050405020304" pitchFamily="18" charset="0"/>
                <a:cs typeface="Times New Roman" panose="02020603050405020304" pitchFamily="18" charset="0"/>
              </a:rPr>
              <a:t>in I-II quarter 2017</a:t>
            </a:r>
            <a:endParaRPr lang="pl-PL" sz="1100">
              <a:latin typeface="Times New Roman" panose="02020603050405020304" pitchFamily="18" charset="0"/>
              <a:cs typeface="Times New Roman" panose="02020603050405020304" pitchFamily="18" charset="0"/>
            </a:endParaRPr>
          </a:p>
        </c:rich>
      </c:tx>
      <c:layout>
        <c:manualLayout>
          <c:xMode val="edge"/>
          <c:yMode val="edge"/>
          <c:x val="0.18040454741428213"/>
          <c:y val="1.311828064776435E-2"/>
        </c:manualLayout>
      </c:layout>
      <c:overlay val="0"/>
      <c:spPr>
        <a:noFill/>
        <a:ln w="25400">
          <a:noFill/>
        </a:ln>
      </c:spPr>
    </c:title>
    <c:autoTitleDeleted val="0"/>
    <c:view3D>
      <c:rotX val="15"/>
      <c:hPercent val="168"/>
      <c:rotY val="20"/>
      <c:depthPercent val="10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0.21420499670970528"/>
          <c:y val="0.12645212747165802"/>
          <c:w val="0.73373155733054984"/>
          <c:h val="0.81972113005022407"/>
        </c:manualLayout>
      </c:layout>
      <c:bar3DChart>
        <c:barDir val="bar"/>
        <c:grouping val="clustered"/>
        <c:varyColors val="0"/>
        <c:ser>
          <c:idx val="0"/>
          <c:order val="0"/>
          <c:tx>
            <c:strRef>
              <c:f>wykresy_1!$J$43</c:f>
              <c:strCache>
                <c:ptCount val="1"/>
                <c:pt idx="0">
                  <c:v>Produkcja sprzedana w cenach bieżących</c:v>
                </c:pt>
              </c:strCache>
            </c:strRef>
          </c:tx>
          <c:spPr>
            <a:solidFill>
              <a:srgbClr val="3FB8CD"/>
            </a:solidFill>
            <a:ln w="12700">
              <a:solidFill>
                <a:srgbClr val="000000"/>
              </a:solidFill>
              <a:prstDash val="solid"/>
            </a:ln>
          </c:spPr>
          <c:invertIfNegative val="0"/>
          <c:cat>
            <c:strRef>
              <c:f>wykresy_1!$M$37:$S$37</c:f>
              <c:strCache>
                <c:ptCount val="7"/>
                <c:pt idx="0">
                  <c:v>10,01 i więcej</c:v>
                </c:pt>
                <c:pt idx="1">
                  <c:v> 5,01-10,00</c:v>
                </c:pt>
                <c:pt idx="2">
                  <c:v>2,01- 5,00</c:v>
                </c:pt>
                <c:pt idx="3">
                  <c:v>1,01-2,00</c:v>
                </c:pt>
                <c:pt idx="4">
                  <c:v>0,00-1,00</c:v>
                </c:pt>
                <c:pt idx="5">
                  <c:v>(-5,00)-(-0,01)</c:v>
                </c:pt>
                <c:pt idx="6">
                  <c:v>(-5,01) i mniej</c:v>
                </c:pt>
              </c:strCache>
            </c:strRef>
          </c:cat>
          <c:val>
            <c:numRef>
              <c:f>wykresy_1!$M$41:$S$41</c:f>
              <c:numCache>
                <c:formatCode>0.0</c:formatCode>
                <c:ptCount val="7"/>
                <c:pt idx="0">
                  <c:v>25.4</c:v>
                </c:pt>
                <c:pt idx="1">
                  <c:v>23</c:v>
                </c:pt>
                <c:pt idx="2">
                  <c:v>24</c:v>
                </c:pt>
                <c:pt idx="3">
                  <c:v>7.2</c:v>
                </c:pt>
                <c:pt idx="4">
                  <c:v>7.5</c:v>
                </c:pt>
                <c:pt idx="5">
                  <c:v>9.1999999999999993</c:v>
                </c:pt>
                <c:pt idx="6">
                  <c:v>3.7</c:v>
                </c:pt>
              </c:numCache>
            </c:numRef>
          </c:val>
        </c:ser>
        <c:ser>
          <c:idx val="1"/>
          <c:order val="1"/>
          <c:tx>
            <c:strRef>
              <c:f>wykresy_1!$J$39</c:f>
              <c:strCache>
                <c:ptCount val="1"/>
                <c:pt idx="0">
                  <c:v>Liczba przedsiębiorstw </c:v>
                </c:pt>
              </c:strCache>
            </c:strRef>
          </c:tx>
          <c:spPr>
            <a:solidFill>
              <a:srgbClr val="FFFF80"/>
            </a:solidFill>
            <a:ln w="12700">
              <a:solidFill>
                <a:srgbClr val="000000"/>
              </a:solidFill>
              <a:prstDash val="solid"/>
            </a:ln>
          </c:spPr>
          <c:invertIfNegative val="0"/>
          <c:cat>
            <c:strRef>
              <c:f>wykresy_1!$M$37:$S$37</c:f>
              <c:strCache>
                <c:ptCount val="7"/>
                <c:pt idx="0">
                  <c:v>10,01 i więcej</c:v>
                </c:pt>
                <c:pt idx="1">
                  <c:v> 5,01-10,00</c:v>
                </c:pt>
                <c:pt idx="2">
                  <c:v>2,01- 5,00</c:v>
                </c:pt>
                <c:pt idx="3">
                  <c:v>1,01-2,00</c:v>
                </c:pt>
                <c:pt idx="4">
                  <c:v>0,00-1,00</c:v>
                </c:pt>
                <c:pt idx="5">
                  <c:v>(-5,00)-(-0,01)</c:v>
                </c:pt>
                <c:pt idx="6">
                  <c:v>(-5,01) i mniej</c:v>
                </c:pt>
              </c:strCache>
            </c:strRef>
          </c:cat>
          <c:val>
            <c:numRef>
              <c:f>wykresy_1!$M$39:$S$39</c:f>
              <c:numCache>
                <c:formatCode>0.0</c:formatCode>
                <c:ptCount val="7"/>
                <c:pt idx="0">
                  <c:v>21.5</c:v>
                </c:pt>
                <c:pt idx="1">
                  <c:v>21.7</c:v>
                </c:pt>
                <c:pt idx="2">
                  <c:v>19.8</c:v>
                </c:pt>
                <c:pt idx="3">
                  <c:v>7.2</c:v>
                </c:pt>
                <c:pt idx="4">
                  <c:v>7.8</c:v>
                </c:pt>
                <c:pt idx="5">
                  <c:v>11.4</c:v>
                </c:pt>
                <c:pt idx="6">
                  <c:v>10.6</c:v>
                </c:pt>
              </c:numCache>
            </c:numRef>
          </c:val>
        </c:ser>
        <c:dLbls>
          <c:showLegendKey val="0"/>
          <c:showVal val="0"/>
          <c:showCatName val="0"/>
          <c:showSerName val="0"/>
          <c:showPercent val="0"/>
          <c:showBubbleSize val="0"/>
        </c:dLbls>
        <c:gapWidth val="50"/>
        <c:shape val="box"/>
        <c:axId val="-980548864"/>
        <c:axId val="-980542336"/>
        <c:axId val="0"/>
      </c:bar3DChart>
      <c:catAx>
        <c:axId val="-980548864"/>
        <c:scaling>
          <c:orientation val="minMax"/>
        </c:scaling>
        <c:delete val="0"/>
        <c:axPos val="l"/>
        <c:numFmt formatCode="General" sourceLinked="1"/>
        <c:majorTickMark val="out"/>
        <c:minorTickMark val="none"/>
        <c:tickLblPos val="low"/>
        <c:spPr>
          <a:ln w="12700">
            <a:solidFill>
              <a:srgbClr val="000000"/>
            </a:solidFill>
            <a:prstDash val="solid"/>
          </a:ln>
        </c:spPr>
        <c:txPr>
          <a:bodyPr rot="0" vert="horz"/>
          <a:lstStyle/>
          <a:p>
            <a:pPr>
              <a:defRPr sz="1100" b="0" i="0" u="none" strike="noStrike" baseline="0">
                <a:solidFill>
                  <a:srgbClr val="000000"/>
                </a:solidFill>
                <a:latin typeface="Times New Roman" panose="02020603050405020304" pitchFamily="18" charset="0"/>
                <a:ea typeface="Arial CE"/>
                <a:cs typeface="Times New Roman" panose="02020603050405020304" pitchFamily="18" charset="0"/>
              </a:defRPr>
            </a:pPr>
            <a:endParaRPr lang="pl-PL"/>
          </a:p>
        </c:txPr>
        <c:crossAx val="-980542336"/>
        <c:crossesAt val="0"/>
        <c:auto val="0"/>
        <c:lblAlgn val="ctr"/>
        <c:lblOffset val="100"/>
        <c:tickLblSkip val="1"/>
        <c:tickMarkSkip val="1"/>
        <c:noMultiLvlLbl val="0"/>
      </c:catAx>
      <c:valAx>
        <c:axId val="-980542336"/>
        <c:scaling>
          <c:orientation val="minMax"/>
        </c:scaling>
        <c:delete val="0"/>
        <c:axPos val="b"/>
        <c:majorGridlines>
          <c:spPr>
            <a:ln w="3175">
              <a:solidFill>
                <a:schemeClr val="tx1"/>
              </a:solidFill>
              <a:prstDash val="sysDash"/>
            </a:ln>
          </c:spPr>
        </c:majorGridlines>
        <c:numFmt formatCode="0%" sourceLinked="0"/>
        <c:majorTickMark val="out"/>
        <c:minorTickMark val="none"/>
        <c:tickLblPos val="nextTo"/>
        <c:spPr>
          <a:ln w="12700">
            <a:solidFill>
              <a:srgbClr val="000000"/>
            </a:solidFill>
            <a:prstDash val="solid"/>
          </a:ln>
        </c:spPr>
        <c:txPr>
          <a:bodyPr rot="0" vert="horz"/>
          <a:lstStyle/>
          <a:p>
            <a:pPr>
              <a:defRPr sz="1100" b="0" i="0" u="none" strike="noStrike" baseline="0">
                <a:solidFill>
                  <a:srgbClr val="000000"/>
                </a:solidFill>
                <a:latin typeface="Times New Roman" panose="02020603050405020304" pitchFamily="18" charset="0"/>
                <a:ea typeface="Arial CE"/>
                <a:cs typeface="Times New Roman" panose="02020603050405020304" pitchFamily="18" charset="0"/>
              </a:defRPr>
            </a:pPr>
            <a:endParaRPr lang="pl-PL"/>
          </a:p>
        </c:txPr>
        <c:crossAx val="-980548864"/>
        <c:crosses val="autoZero"/>
        <c:crossBetween val="between"/>
        <c:dispUnits>
          <c:builtInUnit val="hundreds"/>
        </c:dispUnits>
      </c:valAx>
      <c:spPr>
        <a:noFill/>
        <a:ln w="25400">
          <a:noFill/>
        </a:ln>
      </c:spPr>
    </c:plotArea>
    <c:legend>
      <c:legendPos val="r"/>
      <c:layout>
        <c:manualLayout>
          <c:xMode val="edge"/>
          <c:yMode val="edge"/>
          <c:x val="0"/>
          <c:y val="0.8285907265432626"/>
          <c:w val="1"/>
          <c:h val="7.0440313356756573E-2"/>
        </c:manualLayout>
      </c:layout>
      <c:overlay val="0"/>
      <c:spPr>
        <a:solidFill>
          <a:srgbClr val="FFFFFF"/>
        </a:solidFill>
        <a:ln w="25400">
          <a:noFill/>
        </a:ln>
      </c:spPr>
      <c:txPr>
        <a:bodyPr/>
        <a:lstStyle/>
        <a:p>
          <a:pPr>
            <a:defRPr sz="1100" b="0" i="0" u="none" strike="noStrike" baseline="0">
              <a:solidFill>
                <a:srgbClr val="000000"/>
              </a:solidFill>
              <a:latin typeface="Times New Roman" panose="02020603050405020304" pitchFamily="18" charset="0"/>
              <a:ea typeface="Arial CE"/>
              <a:cs typeface="Times New Roman" panose="02020603050405020304" pitchFamily="18" charset="0"/>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Arial CE"/>
          <a:ea typeface="Arial CE"/>
          <a:cs typeface="Arial CE"/>
        </a:defRPr>
      </a:pPr>
      <a:endParaRPr lang="pl-PL"/>
    </a:p>
  </c:txPr>
  <c:externalData r:id="rId1">
    <c:autoUpdate val="0"/>
  </c:externalData>
  <c:userShapes r:id="rId2"/>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Arial CE"/>
                <a:ea typeface="Arial CE"/>
                <a:cs typeface="Arial CE"/>
              </a:defRPr>
            </a:pPr>
            <a:r>
              <a:rPr lang="pl-PL" sz="1200" b="1" i="0" u="none" strike="noStrike" baseline="0">
                <a:solidFill>
                  <a:srgbClr val="000000"/>
                </a:solidFill>
                <a:latin typeface="Times New Roman" panose="02020603050405020304" pitchFamily="18" charset="0"/>
                <a:cs typeface="Times New Roman" panose="02020603050405020304" pitchFamily="18" charset="0"/>
              </a:rPr>
              <a:t>Produkcja stali surowej</a:t>
            </a:r>
          </a:p>
          <a:p>
            <a:pPr>
              <a:defRPr sz="1000" b="0" i="0" u="none" strike="noStrike" baseline="0">
                <a:solidFill>
                  <a:srgbClr val="000000"/>
                </a:solidFill>
                <a:latin typeface="Arial CE"/>
                <a:ea typeface="Arial CE"/>
                <a:cs typeface="Arial CE"/>
              </a:defRPr>
            </a:pPr>
            <a:r>
              <a:rPr lang="pl-PL" sz="1200" b="1" i="1" u="none" strike="noStrike" baseline="0">
                <a:solidFill>
                  <a:srgbClr val="000000"/>
                </a:solidFill>
                <a:latin typeface="Times New Roman" panose="02020603050405020304" pitchFamily="18" charset="0"/>
                <a:cs typeface="Times New Roman" panose="02020603050405020304" pitchFamily="18" charset="0"/>
              </a:rPr>
              <a:t>Production of crude steel</a:t>
            </a:r>
            <a:endParaRPr lang="pl-PL">
              <a:latin typeface="Times New Roman" panose="02020603050405020304" pitchFamily="18" charset="0"/>
              <a:cs typeface="Times New Roman" panose="02020603050405020304" pitchFamily="18" charset="0"/>
            </a:endParaRPr>
          </a:p>
        </c:rich>
      </c:tx>
      <c:layout>
        <c:manualLayout>
          <c:xMode val="edge"/>
          <c:yMode val="edge"/>
          <c:x val="0.33114788520287425"/>
          <c:y val="3.0479896238651102E-2"/>
        </c:manualLayout>
      </c:layout>
      <c:overlay val="0"/>
      <c:spPr>
        <a:noFill/>
        <a:ln w="25400">
          <a:noFill/>
        </a:ln>
      </c:spPr>
    </c:title>
    <c:autoTitleDeleted val="0"/>
    <c:plotArea>
      <c:layout>
        <c:manualLayout>
          <c:layoutTarget val="inner"/>
          <c:xMode val="edge"/>
          <c:yMode val="edge"/>
          <c:x val="7.7049242002787205E-2"/>
          <c:y val="0.19909229245177038"/>
          <c:w val="0.89180399254289877"/>
          <c:h val="0.58495521717372878"/>
        </c:manualLayout>
      </c:layout>
      <c:lineChart>
        <c:grouping val="standard"/>
        <c:varyColors val="0"/>
        <c:ser>
          <c:idx val="0"/>
          <c:order val="0"/>
          <c:tx>
            <c:strRef>
              <c:f>'dane - wyroby'!$A$1</c:f>
              <c:strCache>
                <c:ptCount val="1"/>
                <c:pt idx="0">
                  <c:v>2010</c:v>
                </c:pt>
              </c:strCache>
            </c:strRef>
          </c:tx>
          <c:spPr>
            <a:ln w="12700">
              <a:solidFill>
                <a:schemeClr val="accent2">
                  <a:lumMod val="75000"/>
                </a:schemeClr>
              </a:solidFill>
              <a:prstDash val="solid"/>
            </a:ln>
          </c:spPr>
          <c:marker>
            <c:symbol val="circle"/>
            <c:size val="4"/>
            <c:spPr>
              <a:solidFill>
                <a:schemeClr val="accent2">
                  <a:lumMod val="75000"/>
                </a:schemeClr>
              </a:solidFill>
              <a:ln>
                <a:solidFill>
                  <a:schemeClr val="accent2">
                    <a:lumMod val="75000"/>
                  </a:schemeClr>
                </a:solidFill>
                <a:prstDash val="solid"/>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wyroby'!$G$18:$S$18</c:f>
              <c:numCache>
                <c:formatCode>General</c:formatCode>
                <c:ptCount val="13"/>
                <c:pt idx="1">
                  <c:v>603</c:v>
                </c:pt>
                <c:pt idx="2">
                  <c:v>536</c:v>
                </c:pt>
                <c:pt idx="3">
                  <c:v>696</c:v>
                </c:pt>
                <c:pt idx="4">
                  <c:v>775</c:v>
                </c:pt>
                <c:pt idx="5">
                  <c:v>827</c:v>
                </c:pt>
                <c:pt idx="6">
                  <c:v>660</c:v>
                </c:pt>
                <c:pt idx="7">
                  <c:v>678</c:v>
                </c:pt>
                <c:pt idx="8">
                  <c:v>527</c:v>
                </c:pt>
                <c:pt idx="9">
                  <c:v>693</c:v>
                </c:pt>
                <c:pt idx="10">
                  <c:v>713</c:v>
                </c:pt>
                <c:pt idx="11">
                  <c:v>621</c:v>
                </c:pt>
                <c:pt idx="12">
                  <c:v>568</c:v>
                </c:pt>
              </c:numCache>
            </c:numRef>
          </c:val>
          <c:smooth val="0"/>
        </c:ser>
        <c:ser>
          <c:idx val="1"/>
          <c:order val="1"/>
          <c:tx>
            <c:strRef>
              <c:f>'dane - wyroby'!$B$1</c:f>
              <c:strCache>
                <c:ptCount val="1"/>
                <c:pt idx="0">
                  <c:v>2014</c:v>
                </c:pt>
              </c:strCache>
            </c:strRef>
          </c:tx>
          <c:spPr>
            <a:ln w="12700">
              <a:solidFill>
                <a:srgbClr val="FF0000"/>
              </a:solidFill>
              <a:prstDash val="solid"/>
            </a:ln>
          </c:spPr>
          <c:marker>
            <c:symbol val="triangle"/>
            <c:size val="4"/>
            <c:spPr>
              <a:solidFill>
                <a:srgbClr val="FF0000"/>
              </a:solidFill>
              <a:ln>
                <a:solidFill>
                  <a:srgbClr val="FF0000"/>
                </a:solidFill>
                <a:prstDash val="solid"/>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wyroby'!$T$18:$AF$18</c:f>
              <c:numCache>
                <c:formatCode>General</c:formatCode>
                <c:ptCount val="13"/>
                <c:pt idx="1">
                  <c:v>762</c:v>
                </c:pt>
                <c:pt idx="2">
                  <c:v>705</c:v>
                </c:pt>
                <c:pt idx="3">
                  <c:v>727</c:v>
                </c:pt>
                <c:pt idx="4">
                  <c:v>671</c:v>
                </c:pt>
                <c:pt idx="5">
                  <c:v>752</c:v>
                </c:pt>
                <c:pt idx="6">
                  <c:v>715</c:v>
                </c:pt>
                <c:pt idx="7">
                  <c:v>756</c:v>
                </c:pt>
                <c:pt idx="8">
                  <c:v>769</c:v>
                </c:pt>
                <c:pt idx="9">
                  <c:v>749</c:v>
                </c:pt>
                <c:pt idx="10">
                  <c:v>764</c:v>
                </c:pt>
                <c:pt idx="11">
                  <c:v>749</c:v>
                </c:pt>
                <c:pt idx="12">
                  <c:v>678</c:v>
                </c:pt>
              </c:numCache>
            </c:numRef>
          </c:val>
          <c:smooth val="0"/>
        </c:ser>
        <c:ser>
          <c:idx val="2"/>
          <c:order val="2"/>
          <c:tx>
            <c:strRef>
              <c:f>'dane - wyroby'!$C$1</c:f>
              <c:strCache>
                <c:ptCount val="1"/>
                <c:pt idx="0">
                  <c:v>2015</c:v>
                </c:pt>
              </c:strCache>
            </c:strRef>
          </c:tx>
          <c:spPr>
            <a:ln w="12700">
              <a:solidFill>
                <a:srgbClr val="008000"/>
              </a:solidFill>
              <a:prstDash val="solid"/>
            </a:ln>
          </c:spPr>
          <c:marker>
            <c:symbol val="square"/>
            <c:size val="3"/>
            <c:spPr>
              <a:solidFill>
                <a:srgbClr val="008000"/>
              </a:solidFill>
              <a:ln>
                <a:solidFill>
                  <a:srgbClr val="008000"/>
                </a:solidFill>
                <a:prstDash val="solid"/>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wyroby'!$AG$18:$AS$18</c:f>
              <c:numCache>
                <c:formatCode>General</c:formatCode>
                <c:ptCount val="13"/>
                <c:pt idx="1">
                  <c:v>825</c:v>
                </c:pt>
                <c:pt idx="2">
                  <c:v>782</c:v>
                </c:pt>
                <c:pt idx="3">
                  <c:v>831</c:v>
                </c:pt>
                <c:pt idx="4">
                  <c:v>793</c:v>
                </c:pt>
                <c:pt idx="5">
                  <c:v>909</c:v>
                </c:pt>
                <c:pt idx="6">
                  <c:v>844</c:v>
                </c:pt>
                <c:pt idx="7">
                  <c:v>774</c:v>
                </c:pt>
                <c:pt idx="8">
                  <c:v>707</c:v>
                </c:pt>
                <c:pt idx="9">
                  <c:v>795</c:v>
                </c:pt>
                <c:pt idx="10">
                  <c:v>777</c:v>
                </c:pt>
                <c:pt idx="11">
                  <c:v>635</c:v>
                </c:pt>
                <c:pt idx="12">
                  <c:v>664</c:v>
                </c:pt>
              </c:numCache>
            </c:numRef>
          </c:val>
          <c:smooth val="0"/>
        </c:ser>
        <c:ser>
          <c:idx val="3"/>
          <c:order val="3"/>
          <c:tx>
            <c:strRef>
              <c:f>'dane - wyroby'!$D$1</c:f>
              <c:strCache>
                <c:ptCount val="1"/>
                <c:pt idx="0">
                  <c:v>2016</c:v>
                </c:pt>
              </c:strCache>
            </c:strRef>
          </c:tx>
          <c:spPr>
            <a:ln w="12700">
              <a:solidFill>
                <a:srgbClr val="9900FF"/>
              </a:solidFill>
              <a:prstDash val="solid"/>
            </a:ln>
          </c:spPr>
          <c:marker>
            <c:symbol val="diamond"/>
            <c:size val="4"/>
            <c:spPr>
              <a:solidFill>
                <a:srgbClr val="9900FF"/>
              </a:solidFill>
              <a:ln>
                <a:solidFill>
                  <a:srgbClr val="9900FF"/>
                </a:solidFill>
                <a:prstDash val="solid"/>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wyroby'!$AT$18:$BF$18</c:f>
              <c:numCache>
                <c:formatCode>General</c:formatCode>
                <c:ptCount val="13"/>
                <c:pt idx="1">
                  <c:v>730</c:v>
                </c:pt>
                <c:pt idx="2">
                  <c:v>812</c:v>
                </c:pt>
                <c:pt idx="3">
                  <c:v>814</c:v>
                </c:pt>
                <c:pt idx="4">
                  <c:v>764</c:v>
                </c:pt>
                <c:pt idx="5">
                  <c:v>679</c:v>
                </c:pt>
                <c:pt idx="6">
                  <c:v>702</c:v>
                </c:pt>
                <c:pt idx="7">
                  <c:v>664</c:v>
                </c:pt>
                <c:pt idx="8">
                  <c:v>780</c:v>
                </c:pt>
                <c:pt idx="9">
                  <c:v>764</c:v>
                </c:pt>
                <c:pt idx="10">
                  <c:v>816</c:v>
                </c:pt>
                <c:pt idx="11">
                  <c:v>739</c:v>
                </c:pt>
                <c:pt idx="12">
                  <c:v>836</c:v>
                </c:pt>
              </c:numCache>
            </c:numRef>
          </c:val>
          <c:smooth val="0"/>
        </c:ser>
        <c:ser>
          <c:idx val="4"/>
          <c:order val="4"/>
          <c:tx>
            <c:strRef>
              <c:f>'dane - wyroby'!$E$1</c:f>
              <c:strCache>
                <c:ptCount val="1"/>
                <c:pt idx="0">
                  <c:v>2017</c:v>
                </c:pt>
              </c:strCache>
            </c:strRef>
          </c:tx>
          <c:spPr>
            <a:ln w="25400">
              <a:solidFill>
                <a:srgbClr val="0000FF"/>
              </a:solidFill>
            </a:ln>
          </c:spPr>
          <c:marker>
            <c:symbol val="triangle"/>
            <c:size val="5"/>
            <c:spPr>
              <a:solidFill>
                <a:srgbClr val="0000FF"/>
              </a:solidFill>
              <a:ln>
                <a:solidFill>
                  <a:srgbClr val="0000FF"/>
                </a:solidFill>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wyroby'!$BG$18:$BS$18</c:f>
              <c:numCache>
                <c:formatCode>General</c:formatCode>
                <c:ptCount val="13"/>
                <c:pt idx="1">
                  <c:v>828</c:v>
                </c:pt>
                <c:pt idx="2">
                  <c:v>782</c:v>
                </c:pt>
                <c:pt idx="3">
                  <c:v>931</c:v>
                </c:pt>
                <c:pt idx="4">
                  <c:v>910</c:v>
                </c:pt>
                <c:pt idx="5">
                  <c:v>896</c:v>
                </c:pt>
                <c:pt idx="6">
                  <c:v>869</c:v>
                </c:pt>
              </c:numCache>
            </c:numRef>
          </c:val>
          <c:smooth val="0"/>
        </c:ser>
        <c:dLbls>
          <c:showLegendKey val="0"/>
          <c:showVal val="0"/>
          <c:showCatName val="0"/>
          <c:showSerName val="0"/>
          <c:showPercent val="0"/>
          <c:showBubbleSize val="0"/>
        </c:dLbls>
        <c:marker val="1"/>
        <c:smooth val="0"/>
        <c:axId val="-974648736"/>
        <c:axId val="-974638400"/>
        <c:extLst>
          <c:ext xmlns:c15="http://schemas.microsoft.com/office/drawing/2012/chart" uri="{02D57815-91ED-43cb-92C2-25804820EDAC}">
            <c15:filteredLineSeries>
              <c15:ser>
                <c:idx val="5"/>
                <c:order val="5"/>
                <c:tx>
                  <c:strRef>
                    <c:extLst>
                      <c:ext uri="{02D57815-91ED-43cb-92C2-25804820EDAC}">
                        <c15:formulaRef>
                          <c15:sqref>'dane - wyroby'!$F$1</c15:sqref>
                        </c15:formulaRef>
                      </c:ext>
                    </c:extLst>
                    <c:strCache>
                      <c:ptCount val="1"/>
                    </c:strCache>
                  </c:strRef>
                </c:tx>
                <c:spPr>
                  <a:ln>
                    <a:solidFill>
                      <a:srgbClr val="0000FF"/>
                    </a:solidFill>
                  </a:ln>
                </c:spPr>
                <c:marker>
                  <c:symbol val="square"/>
                  <c:size val="4"/>
                  <c:spPr>
                    <a:solidFill>
                      <a:srgbClr val="0000FF"/>
                    </a:solidFill>
                    <a:ln>
                      <a:solidFill>
                        <a:srgbClr val="0000FF"/>
                      </a:solidFill>
                    </a:ln>
                  </c:spPr>
                </c:marker>
                <c:val>
                  <c:numRef>
                    <c:extLst>
                      <c:ext uri="{02D57815-91ED-43cb-92C2-25804820EDAC}">
                        <c15:formulaRef>
                          <c15:sqref>'dane - wyroby'!$BT$18:$CF$18</c15:sqref>
                        </c15:formulaRef>
                      </c:ext>
                    </c:extLst>
                    <c:numCache>
                      <c:formatCode>General</c:formatCode>
                      <c:ptCount val="13"/>
                    </c:numCache>
                  </c:numRef>
                </c:val>
                <c:smooth val="0"/>
              </c15:ser>
            </c15:filteredLineSeries>
          </c:ext>
        </c:extLst>
      </c:lineChart>
      <c:catAx>
        <c:axId val="-974648736"/>
        <c:scaling>
          <c:orientation val="minMax"/>
        </c:scaling>
        <c:delete val="0"/>
        <c:axPos val="b"/>
        <c:title>
          <c:tx>
            <c:rich>
              <a:bodyPr/>
              <a:lstStyle/>
              <a:p>
                <a:pPr>
                  <a:defRPr sz="1100" b="0" i="0" u="none" strike="noStrike" baseline="0">
                    <a:solidFill>
                      <a:srgbClr val="000000"/>
                    </a:solidFill>
                    <a:latin typeface="Times New Roman" panose="02020603050405020304" pitchFamily="18" charset="0"/>
                    <a:ea typeface="Calibri"/>
                    <a:cs typeface="Times New Roman" panose="02020603050405020304" pitchFamily="18" charset="0"/>
                  </a:defRPr>
                </a:pPr>
                <a:r>
                  <a:rPr lang="pl-PL" sz="1100" b="0" i="0" u="none" strike="noStrike" baseline="0">
                    <a:solidFill>
                      <a:srgbClr val="000000"/>
                    </a:solidFill>
                    <a:latin typeface="Times New Roman" panose="02020603050405020304" pitchFamily="18" charset="0"/>
                    <a:cs typeface="Times New Roman" panose="02020603050405020304" pitchFamily="18" charset="0"/>
                  </a:rPr>
                  <a:t>miesiące      </a:t>
                </a:r>
                <a:r>
                  <a:rPr lang="pl-PL" sz="1100" b="0" i="1" u="none" strike="noStrike" baseline="0">
                    <a:solidFill>
                      <a:srgbClr val="000000"/>
                    </a:solidFill>
                    <a:latin typeface="Times New Roman" panose="02020603050405020304" pitchFamily="18" charset="0"/>
                    <a:cs typeface="Times New Roman" panose="02020603050405020304" pitchFamily="18" charset="0"/>
                  </a:rPr>
                  <a:t>months</a:t>
                </a:r>
                <a:endParaRPr lang="pl-PL" sz="1100">
                  <a:latin typeface="Times New Roman" panose="02020603050405020304" pitchFamily="18" charset="0"/>
                  <a:cs typeface="Times New Roman" panose="02020603050405020304" pitchFamily="18" charset="0"/>
                </a:endParaRPr>
              </a:p>
            </c:rich>
          </c:tx>
          <c:layout>
            <c:manualLayout>
              <c:xMode val="edge"/>
              <c:yMode val="edge"/>
              <c:x val="0.42459050815369387"/>
              <c:y val="0.84435879367219169"/>
            </c:manualLayout>
          </c:layout>
          <c:overlay val="0"/>
          <c:spPr>
            <a:noFill/>
            <a:ln w="25400">
              <a:noFill/>
            </a:ln>
          </c:spPr>
        </c:title>
        <c:numFmt formatCode="General" sourceLinked="1"/>
        <c:majorTickMark val="out"/>
        <c:minorTickMark val="none"/>
        <c:tickLblPos val="nextTo"/>
        <c:spPr>
          <a:ln w="12700">
            <a:solidFill>
              <a:srgbClr val="000000"/>
            </a:solidFill>
            <a:prstDash val="solid"/>
          </a:ln>
        </c:spPr>
        <c:txPr>
          <a:bodyPr rot="0" vert="horz"/>
          <a:lstStyle/>
          <a:p>
            <a:pPr>
              <a:defRPr sz="1100" b="0" i="0" u="none" strike="noStrike" baseline="0">
                <a:solidFill>
                  <a:srgbClr val="000000"/>
                </a:solidFill>
                <a:latin typeface="Times New Roman" panose="02020603050405020304" pitchFamily="18" charset="0"/>
                <a:ea typeface="Arial CE"/>
                <a:cs typeface="Times New Roman" panose="02020603050405020304" pitchFamily="18" charset="0"/>
              </a:defRPr>
            </a:pPr>
            <a:endParaRPr lang="pl-PL"/>
          </a:p>
        </c:txPr>
        <c:crossAx val="-974638400"/>
        <c:crossesAt val="400"/>
        <c:auto val="0"/>
        <c:lblAlgn val="ctr"/>
        <c:lblOffset val="100"/>
        <c:tickLblSkip val="1"/>
        <c:tickMarkSkip val="1"/>
        <c:noMultiLvlLbl val="0"/>
      </c:catAx>
      <c:valAx>
        <c:axId val="-974638400"/>
        <c:scaling>
          <c:orientation val="minMax"/>
          <c:max val="1000"/>
          <c:min val="400"/>
        </c:scaling>
        <c:delete val="0"/>
        <c:axPos val="l"/>
        <c:majorGridlines>
          <c:spPr>
            <a:ln w="3175">
              <a:solidFill>
                <a:srgbClr val="000000"/>
              </a:solidFill>
              <a:prstDash val="dash"/>
            </a:ln>
          </c:spPr>
        </c:majorGridlines>
        <c:numFmt formatCode="General" sourceLinked="1"/>
        <c:majorTickMark val="out"/>
        <c:minorTickMark val="none"/>
        <c:tickLblPos val="nextTo"/>
        <c:spPr>
          <a:ln w="12700">
            <a:solidFill>
              <a:srgbClr val="000000"/>
            </a:solidFill>
            <a:prstDash val="solid"/>
          </a:ln>
        </c:spPr>
        <c:txPr>
          <a:bodyPr rot="0" vert="horz"/>
          <a:lstStyle/>
          <a:p>
            <a:pPr>
              <a:defRPr sz="1100" b="0" i="0" u="none" strike="noStrike" baseline="0">
                <a:solidFill>
                  <a:srgbClr val="000000"/>
                </a:solidFill>
                <a:latin typeface="Times New Roman" panose="02020603050405020304" pitchFamily="18" charset="0"/>
                <a:ea typeface="Arial CE"/>
                <a:cs typeface="Times New Roman" panose="02020603050405020304" pitchFamily="18" charset="0"/>
              </a:defRPr>
            </a:pPr>
            <a:endParaRPr lang="pl-PL"/>
          </a:p>
        </c:txPr>
        <c:crossAx val="-974648736"/>
        <c:crosses val="autoZero"/>
        <c:crossBetween val="midCat"/>
        <c:majorUnit val="100"/>
      </c:valAx>
      <c:spPr>
        <a:noFill/>
        <a:ln w="25400">
          <a:noFill/>
        </a:ln>
      </c:spPr>
    </c:plotArea>
    <c:legend>
      <c:legendPos val="b"/>
      <c:layout>
        <c:manualLayout>
          <c:xMode val="edge"/>
          <c:yMode val="edge"/>
          <c:x val="0.11694006282001634"/>
          <c:y val="0.90379465986234819"/>
          <c:w val="0.79606557377049181"/>
          <c:h val="4.7867754105289526E-2"/>
        </c:manualLayout>
      </c:layout>
      <c:overlay val="0"/>
      <c:spPr>
        <a:solidFill>
          <a:srgbClr val="FFFFFF"/>
        </a:solidFill>
        <a:ln w="25400">
          <a:noFill/>
        </a:ln>
      </c:spPr>
      <c:txPr>
        <a:bodyPr/>
        <a:lstStyle/>
        <a:p>
          <a:pPr>
            <a:defRPr sz="1100" b="0" i="0" u="none" strike="noStrike" baseline="0">
              <a:solidFill>
                <a:srgbClr val="000000"/>
              </a:solidFill>
              <a:latin typeface="Times New Roman" panose="02020603050405020304" pitchFamily="18" charset="0"/>
              <a:ea typeface="Arial CE"/>
              <a:cs typeface="Times New Roman" panose="02020603050405020304" pitchFamily="18" charset="0"/>
            </a:defRPr>
          </a:pPr>
          <a:endParaRPr lang="pl-PL"/>
        </a:p>
      </c:txPr>
    </c:legend>
    <c:plotVisOnly val="1"/>
    <c:dispBlanksAs val="gap"/>
    <c:showDLblsOverMax val="0"/>
  </c:chart>
  <c:spPr>
    <a:solidFill>
      <a:srgbClr val="FFFFFF"/>
    </a:solidFill>
    <a:ln w="9525">
      <a:noFill/>
    </a:ln>
  </c:spPr>
  <c:txPr>
    <a:bodyPr/>
    <a:lstStyle/>
    <a:p>
      <a:pPr>
        <a:defRPr sz="1000" b="0" i="0" u="none" strike="noStrike" baseline="0">
          <a:solidFill>
            <a:srgbClr val="000000"/>
          </a:solidFill>
          <a:latin typeface="Arial CE"/>
          <a:ea typeface="Arial CE"/>
          <a:cs typeface="Arial CE"/>
        </a:defRPr>
      </a:pPr>
      <a:endParaRPr lang="pl-PL"/>
    </a:p>
  </c:txPr>
  <c:externalData r:id="rId1">
    <c:autoUpdate val="0"/>
  </c:externalData>
  <c:userShapes r:id="rId2"/>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Arial CE"/>
                <a:ea typeface="Arial CE"/>
                <a:cs typeface="Arial CE"/>
              </a:defRPr>
            </a:pPr>
            <a:r>
              <a:rPr lang="pl-PL" sz="1200" b="1" i="0" u="none" strike="noStrike" baseline="0">
                <a:solidFill>
                  <a:srgbClr val="000000"/>
                </a:solidFill>
                <a:latin typeface="Times New Roman" panose="02020603050405020304" pitchFamily="18" charset="0"/>
                <a:cs typeface="Times New Roman" panose="02020603050405020304" pitchFamily="18" charset="0"/>
              </a:rPr>
              <a:t>Produkcja ciągników rolniczych</a:t>
            </a:r>
          </a:p>
          <a:p>
            <a:pPr>
              <a:defRPr sz="1000" b="0" i="0" u="none" strike="noStrike" baseline="0">
                <a:solidFill>
                  <a:srgbClr val="000000"/>
                </a:solidFill>
                <a:latin typeface="Arial CE"/>
                <a:ea typeface="Arial CE"/>
                <a:cs typeface="Arial CE"/>
              </a:defRPr>
            </a:pPr>
            <a:r>
              <a:rPr lang="pl-PL" sz="1200" b="1" i="1" u="none" strike="noStrike" baseline="0">
                <a:solidFill>
                  <a:srgbClr val="000000"/>
                </a:solidFill>
                <a:latin typeface="Times New Roman" panose="02020603050405020304" pitchFamily="18" charset="0"/>
                <a:cs typeface="Times New Roman" panose="02020603050405020304" pitchFamily="18" charset="0"/>
              </a:rPr>
              <a:t>Production of agricultural tractors</a:t>
            </a:r>
            <a:r>
              <a:rPr lang="pl-PL" sz="1200" b="1" i="0" u="none" strike="noStrike" baseline="0">
                <a:solidFill>
                  <a:srgbClr val="000000"/>
                </a:solidFill>
                <a:latin typeface="Times New Roman" panose="02020603050405020304" pitchFamily="18" charset="0"/>
                <a:cs typeface="Times New Roman" panose="02020603050405020304" pitchFamily="18" charset="0"/>
              </a:rPr>
              <a:t> </a:t>
            </a:r>
            <a:endParaRPr lang="pl-PL" sz="1200">
              <a:latin typeface="Times New Roman" panose="02020603050405020304" pitchFamily="18" charset="0"/>
              <a:cs typeface="Times New Roman" panose="02020603050405020304" pitchFamily="18" charset="0"/>
            </a:endParaRPr>
          </a:p>
        </c:rich>
      </c:tx>
      <c:layout>
        <c:manualLayout>
          <c:xMode val="edge"/>
          <c:yMode val="edge"/>
          <c:x val="0.30845823376555542"/>
          <c:y val="3.1446540880503145E-2"/>
        </c:manualLayout>
      </c:layout>
      <c:overlay val="0"/>
      <c:spPr>
        <a:noFill/>
        <a:ln w="25400">
          <a:noFill/>
        </a:ln>
      </c:spPr>
    </c:title>
    <c:autoTitleDeleted val="0"/>
    <c:plotArea>
      <c:layout>
        <c:manualLayout>
          <c:layoutTarget val="inner"/>
          <c:xMode val="edge"/>
          <c:yMode val="edge"/>
          <c:x val="6.3018344181346164E-2"/>
          <c:y val="0.21174047542517407"/>
          <c:w val="0.90713248071569352"/>
          <c:h val="0.55346025259649456"/>
        </c:manualLayout>
      </c:layout>
      <c:lineChart>
        <c:grouping val="standard"/>
        <c:varyColors val="0"/>
        <c:ser>
          <c:idx val="0"/>
          <c:order val="0"/>
          <c:tx>
            <c:strRef>
              <c:f>'dane - wyroby'!$A$1</c:f>
              <c:strCache>
                <c:ptCount val="1"/>
                <c:pt idx="0">
                  <c:v>2010</c:v>
                </c:pt>
              </c:strCache>
            </c:strRef>
          </c:tx>
          <c:spPr>
            <a:ln w="12700">
              <a:solidFill>
                <a:schemeClr val="accent2">
                  <a:lumMod val="75000"/>
                </a:schemeClr>
              </a:solidFill>
              <a:prstDash val="solid"/>
            </a:ln>
          </c:spPr>
          <c:marker>
            <c:symbol val="circle"/>
            <c:size val="4"/>
            <c:spPr>
              <a:solidFill>
                <a:schemeClr val="accent2">
                  <a:lumMod val="75000"/>
                </a:schemeClr>
              </a:solidFill>
              <a:ln>
                <a:solidFill>
                  <a:schemeClr val="accent2">
                    <a:lumMod val="75000"/>
                  </a:schemeClr>
                </a:solidFill>
                <a:prstDash val="solid"/>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wyroby'!$G$20:$S$20</c:f>
              <c:numCache>
                <c:formatCode>General</c:formatCode>
                <c:ptCount val="13"/>
                <c:pt idx="1">
                  <c:v>151</c:v>
                </c:pt>
                <c:pt idx="2">
                  <c:v>262</c:v>
                </c:pt>
                <c:pt idx="3">
                  <c:v>347</c:v>
                </c:pt>
                <c:pt idx="4">
                  <c:v>301</c:v>
                </c:pt>
                <c:pt idx="5">
                  <c:v>320</c:v>
                </c:pt>
                <c:pt idx="6">
                  <c:v>334</c:v>
                </c:pt>
                <c:pt idx="7">
                  <c:v>319</c:v>
                </c:pt>
                <c:pt idx="8">
                  <c:v>148</c:v>
                </c:pt>
                <c:pt idx="9">
                  <c:v>302</c:v>
                </c:pt>
                <c:pt idx="10">
                  <c:v>363</c:v>
                </c:pt>
                <c:pt idx="11">
                  <c:v>307</c:v>
                </c:pt>
                <c:pt idx="12">
                  <c:v>273</c:v>
                </c:pt>
              </c:numCache>
            </c:numRef>
          </c:val>
          <c:smooth val="0"/>
        </c:ser>
        <c:ser>
          <c:idx val="1"/>
          <c:order val="1"/>
          <c:tx>
            <c:strRef>
              <c:f>'dane - wyroby'!$B$1</c:f>
              <c:strCache>
                <c:ptCount val="1"/>
                <c:pt idx="0">
                  <c:v>2014</c:v>
                </c:pt>
              </c:strCache>
            </c:strRef>
          </c:tx>
          <c:spPr>
            <a:ln w="12700">
              <a:solidFill>
                <a:srgbClr val="FF0000"/>
              </a:solidFill>
              <a:prstDash val="solid"/>
            </a:ln>
          </c:spPr>
          <c:marker>
            <c:symbol val="triangle"/>
            <c:size val="4"/>
            <c:spPr>
              <a:solidFill>
                <a:srgbClr val="FF0000"/>
              </a:solidFill>
              <a:ln>
                <a:solidFill>
                  <a:srgbClr val="FF0000"/>
                </a:solidFill>
                <a:prstDash val="solid"/>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wyroby'!$T$20:$AF$20</c:f>
              <c:numCache>
                <c:formatCode>General</c:formatCode>
                <c:ptCount val="13"/>
                <c:pt idx="1">
                  <c:v>204</c:v>
                </c:pt>
                <c:pt idx="2">
                  <c:v>245</c:v>
                </c:pt>
                <c:pt idx="3">
                  <c:v>279</c:v>
                </c:pt>
                <c:pt idx="4">
                  <c:v>229</c:v>
                </c:pt>
                <c:pt idx="5">
                  <c:v>256</c:v>
                </c:pt>
                <c:pt idx="6">
                  <c:v>241</c:v>
                </c:pt>
                <c:pt idx="7">
                  <c:v>266</c:v>
                </c:pt>
                <c:pt idx="8">
                  <c:v>103</c:v>
                </c:pt>
                <c:pt idx="9">
                  <c:v>380</c:v>
                </c:pt>
                <c:pt idx="10">
                  <c:v>373</c:v>
                </c:pt>
                <c:pt idx="11">
                  <c:v>338</c:v>
                </c:pt>
                <c:pt idx="12">
                  <c:v>569</c:v>
                </c:pt>
              </c:numCache>
            </c:numRef>
          </c:val>
          <c:smooth val="0"/>
        </c:ser>
        <c:ser>
          <c:idx val="2"/>
          <c:order val="2"/>
          <c:tx>
            <c:strRef>
              <c:f>'dane - wyroby'!$C$1</c:f>
              <c:strCache>
                <c:ptCount val="1"/>
                <c:pt idx="0">
                  <c:v>2015</c:v>
                </c:pt>
              </c:strCache>
            </c:strRef>
          </c:tx>
          <c:spPr>
            <a:ln w="12700">
              <a:solidFill>
                <a:srgbClr val="008000"/>
              </a:solidFill>
              <a:prstDash val="solid"/>
            </a:ln>
          </c:spPr>
          <c:marker>
            <c:symbol val="square"/>
            <c:size val="3"/>
            <c:spPr>
              <a:solidFill>
                <a:srgbClr val="008000"/>
              </a:solidFill>
              <a:ln>
                <a:solidFill>
                  <a:srgbClr val="008000"/>
                </a:solidFill>
                <a:prstDash val="solid"/>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wyroby'!$AG$20:$AS$20</c:f>
              <c:numCache>
                <c:formatCode>General</c:formatCode>
                <c:ptCount val="13"/>
                <c:pt idx="1">
                  <c:v>159</c:v>
                </c:pt>
                <c:pt idx="2">
                  <c:v>308</c:v>
                </c:pt>
                <c:pt idx="3">
                  <c:v>580</c:v>
                </c:pt>
                <c:pt idx="4">
                  <c:v>248</c:v>
                </c:pt>
                <c:pt idx="5">
                  <c:v>452</c:v>
                </c:pt>
                <c:pt idx="6">
                  <c:v>449</c:v>
                </c:pt>
                <c:pt idx="7">
                  <c:v>212</c:v>
                </c:pt>
                <c:pt idx="8">
                  <c:v>177</c:v>
                </c:pt>
                <c:pt idx="9">
                  <c:v>289</c:v>
                </c:pt>
                <c:pt idx="10">
                  <c:v>200</c:v>
                </c:pt>
                <c:pt idx="11">
                  <c:v>205</c:v>
                </c:pt>
                <c:pt idx="12">
                  <c:v>333</c:v>
                </c:pt>
              </c:numCache>
            </c:numRef>
          </c:val>
          <c:smooth val="0"/>
        </c:ser>
        <c:ser>
          <c:idx val="3"/>
          <c:order val="3"/>
          <c:tx>
            <c:strRef>
              <c:f>'dane - wyroby'!$D$1</c:f>
              <c:strCache>
                <c:ptCount val="1"/>
                <c:pt idx="0">
                  <c:v>2016</c:v>
                </c:pt>
              </c:strCache>
            </c:strRef>
          </c:tx>
          <c:spPr>
            <a:ln w="12700">
              <a:solidFill>
                <a:srgbClr val="9900FF"/>
              </a:solidFill>
              <a:prstDash val="solid"/>
            </a:ln>
          </c:spPr>
          <c:marker>
            <c:symbol val="diamond"/>
            <c:size val="4"/>
            <c:spPr>
              <a:solidFill>
                <a:srgbClr val="9900FF"/>
              </a:solidFill>
              <a:ln>
                <a:solidFill>
                  <a:srgbClr val="9900FF"/>
                </a:solidFill>
                <a:prstDash val="solid"/>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wyroby'!$AT$20:$BF$20</c:f>
              <c:numCache>
                <c:formatCode>General</c:formatCode>
                <c:ptCount val="13"/>
                <c:pt idx="1">
                  <c:v>133</c:v>
                </c:pt>
                <c:pt idx="2">
                  <c:v>235</c:v>
                </c:pt>
                <c:pt idx="3">
                  <c:v>300</c:v>
                </c:pt>
                <c:pt idx="4">
                  <c:v>221</c:v>
                </c:pt>
                <c:pt idx="5">
                  <c:v>250</c:v>
                </c:pt>
                <c:pt idx="6">
                  <c:v>319</c:v>
                </c:pt>
                <c:pt idx="7">
                  <c:v>213</c:v>
                </c:pt>
                <c:pt idx="8">
                  <c:v>165</c:v>
                </c:pt>
                <c:pt idx="9">
                  <c:v>466</c:v>
                </c:pt>
                <c:pt idx="10">
                  <c:v>191</c:v>
                </c:pt>
                <c:pt idx="11">
                  <c:v>147</c:v>
                </c:pt>
                <c:pt idx="12">
                  <c:v>293</c:v>
                </c:pt>
              </c:numCache>
            </c:numRef>
          </c:val>
          <c:smooth val="0"/>
        </c:ser>
        <c:ser>
          <c:idx val="4"/>
          <c:order val="4"/>
          <c:tx>
            <c:strRef>
              <c:f>'dane - wyroby'!$E$1</c:f>
              <c:strCache>
                <c:ptCount val="1"/>
                <c:pt idx="0">
                  <c:v>2017</c:v>
                </c:pt>
              </c:strCache>
            </c:strRef>
          </c:tx>
          <c:spPr>
            <a:ln w="25400">
              <a:solidFill>
                <a:srgbClr val="0000FF"/>
              </a:solidFill>
            </a:ln>
          </c:spPr>
          <c:marker>
            <c:symbol val="triangle"/>
            <c:size val="5"/>
            <c:spPr>
              <a:solidFill>
                <a:srgbClr val="0000FF"/>
              </a:solidFill>
              <a:ln>
                <a:solidFill>
                  <a:srgbClr val="0000FF"/>
                </a:solidFill>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wyroby'!$BG$20:$BS$20</c:f>
              <c:numCache>
                <c:formatCode>General</c:formatCode>
                <c:ptCount val="13"/>
                <c:pt idx="1">
                  <c:v>135</c:v>
                </c:pt>
                <c:pt idx="2">
                  <c:v>271</c:v>
                </c:pt>
                <c:pt idx="3">
                  <c:v>485</c:v>
                </c:pt>
                <c:pt idx="4">
                  <c:v>193</c:v>
                </c:pt>
                <c:pt idx="5">
                  <c:v>217</c:v>
                </c:pt>
                <c:pt idx="6">
                  <c:v>489</c:v>
                </c:pt>
              </c:numCache>
            </c:numRef>
          </c:val>
          <c:smooth val="0"/>
        </c:ser>
        <c:dLbls>
          <c:showLegendKey val="0"/>
          <c:showVal val="0"/>
          <c:showCatName val="0"/>
          <c:showSerName val="0"/>
          <c:showPercent val="0"/>
          <c:showBubbleSize val="0"/>
        </c:dLbls>
        <c:marker val="1"/>
        <c:smooth val="0"/>
        <c:axId val="-974647104"/>
        <c:axId val="-974643840"/>
        <c:extLst>
          <c:ext xmlns:c15="http://schemas.microsoft.com/office/drawing/2012/chart" uri="{02D57815-91ED-43cb-92C2-25804820EDAC}">
            <c15:filteredLineSeries>
              <c15:ser>
                <c:idx val="5"/>
                <c:order val="5"/>
                <c:tx>
                  <c:strRef>
                    <c:extLst>
                      <c:ext uri="{02D57815-91ED-43cb-92C2-25804820EDAC}">
                        <c15:formulaRef>
                          <c15:sqref>'dane - wyroby'!$F$1</c15:sqref>
                        </c15:formulaRef>
                      </c:ext>
                    </c:extLst>
                    <c:strCache>
                      <c:ptCount val="1"/>
                    </c:strCache>
                  </c:strRef>
                </c:tx>
                <c:spPr>
                  <a:ln>
                    <a:solidFill>
                      <a:srgbClr val="0000FF"/>
                    </a:solidFill>
                  </a:ln>
                </c:spPr>
                <c:marker>
                  <c:symbol val="square"/>
                  <c:size val="4"/>
                  <c:spPr>
                    <a:solidFill>
                      <a:srgbClr val="0000FF"/>
                    </a:solidFill>
                    <a:ln>
                      <a:solidFill>
                        <a:srgbClr val="0000FF"/>
                      </a:solidFill>
                    </a:ln>
                  </c:spPr>
                </c:marker>
                <c:val>
                  <c:numRef>
                    <c:extLst>
                      <c:ext uri="{02D57815-91ED-43cb-92C2-25804820EDAC}">
                        <c15:formulaRef>
                          <c15:sqref>'dane - wyroby'!$BT$20:$CF$20</c15:sqref>
                        </c15:formulaRef>
                      </c:ext>
                    </c:extLst>
                    <c:numCache>
                      <c:formatCode>General</c:formatCode>
                      <c:ptCount val="13"/>
                    </c:numCache>
                  </c:numRef>
                </c:val>
                <c:smooth val="0"/>
              </c15:ser>
            </c15:filteredLineSeries>
          </c:ext>
        </c:extLst>
      </c:lineChart>
      <c:catAx>
        <c:axId val="-974647104"/>
        <c:scaling>
          <c:orientation val="minMax"/>
        </c:scaling>
        <c:delete val="0"/>
        <c:axPos val="b"/>
        <c:title>
          <c:tx>
            <c:rich>
              <a:bodyPr/>
              <a:lstStyle/>
              <a:p>
                <a:pPr>
                  <a:defRPr sz="1100" b="0" i="0" u="none" strike="noStrike" baseline="0">
                    <a:solidFill>
                      <a:srgbClr val="000000"/>
                    </a:solidFill>
                    <a:latin typeface="Times New Roman" panose="02020603050405020304" pitchFamily="18" charset="0"/>
                    <a:ea typeface="Calibri"/>
                    <a:cs typeface="Times New Roman" panose="02020603050405020304" pitchFamily="18" charset="0"/>
                  </a:defRPr>
                </a:pPr>
                <a:r>
                  <a:rPr lang="pl-PL" sz="1100" b="0" i="0" u="none" strike="noStrike" baseline="0">
                    <a:solidFill>
                      <a:srgbClr val="000000"/>
                    </a:solidFill>
                    <a:latin typeface="Times New Roman" panose="02020603050405020304" pitchFamily="18" charset="0"/>
                    <a:cs typeface="Times New Roman" panose="02020603050405020304" pitchFamily="18" charset="0"/>
                  </a:rPr>
                  <a:t>miesiące      </a:t>
                </a:r>
                <a:r>
                  <a:rPr lang="pl-PL" sz="1100" b="0" i="1" u="none" strike="noStrike" baseline="0">
                    <a:solidFill>
                      <a:srgbClr val="000000"/>
                    </a:solidFill>
                    <a:latin typeface="Times New Roman" panose="02020603050405020304" pitchFamily="18" charset="0"/>
                    <a:cs typeface="Times New Roman" panose="02020603050405020304" pitchFamily="18" charset="0"/>
                  </a:rPr>
                  <a:t>months</a:t>
                </a:r>
                <a:endParaRPr lang="pl-PL" sz="1100">
                  <a:latin typeface="Times New Roman" panose="02020603050405020304" pitchFamily="18" charset="0"/>
                  <a:cs typeface="Times New Roman" panose="02020603050405020304" pitchFamily="18" charset="0"/>
                </a:endParaRPr>
              </a:p>
            </c:rich>
          </c:tx>
          <c:layout>
            <c:manualLayout>
              <c:xMode val="edge"/>
              <c:yMode val="edge"/>
              <c:x val="0.383085273544787"/>
              <c:y val="0.82809400397277377"/>
            </c:manualLayout>
          </c:layout>
          <c:overlay val="0"/>
          <c:spPr>
            <a:noFill/>
            <a:ln w="25400">
              <a:noFill/>
            </a:ln>
          </c:spPr>
        </c:title>
        <c:numFmt formatCode="General" sourceLinked="1"/>
        <c:majorTickMark val="out"/>
        <c:minorTickMark val="none"/>
        <c:tickLblPos val="nextTo"/>
        <c:spPr>
          <a:ln w="12700">
            <a:solidFill>
              <a:srgbClr val="000000"/>
            </a:solidFill>
            <a:prstDash val="solid"/>
          </a:ln>
        </c:spPr>
        <c:txPr>
          <a:bodyPr rot="0" vert="horz"/>
          <a:lstStyle/>
          <a:p>
            <a:pPr>
              <a:defRPr sz="1100" b="0" i="0" u="none" strike="noStrike" baseline="0">
                <a:solidFill>
                  <a:srgbClr val="000000"/>
                </a:solidFill>
                <a:latin typeface="Times New Roman" panose="02020603050405020304" pitchFamily="18" charset="0"/>
                <a:ea typeface="Arial CE"/>
                <a:cs typeface="Times New Roman" panose="02020603050405020304" pitchFamily="18" charset="0"/>
              </a:defRPr>
            </a:pPr>
            <a:endParaRPr lang="pl-PL"/>
          </a:p>
        </c:txPr>
        <c:crossAx val="-974643840"/>
        <c:crossesAt val="0"/>
        <c:auto val="0"/>
        <c:lblAlgn val="ctr"/>
        <c:lblOffset val="100"/>
        <c:tickLblSkip val="1"/>
        <c:tickMarkSkip val="1"/>
        <c:noMultiLvlLbl val="0"/>
      </c:catAx>
      <c:valAx>
        <c:axId val="-974643840"/>
        <c:scaling>
          <c:orientation val="minMax"/>
          <c:max val="700"/>
          <c:min val="0"/>
        </c:scaling>
        <c:delete val="0"/>
        <c:axPos val="l"/>
        <c:majorGridlines>
          <c:spPr>
            <a:ln w="3175">
              <a:solidFill>
                <a:srgbClr val="000000"/>
              </a:solidFill>
              <a:prstDash val="dash"/>
            </a:ln>
          </c:spPr>
        </c:majorGridlines>
        <c:numFmt formatCode="General" sourceLinked="1"/>
        <c:majorTickMark val="out"/>
        <c:minorTickMark val="none"/>
        <c:tickLblPos val="nextTo"/>
        <c:spPr>
          <a:ln w="12700">
            <a:solidFill>
              <a:srgbClr val="000000"/>
            </a:solidFill>
            <a:prstDash val="solid"/>
          </a:ln>
        </c:spPr>
        <c:txPr>
          <a:bodyPr rot="0" vert="horz"/>
          <a:lstStyle/>
          <a:p>
            <a:pPr>
              <a:defRPr sz="1100" b="0" i="0" u="none" strike="noStrike" baseline="0">
                <a:solidFill>
                  <a:srgbClr val="000000"/>
                </a:solidFill>
                <a:latin typeface="Times New Roman" panose="02020603050405020304" pitchFamily="18" charset="0"/>
                <a:ea typeface="Arial CE"/>
                <a:cs typeface="Times New Roman" panose="02020603050405020304" pitchFamily="18" charset="0"/>
              </a:defRPr>
            </a:pPr>
            <a:endParaRPr lang="pl-PL"/>
          </a:p>
        </c:txPr>
        <c:crossAx val="-974647104"/>
        <c:crosses val="autoZero"/>
        <c:crossBetween val="midCat"/>
        <c:majorUnit val="100"/>
      </c:valAx>
      <c:spPr>
        <a:noFill/>
        <a:ln w="25400">
          <a:noFill/>
        </a:ln>
      </c:spPr>
    </c:plotArea>
    <c:legend>
      <c:legendPos val="b"/>
      <c:layout>
        <c:manualLayout>
          <c:xMode val="edge"/>
          <c:yMode val="edge"/>
          <c:x val="0.13045916524116075"/>
          <c:y val="0.89797520592944735"/>
          <c:w val="0.78319513543394137"/>
          <c:h val="5.0476897934927947E-2"/>
        </c:manualLayout>
      </c:layout>
      <c:overlay val="0"/>
      <c:spPr>
        <a:solidFill>
          <a:srgbClr val="FFFFFF"/>
        </a:solidFill>
        <a:ln w="25400">
          <a:noFill/>
        </a:ln>
      </c:spPr>
      <c:txPr>
        <a:bodyPr/>
        <a:lstStyle/>
        <a:p>
          <a:pPr>
            <a:defRPr sz="1100" b="0" i="0" u="none" strike="noStrike" baseline="0">
              <a:solidFill>
                <a:srgbClr val="000000"/>
              </a:solidFill>
              <a:latin typeface="Times New Roman" panose="02020603050405020304" pitchFamily="18" charset="0"/>
              <a:ea typeface="Arial CE"/>
              <a:cs typeface="Times New Roman" panose="02020603050405020304" pitchFamily="18" charset="0"/>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Arial CE"/>
          <a:ea typeface="Arial CE"/>
          <a:cs typeface="Arial CE"/>
        </a:defRPr>
      </a:pPr>
      <a:endParaRPr lang="pl-PL"/>
    </a:p>
  </c:txPr>
  <c:externalData r:id="rId1">
    <c:autoUpdate val="0"/>
  </c:externalData>
  <c:userShapes r:id="rId2"/>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Arial CE"/>
                <a:ea typeface="Arial CE"/>
                <a:cs typeface="Arial CE"/>
              </a:defRPr>
            </a:pPr>
            <a:r>
              <a:rPr lang="pl-PL" sz="1200" b="1" i="0" u="none" strike="noStrike" baseline="0">
                <a:solidFill>
                  <a:srgbClr val="000000"/>
                </a:solidFill>
                <a:latin typeface="Times New Roman" panose="02020603050405020304" pitchFamily="18" charset="0"/>
                <a:cs typeface="Times New Roman" panose="02020603050405020304" pitchFamily="18" charset="0"/>
              </a:rPr>
              <a:t>Produkcja samochodów osobowych</a:t>
            </a:r>
            <a:r>
              <a:rPr lang="pl-PL" sz="1200" b="1" i="1" u="none" strike="noStrike" baseline="30000">
                <a:solidFill>
                  <a:srgbClr val="000000"/>
                </a:solidFill>
                <a:latin typeface="Times New Roman" panose="02020603050405020304" pitchFamily="18" charset="0"/>
                <a:cs typeface="Times New Roman" panose="02020603050405020304" pitchFamily="18" charset="0"/>
              </a:rPr>
              <a:t>a</a:t>
            </a:r>
            <a:endParaRPr lang="pl-PL" sz="1200" b="1" i="0" u="none" strike="noStrike" baseline="0">
              <a:solidFill>
                <a:srgbClr val="000000"/>
              </a:solidFill>
              <a:latin typeface="Times New Roman" panose="02020603050405020304" pitchFamily="18" charset="0"/>
              <a:cs typeface="Times New Roman" panose="02020603050405020304" pitchFamily="18" charset="0"/>
            </a:endParaRPr>
          </a:p>
          <a:p>
            <a:pPr>
              <a:defRPr sz="1000" b="0" i="0" u="none" strike="noStrike" baseline="0">
                <a:solidFill>
                  <a:srgbClr val="000000"/>
                </a:solidFill>
                <a:latin typeface="Arial CE"/>
                <a:ea typeface="Arial CE"/>
                <a:cs typeface="Arial CE"/>
              </a:defRPr>
            </a:pPr>
            <a:r>
              <a:rPr lang="pl-PL" sz="1200" b="1" i="1" u="none" strike="noStrike" baseline="0">
                <a:solidFill>
                  <a:srgbClr val="000000"/>
                </a:solidFill>
                <a:latin typeface="Times New Roman" panose="02020603050405020304" pitchFamily="18" charset="0"/>
                <a:cs typeface="Times New Roman" panose="02020603050405020304" pitchFamily="18" charset="0"/>
              </a:rPr>
              <a:t>Production of passenger cars</a:t>
            </a:r>
            <a:r>
              <a:rPr lang="pl-PL" sz="1200" b="1" i="1" u="none" strike="noStrike" baseline="30000">
                <a:solidFill>
                  <a:srgbClr val="000000"/>
                </a:solidFill>
                <a:latin typeface="Times New Roman" panose="02020603050405020304" pitchFamily="18" charset="0"/>
                <a:cs typeface="Times New Roman" panose="02020603050405020304" pitchFamily="18" charset="0"/>
              </a:rPr>
              <a:t>a</a:t>
            </a:r>
            <a:endParaRPr lang="pl-PL">
              <a:latin typeface="Times New Roman" panose="02020603050405020304" pitchFamily="18" charset="0"/>
              <a:cs typeface="Times New Roman" panose="02020603050405020304" pitchFamily="18" charset="0"/>
            </a:endParaRPr>
          </a:p>
        </c:rich>
      </c:tx>
      <c:layout>
        <c:manualLayout>
          <c:xMode val="edge"/>
          <c:yMode val="edge"/>
          <c:x val="0.3047777676884294"/>
          <c:y val="3.1059214189135449E-2"/>
        </c:manualLayout>
      </c:layout>
      <c:overlay val="0"/>
      <c:spPr>
        <a:noFill/>
        <a:ln w="25400">
          <a:noFill/>
        </a:ln>
      </c:spPr>
    </c:title>
    <c:autoTitleDeleted val="0"/>
    <c:plotArea>
      <c:layout>
        <c:manualLayout>
          <c:layoutTarget val="inner"/>
          <c:xMode val="edge"/>
          <c:yMode val="edge"/>
          <c:x val="7.4135150245146345E-2"/>
          <c:y val="0.18199626001049185"/>
          <c:w val="0.89456414629143255"/>
          <c:h val="0.571826527875966"/>
        </c:manualLayout>
      </c:layout>
      <c:lineChart>
        <c:grouping val="standard"/>
        <c:varyColors val="0"/>
        <c:ser>
          <c:idx val="0"/>
          <c:order val="0"/>
          <c:tx>
            <c:strRef>
              <c:f>'dane - wyroby'!$A$1</c:f>
              <c:strCache>
                <c:ptCount val="1"/>
                <c:pt idx="0">
                  <c:v>2010</c:v>
                </c:pt>
              </c:strCache>
            </c:strRef>
          </c:tx>
          <c:spPr>
            <a:ln w="12700">
              <a:solidFill>
                <a:schemeClr val="accent2">
                  <a:lumMod val="75000"/>
                </a:schemeClr>
              </a:solidFill>
              <a:prstDash val="solid"/>
            </a:ln>
          </c:spPr>
          <c:marker>
            <c:symbol val="circle"/>
            <c:size val="4"/>
            <c:spPr>
              <a:solidFill>
                <a:schemeClr val="accent2">
                  <a:lumMod val="75000"/>
                </a:schemeClr>
              </a:solidFill>
              <a:ln>
                <a:solidFill>
                  <a:schemeClr val="accent2">
                    <a:lumMod val="75000"/>
                  </a:schemeClr>
                </a:solidFill>
                <a:prstDash val="solid"/>
              </a:ln>
            </c:spPr>
          </c:marker>
          <c:dLbls>
            <c:dLbl>
              <c:idx val="0"/>
              <c:spPr>
                <a:noFill/>
                <a:ln w="25400">
                  <a:noFill/>
                </a:ln>
              </c:spPr>
              <c:txPr>
                <a:bodyPr/>
                <a:lstStyle/>
                <a:p>
                  <a:pPr algn="ctr" rtl="0">
                    <a:defRPr sz="1000" b="0" i="0" u="none" strike="noStrike" baseline="0">
                      <a:solidFill>
                        <a:srgbClr val="000000"/>
                      </a:solidFill>
                      <a:latin typeface="Arial CE"/>
                      <a:ea typeface="Arial CE"/>
                      <a:cs typeface="Arial CE"/>
                    </a:defRPr>
                  </a:pPr>
                  <a:endParaRPr lang="pl-PL"/>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wyroby'!$G$22:$S$22</c:f>
              <c:numCache>
                <c:formatCode>General</c:formatCode>
                <c:ptCount val="13"/>
                <c:pt idx="1">
                  <c:v>70.5</c:v>
                </c:pt>
                <c:pt idx="2">
                  <c:v>72.599999999999994</c:v>
                </c:pt>
                <c:pt idx="3">
                  <c:v>83.3</c:v>
                </c:pt>
                <c:pt idx="4">
                  <c:v>72.599999999999994</c:v>
                </c:pt>
                <c:pt idx="5">
                  <c:v>69.3</c:v>
                </c:pt>
                <c:pt idx="6">
                  <c:v>77.900000000000006</c:v>
                </c:pt>
                <c:pt idx="7">
                  <c:v>72.2</c:v>
                </c:pt>
                <c:pt idx="8">
                  <c:v>26.7</c:v>
                </c:pt>
                <c:pt idx="9">
                  <c:v>68.2</c:v>
                </c:pt>
                <c:pt idx="10">
                  <c:v>57.4</c:v>
                </c:pt>
                <c:pt idx="11">
                  <c:v>59.4</c:v>
                </c:pt>
                <c:pt idx="12">
                  <c:v>54.7</c:v>
                </c:pt>
              </c:numCache>
            </c:numRef>
          </c:val>
          <c:smooth val="0"/>
        </c:ser>
        <c:ser>
          <c:idx val="1"/>
          <c:order val="1"/>
          <c:tx>
            <c:strRef>
              <c:f>'dane - wyroby'!$B$1</c:f>
              <c:strCache>
                <c:ptCount val="1"/>
                <c:pt idx="0">
                  <c:v>2014</c:v>
                </c:pt>
              </c:strCache>
            </c:strRef>
          </c:tx>
          <c:spPr>
            <a:ln w="12700">
              <a:solidFill>
                <a:srgbClr val="FF0000"/>
              </a:solidFill>
              <a:prstDash val="solid"/>
            </a:ln>
          </c:spPr>
          <c:marker>
            <c:symbol val="triangle"/>
            <c:size val="4"/>
            <c:spPr>
              <a:solidFill>
                <a:srgbClr val="FF0000"/>
              </a:solidFill>
              <a:ln>
                <a:solidFill>
                  <a:srgbClr val="FF0000"/>
                </a:solidFill>
                <a:prstDash val="solid"/>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wyroby'!$T$22:$AF$22</c:f>
              <c:numCache>
                <c:formatCode>General</c:formatCode>
                <c:ptCount val="13"/>
                <c:pt idx="1">
                  <c:v>39.4</c:v>
                </c:pt>
                <c:pt idx="2">
                  <c:v>40.9</c:v>
                </c:pt>
                <c:pt idx="3">
                  <c:v>44.3</c:v>
                </c:pt>
                <c:pt idx="4">
                  <c:v>45.8</c:v>
                </c:pt>
                <c:pt idx="5">
                  <c:v>46.5</c:v>
                </c:pt>
                <c:pt idx="6">
                  <c:v>44.4</c:v>
                </c:pt>
                <c:pt idx="7">
                  <c:v>44.2</c:v>
                </c:pt>
                <c:pt idx="8">
                  <c:v>20.7</c:v>
                </c:pt>
                <c:pt idx="9">
                  <c:v>41.7</c:v>
                </c:pt>
                <c:pt idx="10">
                  <c:v>36.1</c:v>
                </c:pt>
                <c:pt idx="11">
                  <c:v>36.700000000000003</c:v>
                </c:pt>
                <c:pt idx="12">
                  <c:v>31.9</c:v>
                </c:pt>
              </c:numCache>
            </c:numRef>
          </c:val>
          <c:smooth val="0"/>
        </c:ser>
        <c:ser>
          <c:idx val="2"/>
          <c:order val="2"/>
          <c:tx>
            <c:strRef>
              <c:f>'dane - wyroby'!$C$1</c:f>
              <c:strCache>
                <c:ptCount val="1"/>
                <c:pt idx="0">
                  <c:v>2015</c:v>
                </c:pt>
              </c:strCache>
            </c:strRef>
          </c:tx>
          <c:spPr>
            <a:ln w="12700">
              <a:solidFill>
                <a:srgbClr val="008000"/>
              </a:solidFill>
              <a:prstDash val="solid"/>
            </a:ln>
          </c:spPr>
          <c:marker>
            <c:symbol val="square"/>
            <c:size val="3"/>
            <c:spPr>
              <a:solidFill>
                <a:srgbClr val="008000"/>
              </a:solidFill>
              <a:ln>
                <a:solidFill>
                  <a:srgbClr val="008000"/>
                </a:solidFill>
                <a:prstDash val="solid"/>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wyroby'!$AG$22:$AS$22</c:f>
              <c:numCache>
                <c:formatCode>General</c:formatCode>
                <c:ptCount val="13"/>
                <c:pt idx="1">
                  <c:v>46.4</c:v>
                </c:pt>
                <c:pt idx="2">
                  <c:v>50.1</c:v>
                </c:pt>
                <c:pt idx="3">
                  <c:v>55.1</c:v>
                </c:pt>
                <c:pt idx="4">
                  <c:v>49</c:v>
                </c:pt>
                <c:pt idx="5">
                  <c:v>49.7</c:v>
                </c:pt>
                <c:pt idx="6">
                  <c:v>47.5</c:v>
                </c:pt>
                <c:pt idx="7">
                  <c:v>57.6</c:v>
                </c:pt>
                <c:pt idx="8">
                  <c:v>21.5</c:v>
                </c:pt>
                <c:pt idx="9">
                  <c:v>39.6</c:v>
                </c:pt>
                <c:pt idx="10">
                  <c:v>42.8</c:v>
                </c:pt>
                <c:pt idx="11">
                  <c:v>42</c:v>
                </c:pt>
                <c:pt idx="12">
                  <c:v>33.4</c:v>
                </c:pt>
              </c:numCache>
            </c:numRef>
          </c:val>
          <c:smooth val="0"/>
        </c:ser>
        <c:ser>
          <c:idx val="3"/>
          <c:order val="3"/>
          <c:tx>
            <c:strRef>
              <c:f>'dane - wyroby'!$D$1</c:f>
              <c:strCache>
                <c:ptCount val="1"/>
                <c:pt idx="0">
                  <c:v>2016</c:v>
                </c:pt>
              </c:strCache>
            </c:strRef>
          </c:tx>
          <c:spPr>
            <a:ln w="12700">
              <a:solidFill>
                <a:srgbClr val="9900FF"/>
              </a:solidFill>
              <a:prstDash val="solid"/>
            </a:ln>
          </c:spPr>
          <c:marker>
            <c:symbol val="diamond"/>
            <c:size val="4"/>
            <c:spPr>
              <a:solidFill>
                <a:srgbClr val="9900FF"/>
              </a:solidFill>
              <a:ln>
                <a:solidFill>
                  <a:srgbClr val="9900FF"/>
                </a:solidFill>
                <a:prstDash val="solid"/>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wyroby'!$AT$22:$BF$22</c:f>
              <c:numCache>
                <c:formatCode>General</c:formatCode>
                <c:ptCount val="13"/>
                <c:pt idx="1">
                  <c:v>46.5</c:v>
                </c:pt>
                <c:pt idx="2">
                  <c:v>52.4</c:v>
                </c:pt>
                <c:pt idx="3">
                  <c:v>55.7</c:v>
                </c:pt>
                <c:pt idx="4">
                  <c:v>52.5</c:v>
                </c:pt>
                <c:pt idx="5">
                  <c:v>47.3</c:v>
                </c:pt>
                <c:pt idx="6">
                  <c:v>57.1</c:v>
                </c:pt>
                <c:pt idx="7">
                  <c:v>38</c:v>
                </c:pt>
                <c:pt idx="8">
                  <c:v>28.5</c:v>
                </c:pt>
                <c:pt idx="9">
                  <c:v>50.7</c:v>
                </c:pt>
                <c:pt idx="10">
                  <c:v>41.5</c:v>
                </c:pt>
                <c:pt idx="11">
                  <c:v>40.799999999999997</c:v>
                </c:pt>
                <c:pt idx="12">
                  <c:v>43.6</c:v>
                </c:pt>
              </c:numCache>
            </c:numRef>
          </c:val>
          <c:smooth val="0"/>
        </c:ser>
        <c:ser>
          <c:idx val="4"/>
          <c:order val="4"/>
          <c:tx>
            <c:strRef>
              <c:f>'dane - wyroby'!$E$1</c:f>
              <c:strCache>
                <c:ptCount val="1"/>
                <c:pt idx="0">
                  <c:v>2017</c:v>
                </c:pt>
              </c:strCache>
            </c:strRef>
          </c:tx>
          <c:spPr>
            <a:ln w="25400">
              <a:solidFill>
                <a:srgbClr val="0000FF"/>
              </a:solidFill>
            </a:ln>
          </c:spPr>
          <c:marker>
            <c:symbol val="triangle"/>
            <c:size val="5"/>
            <c:spPr>
              <a:solidFill>
                <a:srgbClr val="0000FF"/>
              </a:solidFill>
              <a:ln>
                <a:solidFill>
                  <a:srgbClr val="0000FF"/>
                </a:solidFill>
              </a:ln>
            </c:spPr>
          </c:marker>
          <c:cat>
            <c:strRef>
              <c:f>'dane - wyroby'!$G$1:$S$1</c:f>
              <c:strCache>
                <c:ptCount val="13"/>
                <c:pt idx="1">
                  <c:v>I</c:v>
                </c:pt>
                <c:pt idx="2">
                  <c:v>II</c:v>
                </c:pt>
                <c:pt idx="3">
                  <c:v>III</c:v>
                </c:pt>
                <c:pt idx="4">
                  <c:v>IV</c:v>
                </c:pt>
                <c:pt idx="5">
                  <c:v>V</c:v>
                </c:pt>
                <c:pt idx="6">
                  <c:v>VI</c:v>
                </c:pt>
                <c:pt idx="7">
                  <c:v>VII</c:v>
                </c:pt>
                <c:pt idx="8">
                  <c:v>VIII</c:v>
                </c:pt>
                <c:pt idx="9">
                  <c:v>IX</c:v>
                </c:pt>
                <c:pt idx="10">
                  <c:v>X</c:v>
                </c:pt>
                <c:pt idx="11">
                  <c:v>XI</c:v>
                </c:pt>
                <c:pt idx="12">
                  <c:v>XII</c:v>
                </c:pt>
              </c:strCache>
            </c:strRef>
          </c:cat>
          <c:val>
            <c:numRef>
              <c:f>'dane - wyroby'!$BG$22:$BS$22</c:f>
              <c:numCache>
                <c:formatCode>General</c:formatCode>
                <c:ptCount val="13"/>
                <c:pt idx="1">
                  <c:v>47.7</c:v>
                </c:pt>
                <c:pt idx="2">
                  <c:v>50.9</c:v>
                </c:pt>
                <c:pt idx="3">
                  <c:v>59.5</c:v>
                </c:pt>
                <c:pt idx="4">
                  <c:v>49.7</c:v>
                </c:pt>
                <c:pt idx="5">
                  <c:v>48.2</c:v>
                </c:pt>
                <c:pt idx="6">
                  <c:v>46.6</c:v>
                </c:pt>
              </c:numCache>
            </c:numRef>
          </c:val>
          <c:smooth val="0"/>
        </c:ser>
        <c:dLbls>
          <c:showLegendKey val="0"/>
          <c:showVal val="0"/>
          <c:showCatName val="0"/>
          <c:showSerName val="0"/>
          <c:showPercent val="0"/>
          <c:showBubbleSize val="0"/>
        </c:dLbls>
        <c:marker val="1"/>
        <c:smooth val="0"/>
        <c:axId val="-974646016"/>
        <c:axId val="-974632960"/>
        <c:extLst>
          <c:ext xmlns:c15="http://schemas.microsoft.com/office/drawing/2012/chart" uri="{02D57815-91ED-43cb-92C2-25804820EDAC}">
            <c15:filteredLineSeries>
              <c15:ser>
                <c:idx val="5"/>
                <c:order val="5"/>
                <c:tx>
                  <c:strRef>
                    <c:extLst>
                      <c:ext uri="{02D57815-91ED-43cb-92C2-25804820EDAC}">
                        <c15:formulaRef>
                          <c15:sqref>'dane - wyroby'!$F$1</c15:sqref>
                        </c15:formulaRef>
                      </c:ext>
                    </c:extLst>
                    <c:strCache>
                      <c:ptCount val="1"/>
                    </c:strCache>
                  </c:strRef>
                </c:tx>
                <c:spPr>
                  <a:ln>
                    <a:solidFill>
                      <a:srgbClr val="0000FF"/>
                    </a:solidFill>
                  </a:ln>
                </c:spPr>
                <c:marker>
                  <c:symbol val="square"/>
                  <c:size val="4"/>
                  <c:spPr>
                    <a:solidFill>
                      <a:srgbClr val="0000FF"/>
                    </a:solidFill>
                    <a:ln>
                      <a:solidFill>
                        <a:srgbClr val="0000FF"/>
                      </a:solidFill>
                    </a:ln>
                  </c:spPr>
                </c:marker>
                <c:val>
                  <c:numRef>
                    <c:extLst>
                      <c:ext uri="{02D57815-91ED-43cb-92C2-25804820EDAC}">
                        <c15:formulaRef>
                          <c15:sqref>'dane - wyroby'!$BT$22:$CF$22</c15:sqref>
                        </c15:formulaRef>
                      </c:ext>
                    </c:extLst>
                    <c:numCache>
                      <c:formatCode>General</c:formatCode>
                      <c:ptCount val="13"/>
                    </c:numCache>
                  </c:numRef>
                </c:val>
                <c:smooth val="0"/>
              </c15:ser>
            </c15:filteredLineSeries>
          </c:ext>
        </c:extLst>
      </c:lineChart>
      <c:catAx>
        <c:axId val="-974646016"/>
        <c:scaling>
          <c:orientation val="minMax"/>
        </c:scaling>
        <c:delete val="0"/>
        <c:axPos val="b"/>
        <c:title>
          <c:tx>
            <c:rich>
              <a:bodyPr/>
              <a:lstStyle/>
              <a:p>
                <a:pPr>
                  <a:defRPr sz="1100" b="0" i="0" u="none" strike="noStrike" baseline="0">
                    <a:solidFill>
                      <a:srgbClr val="000000"/>
                    </a:solidFill>
                    <a:latin typeface="Times New Roman" panose="02020603050405020304" pitchFamily="18" charset="0"/>
                    <a:ea typeface="Calibri"/>
                    <a:cs typeface="Times New Roman" panose="02020603050405020304" pitchFamily="18" charset="0"/>
                  </a:defRPr>
                </a:pPr>
                <a:r>
                  <a:rPr lang="pl-PL" sz="1100" b="0" i="0" u="none" strike="noStrike" baseline="0">
                    <a:solidFill>
                      <a:srgbClr val="000000"/>
                    </a:solidFill>
                    <a:latin typeface="Times New Roman" panose="02020603050405020304" pitchFamily="18" charset="0"/>
                    <a:cs typeface="Times New Roman" panose="02020603050405020304" pitchFamily="18" charset="0"/>
                  </a:rPr>
                  <a:t>miesiące      </a:t>
                </a:r>
                <a:r>
                  <a:rPr lang="pl-PL" sz="1100" b="0" i="1" u="none" strike="noStrike" baseline="0">
                    <a:solidFill>
                      <a:srgbClr val="000000"/>
                    </a:solidFill>
                    <a:latin typeface="Times New Roman" panose="02020603050405020304" pitchFamily="18" charset="0"/>
                    <a:cs typeface="Times New Roman" panose="02020603050405020304" pitchFamily="18" charset="0"/>
                  </a:rPr>
                  <a:t>months</a:t>
                </a:r>
                <a:endParaRPr lang="pl-PL" sz="1100">
                  <a:latin typeface="Times New Roman" panose="02020603050405020304" pitchFamily="18" charset="0"/>
                  <a:cs typeface="Times New Roman" panose="02020603050405020304" pitchFamily="18" charset="0"/>
                </a:endParaRPr>
              </a:p>
            </c:rich>
          </c:tx>
          <c:layout>
            <c:manualLayout>
              <c:xMode val="edge"/>
              <c:yMode val="edge"/>
              <c:x val="0.40911618006512074"/>
              <c:y val="0.81126649890413183"/>
            </c:manualLayout>
          </c:layout>
          <c:overlay val="0"/>
          <c:spPr>
            <a:noFill/>
            <a:ln w="25400">
              <a:noFill/>
            </a:ln>
          </c:spPr>
        </c:title>
        <c:numFmt formatCode="General" sourceLinked="1"/>
        <c:majorTickMark val="out"/>
        <c:minorTickMark val="none"/>
        <c:tickLblPos val="nextTo"/>
        <c:spPr>
          <a:ln w="12700">
            <a:solidFill>
              <a:srgbClr val="000000"/>
            </a:solidFill>
            <a:prstDash val="solid"/>
          </a:ln>
        </c:spPr>
        <c:txPr>
          <a:bodyPr rot="0" vert="horz"/>
          <a:lstStyle/>
          <a:p>
            <a:pPr>
              <a:defRPr sz="1100" b="0" i="0" u="none" strike="noStrike" baseline="0">
                <a:solidFill>
                  <a:srgbClr val="000000"/>
                </a:solidFill>
                <a:latin typeface="Times New Roman" panose="02020603050405020304" pitchFamily="18" charset="0"/>
                <a:ea typeface="Arial CE"/>
                <a:cs typeface="Times New Roman" panose="02020603050405020304" pitchFamily="18" charset="0"/>
              </a:defRPr>
            </a:pPr>
            <a:endParaRPr lang="pl-PL"/>
          </a:p>
        </c:txPr>
        <c:crossAx val="-974632960"/>
        <c:crossesAt val="10"/>
        <c:auto val="0"/>
        <c:lblAlgn val="ctr"/>
        <c:lblOffset val="100"/>
        <c:tickLblSkip val="1"/>
        <c:tickMarkSkip val="1"/>
        <c:noMultiLvlLbl val="0"/>
      </c:catAx>
      <c:valAx>
        <c:axId val="-974632960"/>
        <c:scaling>
          <c:orientation val="minMax"/>
          <c:min val="10"/>
        </c:scaling>
        <c:delete val="0"/>
        <c:axPos val="l"/>
        <c:majorGridlines>
          <c:spPr>
            <a:ln w="3175">
              <a:solidFill>
                <a:srgbClr val="000000"/>
              </a:solidFill>
              <a:prstDash val="dash"/>
            </a:ln>
          </c:spPr>
        </c:majorGridlines>
        <c:numFmt formatCode="General" sourceLinked="1"/>
        <c:majorTickMark val="out"/>
        <c:minorTickMark val="none"/>
        <c:tickLblPos val="nextTo"/>
        <c:spPr>
          <a:ln w="12700">
            <a:solidFill>
              <a:srgbClr val="000000"/>
            </a:solidFill>
            <a:prstDash val="solid"/>
          </a:ln>
        </c:spPr>
        <c:txPr>
          <a:bodyPr rot="0" vert="horz"/>
          <a:lstStyle/>
          <a:p>
            <a:pPr>
              <a:defRPr sz="1100" b="0" i="0" u="none" strike="noStrike" baseline="0">
                <a:solidFill>
                  <a:srgbClr val="000000"/>
                </a:solidFill>
                <a:latin typeface="Times New Roman" panose="02020603050405020304" pitchFamily="18" charset="0"/>
                <a:ea typeface="Arial CE"/>
                <a:cs typeface="Times New Roman" panose="02020603050405020304" pitchFamily="18" charset="0"/>
              </a:defRPr>
            </a:pPr>
            <a:endParaRPr lang="pl-PL"/>
          </a:p>
        </c:txPr>
        <c:crossAx val="-974646016"/>
        <c:crosses val="autoZero"/>
        <c:crossBetween val="midCat"/>
        <c:majorUnit val="10"/>
      </c:valAx>
      <c:spPr>
        <a:noFill/>
        <a:ln w="25400">
          <a:noFill/>
        </a:ln>
      </c:spPr>
    </c:plotArea>
    <c:legend>
      <c:legendPos val="b"/>
      <c:layout>
        <c:manualLayout>
          <c:xMode val="edge"/>
          <c:yMode val="edge"/>
          <c:x val="0.12740265714208404"/>
          <c:y val="0.86697361798847317"/>
          <c:w val="0.77803404722679848"/>
          <c:h val="4.5601288475304223E-2"/>
        </c:manualLayout>
      </c:layout>
      <c:overlay val="0"/>
      <c:spPr>
        <a:solidFill>
          <a:srgbClr val="FFFFFF"/>
        </a:solidFill>
        <a:ln w="25400">
          <a:noFill/>
        </a:ln>
      </c:spPr>
      <c:txPr>
        <a:bodyPr/>
        <a:lstStyle/>
        <a:p>
          <a:pPr>
            <a:defRPr sz="1100" b="0" i="0" u="none" strike="noStrike" baseline="0">
              <a:solidFill>
                <a:srgbClr val="000000"/>
              </a:solidFill>
              <a:latin typeface="Times New Roman" panose="02020603050405020304" pitchFamily="18" charset="0"/>
              <a:ea typeface="Arial CE"/>
              <a:cs typeface="Times New Roman" panose="02020603050405020304" pitchFamily="18" charset="0"/>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Arial CE"/>
          <a:ea typeface="Arial CE"/>
          <a:cs typeface="Arial CE"/>
        </a:defRPr>
      </a:pPr>
      <a:endParaRPr lang="pl-PL"/>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000000"/>
                </a:solidFill>
                <a:latin typeface="Arial"/>
                <a:ea typeface="Arial"/>
                <a:cs typeface="Arial"/>
              </a:defRPr>
            </a:pPr>
            <a:r>
              <a:rPr lang="pl-PL" sz="1200" b="1" i="0" u="none" strike="noStrike" baseline="0">
                <a:solidFill>
                  <a:srgbClr val="000000"/>
                </a:solidFill>
                <a:latin typeface="Times New Roman" panose="02020603050405020304" pitchFamily="18" charset="0"/>
                <a:cs typeface="Times New Roman" panose="02020603050405020304" pitchFamily="18" charset="0"/>
              </a:rPr>
              <a:t>Produkcja sprzedana przemysłu</a:t>
            </a:r>
            <a:r>
              <a:rPr lang="pl-PL" sz="1200" b="0" i="1" u="none" strike="noStrike" baseline="30000">
                <a:solidFill>
                  <a:srgbClr val="000000"/>
                </a:solidFill>
                <a:latin typeface="Times New Roman" panose="02020603050405020304" pitchFamily="18" charset="0"/>
                <a:cs typeface="Times New Roman" panose="02020603050405020304" pitchFamily="18" charset="0"/>
              </a:rPr>
              <a:t>a</a:t>
            </a:r>
            <a:r>
              <a:rPr lang="pl-PL" sz="1200" b="1" i="0" u="none" strike="noStrike" baseline="0">
                <a:solidFill>
                  <a:srgbClr val="000000"/>
                </a:solidFill>
                <a:latin typeface="Times New Roman" panose="02020603050405020304" pitchFamily="18" charset="0"/>
                <a:cs typeface="Times New Roman" panose="02020603050405020304" pitchFamily="18" charset="0"/>
              </a:rPr>
              <a:t> w cenach stałych według sekcji </a:t>
            </a:r>
          </a:p>
          <a:p>
            <a:pPr>
              <a:defRPr sz="1200" b="0" i="0" u="none" strike="noStrike" baseline="0">
                <a:solidFill>
                  <a:srgbClr val="000000"/>
                </a:solidFill>
                <a:latin typeface="Arial"/>
                <a:ea typeface="Arial"/>
                <a:cs typeface="Arial"/>
              </a:defRPr>
            </a:pPr>
            <a:r>
              <a:rPr lang="pl-PL" sz="1100" b="1" i="0" u="none" strike="noStrike" baseline="0">
                <a:solidFill>
                  <a:srgbClr val="000000"/>
                </a:solidFill>
                <a:latin typeface="Times New Roman" panose="02020603050405020304" pitchFamily="18" charset="0"/>
                <a:cs typeface="Times New Roman" panose="02020603050405020304" pitchFamily="18" charset="0"/>
              </a:rPr>
              <a:t>(analogiczny okres roku poprzedniego=100)</a:t>
            </a:r>
          </a:p>
          <a:p>
            <a:pPr>
              <a:defRPr sz="1200" b="0" i="0" u="none" strike="noStrike" baseline="0">
                <a:solidFill>
                  <a:srgbClr val="000000"/>
                </a:solidFill>
                <a:latin typeface="Arial"/>
                <a:ea typeface="Arial"/>
                <a:cs typeface="Arial"/>
              </a:defRPr>
            </a:pPr>
            <a:r>
              <a:rPr lang="pl-PL" sz="1200" b="1" i="1" u="none" strike="noStrike" baseline="0">
                <a:solidFill>
                  <a:srgbClr val="000000"/>
                </a:solidFill>
                <a:latin typeface="Times New Roman" panose="02020603050405020304" pitchFamily="18" charset="0"/>
                <a:cs typeface="Times New Roman" panose="02020603050405020304" pitchFamily="18" charset="0"/>
              </a:rPr>
              <a:t>Sold production of industry</a:t>
            </a:r>
            <a:r>
              <a:rPr lang="pl-PL" sz="1200" b="0" i="1" u="none" strike="noStrike" baseline="30000">
                <a:solidFill>
                  <a:srgbClr val="000000"/>
                </a:solidFill>
                <a:latin typeface="Times New Roman" panose="02020603050405020304" pitchFamily="18" charset="0"/>
                <a:cs typeface="Times New Roman" panose="02020603050405020304" pitchFamily="18" charset="0"/>
              </a:rPr>
              <a:t>a</a:t>
            </a:r>
            <a:r>
              <a:rPr lang="pl-PL" sz="1200" b="1" i="1" u="none" strike="noStrike" baseline="0">
                <a:solidFill>
                  <a:srgbClr val="000000"/>
                </a:solidFill>
                <a:latin typeface="Times New Roman" panose="02020603050405020304" pitchFamily="18" charset="0"/>
                <a:cs typeface="Times New Roman" panose="02020603050405020304" pitchFamily="18" charset="0"/>
              </a:rPr>
              <a:t> in constant prices by sections</a:t>
            </a:r>
          </a:p>
          <a:p>
            <a:pPr>
              <a:defRPr sz="1200" b="0" i="0" u="none" strike="noStrike" baseline="0">
                <a:solidFill>
                  <a:srgbClr val="000000"/>
                </a:solidFill>
                <a:latin typeface="Arial"/>
                <a:ea typeface="Arial"/>
                <a:cs typeface="Arial"/>
              </a:defRPr>
            </a:pPr>
            <a:r>
              <a:rPr lang="pl-PL" sz="1100" b="1" i="1" u="none" strike="noStrike" baseline="0">
                <a:solidFill>
                  <a:srgbClr val="000000"/>
                </a:solidFill>
                <a:latin typeface="Times New Roman" panose="02020603050405020304" pitchFamily="18" charset="0"/>
                <a:cs typeface="Times New Roman" panose="02020603050405020304" pitchFamily="18" charset="0"/>
              </a:rPr>
              <a:t>(corresponding period of previous year=100)</a:t>
            </a:r>
            <a:endParaRPr lang="pl-PL" sz="1100">
              <a:latin typeface="Times New Roman" panose="02020603050405020304" pitchFamily="18" charset="0"/>
              <a:cs typeface="Times New Roman" panose="02020603050405020304" pitchFamily="18" charset="0"/>
            </a:endParaRPr>
          </a:p>
        </c:rich>
      </c:tx>
      <c:layout>
        <c:manualLayout>
          <c:xMode val="edge"/>
          <c:yMode val="edge"/>
          <c:x val="0.146801871805498"/>
          <c:y val="1.5151605191718102E-2"/>
        </c:manualLayout>
      </c:layout>
      <c:overlay val="0"/>
      <c:spPr>
        <a:noFill/>
        <a:ln w="25400">
          <a:noFill/>
        </a:ln>
      </c:spPr>
    </c:title>
    <c:autoTitleDeleted val="0"/>
    <c:plotArea>
      <c:layout>
        <c:manualLayout>
          <c:layoutTarget val="inner"/>
          <c:xMode val="edge"/>
          <c:yMode val="edge"/>
          <c:x val="8.3836337891974033E-2"/>
          <c:y val="0.25410426818300486"/>
          <c:w val="0.8679517198508081"/>
          <c:h val="0.48212512742984071"/>
        </c:manualLayout>
      </c:layout>
      <c:barChart>
        <c:barDir val="col"/>
        <c:grouping val="clustered"/>
        <c:varyColors val="0"/>
        <c:ser>
          <c:idx val="0"/>
          <c:order val="0"/>
          <c:tx>
            <c:strRef>
              <c:f>wykresy_2!$K$3</c:f>
              <c:strCache>
                <c:ptCount val="1"/>
                <c:pt idx="0">
                  <c:v>Przemysł ogółem</c:v>
                </c:pt>
              </c:strCache>
            </c:strRef>
          </c:tx>
          <c:spPr>
            <a:solidFill>
              <a:srgbClr val="69FFFF"/>
            </a:solidFill>
            <a:ln w="12700">
              <a:solidFill>
                <a:srgbClr val="000000"/>
              </a:solidFill>
              <a:prstDash val="solid"/>
            </a:ln>
          </c:spPr>
          <c:invertIfNegative val="0"/>
          <c:cat>
            <c:strRef>
              <c:f>wykresy_2!$L$2:$M$2</c:f>
              <c:strCache>
                <c:ptCount val="2"/>
                <c:pt idx="0">
                  <c:v>I-II kw. 2016</c:v>
                </c:pt>
                <c:pt idx="1">
                  <c:v>I-II kw. 2017</c:v>
                </c:pt>
              </c:strCache>
            </c:strRef>
          </c:cat>
          <c:val>
            <c:numRef>
              <c:f>wykresy_2!$L$3:$M$3</c:f>
              <c:numCache>
                <c:formatCode>0.0</c:formatCode>
                <c:ptCount val="2"/>
                <c:pt idx="0">
                  <c:v>104.4</c:v>
                </c:pt>
                <c:pt idx="1">
                  <c:v>105.7</c:v>
                </c:pt>
              </c:numCache>
            </c:numRef>
          </c:val>
        </c:ser>
        <c:ser>
          <c:idx val="2"/>
          <c:order val="1"/>
          <c:tx>
            <c:strRef>
              <c:f>wykresy_2!$K$4</c:f>
              <c:strCache>
                <c:ptCount val="1"/>
                <c:pt idx="0">
                  <c:v>Górnictwo i wydobywanie</c:v>
                </c:pt>
              </c:strCache>
            </c:strRef>
          </c:tx>
          <c:spPr>
            <a:solidFill>
              <a:srgbClr val="FFFF00"/>
            </a:solidFill>
            <a:ln w="12700">
              <a:solidFill>
                <a:srgbClr val="000000"/>
              </a:solidFill>
              <a:prstDash val="solid"/>
            </a:ln>
          </c:spPr>
          <c:invertIfNegative val="0"/>
          <c:cat>
            <c:strRef>
              <c:f>wykresy_2!$L$2:$M$2</c:f>
              <c:strCache>
                <c:ptCount val="2"/>
                <c:pt idx="0">
                  <c:v>I-II kw. 2016</c:v>
                </c:pt>
                <c:pt idx="1">
                  <c:v>I-II kw. 2017</c:v>
                </c:pt>
              </c:strCache>
            </c:strRef>
          </c:cat>
          <c:val>
            <c:numRef>
              <c:f>wykresy_2!$L$4:$M$4</c:f>
              <c:numCache>
                <c:formatCode>0.0</c:formatCode>
                <c:ptCount val="2"/>
                <c:pt idx="0">
                  <c:v>93.1</c:v>
                </c:pt>
                <c:pt idx="1">
                  <c:v>95.5</c:v>
                </c:pt>
              </c:numCache>
            </c:numRef>
          </c:val>
        </c:ser>
        <c:ser>
          <c:idx val="4"/>
          <c:order val="2"/>
          <c:tx>
            <c:strRef>
              <c:f>wykresy_2!$K$5</c:f>
              <c:strCache>
                <c:ptCount val="1"/>
                <c:pt idx="0">
                  <c:v>Przetwórstwo przemysłowe</c:v>
                </c:pt>
              </c:strCache>
            </c:strRef>
          </c:tx>
          <c:spPr>
            <a:solidFill>
              <a:srgbClr val="00FF00"/>
            </a:solidFill>
            <a:ln w="12700">
              <a:solidFill>
                <a:srgbClr val="000000"/>
              </a:solidFill>
              <a:prstDash val="solid"/>
            </a:ln>
          </c:spPr>
          <c:invertIfNegative val="0"/>
          <c:cat>
            <c:strRef>
              <c:f>wykresy_2!$L$2:$M$2</c:f>
              <c:strCache>
                <c:ptCount val="2"/>
                <c:pt idx="0">
                  <c:v>I-II kw. 2016</c:v>
                </c:pt>
                <c:pt idx="1">
                  <c:v>I-II kw. 2017</c:v>
                </c:pt>
              </c:strCache>
            </c:strRef>
          </c:cat>
          <c:val>
            <c:numRef>
              <c:f>wykresy_2!$L$5:$M$5</c:f>
              <c:numCache>
                <c:formatCode>0.0</c:formatCode>
                <c:ptCount val="2"/>
                <c:pt idx="0">
                  <c:v>105.6</c:v>
                </c:pt>
                <c:pt idx="1">
                  <c:v>106.2</c:v>
                </c:pt>
              </c:numCache>
            </c:numRef>
          </c:val>
        </c:ser>
        <c:ser>
          <c:idx val="6"/>
          <c:order val="3"/>
          <c:tx>
            <c:strRef>
              <c:f>wykresy_2!$K$6</c:f>
              <c:strCache>
                <c:ptCount val="1"/>
                <c:pt idx="0">
                  <c:v>Wytwarzanie i zaopatrywanie w energię elektryczną, gaz, parę wodną i gorącą wodę </c:v>
                </c:pt>
              </c:strCache>
            </c:strRef>
          </c:tx>
          <c:spPr>
            <a:solidFill>
              <a:srgbClr val="FF0000"/>
            </a:solidFill>
            <a:ln w="12700">
              <a:solidFill>
                <a:srgbClr val="000000"/>
              </a:solidFill>
              <a:prstDash val="solid"/>
            </a:ln>
          </c:spPr>
          <c:invertIfNegative val="0"/>
          <c:cat>
            <c:strRef>
              <c:f>wykresy_2!$L$2:$M$2</c:f>
              <c:strCache>
                <c:ptCount val="2"/>
                <c:pt idx="0">
                  <c:v>I-II kw. 2016</c:v>
                </c:pt>
                <c:pt idx="1">
                  <c:v>I-II kw. 2017</c:v>
                </c:pt>
              </c:strCache>
            </c:strRef>
          </c:cat>
          <c:val>
            <c:numRef>
              <c:f>wykresy_2!$L$6:$M$6</c:f>
              <c:numCache>
                <c:formatCode>0.0</c:formatCode>
                <c:ptCount val="2"/>
                <c:pt idx="0">
                  <c:v>97.6</c:v>
                </c:pt>
                <c:pt idx="1">
                  <c:v>105.3</c:v>
                </c:pt>
              </c:numCache>
            </c:numRef>
          </c:val>
        </c:ser>
        <c:ser>
          <c:idx val="8"/>
          <c:order val="4"/>
          <c:tx>
            <c:strRef>
              <c:f>wykresy_2!$K$7</c:f>
              <c:strCache>
                <c:ptCount val="1"/>
                <c:pt idx="0">
                  <c:v>Dostawa wody; gospodarowanie ściekami i odpadami; rekultywacja</c:v>
                </c:pt>
              </c:strCache>
            </c:strRef>
          </c:tx>
          <c:spPr>
            <a:solidFill>
              <a:srgbClr val="0080C0"/>
            </a:solidFill>
            <a:ln w="12700">
              <a:solidFill>
                <a:srgbClr val="000000"/>
              </a:solidFill>
              <a:prstDash val="solid"/>
            </a:ln>
          </c:spPr>
          <c:invertIfNegative val="0"/>
          <c:cat>
            <c:strRef>
              <c:f>wykresy_2!$L$2:$M$2</c:f>
              <c:strCache>
                <c:ptCount val="2"/>
                <c:pt idx="0">
                  <c:v>I-II kw. 2016</c:v>
                </c:pt>
                <c:pt idx="1">
                  <c:v>I-II kw. 2017</c:v>
                </c:pt>
              </c:strCache>
            </c:strRef>
          </c:cat>
          <c:val>
            <c:numRef>
              <c:f>wykresy_2!$L$7:$M$7</c:f>
              <c:numCache>
                <c:formatCode>0.0</c:formatCode>
                <c:ptCount val="2"/>
                <c:pt idx="0">
                  <c:v>102.7</c:v>
                </c:pt>
                <c:pt idx="1">
                  <c:v>104.3</c:v>
                </c:pt>
              </c:numCache>
            </c:numRef>
          </c:val>
        </c:ser>
        <c:dLbls>
          <c:showLegendKey val="0"/>
          <c:showVal val="0"/>
          <c:showCatName val="0"/>
          <c:showSerName val="0"/>
          <c:showPercent val="0"/>
          <c:showBubbleSize val="0"/>
        </c:dLbls>
        <c:gapWidth val="150"/>
        <c:overlap val="1"/>
        <c:axId val="-980542880"/>
        <c:axId val="-980552128"/>
      </c:barChart>
      <c:catAx>
        <c:axId val="-980542880"/>
        <c:scaling>
          <c:orientation val="minMax"/>
        </c:scaling>
        <c:delete val="0"/>
        <c:axPos val="b"/>
        <c:numFmt formatCode="General" sourceLinked="0"/>
        <c:majorTickMark val="out"/>
        <c:minorTickMark val="none"/>
        <c:tickLblPos val="low"/>
        <c:spPr>
          <a:ln w="15875">
            <a:solidFill>
              <a:srgbClr val="000000"/>
            </a:solidFill>
            <a:prstDash val="solid"/>
          </a:ln>
        </c:spPr>
        <c:txPr>
          <a:bodyPr rot="0" vert="horz"/>
          <a:lstStyle/>
          <a:p>
            <a:pPr>
              <a:defRPr sz="1100" b="1"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pl-PL"/>
          </a:p>
        </c:txPr>
        <c:crossAx val="-980552128"/>
        <c:crossesAt val="100"/>
        <c:auto val="0"/>
        <c:lblAlgn val="ctr"/>
        <c:lblOffset val="200"/>
        <c:tickLblSkip val="1"/>
        <c:tickMarkSkip val="1"/>
        <c:noMultiLvlLbl val="0"/>
      </c:catAx>
      <c:valAx>
        <c:axId val="-980552128"/>
        <c:scaling>
          <c:orientation val="minMax"/>
          <c:max val="108"/>
          <c:min val="92"/>
        </c:scaling>
        <c:delete val="0"/>
        <c:axPos val="l"/>
        <c:majorGridlines>
          <c:spPr>
            <a:ln w="3175">
              <a:solidFill>
                <a:srgbClr val="000000"/>
              </a:solidFill>
              <a:prstDash val="dash"/>
            </a:ln>
          </c:spPr>
        </c:majorGridlines>
        <c:title>
          <c:tx>
            <c:rich>
              <a:bodyPr rot="-60000" vert="horz"/>
              <a:lstStyle/>
              <a:p>
                <a:pPr algn="ctr">
                  <a:defRPr sz="1100" b="0" i="0" u="none" strike="noStrike" baseline="0">
                    <a:solidFill>
                      <a:srgbClr val="000000"/>
                    </a:solidFill>
                    <a:latin typeface="Times New Roman" panose="02020603050405020304" pitchFamily="18" charset="0"/>
                    <a:ea typeface="Arial"/>
                    <a:cs typeface="Times New Roman" panose="02020603050405020304" pitchFamily="18" charset="0"/>
                  </a:defRPr>
                </a:pPr>
                <a:r>
                  <a:rPr lang="pl-PL" sz="1100" b="0">
                    <a:latin typeface="Times New Roman" panose="02020603050405020304" pitchFamily="18" charset="0"/>
                    <a:cs typeface="Times New Roman" panose="02020603050405020304" pitchFamily="18" charset="0"/>
                  </a:rPr>
                  <a:t>%</a:t>
                </a:r>
              </a:p>
            </c:rich>
          </c:tx>
          <c:layout>
            <c:manualLayout>
              <c:xMode val="edge"/>
              <c:yMode val="edge"/>
              <c:x val="3.8233008702859513E-2"/>
              <c:y val="0.183270870258152"/>
            </c:manualLayout>
          </c:layout>
          <c:overlay val="0"/>
          <c:spPr>
            <a:noFill/>
            <a:ln w="25400">
              <a:noFill/>
            </a:ln>
          </c:spPr>
        </c:title>
        <c:numFmt formatCode="0" sourceLinked="0"/>
        <c:majorTickMark val="out"/>
        <c:minorTickMark val="none"/>
        <c:tickLblPos val="nextTo"/>
        <c:spPr>
          <a:ln w="15875">
            <a:solidFill>
              <a:srgbClr val="000000"/>
            </a:solidFill>
            <a:prstDash val="solid"/>
          </a:ln>
        </c:spPr>
        <c:txPr>
          <a:bodyPr rot="0" vert="horz"/>
          <a:lstStyle/>
          <a:p>
            <a:pPr>
              <a:defRPr sz="11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pl-PL"/>
          </a:p>
        </c:txPr>
        <c:crossAx val="-980542880"/>
        <c:crosses val="autoZero"/>
        <c:crossBetween val="between"/>
        <c:majorUnit val="2"/>
      </c:valAx>
      <c:spPr>
        <a:noFill/>
        <a:ln w="25400">
          <a:noFill/>
        </a:ln>
      </c:spPr>
    </c:plotArea>
    <c:plotVisOnly val="1"/>
    <c:dispBlanksAs val="gap"/>
    <c:showDLblsOverMax val="0"/>
  </c:chart>
  <c:spPr>
    <a:solidFill>
      <a:srgbClr val="FFFFFF"/>
    </a:solidFill>
    <a:ln w="9525">
      <a:noFill/>
    </a:ln>
  </c:spPr>
  <c:txPr>
    <a:bodyPr/>
    <a:lstStyle/>
    <a:p>
      <a:pPr>
        <a:defRPr sz="1200" b="0" i="0" u="none" strike="noStrike" baseline="0">
          <a:solidFill>
            <a:srgbClr val="000000"/>
          </a:solidFill>
          <a:latin typeface="Arial"/>
          <a:ea typeface="Arial"/>
          <a:cs typeface="Arial"/>
        </a:defRPr>
      </a:pPr>
      <a:endParaRPr lang="pl-PL"/>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b="0" i="0" u="none" strike="noStrike" baseline="0">
                <a:solidFill>
                  <a:srgbClr val="000000"/>
                </a:solidFill>
                <a:latin typeface="Times New Roman" panose="02020603050405020304" pitchFamily="18" charset="0"/>
                <a:ea typeface="Arial"/>
                <a:cs typeface="Times New Roman" panose="02020603050405020304" pitchFamily="18" charset="0"/>
              </a:defRPr>
            </a:pPr>
            <a:r>
              <a:rPr lang="pl-PL" sz="1100" b="1" i="0" u="none" strike="noStrike" baseline="0">
                <a:solidFill>
                  <a:srgbClr val="000000"/>
                </a:solidFill>
                <a:latin typeface="Times New Roman" panose="02020603050405020304" pitchFamily="18" charset="0"/>
                <a:cs typeface="Times New Roman" panose="02020603050405020304" pitchFamily="18" charset="0"/>
              </a:rPr>
              <a:t>Przeciętne zatrudnienie w przemyśle według sekcji</a:t>
            </a:r>
          </a:p>
          <a:p>
            <a:pPr>
              <a:defRPr sz="1100" b="0" i="0" u="none" strike="noStrike" baseline="0">
                <a:solidFill>
                  <a:srgbClr val="000000"/>
                </a:solidFill>
                <a:latin typeface="Times New Roman" panose="02020603050405020304" pitchFamily="18" charset="0"/>
                <a:ea typeface="Arial"/>
                <a:cs typeface="Times New Roman" panose="02020603050405020304" pitchFamily="18" charset="0"/>
              </a:defRPr>
            </a:pPr>
            <a:r>
              <a:rPr lang="pl-PL" sz="1100" b="1" i="0" u="none" strike="noStrike" baseline="0">
                <a:solidFill>
                  <a:srgbClr val="000000"/>
                </a:solidFill>
                <a:latin typeface="Times New Roman" panose="02020603050405020304" pitchFamily="18" charset="0"/>
                <a:cs typeface="Times New Roman" panose="02020603050405020304" pitchFamily="18" charset="0"/>
              </a:rPr>
              <a:t>(analogiczny okres roku poprzedniego=100)</a:t>
            </a:r>
          </a:p>
          <a:p>
            <a:pPr>
              <a:defRPr sz="1100" b="0" i="0" u="none" strike="noStrike" baseline="0">
                <a:solidFill>
                  <a:srgbClr val="000000"/>
                </a:solidFill>
                <a:latin typeface="Times New Roman" panose="02020603050405020304" pitchFamily="18" charset="0"/>
                <a:ea typeface="Arial"/>
                <a:cs typeface="Times New Roman" panose="02020603050405020304" pitchFamily="18" charset="0"/>
              </a:defRPr>
            </a:pPr>
            <a:r>
              <a:rPr lang="pl-PL" sz="1100" b="1" i="1" u="none" strike="noStrike" baseline="0">
                <a:solidFill>
                  <a:srgbClr val="000000"/>
                </a:solidFill>
                <a:latin typeface="Times New Roman" panose="02020603050405020304" pitchFamily="18" charset="0"/>
                <a:cs typeface="Times New Roman" panose="02020603050405020304" pitchFamily="18" charset="0"/>
              </a:rPr>
              <a:t>Average paid employment in industry by sections</a:t>
            </a:r>
          </a:p>
          <a:p>
            <a:pPr>
              <a:defRPr sz="1100" b="0" i="0" u="none" strike="noStrike" baseline="0">
                <a:solidFill>
                  <a:srgbClr val="000000"/>
                </a:solidFill>
                <a:latin typeface="Times New Roman" panose="02020603050405020304" pitchFamily="18" charset="0"/>
                <a:ea typeface="Arial"/>
                <a:cs typeface="Times New Roman" panose="02020603050405020304" pitchFamily="18" charset="0"/>
              </a:defRPr>
            </a:pPr>
            <a:r>
              <a:rPr lang="pl-PL" sz="1100" b="1" i="1" u="none" strike="noStrike" baseline="0">
                <a:solidFill>
                  <a:srgbClr val="000000"/>
                </a:solidFill>
                <a:latin typeface="Times New Roman" panose="02020603050405020304" pitchFamily="18" charset="0"/>
                <a:cs typeface="Times New Roman" panose="02020603050405020304" pitchFamily="18" charset="0"/>
              </a:rPr>
              <a:t>(corresponding period of previous year=100)</a:t>
            </a:r>
            <a:endParaRPr lang="pl-PL" sz="1100">
              <a:latin typeface="Times New Roman" panose="02020603050405020304" pitchFamily="18" charset="0"/>
              <a:cs typeface="Times New Roman" panose="02020603050405020304" pitchFamily="18" charset="0"/>
            </a:endParaRPr>
          </a:p>
        </c:rich>
      </c:tx>
      <c:layout>
        <c:manualLayout>
          <c:xMode val="edge"/>
          <c:yMode val="edge"/>
          <c:x val="0.21644490438695163"/>
          <c:y val="3.2984027238921465E-2"/>
        </c:manualLayout>
      </c:layout>
      <c:overlay val="0"/>
      <c:spPr>
        <a:noFill/>
        <a:ln w="25400">
          <a:noFill/>
        </a:ln>
      </c:spPr>
    </c:title>
    <c:autoTitleDeleted val="0"/>
    <c:plotArea>
      <c:layout>
        <c:manualLayout>
          <c:layoutTarget val="inner"/>
          <c:xMode val="edge"/>
          <c:yMode val="edge"/>
          <c:x val="8.2663487064116983E-2"/>
          <c:y val="0.18558388122276795"/>
          <c:w val="0.89001952755905511"/>
          <c:h val="0.35138588937030235"/>
        </c:manualLayout>
      </c:layout>
      <c:barChart>
        <c:barDir val="col"/>
        <c:grouping val="clustered"/>
        <c:varyColors val="0"/>
        <c:ser>
          <c:idx val="0"/>
          <c:order val="0"/>
          <c:tx>
            <c:strRef>
              <c:f>wykresy_2!$K$39</c:f>
              <c:strCache>
                <c:ptCount val="1"/>
                <c:pt idx="0">
                  <c:v>Przemysł ogółem</c:v>
                </c:pt>
              </c:strCache>
            </c:strRef>
          </c:tx>
          <c:spPr>
            <a:solidFill>
              <a:srgbClr val="69FFFF"/>
            </a:solidFill>
            <a:ln w="12700">
              <a:solidFill>
                <a:srgbClr val="000000"/>
              </a:solidFill>
              <a:prstDash val="solid"/>
            </a:ln>
          </c:spPr>
          <c:invertIfNegative val="0"/>
          <c:cat>
            <c:strRef>
              <c:f>wykresy_2!$L$36:$M$36</c:f>
              <c:strCache>
                <c:ptCount val="2"/>
                <c:pt idx="0">
                  <c:v>I-II kw. 2016</c:v>
                </c:pt>
                <c:pt idx="1">
                  <c:v>I-II kw. 2017</c:v>
                </c:pt>
              </c:strCache>
            </c:strRef>
          </c:cat>
          <c:val>
            <c:numRef>
              <c:f>wykresy_2!$L$39:$M$39</c:f>
              <c:numCache>
                <c:formatCode>0.0</c:formatCode>
                <c:ptCount val="2"/>
                <c:pt idx="0">
                  <c:v>102.1</c:v>
                </c:pt>
                <c:pt idx="1">
                  <c:v>103.1</c:v>
                </c:pt>
              </c:numCache>
            </c:numRef>
          </c:val>
        </c:ser>
        <c:ser>
          <c:idx val="2"/>
          <c:order val="1"/>
          <c:tx>
            <c:strRef>
              <c:f>wykresy_2!$K$41</c:f>
              <c:strCache>
                <c:ptCount val="1"/>
                <c:pt idx="0">
                  <c:v>Górnictwo i wydobywanie</c:v>
                </c:pt>
              </c:strCache>
            </c:strRef>
          </c:tx>
          <c:spPr>
            <a:solidFill>
              <a:srgbClr val="FFFF00"/>
            </a:solidFill>
            <a:ln w="12700">
              <a:solidFill>
                <a:srgbClr val="000000"/>
              </a:solidFill>
              <a:prstDash val="solid"/>
            </a:ln>
          </c:spPr>
          <c:invertIfNegative val="0"/>
          <c:cat>
            <c:strRef>
              <c:f>wykresy_2!$L$36:$M$36</c:f>
              <c:strCache>
                <c:ptCount val="2"/>
                <c:pt idx="0">
                  <c:v>I-II kw. 2016</c:v>
                </c:pt>
                <c:pt idx="1">
                  <c:v>I-II kw. 2017</c:v>
                </c:pt>
              </c:strCache>
            </c:strRef>
          </c:cat>
          <c:val>
            <c:numRef>
              <c:f>wykresy_2!$L$41:$M$41</c:f>
              <c:numCache>
                <c:formatCode>0.0</c:formatCode>
                <c:ptCount val="2"/>
                <c:pt idx="0">
                  <c:v>92</c:v>
                </c:pt>
                <c:pt idx="1">
                  <c:v>94.5</c:v>
                </c:pt>
              </c:numCache>
            </c:numRef>
          </c:val>
        </c:ser>
        <c:ser>
          <c:idx val="4"/>
          <c:order val="2"/>
          <c:tx>
            <c:strRef>
              <c:f>wykresy_2!$K$43</c:f>
              <c:strCache>
                <c:ptCount val="1"/>
                <c:pt idx="0">
                  <c:v>Przetwórstwo przemysłowe</c:v>
                </c:pt>
              </c:strCache>
            </c:strRef>
          </c:tx>
          <c:spPr>
            <a:solidFill>
              <a:srgbClr val="00FF00"/>
            </a:solidFill>
            <a:ln w="12700">
              <a:solidFill>
                <a:srgbClr val="000000"/>
              </a:solidFill>
              <a:prstDash val="solid"/>
            </a:ln>
          </c:spPr>
          <c:invertIfNegative val="0"/>
          <c:cat>
            <c:strRef>
              <c:f>wykresy_2!$L$36:$M$36</c:f>
              <c:strCache>
                <c:ptCount val="2"/>
                <c:pt idx="0">
                  <c:v>I-II kw. 2016</c:v>
                </c:pt>
                <c:pt idx="1">
                  <c:v>I-II kw. 2017</c:v>
                </c:pt>
              </c:strCache>
            </c:strRef>
          </c:cat>
          <c:val>
            <c:numRef>
              <c:f>wykresy_2!$L$43:$M$43</c:f>
              <c:numCache>
                <c:formatCode>0.0</c:formatCode>
                <c:ptCount val="2"/>
                <c:pt idx="0">
                  <c:v>103.2</c:v>
                </c:pt>
                <c:pt idx="1">
                  <c:v>103.9</c:v>
                </c:pt>
              </c:numCache>
            </c:numRef>
          </c:val>
        </c:ser>
        <c:ser>
          <c:idx val="6"/>
          <c:order val="3"/>
          <c:tx>
            <c:strRef>
              <c:f>wykresy_2!$K$45</c:f>
              <c:strCache>
                <c:ptCount val="1"/>
                <c:pt idx="0">
                  <c:v>Wytwarzanie i zaopatrywanie w energię elektryczną, gaz, parę wodną i gorącą wodę </c:v>
                </c:pt>
              </c:strCache>
            </c:strRef>
          </c:tx>
          <c:spPr>
            <a:solidFill>
              <a:srgbClr val="FF0000"/>
            </a:solidFill>
            <a:ln w="12700">
              <a:solidFill>
                <a:srgbClr val="000000"/>
              </a:solidFill>
              <a:prstDash val="solid"/>
            </a:ln>
          </c:spPr>
          <c:invertIfNegative val="0"/>
          <c:cat>
            <c:strRef>
              <c:f>wykresy_2!$L$36:$M$36</c:f>
              <c:strCache>
                <c:ptCount val="2"/>
                <c:pt idx="0">
                  <c:v>I-II kw. 2016</c:v>
                </c:pt>
                <c:pt idx="1">
                  <c:v>I-II kw. 2017</c:v>
                </c:pt>
              </c:strCache>
            </c:strRef>
          </c:cat>
          <c:val>
            <c:numRef>
              <c:f>wykresy_2!$L$45:$M$45</c:f>
              <c:numCache>
                <c:formatCode>0.0</c:formatCode>
                <c:ptCount val="2"/>
                <c:pt idx="0">
                  <c:v>95.5</c:v>
                </c:pt>
                <c:pt idx="1">
                  <c:v>98.4</c:v>
                </c:pt>
              </c:numCache>
            </c:numRef>
          </c:val>
        </c:ser>
        <c:ser>
          <c:idx val="8"/>
          <c:order val="4"/>
          <c:tx>
            <c:strRef>
              <c:f>wykresy_2!$K$47</c:f>
              <c:strCache>
                <c:ptCount val="1"/>
                <c:pt idx="0">
                  <c:v>Dostawa wody; gospodarowanie ściekami i odpadami; rekultywacja</c:v>
                </c:pt>
              </c:strCache>
            </c:strRef>
          </c:tx>
          <c:spPr>
            <a:solidFill>
              <a:srgbClr val="0080C0"/>
            </a:solidFill>
            <a:ln w="12700">
              <a:solidFill>
                <a:srgbClr val="000000"/>
              </a:solidFill>
              <a:prstDash val="solid"/>
            </a:ln>
          </c:spPr>
          <c:invertIfNegative val="0"/>
          <c:cat>
            <c:strRef>
              <c:f>wykresy_2!$L$36:$M$36</c:f>
              <c:strCache>
                <c:ptCount val="2"/>
                <c:pt idx="0">
                  <c:v>I-II kw. 2016</c:v>
                </c:pt>
                <c:pt idx="1">
                  <c:v>I-II kw. 2017</c:v>
                </c:pt>
              </c:strCache>
            </c:strRef>
          </c:cat>
          <c:val>
            <c:numRef>
              <c:f>wykresy_2!$L$47:$M$47</c:f>
              <c:numCache>
                <c:formatCode>0.0</c:formatCode>
                <c:ptCount val="2"/>
                <c:pt idx="0">
                  <c:v>102.3</c:v>
                </c:pt>
                <c:pt idx="1">
                  <c:v>102.4</c:v>
                </c:pt>
              </c:numCache>
            </c:numRef>
          </c:val>
        </c:ser>
        <c:dLbls>
          <c:showLegendKey val="0"/>
          <c:showVal val="0"/>
          <c:showCatName val="0"/>
          <c:showSerName val="0"/>
          <c:showPercent val="0"/>
          <c:showBubbleSize val="0"/>
        </c:dLbls>
        <c:gapWidth val="150"/>
        <c:axId val="-980555936"/>
        <c:axId val="-980543968"/>
      </c:barChart>
      <c:catAx>
        <c:axId val="-980555936"/>
        <c:scaling>
          <c:orientation val="minMax"/>
        </c:scaling>
        <c:delete val="0"/>
        <c:axPos val="b"/>
        <c:numFmt formatCode="General" sourceLinked="0"/>
        <c:majorTickMark val="out"/>
        <c:minorTickMark val="none"/>
        <c:tickLblPos val="low"/>
        <c:spPr>
          <a:ln w="15875">
            <a:solidFill>
              <a:srgbClr val="000000"/>
            </a:solidFill>
            <a:prstDash val="solid"/>
          </a:ln>
        </c:spPr>
        <c:txPr>
          <a:bodyPr rot="0" vert="horz"/>
          <a:lstStyle/>
          <a:p>
            <a:pPr>
              <a:defRPr sz="1100" b="1"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pl-PL"/>
          </a:p>
        </c:txPr>
        <c:crossAx val="-980543968"/>
        <c:crossesAt val="100"/>
        <c:auto val="0"/>
        <c:lblAlgn val="ctr"/>
        <c:lblOffset val="200"/>
        <c:tickLblSkip val="1"/>
        <c:tickMarkSkip val="1"/>
        <c:noMultiLvlLbl val="0"/>
      </c:catAx>
      <c:valAx>
        <c:axId val="-980543968"/>
        <c:scaling>
          <c:orientation val="minMax"/>
          <c:max val="106"/>
          <c:min val="90"/>
        </c:scaling>
        <c:delete val="0"/>
        <c:axPos val="l"/>
        <c:majorGridlines>
          <c:spPr>
            <a:ln w="3175">
              <a:solidFill>
                <a:srgbClr val="000000"/>
              </a:solidFill>
              <a:prstDash val="dash"/>
            </a:ln>
          </c:spPr>
        </c:majorGridlines>
        <c:title>
          <c:tx>
            <c:rich>
              <a:bodyPr rot="-60000" vert="horz"/>
              <a:lstStyle/>
              <a:p>
                <a:pPr algn="ctr">
                  <a:defRPr sz="1100" b="0" i="0" u="none" strike="noStrike" baseline="0">
                    <a:solidFill>
                      <a:srgbClr val="000000"/>
                    </a:solidFill>
                    <a:latin typeface="Times New Roman" panose="02020603050405020304" pitchFamily="18" charset="0"/>
                    <a:ea typeface="Arial"/>
                    <a:cs typeface="Times New Roman" panose="02020603050405020304" pitchFamily="18" charset="0"/>
                  </a:defRPr>
                </a:pPr>
                <a:r>
                  <a:rPr lang="pl-PL" sz="1100" b="0">
                    <a:latin typeface="Times New Roman" panose="02020603050405020304" pitchFamily="18" charset="0"/>
                    <a:cs typeface="Times New Roman" panose="02020603050405020304" pitchFamily="18" charset="0"/>
                  </a:rPr>
                  <a:t>%</a:t>
                </a:r>
              </a:p>
            </c:rich>
          </c:tx>
          <c:layout>
            <c:manualLayout>
              <c:xMode val="edge"/>
              <c:yMode val="edge"/>
              <c:x val="3.4719460067491562E-2"/>
              <c:y val="0.13440018017549787"/>
            </c:manualLayout>
          </c:layout>
          <c:overlay val="0"/>
          <c:spPr>
            <a:noFill/>
            <a:ln w="25400">
              <a:noFill/>
            </a:ln>
          </c:spPr>
        </c:title>
        <c:numFmt formatCode="0" sourceLinked="0"/>
        <c:majorTickMark val="out"/>
        <c:minorTickMark val="none"/>
        <c:tickLblPos val="low"/>
        <c:spPr>
          <a:ln w="15875">
            <a:solidFill>
              <a:srgbClr val="000000"/>
            </a:solidFill>
            <a:prstDash val="solid"/>
          </a:ln>
        </c:spPr>
        <c:txPr>
          <a:bodyPr rot="0" vert="horz"/>
          <a:lstStyle/>
          <a:p>
            <a:pPr>
              <a:defRPr sz="11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pl-PL"/>
          </a:p>
        </c:txPr>
        <c:crossAx val="-980555936"/>
        <c:crosses val="autoZero"/>
        <c:crossBetween val="between"/>
        <c:majorUnit val="2"/>
      </c:valAx>
      <c:spPr>
        <a:noFill/>
        <a:ln w="25400">
          <a:noFill/>
        </a:ln>
      </c:spPr>
    </c:plotArea>
    <c:legend>
      <c:legendPos val="b"/>
      <c:layout>
        <c:manualLayout>
          <c:xMode val="edge"/>
          <c:yMode val="edge"/>
          <c:x val="3.9087874015748029E-2"/>
          <c:y val="0.62796076984722626"/>
          <c:w val="0.94951140065146578"/>
          <c:h val="0.33846019247594056"/>
        </c:manualLayout>
      </c:layout>
      <c:overlay val="0"/>
      <c:spPr>
        <a:solidFill>
          <a:srgbClr val="FFFFFF"/>
        </a:solidFill>
        <a:ln w="25400">
          <a:noFill/>
        </a:ln>
      </c:spPr>
      <c:txPr>
        <a:bodyPr/>
        <a:lstStyle/>
        <a:p>
          <a:pPr>
            <a:defRPr sz="11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pl-PL"/>
        </a:p>
      </c:txPr>
    </c:legend>
    <c:plotVisOnly val="1"/>
    <c:dispBlanksAs val="gap"/>
    <c:showDLblsOverMax val="0"/>
  </c:chart>
  <c:spPr>
    <a:solidFill>
      <a:srgbClr val="FFFFFF"/>
    </a:solidFill>
    <a:ln w="9525">
      <a:noFill/>
    </a:ln>
  </c:spPr>
  <c:txPr>
    <a:bodyPr/>
    <a:lstStyle/>
    <a:p>
      <a:pPr>
        <a:defRPr sz="1200" b="0" i="0" u="none" strike="noStrike" baseline="0">
          <a:solidFill>
            <a:srgbClr val="000000"/>
          </a:solidFill>
          <a:latin typeface="Arial"/>
          <a:ea typeface="Arial"/>
          <a:cs typeface="Arial"/>
        </a:defRPr>
      </a:pPr>
      <a:endParaRPr lang="pl-PL"/>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b="0" i="0" u="none" strike="noStrike" baseline="0">
                <a:solidFill>
                  <a:srgbClr val="000000"/>
                </a:solidFill>
                <a:latin typeface="Times New Roman" panose="02020603050405020304" pitchFamily="18" charset="0"/>
                <a:ea typeface="Arial CE"/>
                <a:cs typeface="Times New Roman" panose="02020603050405020304" pitchFamily="18" charset="0"/>
              </a:defRPr>
            </a:pPr>
            <a:r>
              <a:rPr lang="pl-PL" sz="1100" b="1" i="0" u="none" strike="noStrike" baseline="0">
                <a:solidFill>
                  <a:srgbClr val="000000"/>
                </a:solidFill>
                <a:latin typeface="Times New Roman" panose="02020603050405020304" pitchFamily="18" charset="0"/>
                <a:cs typeface="Times New Roman" panose="02020603050405020304" pitchFamily="18" charset="0"/>
              </a:rPr>
              <a:t>I-II kw. 2016</a:t>
            </a:r>
          </a:p>
          <a:p>
            <a:pPr>
              <a:defRPr sz="1100" b="0" i="0" u="none" strike="noStrike" baseline="0">
                <a:solidFill>
                  <a:srgbClr val="000000"/>
                </a:solidFill>
                <a:latin typeface="Times New Roman" panose="02020603050405020304" pitchFamily="18" charset="0"/>
                <a:ea typeface="Arial CE"/>
                <a:cs typeface="Times New Roman" panose="02020603050405020304" pitchFamily="18" charset="0"/>
              </a:defRPr>
            </a:pPr>
            <a:r>
              <a:rPr lang="pl-PL" sz="1100" b="1" i="1" u="none" strike="noStrike" baseline="0">
                <a:solidFill>
                  <a:srgbClr val="000000"/>
                </a:solidFill>
                <a:latin typeface="Times New Roman" panose="02020603050405020304" pitchFamily="18" charset="0"/>
                <a:cs typeface="Times New Roman" panose="02020603050405020304" pitchFamily="18" charset="0"/>
              </a:rPr>
              <a:t>I-II Q 2016</a:t>
            </a:r>
          </a:p>
        </c:rich>
      </c:tx>
      <c:layout>
        <c:manualLayout>
          <c:xMode val="edge"/>
          <c:yMode val="edge"/>
          <c:x val="0.39328701559363904"/>
          <c:y val="0.31811421946240459"/>
        </c:manualLayout>
      </c:layout>
      <c:overlay val="0"/>
      <c:spPr>
        <a:noFill/>
        <a:ln w="254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12037101843751012"/>
          <c:y val="0.49789867724687997"/>
          <c:w val="0.79938512546153262"/>
          <c:h val="0.25432160089120587"/>
        </c:manualLayout>
      </c:layout>
      <c:pie3DChart>
        <c:varyColors val="1"/>
        <c:ser>
          <c:idx val="0"/>
          <c:order val="0"/>
          <c:tx>
            <c:strRef>
              <c:f>wykresy_3!$M$2</c:f>
              <c:strCache>
                <c:ptCount val="1"/>
                <c:pt idx="0">
                  <c:v>I-II kw. 2016</c:v>
                </c:pt>
              </c:strCache>
            </c:strRef>
          </c:tx>
          <c:spPr>
            <a:solidFill>
              <a:srgbClr val="8080FF"/>
            </a:solidFill>
            <a:ln w="12700">
              <a:solidFill>
                <a:srgbClr val="000000"/>
              </a:solidFill>
              <a:prstDash val="solid"/>
            </a:ln>
          </c:spPr>
          <c:explosion val="15"/>
          <c:dPt>
            <c:idx val="0"/>
            <c:bubble3D val="0"/>
            <c:spPr>
              <a:solidFill>
                <a:srgbClr val="00FF00"/>
              </a:solidFill>
              <a:ln w="12700">
                <a:solidFill>
                  <a:srgbClr val="000000"/>
                </a:solidFill>
                <a:prstDash val="solid"/>
              </a:ln>
            </c:spPr>
          </c:dPt>
          <c:dPt>
            <c:idx val="1"/>
            <c:bubble3D val="0"/>
            <c:spPr>
              <a:solidFill>
                <a:schemeClr val="accent5"/>
              </a:solidFill>
              <a:ln w="12700">
                <a:solidFill>
                  <a:srgbClr val="000000"/>
                </a:solidFill>
                <a:prstDash val="solid"/>
              </a:ln>
            </c:spPr>
          </c:dPt>
          <c:dPt>
            <c:idx val="2"/>
            <c:bubble3D val="0"/>
            <c:spPr>
              <a:solidFill>
                <a:srgbClr val="FFFF00"/>
              </a:solidFill>
              <a:ln w="12700">
                <a:solidFill>
                  <a:srgbClr val="000000"/>
                </a:solidFill>
                <a:prstDash val="solid"/>
              </a:ln>
            </c:spPr>
          </c:dPt>
          <c:dPt>
            <c:idx val="3"/>
            <c:bubble3D val="0"/>
            <c:spPr>
              <a:solidFill>
                <a:srgbClr val="FF0000"/>
              </a:solidFill>
              <a:ln w="12700">
                <a:solidFill>
                  <a:srgbClr val="000000"/>
                </a:solidFill>
                <a:prstDash val="solid"/>
              </a:ln>
            </c:spPr>
          </c:dPt>
          <c:dLbls>
            <c:dLbl>
              <c:idx val="0"/>
              <c:layout>
                <c:manualLayout>
                  <c:x val="-2.0576131687242798E-2"/>
                  <c:y val="-6.9025021570319244E-3"/>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0.1975308641975308"/>
                  <c:y val="1.9765613853919683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3.292181069958848E-2"/>
                  <c:y val="-1.6906238747766537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3"/>
              <c:layout>
                <c:manualLayout>
                  <c:x val="4.9382716049382644E-2"/>
                  <c:y val="-6.8323901272478987E-3"/>
                </c:manualLayout>
              </c:layout>
              <c:dLblPos val="bestFit"/>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a:lstStyle/>
              <a:p>
                <a:pPr algn="ctr" rtl="0">
                  <a:defRPr sz="1100" b="0" i="0" u="none" strike="noStrike" baseline="0">
                    <a:solidFill>
                      <a:srgbClr val="000000"/>
                    </a:solidFill>
                    <a:latin typeface="Times New Roman" panose="02020603050405020304" pitchFamily="18" charset="0"/>
                    <a:ea typeface="Arial CE"/>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extLst>
          </c:dLbls>
          <c:cat>
            <c:strRef>
              <c:f>wykresy_3!$L$3:$L$6</c:f>
              <c:strCache>
                <c:ptCount val="4"/>
                <c:pt idx="0">
                  <c:v>Górnictwo i wydobywanie</c:v>
                </c:pt>
                <c:pt idx="1">
                  <c:v>Przetwórstwo przemysłowe</c:v>
                </c:pt>
                <c:pt idx="2">
                  <c:v>Wytwarzanie i zaopatrywanie w energię elektryczną, gaz, parę wodną i gorącą wodę </c:v>
                </c:pt>
                <c:pt idx="3">
                  <c:v>Dostawa wody; gospodarowanie ściekami i odpadami; rekultywacja</c:v>
                </c:pt>
              </c:strCache>
            </c:strRef>
          </c:cat>
          <c:val>
            <c:numRef>
              <c:f>wykresy_3!$M$3:$M$6</c:f>
              <c:numCache>
                <c:formatCode>0.0%</c:formatCode>
                <c:ptCount val="4"/>
                <c:pt idx="0">
                  <c:v>3.2000000000000001E-2</c:v>
                </c:pt>
                <c:pt idx="1">
                  <c:v>0.87</c:v>
                </c:pt>
                <c:pt idx="2">
                  <c:v>7.4999999999999997E-2</c:v>
                </c:pt>
                <c:pt idx="3">
                  <c:v>2.3E-2</c:v>
                </c:pt>
              </c:numCache>
            </c:numRef>
          </c:val>
        </c:ser>
        <c:dLbls>
          <c:showLegendKey val="0"/>
          <c:showVal val="0"/>
          <c:showCatName val="0"/>
          <c:showSerName val="0"/>
          <c:showPercent val="0"/>
          <c:showBubbleSize val="0"/>
          <c:showLeaderLines val="0"/>
        </c:dLbls>
      </c:pie3DChart>
      <c:spPr>
        <a:noFill/>
        <a:ln w="25400">
          <a:noFill/>
        </a:ln>
      </c:spPr>
    </c:plotArea>
    <c:plotVisOnly val="1"/>
    <c:dispBlanksAs val="zero"/>
    <c:showDLblsOverMax val="0"/>
  </c:chart>
  <c:spPr>
    <a:solidFill>
      <a:srgbClr val="FFFFFF"/>
    </a:solidFill>
    <a:ln w="9525">
      <a:noFill/>
    </a:ln>
  </c:spPr>
  <c:txPr>
    <a:bodyPr/>
    <a:lstStyle/>
    <a:p>
      <a:pPr>
        <a:defRPr sz="2025" b="0" i="0" u="none" strike="noStrike" baseline="0">
          <a:solidFill>
            <a:srgbClr val="000000"/>
          </a:solidFill>
          <a:latin typeface="Arial CE"/>
          <a:ea typeface="Arial CE"/>
          <a:cs typeface="Arial CE"/>
        </a:defRPr>
      </a:pPr>
      <a:endParaRPr lang="pl-PL"/>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rtl="0">
              <a:defRPr lang="pl-PL" sz="1100" b="1" i="0" u="none" strike="noStrike" kern="1200" baseline="0">
                <a:solidFill>
                  <a:srgbClr val="000000"/>
                </a:solidFill>
                <a:latin typeface="Times New Roman" panose="02020603050405020304" pitchFamily="18" charset="0"/>
                <a:ea typeface="Arial CE"/>
                <a:cs typeface="Times New Roman" panose="02020603050405020304" pitchFamily="18" charset="0"/>
              </a:defRPr>
            </a:pPr>
            <a:r>
              <a:rPr lang="pl-PL" sz="1100" b="1" i="0" u="none" strike="noStrike" kern="1200" baseline="0">
                <a:solidFill>
                  <a:srgbClr val="000000"/>
                </a:solidFill>
                <a:latin typeface="Times New Roman" panose="02020603050405020304" pitchFamily="18" charset="0"/>
                <a:ea typeface="Arial CE"/>
                <a:cs typeface="Times New Roman" panose="02020603050405020304" pitchFamily="18" charset="0"/>
              </a:rPr>
              <a:t>I-II kw. 2017</a:t>
            </a:r>
          </a:p>
          <a:p>
            <a:pPr algn="ctr" rtl="0">
              <a:defRPr lang="pl-PL" sz="1100" b="1" i="0" u="none" strike="noStrike" kern="1200" baseline="0">
                <a:solidFill>
                  <a:srgbClr val="000000"/>
                </a:solidFill>
                <a:latin typeface="Times New Roman" panose="02020603050405020304" pitchFamily="18" charset="0"/>
                <a:ea typeface="Arial CE"/>
                <a:cs typeface="Times New Roman" panose="02020603050405020304" pitchFamily="18" charset="0"/>
              </a:defRPr>
            </a:pPr>
            <a:r>
              <a:rPr lang="pl-PL" sz="1100" b="1" i="1" u="none" strike="noStrike" kern="1200" baseline="0">
                <a:solidFill>
                  <a:srgbClr val="000000"/>
                </a:solidFill>
                <a:latin typeface="Times New Roman" panose="02020603050405020304" pitchFamily="18" charset="0"/>
                <a:ea typeface="Arial CE"/>
                <a:cs typeface="Times New Roman" panose="02020603050405020304" pitchFamily="18" charset="0"/>
              </a:rPr>
              <a:t>I-II Q 2017</a:t>
            </a:r>
          </a:p>
        </c:rich>
      </c:tx>
      <c:layout>
        <c:manualLayout>
          <c:xMode val="edge"/>
          <c:yMode val="edge"/>
          <c:x val="0.35593605344786455"/>
          <c:y val="0.3140590295293868"/>
        </c:manualLayout>
      </c:layout>
      <c:overlay val="0"/>
      <c:spPr>
        <a:noFill/>
        <a:ln w="254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8.1692321057661166E-2"/>
          <c:y val="0.50176127099156853"/>
          <c:w val="0.80063434397681232"/>
          <c:h val="0.2453955821893945"/>
        </c:manualLayout>
      </c:layout>
      <c:pie3DChart>
        <c:varyColors val="1"/>
        <c:ser>
          <c:idx val="1"/>
          <c:order val="0"/>
          <c:tx>
            <c:strRef>
              <c:f>wykresy_3!$N$2</c:f>
              <c:strCache>
                <c:ptCount val="1"/>
                <c:pt idx="0">
                  <c:v>I-II kw. 2017</c:v>
                </c:pt>
              </c:strCache>
            </c:strRef>
          </c:tx>
          <c:spPr>
            <a:pattFill prst="pct50">
              <a:fgClr>
                <a:srgbClr xmlns:mc="http://schemas.openxmlformats.org/markup-compatibility/2006" xmlns:a14="http://schemas.microsoft.com/office/drawing/2010/main" val="000000" mc:Ignorable="a14" a14:legacySpreadsheetColorIndex="0"/>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explosion val="10"/>
          <c:dPt>
            <c:idx val="0"/>
            <c:bubble3D val="0"/>
            <c:spPr>
              <a:solidFill>
                <a:srgbClr xmlns:mc="http://schemas.openxmlformats.org/markup-compatibility/2006" xmlns:a14="http://schemas.microsoft.com/office/drawing/2010/main" val="00FF00" mc:Ignorable="a14" a14:legacySpreadsheetColorIndex="11"/>
              </a:solidFill>
              <a:ln w="12700">
                <a:solidFill>
                  <a:srgbClr val="000000"/>
                </a:solidFill>
                <a:prstDash val="solid"/>
              </a:ln>
            </c:spPr>
          </c:dPt>
          <c:dPt>
            <c:idx val="1"/>
            <c:bubble3D val="0"/>
            <c:spPr>
              <a:solidFill>
                <a:schemeClr val="accent5"/>
              </a:solidFill>
              <a:ln w="12700">
                <a:solidFill>
                  <a:srgbClr val="000000"/>
                </a:solidFill>
                <a:prstDash val="solid"/>
              </a:ln>
            </c:spPr>
          </c:dPt>
          <c:dPt>
            <c:idx val="2"/>
            <c:bubble3D val="0"/>
            <c:spPr>
              <a:solidFill>
                <a:srgbClr xmlns:mc="http://schemas.openxmlformats.org/markup-compatibility/2006" xmlns:a14="http://schemas.microsoft.com/office/drawing/2010/main" val="FFFF00" mc:Ignorable="a14" a14:legacySpreadsheetColorIndex="13"/>
              </a:solidFill>
              <a:ln w="12700">
                <a:solidFill>
                  <a:srgbClr val="000000"/>
                </a:solidFill>
                <a:prstDash val="solid"/>
              </a:ln>
            </c:spPr>
          </c:dPt>
          <c:dPt>
            <c:idx val="3"/>
            <c:bubble3D val="0"/>
            <c:spPr>
              <a:solidFill>
                <a:srgbClr xmlns:mc="http://schemas.openxmlformats.org/markup-compatibility/2006" xmlns:a14="http://schemas.microsoft.com/office/drawing/2010/main" val="FF0000" mc:Ignorable="a14" a14:legacySpreadsheetColorIndex="10"/>
              </a:solidFill>
              <a:ln w="12700">
                <a:solidFill>
                  <a:srgbClr val="000000"/>
                </a:solidFill>
                <a:prstDash val="solid"/>
              </a:ln>
            </c:spPr>
          </c:dPt>
          <c:dLbls>
            <c:dLbl>
              <c:idx val="1"/>
              <c:layout>
                <c:manualLayout>
                  <c:x val="-0.17370842885145685"/>
                  <c:y val="2.429266253222772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8383575924624267E-2"/>
                  <c:y val="-1.8131976865723643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4.5409298762429016E-2"/>
                  <c:y val="-8.3392098111629859E-3"/>
                </c:manualLayout>
              </c:layout>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a:lstStyle/>
              <a:p>
                <a:pPr>
                  <a:defRPr sz="1100" b="0" i="0" u="none" strike="noStrike" baseline="0">
                    <a:solidFill>
                      <a:srgbClr val="000000"/>
                    </a:solidFill>
                    <a:latin typeface="Times New Roman" panose="02020603050405020304" pitchFamily="18" charset="0"/>
                    <a:ea typeface="Arial CE"/>
                    <a:cs typeface="Times New Roman" panose="02020603050405020304" pitchFamily="18"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extLst>
          </c:dLbls>
          <c:cat>
            <c:strRef>
              <c:f>wykresy_3!$L$3:$L$6</c:f>
              <c:strCache>
                <c:ptCount val="4"/>
                <c:pt idx="0">
                  <c:v>Górnictwo i wydobywanie</c:v>
                </c:pt>
                <c:pt idx="1">
                  <c:v>Przetwórstwo przemysłowe</c:v>
                </c:pt>
                <c:pt idx="2">
                  <c:v>Wytwarzanie i zaopatrywanie w energię elektryczną, gaz, parę wodną i gorącą wodę </c:v>
                </c:pt>
                <c:pt idx="3">
                  <c:v>Dostawa wody; gospodarowanie ściekami i odpadami; rekultywacja</c:v>
                </c:pt>
              </c:strCache>
            </c:strRef>
          </c:cat>
          <c:val>
            <c:numRef>
              <c:f>wykresy_3!$N$3:$N$6</c:f>
              <c:numCache>
                <c:formatCode>0.0%</c:formatCode>
                <c:ptCount val="4"/>
                <c:pt idx="0">
                  <c:v>3.5000000000000003E-2</c:v>
                </c:pt>
                <c:pt idx="1">
                  <c:v>0.87</c:v>
                </c:pt>
                <c:pt idx="2">
                  <c:v>7.2000000000000008E-2</c:v>
                </c:pt>
                <c:pt idx="3">
                  <c:v>2.3E-2</c:v>
                </c:pt>
              </c:numCache>
            </c:numRef>
          </c:val>
        </c:ser>
        <c:dLbls>
          <c:showLegendKey val="0"/>
          <c:showVal val="0"/>
          <c:showCatName val="0"/>
          <c:showSerName val="0"/>
          <c:showPercent val="0"/>
          <c:showBubbleSize val="0"/>
          <c:showLeaderLines val="0"/>
        </c:dLbls>
      </c:pie3DChart>
      <c:spPr>
        <a:noFill/>
        <a:ln w="25400">
          <a:noFill/>
        </a:ln>
      </c:spPr>
    </c:plotArea>
    <c:plotVisOnly val="1"/>
    <c:dispBlanksAs val="zero"/>
    <c:showDLblsOverMax val="0"/>
  </c:chart>
  <c:spPr>
    <a:solidFill>
      <a:srgbClr val="FFFFFF"/>
    </a:solidFill>
    <a:ln w="9525">
      <a:noFill/>
    </a:ln>
  </c:spPr>
  <c:txPr>
    <a:bodyPr/>
    <a:lstStyle/>
    <a:p>
      <a:pPr>
        <a:defRPr sz="2025" b="0" i="0" u="none" strike="noStrike" baseline="0">
          <a:solidFill>
            <a:srgbClr val="000000"/>
          </a:solidFill>
          <a:latin typeface="Arial CE"/>
          <a:ea typeface="Arial CE"/>
          <a:cs typeface="Arial CE"/>
        </a:defRPr>
      </a:pPr>
      <a:endParaRPr lang="pl-PL"/>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2025" b="0" i="0" u="none" strike="noStrike" baseline="0">
                <a:solidFill>
                  <a:srgbClr val="000000"/>
                </a:solidFill>
                <a:latin typeface="Times New Roman" panose="02020603050405020304" pitchFamily="18" charset="0"/>
                <a:ea typeface="Arial CE"/>
                <a:cs typeface="Times New Roman" panose="02020603050405020304" pitchFamily="18" charset="0"/>
              </a:defRPr>
            </a:pPr>
            <a:r>
              <a:rPr lang="pl-PL" sz="1100" b="1" i="0" u="none" strike="noStrike" baseline="0">
                <a:solidFill>
                  <a:srgbClr val="000000"/>
                </a:solidFill>
                <a:latin typeface="Times New Roman" panose="02020603050405020304" pitchFamily="18" charset="0"/>
                <a:cs typeface="Times New Roman" panose="02020603050405020304" pitchFamily="18" charset="0"/>
              </a:rPr>
              <a:t>I-II kw. 2017</a:t>
            </a:r>
          </a:p>
          <a:p>
            <a:pPr>
              <a:defRPr sz="2025" b="0" i="0" u="none" strike="noStrike" baseline="0">
                <a:solidFill>
                  <a:srgbClr val="000000"/>
                </a:solidFill>
                <a:latin typeface="Times New Roman" panose="02020603050405020304" pitchFamily="18" charset="0"/>
                <a:ea typeface="Arial CE"/>
                <a:cs typeface="Times New Roman" panose="02020603050405020304" pitchFamily="18" charset="0"/>
              </a:defRPr>
            </a:pPr>
            <a:r>
              <a:rPr lang="pl-PL" sz="1100" b="1" i="1" u="none" strike="noStrike" baseline="0">
                <a:solidFill>
                  <a:srgbClr val="000000"/>
                </a:solidFill>
                <a:latin typeface="Times New Roman" panose="02020603050405020304" pitchFamily="18" charset="0"/>
                <a:cs typeface="Times New Roman" panose="02020603050405020304" pitchFamily="18" charset="0"/>
              </a:rPr>
              <a:t>I-II Q 2017</a:t>
            </a:r>
          </a:p>
        </c:rich>
      </c:tx>
      <c:layout>
        <c:manualLayout>
          <c:xMode val="edge"/>
          <c:yMode val="edge"/>
          <c:x val="0.3269936355994717"/>
          <c:y val="0.20210335776993393"/>
        </c:manualLayout>
      </c:layout>
      <c:overlay val="0"/>
      <c:spPr>
        <a:noFill/>
        <a:ln w="254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4.949170569365105E-2"/>
          <c:y val="0.35756508884665278"/>
          <c:w val="0.83595691996607058"/>
          <c:h val="0.35441498109175235"/>
        </c:manualLayout>
      </c:layout>
      <c:pie3DChart>
        <c:varyColors val="1"/>
        <c:ser>
          <c:idx val="1"/>
          <c:order val="0"/>
          <c:tx>
            <c:strRef>
              <c:f>wykresy_3!$N$10</c:f>
              <c:strCache>
                <c:ptCount val="1"/>
                <c:pt idx="0">
                  <c:v>I-II kw. 2017</c:v>
                </c:pt>
              </c:strCache>
            </c:strRef>
          </c:tx>
          <c:spPr>
            <a:pattFill prst="pct50">
              <a:fgClr>
                <a:srgbClr xmlns:mc="http://schemas.openxmlformats.org/markup-compatibility/2006" xmlns:a14="http://schemas.microsoft.com/office/drawing/2010/main" val="000000" mc:Ignorable="a14" a14:legacySpreadsheetColorIndex="0"/>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explosion val="10"/>
          <c:dPt>
            <c:idx val="0"/>
            <c:bubble3D val="0"/>
            <c:spPr>
              <a:solidFill>
                <a:srgbClr xmlns:mc="http://schemas.openxmlformats.org/markup-compatibility/2006" xmlns:a14="http://schemas.microsoft.com/office/drawing/2010/main" val="00FF00" mc:Ignorable="a14" a14:legacySpreadsheetColorIndex="11"/>
              </a:solidFill>
              <a:ln w="12700">
                <a:solidFill>
                  <a:srgbClr val="000000"/>
                </a:solidFill>
                <a:prstDash val="solid"/>
              </a:ln>
            </c:spPr>
          </c:dPt>
          <c:dPt>
            <c:idx val="1"/>
            <c:bubble3D val="0"/>
            <c:spPr>
              <a:solidFill>
                <a:schemeClr val="accent5"/>
              </a:solidFill>
              <a:ln w="12700">
                <a:solidFill>
                  <a:srgbClr val="000000"/>
                </a:solidFill>
                <a:prstDash val="solid"/>
              </a:ln>
            </c:spPr>
          </c:dPt>
          <c:dPt>
            <c:idx val="2"/>
            <c:bubble3D val="0"/>
            <c:spPr>
              <a:solidFill>
                <a:srgbClr xmlns:mc="http://schemas.openxmlformats.org/markup-compatibility/2006" xmlns:a14="http://schemas.microsoft.com/office/drawing/2010/main" val="FFFF00" mc:Ignorable="a14" a14:legacySpreadsheetColorIndex="13"/>
              </a:solidFill>
              <a:ln w="12700">
                <a:solidFill>
                  <a:srgbClr val="000000"/>
                </a:solidFill>
                <a:prstDash val="solid"/>
              </a:ln>
            </c:spPr>
          </c:dPt>
          <c:dPt>
            <c:idx val="3"/>
            <c:bubble3D val="0"/>
            <c:spPr>
              <a:solidFill>
                <a:srgbClr xmlns:mc="http://schemas.openxmlformats.org/markup-compatibility/2006" xmlns:a14="http://schemas.microsoft.com/office/drawing/2010/main" val="FF0000" mc:Ignorable="a14" a14:legacySpreadsheetColorIndex="10"/>
              </a:solidFill>
              <a:ln w="12700">
                <a:solidFill>
                  <a:srgbClr val="000000"/>
                </a:solidFill>
                <a:prstDash val="solid"/>
              </a:ln>
            </c:spPr>
          </c:dPt>
          <c:dLbls>
            <c:dLbl>
              <c:idx val="1"/>
              <c:layout>
                <c:manualLayout>
                  <c:x val="-0.11267531328621667"/>
                  <c:y val="1.5077489712246027E-2"/>
                </c:manualLayout>
              </c:layout>
              <c:spPr>
                <a:solidFill>
                  <a:schemeClr val="bg1"/>
                </a:solidFill>
                <a:ln w="25400">
                  <a:noFill/>
                </a:ln>
              </c:spPr>
              <c:txPr>
                <a:bodyPr/>
                <a:lstStyle/>
                <a:p>
                  <a:pPr>
                    <a:defRPr sz="1100" b="0" i="0" u="none" strike="noStrike" baseline="0">
                      <a:solidFill>
                        <a:srgbClr val="000000"/>
                      </a:solidFill>
                      <a:latin typeface="Times New Roman" panose="02020603050405020304" pitchFamily="18" charset="0"/>
                      <a:ea typeface="Arial CE"/>
                      <a:cs typeface="Times New Roman" panose="02020603050405020304" pitchFamily="18" charset="0"/>
                    </a:defRPr>
                  </a:pPr>
                  <a:endParaRPr lang="pl-PL"/>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3.8225561848294537E-2"/>
                  <c:y val="-1.8670082507629131E-2"/>
                </c:manualLayout>
              </c:layout>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a:lstStyle/>
              <a:p>
                <a:pPr>
                  <a:defRPr sz="1100" b="0" i="0" u="none" strike="noStrike" baseline="0">
                    <a:solidFill>
                      <a:srgbClr val="000000"/>
                    </a:solidFill>
                    <a:latin typeface="Times New Roman" panose="02020603050405020304" pitchFamily="18" charset="0"/>
                    <a:ea typeface="Arial CE"/>
                    <a:cs typeface="Times New Roman" panose="02020603050405020304" pitchFamily="18"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extLst>
          </c:dLbls>
          <c:cat>
            <c:strRef>
              <c:f>wykresy_3!$L$11:$L$14</c:f>
              <c:strCache>
                <c:ptCount val="4"/>
                <c:pt idx="0">
                  <c:v>Górnictwo i wydobywanie</c:v>
                </c:pt>
                <c:pt idx="1">
                  <c:v>Przetwórstwo przemysłowe</c:v>
                </c:pt>
                <c:pt idx="2">
                  <c:v>Wytwarzanie i zaopatrywanie w energię elektryczną, gaz, parę wodną i gorącą wodę </c:v>
                </c:pt>
                <c:pt idx="3">
                  <c:v>Dostawa wody; gospodarowanie ściekami i odpadami; rekultywacja</c:v>
                </c:pt>
              </c:strCache>
            </c:strRef>
          </c:cat>
          <c:val>
            <c:numRef>
              <c:f>wykresy_3!$N$11:$N$14</c:f>
              <c:numCache>
                <c:formatCode>0.0%</c:formatCode>
                <c:ptCount val="4"/>
                <c:pt idx="0">
                  <c:v>4.9000000000000002E-2</c:v>
                </c:pt>
                <c:pt idx="1">
                  <c:v>0.86</c:v>
                </c:pt>
                <c:pt idx="2">
                  <c:v>4.4000000000000004E-2</c:v>
                </c:pt>
                <c:pt idx="3">
                  <c:v>4.7E-2</c:v>
                </c:pt>
              </c:numCache>
            </c:numRef>
          </c:val>
        </c:ser>
        <c:dLbls>
          <c:showLegendKey val="0"/>
          <c:showVal val="0"/>
          <c:showCatName val="0"/>
          <c:showSerName val="0"/>
          <c:showPercent val="0"/>
          <c:showBubbleSize val="0"/>
          <c:showLeaderLines val="0"/>
        </c:dLbls>
      </c:pie3DChart>
      <c:spPr>
        <a:noFill/>
        <a:ln w="25400">
          <a:noFill/>
        </a:ln>
      </c:spPr>
    </c:plotArea>
    <c:plotVisOnly val="1"/>
    <c:dispBlanksAs val="zero"/>
    <c:showDLblsOverMax val="0"/>
  </c:chart>
  <c:spPr>
    <a:solidFill>
      <a:srgbClr val="FFFFFF"/>
    </a:solidFill>
    <a:ln w="9525">
      <a:noFill/>
    </a:ln>
  </c:spPr>
  <c:txPr>
    <a:bodyPr/>
    <a:lstStyle/>
    <a:p>
      <a:pPr>
        <a:defRPr sz="2025" b="0" i="0" u="none" strike="noStrike" baseline="0">
          <a:solidFill>
            <a:srgbClr val="000000"/>
          </a:solidFill>
          <a:latin typeface="Arial CE"/>
          <a:ea typeface="Arial CE"/>
          <a:cs typeface="Arial CE"/>
        </a:defRPr>
      </a:pPr>
      <a:endParaRPr lang="pl-PL"/>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2025" b="0" i="0" u="none" strike="noStrike" baseline="0">
                <a:solidFill>
                  <a:srgbClr val="000000"/>
                </a:solidFill>
                <a:latin typeface="Times New Roman" panose="02020603050405020304" pitchFamily="18" charset="0"/>
                <a:ea typeface="Arial CE"/>
                <a:cs typeface="Times New Roman" panose="02020603050405020304" pitchFamily="18" charset="0"/>
              </a:defRPr>
            </a:pPr>
            <a:r>
              <a:rPr lang="pl-PL" sz="1100" b="1" i="0" u="none" strike="noStrike" baseline="0">
                <a:solidFill>
                  <a:srgbClr val="000000"/>
                </a:solidFill>
                <a:latin typeface="Times New Roman" panose="02020603050405020304" pitchFamily="18" charset="0"/>
                <a:cs typeface="Times New Roman" panose="02020603050405020304" pitchFamily="18" charset="0"/>
              </a:rPr>
              <a:t>I-II kw. 2016</a:t>
            </a:r>
          </a:p>
          <a:p>
            <a:pPr>
              <a:defRPr sz="2025" b="0" i="0" u="none" strike="noStrike" baseline="0">
                <a:solidFill>
                  <a:srgbClr val="000000"/>
                </a:solidFill>
                <a:latin typeface="Times New Roman" panose="02020603050405020304" pitchFamily="18" charset="0"/>
                <a:ea typeface="Arial CE"/>
                <a:cs typeface="Times New Roman" panose="02020603050405020304" pitchFamily="18" charset="0"/>
              </a:defRPr>
            </a:pPr>
            <a:r>
              <a:rPr lang="pl-PL" sz="1100" b="1" i="1" u="none" strike="noStrike" baseline="0">
                <a:solidFill>
                  <a:srgbClr val="000000"/>
                </a:solidFill>
                <a:latin typeface="Times New Roman" panose="02020603050405020304" pitchFamily="18" charset="0"/>
                <a:cs typeface="Times New Roman" panose="02020603050405020304" pitchFamily="18" charset="0"/>
              </a:rPr>
              <a:t>I-II Q 2016</a:t>
            </a:r>
          </a:p>
        </c:rich>
      </c:tx>
      <c:layout>
        <c:manualLayout>
          <c:xMode val="edge"/>
          <c:yMode val="edge"/>
          <c:x val="0.2187173054472292"/>
          <c:y val="0.1877812533707259"/>
        </c:manualLayout>
      </c:layout>
      <c:overlay val="0"/>
      <c:spPr>
        <a:noFill/>
        <a:ln w="254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7.9390115667718197E-2"/>
          <c:y val="0.33141453155209527"/>
          <c:w val="0.41009496841286008"/>
          <c:h val="0.18083375152915374"/>
        </c:manualLayout>
      </c:layout>
      <c:pie3DChart>
        <c:varyColors val="1"/>
        <c:ser>
          <c:idx val="0"/>
          <c:order val="0"/>
          <c:tx>
            <c:strRef>
              <c:f>wykresy_3!$M$10</c:f>
              <c:strCache>
                <c:ptCount val="1"/>
                <c:pt idx="0">
                  <c:v>I-II kw. 2016</c:v>
                </c:pt>
              </c:strCache>
            </c:strRef>
          </c:tx>
          <c:spPr>
            <a:solidFill>
              <a:srgbClr val="8080FF"/>
            </a:solidFill>
            <a:ln w="12700">
              <a:solidFill>
                <a:srgbClr val="000000"/>
              </a:solidFill>
              <a:prstDash val="solid"/>
            </a:ln>
          </c:spPr>
          <c:explosion val="15"/>
          <c:dPt>
            <c:idx val="0"/>
            <c:bubble3D val="0"/>
            <c:spPr>
              <a:solidFill>
                <a:srgbClr val="00FF00"/>
              </a:solidFill>
              <a:ln w="12700">
                <a:solidFill>
                  <a:srgbClr val="000000"/>
                </a:solidFill>
                <a:prstDash val="solid"/>
              </a:ln>
            </c:spPr>
          </c:dPt>
          <c:dPt>
            <c:idx val="1"/>
            <c:bubble3D val="0"/>
            <c:spPr>
              <a:solidFill>
                <a:schemeClr val="accent5"/>
              </a:solidFill>
              <a:ln w="12700">
                <a:solidFill>
                  <a:srgbClr val="000000"/>
                </a:solidFill>
                <a:prstDash val="solid"/>
              </a:ln>
            </c:spPr>
          </c:dPt>
          <c:dPt>
            <c:idx val="2"/>
            <c:bubble3D val="0"/>
            <c:spPr>
              <a:solidFill>
                <a:srgbClr val="FFFF00"/>
              </a:solidFill>
              <a:ln w="12700">
                <a:solidFill>
                  <a:srgbClr val="000000"/>
                </a:solidFill>
                <a:prstDash val="solid"/>
              </a:ln>
            </c:spPr>
          </c:dPt>
          <c:dPt>
            <c:idx val="3"/>
            <c:bubble3D val="0"/>
            <c:spPr>
              <a:solidFill>
                <a:srgbClr val="FF0000"/>
              </a:solidFill>
              <a:ln w="12700">
                <a:solidFill>
                  <a:srgbClr val="000000"/>
                </a:solidFill>
                <a:prstDash val="solid"/>
              </a:ln>
            </c:spPr>
          </c:dPt>
          <c:dLbls>
            <c:dLbl>
              <c:idx val="0"/>
              <c:layout>
                <c:manualLayout>
                  <c:x val="-2.5236593059936908E-2"/>
                  <c:y val="-2.1598275811342631E-3"/>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7.7812828601472137E-2"/>
                  <c:y val="1.1312219209787155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1.8927444794952682E-2"/>
                  <c:y val="-1.0799137905671316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3"/>
              <c:layout>
                <c:manualLayout>
                  <c:x val="2.9442691903259727E-2"/>
                  <c:y val="-6.4794827434028288E-3"/>
                </c:manualLayout>
              </c:layout>
              <c:dLblPos val="bestFit"/>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a:lstStyle/>
              <a:p>
                <a:pPr algn="ctr" rtl="0">
                  <a:defRPr sz="1100" b="0" i="0" u="none" strike="noStrike" baseline="0">
                    <a:solidFill>
                      <a:srgbClr val="000000"/>
                    </a:solidFill>
                    <a:latin typeface="Times New Roman" panose="02020603050405020304" pitchFamily="18" charset="0"/>
                    <a:ea typeface="Arial CE"/>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extLst>
          </c:dLbls>
          <c:cat>
            <c:strRef>
              <c:f>wykresy_3!$L$11:$L$14</c:f>
              <c:strCache>
                <c:ptCount val="4"/>
                <c:pt idx="0">
                  <c:v>Górnictwo i wydobywanie</c:v>
                </c:pt>
                <c:pt idx="1">
                  <c:v>Przetwórstwo przemysłowe</c:v>
                </c:pt>
                <c:pt idx="2">
                  <c:v>Wytwarzanie i zaopatrywanie w energię elektryczną, gaz, parę wodną i gorącą wodę </c:v>
                </c:pt>
                <c:pt idx="3">
                  <c:v>Dostawa wody; gospodarowanie ściekami i odpadami; rekultywacja</c:v>
                </c:pt>
              </c:strCache>
            </c:strRef>
          </c:cat>
          <c:val>
            <c:numRef>
              <c:f>wykresy_3!$M$11:$M$14</c:f>
              <c:numCache>
                <c:formatCode>0.0%</c:formatCode>
                <c:ptCount val="4"/>
                <c:pt idx="0">
                  <c:v>5.4000000000000006E-2</c:v>
                </c:pt>
                <c:pt idx="1">
                  <c:v>0.85299999999999998</c:v>
                </c:pt>
                <c:pt idx="2">
                  <c:v>4.5999999999999999E-2</c:v>
                </c:pt>
                <c:pt idx="3">
                  <c:v>4.7E-2</c:v>
                </c:pt>
              </c:numCache>
            </c:numRef>
          </c:val>
        </c:ser>
        <c:dLbls>
          <c:showLegendKey val="0"/>
          <c:showVal val="0"/>
          <c:showCatName val="0"/>
          <c:showSerName val="0"/>
          <c:showPercent val="0"/>
          <c:showBubbleSize val="0"/>
          <c:showLeaderLines val="0"/>
        </c:dLbls>
      </c:pie3DChart>
      <c:spPr>
        <a:noFill/>
        <a:ln w="25400">
          <a:noFill/>
        </a:ln>
      </c:spPr>
    </c:plotArea>
    <c:legend>
      <c:legendPos val="b"/>
      <c:layout>
        <c:manualLayout>
          <c:xMode val="edge"/>
          <c:yMode val="edge"/>
          <c:x val="0.1167192429022082"/>
          <c:y val="0.62727152256652852"/>
          <c:w val="0.81230350149448982"/>
          <c:h val="0.31597454427785571"/>
        </c:manualLayout>
      </c:layout>
      <c:overlay val="0"/>
      <c:spPr>
        <a:solidFill>
          <a:srgbClr val="FFFFFF"/>
        </a:solidFill>
        <a:ln w="25400">
          <a:noFill/>
        </a:ln>
      </c:spPr>
      <c:txPr>
        <a:bodyPr/>
        <a:lstStyle/>
        <a:p>
          <a:pPr>
            <a:defRPr sz="1100" b="0" i="0" u="none" strike="noStrike" baseline="0">
              <a:solidFill>
                <a:srgbClr val="000000"/>
              </a:solidFill>
              <a:latin typeface="Times New Roman" panose="02020603050405020304" pitchFamily="18" charset="0"/>
              <a:ea typeface="Arial CE"/>
              <a:cs typeface="Times New Roman" panose="02020603050405020304" pitchFamily="18" charset="0"/>
            </a:defRPr>
          </a:pPr>
          <a:endParaRPr lang="pl-PL"/>
        </a:p>
      </c:txPr>
    </c:legend>
    <c:plotVisOnly val="1"/>
    <c:dispBlanksAs val="zero"/>
    <c:showDLblsOverMax val="0"/>
  </c:chart>
  <c:spPr>
    <a:solidFill>
      <a:srgbClr val="FFFFFF"/>
    </a:solidFill>
    <a:ln w="9525">
      <a:noFill/>
    </a:ln>
  </c:spPr>
  <c:txPr>
    <a:bodyPr/>
    <a:lstStyle/>
    <a:p>
      <a:pPr>
        <a:defRPr sz="2025" b="0" i="0" u="none" strike="noStrike" baseline="0">
          <a:solidFill>
            <a:srgbClr val="000000"/>
          </a:solidFill>
          <a:latin typeface="Arial CE"/>
          <a:ea typeface="Arial CE"/>
          <a:cs typeface="Arial CE"/>
        </a:defRPr>
      </a:pPr>
      <a:endParaRPr lang="pl-PL"/>
    </a:p>
  </c:tx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b="0" i="0" u="none" strike="noStrike" baseline="0">
                <a:solidFill>
                  <a:srgbClr val="000000"/>
                </a:solidFill>
                <a:latin typeface="Arial"/>
                <a:ea typeface="Arial"/>
                <a:cs typeface="Arial"/>
              </a:defRPr>
            </a:pPr>
            <a:r>
              <a:rPr lang="pl-PL" sz="1050" b="1" i="0" u="none" strike="noStrike" baseline="0">
                <a:solidFill>
                  <a:srgbClr val="000000"/>
                </a:solidFill>
                <a:latin typeface="Times New Roman" panose="02020603050405020304" pitchFamily="18" charset="0"/>
                <a:cs typeface="Times New Roman" panose="02020603050405020304" pitchFamily="18" charset="0"/>
              </a:rPr>
              <a:t>Przeciętne miesięczne wynagrodzenia brutto w przemyśle według sekcji</a:t>
            </a:r>
          </a:p>
          <a:p>
            <a:pPr>
              <a:defRPr sz="1050" b="0" i="0" u="none" strike="noStrike" baseline="0">
                <a:solidFill>
                  <a:srgbClr val="000000"/>
                </a:solidFill>
                <a:latin typeface="Arial"/>
                <a:ea typeface="Arial"/>
                <a:cs typeface="Arial"/>
              </a:defRPr>
            </a:pPr>
            <a:r>
              <a:rPr lang="pl-PL" sz="1050" b="1" i="0" u="none" strike="noStrike" baseline="0">
                <a:solidFill>
                  <a:srgbClr val="000000"/>
                </a:solidFill>
                <a:latin typeface="Times New Roman" panose="02020603050405020304" pitchFamily="18" charset="0"/>
                <a:cs typeface="Times New Roman" panose="02020603050405020304" pitchFamily="18" charset="0"/>
              </a:rPr>
              <a:t>(analogiczny okres roku poprzedniego=100)</a:t>
            </a:r>
          </a:p>
          <a:p>
            <a:pPr>
              <a:defRPr sz="1050" b="0" i="0" u="none" strike="noStrike" baseline="0">
                <a:solidFill>
                  <a:srgbClr val="000000"/>
                </a:solidFill>
                <a:latin typeface="Arial"/>
                <a:ea typeface="Arial"/>
                <a:cs typeface="Arial"/>
              </a:defRPr>
            </a:pPr>
            <a:r>
              <a:rPr lang="pl-PL" sz="1050" b="1" i="1" u="none" strike="noStrike" baseline="0">
                <a:solidFill>
                  <a:srgbClr val="000000"/>
                </a:solidFill>
                <a:latin typeface="Times New Roman" panose="02020603050405020304" pitchFamily="18" charset="0"/>
                <a:cs typeface="Times New Roman" panose="02020603050405020304" pitchFamily="18" charset="0"/>
              </a:rPr>
              <a:t>Average monthly gross wages and salaries in industry by sections</a:t>
            </a:r>
          </a:p>
          <a:p>
            <a:pPr>
              <a:defRPr sz="1050" b="0" i="0" u="none" strike="noStrike" baseline="0">
                <a:solidFill>
                  <a:srgbClr val="000000"/>
                </a:solidFill>
                <a:latin typeface="Arial"/>
                <a:ea typeface="Arial"/>
                <a:cs typeface="Arial"/>
              </a:defRPr>
            </a:pPr>
            <a:r>
              <a:rPr lang="pl-PL" sz="1050" b="1" i="1" u="none" strike="noStrike" baseline="0">
                <a:solidFill>
                  <a:srgbClr val="000000"/>
                </a:solidFill>
                <a:latin typeface="Times New Roman" panose="02020603050405020304" pitchFamily="18" charset="0"/>
                <a:cs typeface="Times New Roman" panose="02020603050405020304" pitchFamily="18" charset="0"/>
              </a:rPr>
              <a:t>(corresponding period of previous year=100)</a:t>
            </a:r>
            <a:endParaRPr lang="pl-PL" sz="1050">
              <a:latin typeface="Times New Roman" panose="02020603050405020304" pitchFamily="18" charset="0"/>
              <a:cs typeface="Times New Roman" panose="02020603050405020304" pitchFamily="18" charset="0"/>
            </a:endParaRPr>
          </a:p>
        </c:rich>
      </c:tx>
      <c:layout>
        <c:manualLayout>
          <c:xMode val="edge"/>
          <c:yMode val="edge"/>
          <c:x val="0.14773938746615664"/>
          <c:y val="1.0378261540836807E-2"/>
        </c:manualLayout>
      </c:layout>
      <c:overlay val="0"/>
      <c:spPr>
        <a:noFill/>
        <a:ln w="25400">
          <a:noFill/>
        </a:ln>
      </c:spPr>
    </c:title>
    <c:autoTitleDeleted val="0"/>
    <c:plotArea>
      <c:layout>
        <c:manualLayout>
          <c:layoutTarget val="inner"/>
          <c:xMode val="edge"/>
          <c:yMode val="edge"/>
          <c:x val="0.12776041796037324"/>
          <c:y val="0.18556139892107582"/>
          <c:w val="0.79653058191001291"/>
          <c:h val="0.35432845748082659"/>
        </c:manualLayout>
      </c:layout>
      <c:barChart>
        <c:barDir val="col"/>
        <c:grouping val="clustered"/>
        <c:varyColors val="0"/>
        <c:ser>
          <c:idx val="0"/>
          <c:order val="0"/>
          <c:tx>
            <c:strRef>
              <c:f>wykresy_4!$I$3</c:f>
              <c:strCache>
                <c:ptCount val="1"/>
                <c:pt idx="0">
                  <c:v>Przemysł ogółem</c:v>
                </c:pt>
              </c:strCache>
            </c:strRef>
          </c:tx>
          <c:spPr>
            <a:solidFill>
              <a:srgbClr val="69FFFF"/>
            </a:solidFill>
            <a:ln w="12700">
              <a:solidFill>
                <a:srgbClr val="000000"/>
              </a:solidFill>
              <a:prstDash val="solid"/>
            </a:ln>
          </c:spPr>
          <c:invertIfNegative val="0"/>
          <c:cat>
            <c:strRef>
              <c:f>wykresy_4!$J$2:$K$2</c:f>
              <c:strCache>
                <c:ptCount val="2"/>
                <c:pt idx="0">
                  <c:v>I-II kw. 2016</c:v>
                </c:pt>
                <c:pt idx="1">
                  <c:v>I-II kw. 2017</c:v>
                </c:pt>
              </c:strCache>
            </c:strRef>
          </c:cat>
          <c:val>
            <c:numRef>
              <c:f>wykresy_4!$J$3:$K$3</c:f>
              <c:numCache>
                <c:formatCode>0.0</c:formatCode>
                <c:ptCount val="2"/>
                <c:pt idx="0">
                  <c:v>103.1</c:v>
                </c:pt>
                <c:pt idx="1">
                  <c:v>105</c:v>
                </c:pt>
              </c:numCache>
            </c:numRef>
          </c:val>
        </c:ser>
        <c:ser>
          <c:idx val="2"/>
          <c:order val="1"/>
          <c:tx>
            <c:strRef>
              <c:f>wykresy_4!$I$4</c:f>
              <c:strCache>
                <c:ptCount val="1"/>
                <c:pt idx="0">
                  <c:v>Górnictwo i wydobywanie</c:v>
                </c:pt>
              </c:strCache>
            </c:strRef>
          </c:tx>
          <c:spPr>
            <a:solidFill>
              <a:srgbClr val="FFFF00"/>
            </a:solidFill>
            <a:ln w="12700">
              <a:solidFill>
                <a:srgbClr val="000000"/>
              </a:solidFill>
              <a:prstDash val="solid"/>
            </a:ln>
          </c:spPr>
          <c:invertIfNegative val="0"/>
          <c:cat>
            <c:strRef>
              <c:f>wykresy_4!$J$2:$K$2</c:f>
              <c:strCache>
                <c:ptCount val="2"/>
                <c:pt idx="0">
                  <c:v>I-II kw. 2016</c:v>
                </c:pt>
                <c:pt idx="1">
                  <c:v>I-II kw. 2017</c:v>
                </c:pt>
              </c:strCache>
            </c:strRef>
          </c:cat>
          <c:val>
            <c:numRef>
              <c:f>wykresy_4!$J$4:$K$4</c:f>
              <c:numCache>
                <c:formatCode>0.0</c:formatCode>
                <c:ptCount val="2"/>
                <c:pt idx="0">
                  <c:v>95.2</c:v>
                </c:pt>
                <c:pt idx="1">
                  <c:v>106.6</c:v>
                </c:pt>
              </c:numCache>
            </c:numRef>
          </c:val>
        </c:ser>
        <c:ser>
          <c:idx val="4"/>
          <c:order val="2"/>
          <c:tx>
            <c:strRef>
              <c:f>wykresy_4!$I$5</c:f>
              <c:strCache>
                <c:ptCount val="1"/>
                <c:pt idx="0">
                  <c:v>Przetwórstwo przemysłowe</c:v>
                </c:pt>
              </c:strCache>
            </c:strRef>
          </c:tx>
          <c:spPr>
            <a:solidFill>
              <a:srgbClr val="00FF00"/>
            </a:solidFill>
            <a:ln w="12700">
              <a:solidFill>
                <a:srgbClr val="000000"/>
              </a:solidFill>
              <a:prstDash val="solid"/>
            </a:ln>
          </c:spPr>
          <c:invertIfNegative val="0"/>
          <c:cat>
            <c:strRef>
              <c:f>wykresy_4!$J$2:$K$2</c:f>
              <c:strCache>
                <c:ptCount val="2"/>
                <c:pt idx="0">
                  <c:v>I-II kw. 2016</c:v>
                </c:pt>
                <c:pt idx="1">
                  <c:v>I-II kw. 2017</c:v>
                </c:pt>
              </c:strCache>
            </c:strRef>
          </c:cat>
          <c:val>
            <c:numRef>
              <c:f>wykresy_4!$J$5:$K$5</c:f>
              <c:numCache>
                <c:formatCode>0.0</c:formatCode>
                <c:ptCount val="2"/>
                <c:pt idx="0">
                  <c:v>104.4</c:v>
                </c:pt>
                <c:pt idx="1">
                  <c:v>105.7</c:v>
                </c:pt>
              </c:numCache>
            </c:numRef>
          </c:val>
        </c:ser>
        <c:ser>
          <c:idx val="6"/>
          <c:order val="3"/>
          <c:tx>
            <c:strRef>
              <c:f>wykresy_4!$I$6</c:f>
              <c:strCache>
                <c:ptCount val="1"/>
                <c:pt idx="0">
                  <c:v>Wytwarzanie i zaopatrywanie w energię elektryczną, gaz, parę wodną i gorącą wodę </c:v>
                </c:pt>
              </c:strCache>
            </c:strRef>
          </c:tx>
          <c:spPr>
            <a:solidFill>
              <a:srgbClr val="FF0000"/>
            </a:solidFill>
            <a:ln w="12700">
              <a:solidFill>
                <a:srgbClr val="000000"/>
              </a:solidFill>
              <a:prstDash val="solid"/>
            </a:ln>
          </c:spPr>
          <c:invertIfNegative val="0"/>
          <c:cat>
            <c:strRef>
              <c:f>wykresy_4!$J$2:$K$2</c:f>
              <c:strCache>
                <c:ptCount val="2"/>
                <c:pt idx="0">
                  <c:v>I-II kw. 2016</c:v>
                </c:pt>
                <c:pt idx="1">
                  <c:v>I-II kw. 2017</c:v>
                </c:pt>
              </c:strCache>
            </c:strRef>
          </c:cat>
          <c:val>
            <c:numRef>
              <c:f>wykresy_4!$J$6:$K$6</c:f>
              <c:numCache>
                <c:formatCode>0.0</c:formatCode>
                <c:ptCount val="2"/>
                <c:pt idx="0">
                  <c:v>105.6</c:v>
                </c:pt>
                <c:pt idx="1">
                  <c:v>102.7</c:v>
                </c:pt>
              </c:numCache>
            </c:numRef>
          </c:val>
        </c:ser>
        <c:ser>
          <c:idx val="8"/>
          <c:order val="4"/>
          <c:tx>
            <c:strRef>
              <c:f>wykresy_4!$I$7</c:f>
              <c:strCache>
                <c:ptCount val="1"/>
                <c:pt idx="0">
                  <c:v>Dostawa wody; gospodarowanie ściekami i odpadami; rekultywacja</c:v>
                </c:pt>
              </c:strCache>
            </c:strRef>
          </c:tx>
          <c:spPr>
            <a:solidFill>
              <a:srgbClr val="0080C0"/>
            </a:solidFill>
            <a:ln w="12700">
              <a:solidFill>
                <a:srgbClr val="000000"/>
              </a:solidFill>
              <a:prstDash val="solid"/>
            </a:ln>
          </c:spPr>
          <c:invertIfNegative val="0"/>
          <c:cat>
            <c:strRef>
              <c:f>wykresy_4!$J$2:$K$2</c:f>
              <c:strCache>
                <c:ptCount val="2"/>
                <c:pt idx="0">
                  <c:v>I-II kw. 2016</c:v>
                </c:pt>
                <c:pt idx="1">
                  <c:v>I-II kw. 2017</c:v>
                </c:pt>
              </c:strCache>
            </c:strRef>
          </c:cat>
          <c:val>
            <c:numRef>
              <c:f>wykresy_4!$J$7:$K$7</c:f>
              <c:numCache>
                <c:formatCode>0.0</c:formatCode>
                <c:ptCount val="2"/>
                <c:pt idx="0">
                  <c:v>103.6</c:v>
                </c:pt>
                <c:pt idx="1">
                  <c:v>103.3</c:v>
                </c:pt>
              </c:numCache>
            </c:numRef>
          </c:val>
        </c:ser>
        <c:dLbls>
          <c:showLegendKey val="0"/>
          <c:showVal val="0"/>
          <c:showCatName val="0"/>
          <c:showSerName val="0"/>
          <c:showPercent val="0"/>
          <c:showBubbleSize val="0"/>
        </c:dLbls>
        <c:gapWidth val="150"/>
        <c:axId val="-1094133264"/>
        <c:axId val="-1094131632"/>
      </c:barChart>
      <c:catAx>
        <c:axId val="-1094133264"/>
        <c:scaling>
          <c:orientation val="minMax"/>
        </c:scaling>
        <c:delete val="0"/>
        <c:axPos val="b"/>
        <c:numFmt formatCode="General" sourceLinked="0"/>
        <c:majorTickMark val="out"/>
        <c:minorTickMark val="none"/>
        <c:tickLblPos val="low"/>
        <c:spPr>
          <a:ln w="15875">
            <a:solidFill>
              <a:srgbClr val="000000"/>
            </a:solidFill>
            <a:prstDash val="solid"/>
          </a:ln>
        </c:spPr>
        <c:txPr>
          <a:bodyPr rot="0" vert="horz"/>
          <a:lstStyle/>
          <a:p>
            <a:pPr>
              <a:defRPr sz="1100" b="1"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pl-PL"/>
          </a:p>
        </c:txPr>
        <c:crossAx val="-1094131632"/>
        <c:crossesAt val="100"/>
        <c:auto val="0"/>
        <c:lblAlgn val="ctr"/>
        <c:lblOffset val="200"/>
        <c:tickLblSkip val="1"/>
        <c:tickMarkSkip val="1"/>
        <c:noMultiLvlLbl val="0"/>
      </c:catAx>
      <c:valAx>
        <c:axId val="-1094131632"/>
        <c:scaling>
          <c:orientation val="minMax"/>
          <c:max val="108"/>
          <c:min val="94"/>
        </c:scaling>
        <c:delete val="0"/>
        <c:axPos val="l"/>
        <c:majorGridlines>
          <c:spPr>
            <a:ln w="3175" cmpd="sng">
              <a:solidFill>
                <a:srgbClr val="000000"/>
              </a:solidFill>
              <a:prstDash val="dash"/>
            </a:ln>
          </c:spPr>
        </c:majorGridlines>
        <c:title>
          <c:tx>
            <c:rich>
              <a:bodyPr rot="-60000" vert="horz"/>
              <a:lstStyle/>
              <a:p>
                <a:pPr algn="ctr">
                  <a:defRPr sz="1100" b="0" i="0" u="none" strike="noStrike" baseline="0">
                    <a:solidFill>
                      <a:srgbClr val="000000"/>
                    </a:solidFill>
                    <a:latin typeface="Times New Roman" panose="02020603050405020304" pitchFamily="18" charset="0"/>
                    <a:ea typeface="Arial"/>
                    <a:cs typeface="Times New Roman" panose="02020603050405020304" pitchFamily="18" charset="0"/>
                  </a:defRPr>
                </a:pPr>
                <a:r>
                  <a:rPr lang="pl-PL" sz="1100" b="0">
                    <a:latin typeface="Times New Roman" panose="02020603050405020304" pitchFamily="18" charset="0"/>
                    <a:cs typeface="Times New Roman" panose="02020603050405020304" pitchFamily="18" charset="0"/>
                  </a:rPr>
                  <a:t>%</a:t>
                </a:r>
              </a:p>
            </c:rich>
          </c:tx>
          <c:layout>
            <c:manualLayout>
              <c:xMode val="edge"/>
              <c:yMode val="edge"/>
              <c:x val="7.9413464484131918E-2"/>
              <c:y val="0.12732690656658571"/>
            </c:manualLayout>
          </c:layout>
          <c:overlay val="0"/>
          <c:spPr>
            <a:noFill/>
            <a:ln w="25400">
              <a:noFill/>
            </a:ln>
          </c:spPr>
        </c:title>
        <c:numFmt formatCode="0" sourceLinked="0"/>
        <c:majorTickMark val="out"/>
        <c:minorTickMark val="none"/>
        <c:tickLblPos val="nextTo"/>
        <c:spPr>
          <a:ln w="15875">
            <a:solidFill>
              <a:srgbClr val="000000"/>
            </a:solidFill>
            <a:prstDash val="solid"/>
          </a:ln>
        </c:spPr>
        <c:txPr>
          <a:bodyPr rot="0" vert="horz"/>
          <a:lstStyle/>
          <a:p>
            <a:pPr>
              <a:defRPr sz="11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pl-PL"/>
          </a:p>
        </c:txPr>
        <c:crossAx val="-1094133264"/>
        <c:crosses val="autoZero"/>
        <c:crossBetween val="between"/>
        <c:majorUnit val="2"/>
      </c:valAx>
      <c:spPr>
        <a:noFill/>
        <a:ln w="25400">
          <a:noFill/>
        </a:ln>
      </c:spPr>
    </c:plotArea>
    <c:legend>
      <c:legendPos val="b"/>
      <c:layout>
        <c:manualLayout>
          <c:xMode val="edge"/>
          <c:yMode val="edge"/>
          <c:x val="6.7823509443023081E-2"/>
          <c:y val="0.61888167487835954"/>
          <c:w val="0.8685600735239325"/>
          <c:h val="0.36186295426521975"/>
        </c:manualLayout>
      </c:layout>
      <c:overlay val="0"/>
      <c:spPr>
        <a:solidFill>
          <a:srgbClr val="FFFFFF"/>
        </a:solidFill>
        <a:ln w="25400">
          <a:noFill/>
        </a:ln>
      </c:spPr>
      <c:txPr>
        <a:bodyPr/>
        <a:lstStyle/>
        <a:p>
          <a:pPr>
            <a:defRPr sz="11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pl-PL"/>
        </a:p>
      </c:txPr>
    </c:legend>
    <c:plotVisOnly val="1"/>
    <c:dispBlanksAs val="gap"/>
    <c:showDLblsOverMax val="0"/>
  </c:chart>
  <c:spPr>
    <a:solidFill>
      <a:srgbClr val="FFFFFF"/>
    </a:solidFill>
    <a:ln w="9525">
      <a:noFill/>
    </a:ln>
  </c:spPr>
  <c:txPr>
    <a:bodyPr/>
    <a:lstStyle/>
    <a:p>
      <a:pPr>
        <a:defRPr sz="1200" b="0" i="0" u="none" strike="noStrike" baseline="0">
          <a:solidFill>
            <a:srgbClr val="000000"/>
          </a:solidFill>
          <a:latin typeface="Arial"/>
          <a:ea typeface="Arial"/>
          <a:cs typeface="Arial"/>
        </a:defRPr>
      </a:pPr>
      <a:endParaRPr lang="pl-PL"/>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cdr:x>
      <cdr:y>0.02649</cdr:y>
    </cdr:from>
    <cdr:to>
      <cdr:x>1</cdr:x>
      <cdr:y>0.02649</cdr:y>
    </cdr:to>
    <cdr:sp macro="" textlink="">
      <cdr:nvSpPr>
        <cdr:cNvPr id="111620" name="Tekst 1"/>
        <cdr:cNvSpPr txBox="1">
          <a:spLocks xmlns:a="http://schemas.openxmlformats.org/drawingml/2006/main" noChangeArrowheads="1"/>
        </cdr:cNvSpPr>
      </cdr:nvSpPr>
      <cdr:spPr bwMode="auto">
        <a:xfrm xmlns:a="http://schemas.openxmlformats.org/drawingml/2006/main">
          <a:off x="50800" y="131601"/>
          <a:ext cx="9963312" cy="0"/>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1">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r>
            <a:rPr lang="pl-PL" sz="1000" b="0" i="0" u="none" strike="noStrike" baseline="0">
              <a:solidFill>
                <a:srgbClr val="000000"/>
              </a:solidFill>
              <a:latin typeface="Arial CE"/>
              <a:cs typeface="Arial CE"/>
            </a:rPr>
            <a:t>%</a:t>
          </a:r>
          <a:endParaRPr lang="pl-PL"/>
        </a:p>
      </cdr:txBody>
    </cdr:sp>
  </cdr:relSizeAnchor>
  <cdr:relSizeAnchor xmlns:cdr="http://schemas.openxmlformats.org/drawingml/2006/chartDrawing">
    <cdr:from>
      <cdr:x>0.04371</cdr:x>
      <cdr:y>0.14784</cdr:y>
    </cdr:from>
    <cdr:to>
      <cdr:x>0.07889</cdr:x>
      <cdr:y>0.19686</cdr:y>
    </cdr:to>
    <cdr:sp macro="" textlink="">
      <cdr:nvSpPr>
        <cdr:cNvPr id="111621" name="Tekst 3"/>
        <cdr:cNvSpPr txBox="1">
          <a:spLocks xmlns:a="http://schemas.openxmlformats.org/drawingml/2006/main" noChangeArrowheads="1"/>
        </cdr:cNvSpPr>
      </cdr:nvSpPr>
      <cdr:spPr bwMode="auto">
        <a:xfrm xmlns:a="http://schemas.openxmlformats.org/drawingml/2006/main">
          <a:off x="241044" y="689999"/>
          <a:ext cx="194016" cy="228788"/>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pl-PL" sz="1000" b="0" i="0" u="none" strike="noStrike" baseline="0">
              <a:solidFill>
                <a:srgbClr val="000000"/>
              </a:solidFill>
              <a:latin typeface="Arial CE"/>
              <a:cs typeface="Arial CE"/>
            </a:rPr>
            <a:t>%</a:t>
          </a:r>
          <a:endParaRPr lang="pl-PL"/>
        </a:p>
      </cdr:txBody>
    </cdr:sp>
  </cdr:relSizeAnchor>
  <cdr:relSizeAnchor xmlns:cdr="http://schemas.openxmlformats.org/drawingml/2006/chartDrawing">
    <cdr:from>
      <cdr:x>0.07909</cdr:x>
      <cdr:y>0.89826</cdr:y>
    </cdr:from>
    <cdr:to>
      <cdr:x>0.54364</cdr:x>
      <cdr:y>0.97301</cdr:y>
    </cdr:to>
    <cdr:sp macro="" textlink="">
      <cdr:nvSpPr>
        <cdr:cNvPr id="111623" name="Text Box 7"/>
        <cdr:cNvSpPr txBox="1">
          <a:spLocks xmlns:a="http://schemas.openxmlformats.org/drawingml/2006/main" noChangeArrowheads="1"/>
        </cdr:cNvSpPr>
      </cdr:nvSpPr>
      <cdr:spPr bwMode="auto">
        <a:xfrm xmlns:a="http://schemas.openxmlformats.org/drawingml/2006/main">
          <a:off x="436169" y="4192405"/>
          <a:ext cx="2561981" cy="348877"/>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pl-PL" sz="900" b="0" i="1" u="none" strike="noStrike" baseline="0">
              <a:solidFill>
                <a:srgbClr val="000000"/>
              </a:solidFill>
              <a:latin typeface="Times New Roman" panose="02020603050405020304" pitchFamily="18" charset="0"/>
              <a:cs typeface="Times New Roman" panose="02020603050405020304" pitchFamily="18" charset="0"/>
            </a:rPr>
            <a:t>a</a:t>
          </a:r>
          <a:r>
            <a:rPr lang="pl-PL" sz="900" b="0" i="0" u="none" strike="noStrike" baseline="0">
              <a:solidFill>
                <a:srgbClr val="000000"/>
              </a:solidFill>
              <a:latin typeface="Times New Roman" panose="02020603050405020304" pitchFamily="18" charset="0"/>
              <a:cs typeface="Times New Roman" panose="02020603050405020304" pitchFamily="18" charset="0"/>
            </a:rPr>
            <a:t> Dane niewyrównane sezonowo</a:t>
          </a:r>
        </a:p>
        <a:p xmlns:a="http://schemas.openxmlformats.org/drawingml/2006/main">
          <a:pPr algn="l" rtl="0">
            <a:defRPr sz="1000"/>
          </a:pPr>
          <a:r>
            <a:rPr lang="pl-PL" sz="900" b="0" i="1" u="none" strike="noStrike" baseline="0">
              <a:solidFill>
                <a:srgbClr val="000000"/>
              </a:solidFill>
              <a:latin typeface="Times New Roman" panose="02020603050405020304" pitchFamily="18" charset="0"/>
              <a:cs typeface="Times New Roman" panose="02020603050405020304" pitchFamily="18" charset="0"/>
            </a:rPr>
            <a:t>a Seasonally un-adjusted data</a:t>
          </a:r>
          <a:endParaRPr lang="pl-PL" sz="900">
            <a:latin typeface="Times New Roman" panose="02020603050405020304" pitchFamily="18" charset="0"/>
            <a:cs typeface="Times New Roman" panose="02020603050405020304" pitchFamily="18" charset="0"/>
          </a:endParaRPr>
        </a:p>
      </cdr:txBody>
    </cdr:sp>
  </cdr:relSizeAnchor>
</c:userShapes>
</file>

<file path=word/drawings/drawing10.xml><?xml version="1.0" encoding="utf-8"?>
<c:userShapes xmlns:c="http://schemas.openxmlformats.org/drawingml/2006/chart">
  <cdr:relSizeAnchor xmlns:cdr="http://schemas.openxmlformats.org/drawingml/2006/chartDrawing">
    <cdr:from>
      <cdr:x>0.07548</cdr:x>
      <cdr:y>0.0818</cdr:y>
    </cdr:from>
    <cdr:to>
      <cdr:x>0.24593</cdr:x>
      <cdr:y>0.17178</cdr:y>
    </cdr:to>
    <cdr:sp macro="" textlink="">
      <cdr:nvSpPr>
        <cdr:cNvPr id="398337" name="Tekst 1"/>
        <cdr:cNvSpPr txBox="1">
          <a:spLocks xmlns:a="http://schemas.openxmlformats.org/drawingml/2006/main" noChangeArrowheads="1"/>
        </cdr:cNvSpPr>
      </cdr:nvSpPr>
      <cdr:spPr bwMode="auto">
        <a:xfrm xmlns:a="http://schemas.openxmlformats.org/drawingml/2006/main">
          <a:off x="441433" y="381000"/>
          <a:ext cx="996842" cy="419104"/>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1">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r>
            <a:rPr lang="pl-PL" sz="1100" b="0" i="0" u="none" strike="noStrike" baseline="0">
              <a:solidFill>
                <a:srgbClr val="000000"/>
              </a:solidFill>
              <a:latin typeface="Times New Roman" panose="02020603050405020304" pitchFamily="18" charset="0"/>
              <a:cs typeface="Times New Roman" panose="02020603050405020304" pitchFamily="18" charset="0"/>
            </a:rPr>
            <a:t>tys. ton</a:t>
          </a:r>
        </a:p>
        <a:p xmlns:a="http://schemas.openxmlformats.org/drawingml/2006/main">
          <a:pPr algn="l" rtl="0">
            <a:defRPr sz="1000"/>
          </a:pPr>
          <a:r>
            <a:rPr lang="pl-PL" sz="1100" b="0" i="1" u="none" strike="noStrike" baseline="0">
              <a:solidFill>
                <a:srgbClr val="000000"/>
              </a:solidFill>
              <a:latin typeface="Times New Roman" panose="02020603050405020304" pitchFamily="18" charset="0"/>
              <a:cs typeface="Times New Roman" panose="02020603050405020304" pitchFamily="18" charset="0"/>
            </a:rPr>
            <a:t>thous. tonnes</a:t>
          </a:r>
          <a:endParaRPr lang="pl-PL" sz="11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0.06935</cdr:x>
      <cdr:y>0.91684</cdr:y>
    </cdr:from>
    <cdr:to>
      <cdr:x>0.60291</cdr:x>
      <cdr:y>0.99046</cdr:y>
    </cdr:to>
    <cdr:sp macro="" textlink="">
      <cdr:nvSpPr>
        <cdr:cNvPr id="5" name="Text Box 7"/>
        <cdr:cNvSpPr txBox="1">
          <a:spLocks xmlns:a="http://schemas.openxmlformats.org/drawingml/2006/main" noChangeArrowheads="1"/>
        </cdr:cNvSpPr>
      </cdr:nvSpPr>
      <cdr:spPr bwMode="auto">
        <a:xfrm xmlns:a="http://schemas.openxmlformats.org/drawingml/2006/main">
          <a:off x="393700" y="4270375"/>
          <a:ext cx="3028950" cy="342900"/>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wrap="square" lIns="27432" tIns="22860" rIns="0" bIns="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rtl="0"/>
          <a:r>
            <a:rPr lang="pl-PL" sz="900" b="0" i="1" baseline="0">
              <a:effectLst/>
              <a:latin typeface="Times New Roman" panose="02020603050405020304" pitchFamily="18" charset="0"/>
              <a:ea typeface="+mn-ea"/>
              <a:cs typeface="Times New Roman" panose="02020603050405020304" pitchFamily="18" charset="0"/>
            </a:rPr>
            <a:t>a</a:t>
          </a:r>
          <a:r>
            <a:rPr lang="pl-PL" sz="900" b="0" i="0" baseline="0">
              <a:effectLst/>
              <a:latin typeface="Times New Roman" panose="02020603050405020304" pitchFamily="18" charset="0"/>
              <a:ea typeface="+mn-ea"/>
              <a:cs typeface="Times New Roman" panose="02020603050405020304" pitchFamily="18" charset="0"/>
            </a:rPr>
            <a:t>  Łącznie z pozostałymi tłuszczami do smarowania</a:t>
          </a:r>
          <a:endParaRPr lang="pl-PL" sz="900">
            <a:effectLst/>
            <a:latin typeface="Times New Roman" panose="02020603050405020304" pitchFamily="18" charset="0"/>
            <a:cs typeface="Times New Roman" panose="02020603050405020304" pitchFamily="18" charset="0"/>
          </a:endParaRPr>
        </a:p>
        <a:p xmlns:a="http://schemas.openxmlformats.org/drawingml/2006/main">
          <a:pPr rtl="0"/>
          <a:r>
            <a:rPr lang="pl-PL" sz="900" b="0" i="1" baseline="0">
              <a:effectLst/>
              <a:latin typeface="Times New Roman" panose="02020603050405020304" pitchFamily="18" charset="0"/>
              <a:ea typeface="+mn-ea"/>
              <a:cs typeface="Times New Roman" panose="02020603050405020304" pitchFamily="18" charset="0"/>
            </a:rPr>
            <a:t>a</a:t>
          </a:r>
          <a:r>
            <a:rPr lang="pl-PL" sz="900" b="0" i="0" baseline="0">
              <a:effectLst/>
              <a:latin typeface="Times New Roman" panose="02020603050405020304" pitchFamily="18" charset="0"/>
              <a:ea typeface="+mn-ea"/>
              <a:cs typeface="Times New Roman" panose="02020603050405020304" pitchFamily="18" charset="0"/>
            </a:rPr>
            <a:t>  </a:t>
          </a:r>
          <a:r>
            <a:rPr lang="pl-PL" sz="900" b="0" i="1" baseline="0">
              <a:effectLst/>
              <a:latin typeface="Times New Roman" panose="02020603050405020304" pitchFamily="18" charset="0"/>
              <a:ea typeface="+mn-ea"/>
              <a:cs typeface="Times New Roman" panose="02020603050405020304" pitchFamily="18" charset="0"/>
            </a:rPr>
            <a:t>Including other diary spreads</a:t>
          </a:r>
          <a:endParaRPr lang="pl-PL" sz="900">
            <a:effectLst/>
            <a:latin typeface="Times New Roman" panose="02020603050405020304" pitchFamily="18" charset="0"/>
            <a:cs typeface="Times New Roman" panose="02020603050405020304" pitchFamily="18" charset="0"/>
          </a:endParaRPr>
        </a:p>
        <a:p xmlns:a="http://schemas.openxmlformats.org/drawingml/2006/main">
          <a:pPr algn="l" rtl="0">
            <a:defRPr sz="1000"/>
          </a:pPr>
          <a:endParaRPr lang="pl-PL"/>
        </a:p>
      </cdr:txBody>
    </cdr:sp>
  </cdr:relSizeAnchor>
</c:userShapes>
</file>

<file path=word/drawings/drawing11.xml><?xml version="1.0" encoding="utf-8"?>
<c:userShapes xmlns:c="http://schemas.openxmlformats.org/drawingml/2006/chart">
  <cdr:relSizeAnchor xmlns:cdr="http://schemas.openxmlformats.org/drawingml/2006/chartDrawing">
    <cdr:from>
      <cdr:x>0.13926</cdr:x>
      <cdr:y>0.03659</cdr:y>
    </cdr:from>
    <cdr:to>
      <cdr:x>0.90909</cdr:x>
      <cdr:y>0.13491</cdr:y>
    </cdr:to>
    <cdr:sp macro="" textlink="">
      <cdr:nvSpPr>
        <cdr:cNvPr id="399362" name="Text Box 2"/>
        <cdr:cNvSpPr txBox="1">
          <a:spLocks xmlns:a="http://schemas.openxmlformats.org/drawingml/2006/main" noChangeAspect="1" noChangeArrowheads="1"/>
        </cdr:cNvSpPr>
      </cdr:nvSpPr>
      <cdr:spPr bwMode="auto">
        <a:xfrm xmlns:a="http://schemas.openxmlformats.org/drawingml/2006/main">
          <a:off x="787912" y="180533"/>
          <a:ext cx="4355588" cy="485106"/>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36576" tIns="27432" rIns="36576" bIns="0" anchor="t" upright="1"/>
        <a:lstStyle xmlns:a="http://schemas.openxmlformats.org/drawingml/2006/main"/>
        <a:p xmlns:a="http://schemas.openxmlformats.org/drawingml/2006/main">
          <a:pPr algn="ctr" rtl="0">
            <a:defRPr sz="1000"/>
          </a:pPr>
          <a:r>
            <a:rPr lang="pl-PL" sz="1200" b="1" i="0" u="none" strike="noStrike" baseline="0">
              <a:solidFill>
                <a:srgbClr val="000000"/>
              </a:solidFill>
              <a:latin typeface="Times New Roman" panose="02020603050405020304" pitchFamily="18" charset="0"/>
              <a:cs typeface="Times New Roman" panose="02020603050405020304" pitchFamily="18" charset="0"/>
            </a:rPr>
            <a:t>Produkcja chłodziarek i zamrażarek</a:t>
          </a:r>
          <a:r>
            <a:rPr lang="pl-PL" sz="1200" b="1" i="1" u="none" strike="noStrike" baseline="30000">
              <a:solidFill>
                <a:srgbClr val="000000"/>
              </a:solidFill>
              <a:latin typeface="Times New Roman" panose="02020603050405020304" pitchFamily="18" charset="0"/>
              <a:cs typeface="Times New Roman" panose="02020603050405020304" pitchFamily="18" charset="0"/>
            </a:rPr>
            <a:t>b</a:t>
          </a:r>
          <a:endParaRPr lang="pl-PL" sz="1200" b="1" i="0" u="none" strike="noStrike" baseline="0">
            <a:solidFill>
              <a:srgbClr val="000000"/>
            </a:solidFill>
            <a:latin typeface="Times New Roman" panose="02020603050405020304" pitchFamily="18" charset="0"/>
            <a:cs typeface="Times New Roman" panose="02020603050405020304" pitchFamily="18" charset="0"/>
          </a:endParaRPr>
        </a:p>
        <a:p xmlns:a="http://schemas.openxmlformats.org/drawingml/2006/main">
          <a:pPr algn="ctr" rtl="0">
            <a:defRPr sz="1000"/>
          </a:pPr>
          <a:r>
            <a:rPr lang="pl-PL" sz="1200" b="1" i="1" u="none" strike="noStrike" baseline="0">
              <a:solidFill>
                <a:srgbClr val="000000"/>
              </a:solidFill>
              <a:latin typeface="Times New Roman" panose="02020603050405020304" pitchFamily="18" charset="0"/>
              <a:cs typeface="Times New Roman" panose="02020603050405020304" pitchFamily="18" charset="0"/>
            </a:rPr>
            <a:t>Production of refrigerators and freezers</a:t>
          </a:r>
          <a:r>
            <a:rPr lang="pl-PL" sz="1200" b="1" i="1" u="none" strike="noStrike" baseline="30000">
              <a:solidFill>
                <a:srgbClr val="000000"/>
              </a:solidFill>
              <a:latin typeface="Times New Roman" panose="02020603050405020304" pitchFamily="18" charset="0"/>
              <a:cs typeface="Times New Roman" panose="02020603050405020304" pitchFamily="18" charset="0"/>
            </a:rPr>
            <a:t>b</a:t>
          </a:r>
          <a:endParaRPr lang="pl-PL" sz="12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0.08803</cdr:x>
      <cdr:y>0.12088</cdr:y>
    </cdr:from>
    <cdr:to>
      <cdr:x>0.25443</cdr:x>
      <cdr:y>0.20572</cdr:y>
    </cdr:to>
    <cdr:sp macro="" textlink="">
      <cdr:nvSpPr>
        <cdr:cNvPr id="399361" name="Tekst 1"/>
        <cdr:cNvSpPr txBox="1">
          <a:spLocks xmlns:a="http://schemas.openxmlformats.org/drawingml/2006/main" noChangeAspect="1" noChangeArrowheads="1"/>
        </cdr:cNvSpPr>
      </cdr:nvSpPr>
      <cdr:spPr bwMode="auto">
        <a:xfrm xmlns:a="http://schemas.openxmlformats.org/drawingml/2006/main">
          <a:off x="498080" y="617135"/>
          <a:ext cx="941467" cy="433143"/>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1">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r>
            <a:rPr lang="pl-PL" sz="1100" b="0" i="0" u="none" strike="noStrike" baseline="0">
              <a:solidFill>
                <a:srgbClr val="000000"/>
              </a:solidFill>
              <a:latin typeface="Times New Roman" panose="02020603050405020304" pitchFamily="18" charset="0"/>
              <a:cs typeface="Times New Roman" panose="02020603050405020304" pitchFamily="18" charset="0"/>
            </a:rPr>
            <a:t>tys. szt</a:t>
          </a:r>
        </a:p>
        <a:p xmlns:a="http://schemas.openxmlformats.org/drawingml/2006/main">
          <a:pPr algn="l" rtl="0">
            <a:defRPr sz="1000"/>
          </a:pPr>
          <a:r>
            <a:rPr lang="pl-PL" sz="1100" b="0" i="1" u="none" strike="noStrike" baseline="0">
              <a:solidFill>
                <a:srgbClr val="000000"/>
              </a:solidFill>
              <a:latin typeface="Times New Roman" panose="02020603050405020304" pitchFamily="18" charset="0"/>
              <a:cs typeface="Times New Roman" panose="02020603050405020304" pitchFamily="18" charset="0"/>
            </a:rPr>
            <a:t>thous. units</a:t>
          </a:r>
          <a:endParaRPr lang="pl-PL" sz="11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0.07814</cdr:x>
      <cdr:y>0.91978</cdr:y>
    </cdr:from>
    <cdr:to>
      <cdr:x>0.6135</cdr:x>
      <cdr:y>0.98694</cdr:y>
    </cdr:to>
    <cdr:sp macro="" textlink="">
      <cdr:nvSpPr>
        <cdr:cNvPr id="4" name="Text Box 7"/>
        <cdr:cNvSpPr txBox="1">
          <a:spLocks xmlns:a="http://schemas.openxmlformats.org/drawingml/2006/main" noChangeArrowheads="1"/>
        </cdr:cNvSpPr>
      </cdr:nvSpPr>
      <cdr:spPr bwMode="auto">
        <a:xfrm xmlns:a="http://schemas.openxmlformats.org/drawingml/2006/main">
          <a:off x="454757" y="4695846"/>
          <a:ext cx="3115675" cy="342879"/>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wrap="square" lIns="27432" tIns="22860" rIns="0" bIns="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rtl="0"/>
          <a:r>
            <a:rPr lang="pl-PL" sz="900" b="0" i="1" baseline="0">
              <a:effectLst/>
              <a:latin typeface="Times New Roman" panose="02020603050405020304" pitchFamily="18" charset="0"/>
              <a:ea typeface="+mn-ea"/>
              <a:cs typeface="Times New Roman" panose="02020603050405020304" pitchFamily="18" charset="0"/>
            </a:rPr>
            <a:t>b</a:t>
          </a:r>
          <a:r>
            <a:rPr lang="pl-PL" sz="900" b="0" i="0" baseline="0">
              <a:effectLst/>
              <a:latin typeface="Times New Roman" panose="02020603050405020304" pitchFamily="18" charset="0"/>
              <a:ea typeface="+mn-ea"/>
              <a:cs typeface="Times New Roman" panose="02020603050405020304" pitchFamily="18" charset="0"/>
            </a:rPr>
            <a:t>  Typu domowego; łącznie z chłodziarko-zamrażarkami</a:t>
          </a:r>
          <a:endParaRPr lang="pl-PL" sz="900">
            <a:effectLst/>
            <a:latin typeface="Times New Roman" panose="02020603050405020304" pitchFamily="18" charset="0"/>
            <a:cs typeface="Times New Roman" panose="02020603050405020304" pitchFamily="18" charset="0"/>
          </a:endParaRPr>
        </a:p>
        <a:p xmlns:a="http://schemas.openxmlformats.org/drawingml/2006/main">
          <a:pPr rtl="0"/>
          <a:r>
            <a:rPr lang="pl-PL" sz="900" b="0" i="1" baseline="0">
              <a:effectLst/>
              <a:latin typeface="Times New Roman" panose="02020603050405020304" pitchFamily="18" charset="0"/>
              <a:ea typeface="+mn-ea"/>
              <a:cs typeface="Times New Roman" panose="02020603050405020304" pitchFamily="18" charset="0"/>
            </a:rPr>
            <a:t>b  Household type; including combined refrigerators-freezers</a:t>
          </a:r>
          <a:endParaRPr lang="pl-PL" sz="900">
            <a:effectLst/>
            <a:latin typeface="Times New Roman" panose="02020603050405020304" pitchFamily="18" charset="0"/>
            <a:cs typeface="Times New Roman" panose="02020603050405020304" pitchFamily="18" charset="0"/>
          </a:endParaRPr>
        </a:p>
        <a:p xmlns:a="http://schemas.openxmlformats.org/drawingml/2006/main">
          <a:pPr algn="l" rtl="0">
            <a:defRPr sz="1000"/>
          </a:pPr>
          <a:endParaRPr lang="pl-PL"/>
        </a:p>
      </cdr:txBody>
    </cdr:sp>
  </cdr:relSizeAnchor>
</c:userShapes>
</file>

<file path=word/drawings/drawing12.xml><?xml version="1.0" encoding="utf-8"?>
<c:userShapes xmlns:c="http://schemas.openxmlformats.org/drawingml/2006/chart">
  <cdr:relSizeAnchor xmlns:cdr="http://schemas.openxmlformats.org/drawingml/2006/chartDrawing">
    <cdr:from>
      <cdr:x>0.07478</cdr:x>
      <cdr:y>0.09632</cdr:y>
    </cdr:from>
    <cdr:to>
      <cdr:x>0.23734</cdr:x>
      <cdr:y>0.19395</cdr:y>
    </cdr:to>
    <cdr:sp macro="" textlink="">
      <cdr:nvSpPr>
        <cdr:cNvPr id="400385" name="Tekst 1"/>
        <cdr:cNvSpPr txBox="1">
          <a:spLocks xmlns:a="http://schemas.openxmlformats.org/drawingml/2006/main" noChangeArrowheads="1"/>
        </cdr:cNvSpPr>
      </cdr:nvSpPr>
      <cdr:spPr bwMode="auto">
        <a:xfrm xmlns:a="http://schemas.openxmlformats.org/drawingml/2006/main">
          <a:off x="430217" y="445895"/>
          <a:ext cx="935224" cy="451945"/>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1">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r>
            <a:rPr lang="pl-PL" sz="1100" b="0" i="0" u="none" strike="noStrike" baseline="0">
              <a:solidFill>
                <a:srgbClr val="000000"/>
              </a:solidFill>
              <a:latin typeface="Times New Roman" panose="02020603050405020304" pitchFamily="18" charset="0"/>
              <a:cs typeface="Times New Roman" panose="02020603050405020304" pitchFamily="18" charset="0"/>
            </a:rPr>
            <a:t>mln par</a:t>
          </a:r>
        </a:p>
        <a:p xmlns:a="http://schemas.openxmlformats.org/drawingml/2006/main">
          <a:pPr algn="l" rtl="0">
            <a:defRPr sz="1000"/>
          </a:pPr>
          <a:r>
            <a:rPr lang="pl-PL" sz="1100" b="0" i="1" u="none" strike="noStrike" baseline="0">
              <a:solidFill>
                <a:srgbClr val="000000"/>
              </a:solidFill>
              <a:latin typeface="Times New Roman" panose="02020603050405020304" pitchFamily="18" charset="0"/>
              <a:cs typeface="Times New Roman" panose="02020603050405020304" pitchFamily="18" charset="0"/>
            </a:rPr>
            <a:t>mln pairs</a:t>
          </a:r>
          <a:endParaRPr lang="pl-PL" sz="11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0.07174</cdr:x>
      <cdr:y>0.91632</cdr:y>
    </cdr:from>
    <cdr:to>
      <cdr:x>0.72368</cdr:x>
      <cdr:y>0.99254</cdr:y>
    </cdr:to>
    <cdr:sp macro="" textlink="">
      <cdr:nvSpPr>
        <cdr:cNvPr id="3" name="Text Box 7"/>
        <cdr:cNvSpPr txBox="1">
          <a:spLocks xmlns:a="http://schemas.openxmlformats.org/drawingml/2006/main" noChangeArrowheads="1"/>
        </cdr:cNvSpPr>
      </cdr:nvSpPr>
      <cdr:spPr bwMode="auto">
        <a:xfrm xmlns:a="http://schemas.openxmlformats.org/drawingml/2006/main">
          <a:off x="412750" y="4241800"/>
          <a:ext cx="3750627" cy="352840"/>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wrap="square" lIns="27432" tIns="22860" rIns="0" bIns="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rtl="0"/>
          <a:r>
            <a:rPr lang="pl-PL" sz="900" b="0" i="1" baseline="0">
              <a:effectLst/>
              <a:latin typeface="Times New Roman" panose="02020603050405020304" pitchFamily="18" charset="0"/>
              <a:ea typeface="+mn-ea"/>
              <a:cs typeface="Times New Roman" panose="02020603050405020304" pitchFamily="18" charset="0"/>
            </a:rPr>
            <a:t>a</a:t>
          </a:r>
          <a:r>
            <a:rPr lang="pl-PL" sz="900" b="0" i="0" baseline="0">
              <a:effectLst/>
              <a:latin typeface="Times New Roman" panose="02020603050405020304" pitchFamily="18" charset="0"/>
              <a:ea typeface="+mn-ea"/>
              <a:cs typeface="Times New Roman" panose="02020603050405020304" pitchFamily="18" charset="0"/>
            </a:rPr>
            <a:t>  Łącznie z gumowym</a:t>
          </a:r>
          <a:endParaRPr lang="pl-PL" sz="900">
            <a:effectLst/>
            <a:latin typeface="Times New Roman" panose="02020603050405020304" pitchFamily="18" charset="0"/>
            <a:cs typeface="Times New Roman" panose="02020603050405020304" pitchFamily="18" charset="0"/>
          </a:endParaRPr>
        </a:p>
        <a:p xmlns:a="http://schemas.openxmlformats.org/drawingml/2006/main">
          <a:pPr rtl="0"/>
          <a:r>
            <a:rPr lang="pl-PL" sz="900" b="0" i="1" baseline="0">
              <a:effectLst/>
              <a:latin typeface="Times New Roman" panose="02020603050405020304" pitchFamily="18" charset="0"/>
              <a:ea typeface="+mn-ea"/>
              <a:cs typeface="Times New Roman" panose="02020603050405020304" pitchFamily="18" charset="0"/>
            </a:rPr>
            <a:t>a</a:t>
          </a:r>
          <a:r>
            <a:rPr lang="pl-PL" sz="900" b="0" i="0" baseline="0">
              <a:effectLst/>
              <a:latin typeface="Times New Roman" panose="02020603050405020304" pitchFamily="18" charset="0"/>
              <a:ea typeface="+mn-ea"/>
              <a:cs typeface="Times New Roman" panose="02020603050405020304" pitchFamily="18" charset="0"/>
            </a:rPr>
            <a:t>  </a:t>
          </a:r>
          <a:r>
            <a:rPr lang="pl-PL" sz="900" b="0" i="1" baseline="0">
              <a:effectLst/>
              <a:latin typeface="Times New Roman" panose="02020603050405020304" pitchFamily="18" charset="0"/>
              <a:ea typeface="+mn-ea"/>
              <a:cs typeface="Times New Roman" panose="02020603050405020304" pitchFamily="18" charset="0"/>
            </a:rPr>
            <a:t>Including rubber</a:t>
          </a:r>
          <a:endParaRPr lang="pl-PL" sz="900">
            <a:effectLst/>
            <a:latin typeface="Times New Roman" panose="02020603050405020304" pitchFamily="18" charset="0"/>
            <a:cs typeface="Times New Roman" panose="02020603050405020304" pitchFamily="18" charset="0"/>
          </a:endParaRPr>
        </a:p>
        <a:p xmlns:a="http://schemas.openxmlformats.org/drawingml/2006/main">
          <a:pPr algn="l" rtl="0">
            <a:defRPr sz="1000"/>
          </a:pPr>
          <a:endParaRPr lang="pl-PL"/>
        </a:p>
      </cdr:txBody>
    </cdr:sp>
  </cdr:relSizeAnchor>
</c:userShapes>
</file>

<file path=word/drawings/drawing13.xml><?xml version="1.0" encoding="utf-8"?>
<c:userShapes xmlns:c="http://schemas.openxmlformats.org/drawingml/2006/chart">
  <cdr:relSizeAnchor xmlns:cdr="http://schemas.openxmlformats.org/drawingml/2006/chartDrawing">
    <cdr:from>
      <cdr:x>0.08661</cdr:x>
      <cdr:y>0.10377</cdr:y>
    </cdr:from>
    <cdr:to>
      <cdr:x>0.24473</cdr:x>
      <cdr:y>0.18444</cdr:y>
    </cdr:to>
    <cdr:sp macro="" textlink="">
      <cdr:nvSpPr>
        <cdr:cNvPr id="401409" name="Tekst 1"/>
        <cdr:cNvSpPr txBox="1">
          <a:spLocks xmlns:a="http://schemas.openxmlformats.org/drawingml/2006/main" noChangeArrowheads="1"/>
        </cdr:cNvSpPr>
      </cdr:nvSpPr>
      <cdr:spPr bwMode="auto">
        <a:xfrm xmlns:a="http://schemas.openxmlformats.org/drawingml/2006/main">
          <a:off x="508850" y="517144"/>
          <a:ext cx="923280" cy="399550"/>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1">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r>
            <a:rPr lang="pl-PL" sz="1100" b="0" i="0" u="none" strike="noStrike" baseline="0">
              <a:solidFill>
                <a:srgbClr val="000000"/>
              </a:solidFill>
              <a:latin typeface="Times New Roman" panose="02020603050405020304" pitchFamily="18" charset="0"/>
              <a:cs typeface="Times New Roman" panose="02020603050405020304" pitchFamily="18" charset="0"/>
            </a:rPr>
            <a:t>tys. szt</a:t>
          </a:r>
        </a:p>
        <a:p xmlns:a="http://schemas.openxmlformats.org/drawingml/2006/main">
          <a:pPr algn="l" rtl="0">
            <a:defRPr sz="1000"/>
          </a:pPr>
          <a:r>
            <a:rPr lang="pl-PL" sz="1100" b="0" i="1" u="none" strike="noStrike" baseline="0">
              <a:solidFill>
                <a:srgbClr val="000000"/>
              </a:solidFill>
              <a:latin typeface="Times New Roman" panose="02020603050405020304" pitchFamily="18" charset="0"/>
              <a:cs typeface="Times New Roman" panose="02020603050405020304" pitchFamily="18" charset="0"/>
            </a:rPr>
            <a:t>thous. units</a:t>
          </a:r>
          <a:endParaRPr lang="pl-PL" sz="11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0.05439</cdr:x>
      <cdr:y>0.90225</cdr:y>
    </cdr:from>
    <cdr:to>
      <cdr:x>0.75747</cdr:x>
      <cdr:y>0.97162</cdr:y>
    </cdr:to>
    <cdr:sp macro="" textlink="">
      <cdr:nvSpPr>
        <cdr:cNvPr id="4" name="Text Box 7"/>
        <cdr:cNvSpPr txBox="1">
          <a:spLocks xmlns:a="http://schemas.openxmlformats.org/drawingml/2006/main" noChangeArrowheads="1"/>
        </cdr:cNvSpPr>
      </cdr:nvSpPr>
      <cdr:spPr bwMode="auto">
        <a:xfrm xmlns:a="http://schemas.openxmlformats.org/drawingml/2006/main">
          <a:off x="311856" y="4494624"/>
          <a:ext cx="4031543" cy="345572"/>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wrap="square" lIns="27432" tIns="22860" rIns="0" bIns="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rtl="0"/>
          <a:r>
            <a:rPr lang="pl-PL" sz="900" b="0" i="1" baseline="0">
              <a:effectLst/>
              <a:latin typeface="Times New Roman" panose="02020603050405020304" pitchFamily="18" charset="0"/>
              <a:ea typeface="+mn-ea"/>
              <a:cs typeface="Times New Roman" panose="02020603050405020304" pitchFamily="18" charset="0"/>
            </a:rPr>
            <a:t>b</a:t>
          </a:r>
          <a:r>
            <a:rPr lang="pl-PL" sz="900" b="0" i="0" baseline="0">
              <a:effectLst/>
              <a:latin typeface="Times New Roman" panose="02020603050405020304" pitchFamily="18" charset="0"/>
              <a:ea typeface="+mn-ea"/>
              <a:cs typeface="Times New Roman" panose="02020603050405020304" pitchFamily="18" charset="0"/>
            </a:rPr>
            <a:t>  Łącznie z monitorami ekranowymi; z wyjątkiem stosowanych do komputerów</a:t>
          </a:r>
          <a:endParaRPr lang="pl-PL" sz="900">
            <a:effectLst/>
            <a:latin typeface="Times New Roman" panose="02020603050405020304" pitchFamily="18" charset="0"/>
            <a:cs typeface="Times New Roman" panose="02020603050405020304" pitchFamily="18" charset="0"/>
          </a:endParaRPr>
        </a:p>
        <a:p xmlns:a="http://schemas.openxmlformats.org/drawingml/2006/main">
          <a:pPr rtl="0"/>
          <a:r>
            <a:rPr lang="pl-PL" sz="900" b="0" i="1" baseline="0">
              <a:effectLst/>
              <a:latin typeface="Times New Roman" panose="02020603050405020304" pitchFamily="18" charset="0"/>
              <a:ea typeface="+mn-ea"/>
              <a:cs typeface="Times New Roman" panose="02020603050405020304" pitchFamily="18" charset="0"/>
            </a:rPr>
            <a:t>b</a:t>
          </a:r>
          <a:r>
            <a:rPr lang="pl-PL" sz="900" b="0" i="0" baseline="0">
              <a:effectLst/>
              <a:latin typeface="Times New Roman" panose="02020603050405020304" pitchFamily="18" charset="0"/>
              <a:ea typeface="+mn-ea"/>
              <a:cs typeface="Times New Roman" panose="02020603050405020304" pitchFamily="18" charset="0"/>
            </a:rPr>
            <a:t>  </a:t>
          </a:r>
          <a:r>
            <a:rPr lang="pl-PL" sz="900" b="0" i="1" baseline="0">
              <a:effectLst/>
              <a:latin typeface="Times New Roman" panose="02020603050405020304" pitchFamily="18" charset="0"/>
              <a:ea typeface="+mn-ea"/>
              <a:cs typeface="Times New Roman" panose="02020603050405020304" pitchFamily="18" charset="0"/>
            </a:rPr>
            <a:t>Including monitors; excluding used for computers</a:t>
          </a:r>
          <a:endParaRPr lang="pl-PL" sz="900">
            <a:effectLst/>
            <a:latin typeface="Times New Roman" panose="02020603050405020304" pitchFamily="18" charset="0"/>
            <a:cs typeface="Times New Roman" panose="02020603050405020304" pitchFamily="18" charset="0"/>
          </a:endParaRPr>
        </a:p>
        <a:p xmlns:a="http://schemas.openxmlformats.org/drawingml/2006/main">
          <a:pPr algn="l" rtl="0">
            <a:defRPr sz="1000"/>
          </a:pPr>
          <a:endParaRPr lang="pl-PL"/>
        </a:p>
      </cdr:txBody>
    </cdr:sp>
  </cdr:relSizeAnchor>
</c:userShapes>
</file>

<file path=word/drawings/drawing14.xml><?xml version="1.0" encoding="utf-8"?>
<c:userShapes xmlns:c="http://schemas.openxmlformats.org/drawingml/2006/chart">
  <cdr:relSizeAnchor xmlns:cdr="http://schemas.openxmlformats.org/drawingml/2006/chartDrawing">
    <cdr:from>
      <cdr:x>0.08421</cdr:x>
      <cdr:y>0.10729</cdr:y>
    </cdr:from>
    <cdr:to>
      <cdr:x>0.2458</cdr:x>
      <cdr:y>0.20272</cdr:y>
    </cdr:to>
    <cdr:sp macro="" textlink="">
      <cdr:nvSpPr>
        <cdr:cNvPr id="402433" name="Tekst 1"/>
        <cdr:cNvSpPr txBox="1">
          <a:spLocks xmlns:a="http://schemas.openxmlformats.org/drawingml/2006/main" noChangeArrowheads="1"/>
        </cdr:cNvSpPr>
      </cdr:nvSpPr>
      <cdr:spPr bwMode="auto">
        <a:xfrm xmlns:a="http://schemas.openxmlformats.org/drawingml/2006/main">
          <a:off x="495705" y="480324"/>
          <a:ext cx="951192" cy="427216"/>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1">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r>
            <a:rPr lang="pl-PL" sz="1100" b="0" i="0" u="none" strike="noStrike" baseline="0">
              <a:solidFill>
                <a:srgbClr val="000000"/>
              </a:solidFill>
              <a:latin typeface="Times New Roman" panose="02020603050405020304" pitchFamily="18" charset="0"/>
              <a:cs typeface="Times New Roman" panose="02020603050405020304" pitchFamily="18" charset="0"/>
            </a:rPr>
            <a:t>tys. ton</a:t>
          </a:r>
        </a:p>
        <a:p xmlns:a="http://schemas.openxmlformats.org/drawingml/2006/main">
          <a:pPr algn="l" rtl="0">
            <a:defRPr sz="1000"/>
          </a:pPr>
          <a:r>
            <a:rPr lang="pl-PL" sz="1100" b="0" i="1" u="none" strike="noStrike" baseline="0">
              <a:solidFill>
                <a:srgbClr val="000000"/>
              </a:solidFill>
              <a:latin typeface="Times New Roman" panose="02020603050405020304" pitchFamily="18" charset="0"/>
              <a:cs typeface="Times New Roman" panose="02020603050405020304" pitchFamily="18" charset="0"/>
            </a:rPr>
            <a:t>thous. tonnes</a:t>
          </a:r>
          <a:endParaRPr lang="pl-PL" sz="1100">
            <a:latin typeface="Times New Roman" panose="02020603050405020304" pitchFamily="18" charset="0"/>
            <a:cs typeface="Times New Roman" panose="02020603050405020304" pitchFamily="18" charset="0"/>
          </a:endParaRPr>
        </a:p>
      </cdr:txBody>
    </cdr:sp>
  </cdr:relSizeAnchor>
</c:userShapes>
</file>

<file path=word/drawings/drawing15.xml><?xml version="1.0" encoding="utf-8"?>
<c:userShapes xmlns:c="http://schemas.openxmlformats.org/drawingml/2006/chart">
  <cdr:relSizeAnchor xmlns:cdr="http://schemas.openxmlformats.org/drawingml/2006/chartDrawing">
    <cdr:from>
      <cdr:x>0.08437</cdr:x>
      <cdr:y>0.10323</cdr:y>
    </cdr:from>
    <cdr:to>
      <cdr:x>0.2371</cdr:x>
      <cdr:y>0.1817</cdr:y>
    </cdr:to>
    <cdr:sp macro="" textlink="">
      <cdr:nvSpPr>
        <cdr:cNvPr id="403457" name="Tekst 1"/>
        <cdr:cNvSpPr txBox="1">
          <a:spLocks xmlns:a="http://schemas.openxmlformats.org/drawingml/2006/main" noChangeArrowheads="1"/>
        </cdr:cNvSpPr>
      </cdr:nvSpPr>
      <cdr:spPr bwMode="auto">
        <a:xfrm xmlns:a="http://schemas.openxmlformats.org/drawingml/2006/main">
          <a:off x="497403" y="517444"/>
          <a:ext cx="894648" cy="390906"/>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1">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r>
            <a:rPr lang="pl-PL" sz="1100" b="0" i="0" u="none" strike="noStrike" baseline="0">
              <a:solidFill>
                <a:srgbClr val="000000"/>
              </a:solidFill>
              <a:latin typeface="Times New Roman" panose="02020603050405020304" pitchFamily="18" charset="0"/>
              <a:cs typeface="Times New Roman" panose="02020603050405020304" pitchFamily="18" charset="0"/>
            </a:rPr>
            <a:t>tys. ton</a:t>
          </a:r>
        </a:p>
        <a:p xmlns:a="http://schemas.openxmlformats.org/drawingml/2006/main">
          <a:pPr algn="l" rtl="0">
            <a:defRPr sz="1000"/>
          </a:pPr>
          <a:r>
            <a:rPr lang="pl-PL" sz="1100" b="0" i="1" u="none" strike="noStrike" baseline="0">
              <a:solidFill>
                <a:srgbClr val="000000"/>
              </a:solidFill>
              <a:latin typeface="Times New Roman" panose="02020603050405020304" pitchFamily="18" charset="0"/>
              <a:cs typeface="Times New Roman" panose="02020603050405020304" pitchFamily="18" charset="0"/>
            </a:rPr>
            <a:t>thous. tonnes</a:t>
          </a:r>
          <a:endParaRPr lang="pl-PL" sz="11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0.05429</cdr:x>
      <cdr:y>0.92784</cdr:y>
    </cdr:from>
    <cdr:to>
      <cdr:x>0.87622</cdr:x>
      <cdr:y>0.99681</cdr:y>
    </cdr:to>
    <cdr:sp macro="" textlink="">
      <cdr:nvSpPr>
        <cdr:cNvPr id="3" name="Text Box 7"/>
        <cdr:cNvSpPr txBox="1">
          <a:spLocks xmlns:a="http://schemas.openxmlformats.org/drawingml/2006/main" noChangeArrowheads="1"/>
        </cdr:cNvSpPr>
      </cdr:nvSpPr>
      <cdr:spPr bwMode="auto">
        <a:xfrm xmlns:a="http://schemas.openxmlformats.org/drawingml/2006/main">
          <a:off x="317500" y="4613275"/>
          <a:ext cx="4806950" cy="342900"/>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wrap="square" lIns="27432" tIns="22860" rIns="0" bIns="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rtl="0"/>
          <a:r>
            <a:rPr lang="pl-PL" sz="900" b="0" i="1" baseline="0">
              <a:effectLst/>
              <a:latin typeface="Times New Roman" panose="02020603050405020304" pitchFamily="18" charset="0"/>
              <a:ea typeface="+mn-ea"/>
              <a:cs typeface="Times New Roman" panose="02020603050405020304" pitchFamily="18" charset="0"/>
            </a:rPr>
            <a:t>a</a:t>
          </a:r>
          <a:r>
            <a:rPr lang="pl-PL" sz="900" b="0" i="0" baseline="0">
              <a:effectLst/>
              <a:latin typeface="Times New Roman" panose="02020603050405020304" pitchFamily="18" charset="0"/>
              <a:ea typeface="+mn-ea"/>
              <a:cs typeface="Times New Roman" panose="02020603050405020304" pitchFamily="18" charset="0"/>
            </a:rPr>
            <a:t>  Mineralnych lub chemicznych łącznie z wieloskładnikowymi w przeliczeniu na czysty składnik</a:t>
          </a:r>
          <a:endParaRPr lang="pl-PL" sz="900">
            <a:effectLst/>
            <a:latin typeface="Times New Roman" panose="02020603050405020304" pitchFamily="18" charset="0"/>
            <a:cs typeface="Times New Roman" panose="02020603050405020304" pitchFamily="18" charset="0"/>
          </a:endParaRPr>
        </a:p>
        <a:p xmlns:a="http://schemas.openxmlformats.org/drawingml/2006/main">
          <a:pPr rtl="0"/>
          <a:r>
            <a:rPr lang="pl-PL" sz="900" b="0" i="1" baseline="0">
              <a:effectLst/>
              <a:latin typeface="Times New Roman" panose="02020603050405020304" pitchFamily="18" charset="0"/>
              <a:ea typeface="+mn-ea"/>
              <a:cs typeface="Times New Roman" panose="02020603050405020304" pitchFamily="18" charset="0"/>
            </a:rPr>
            <a:t>a</a:t>
          </a:r>
          <a:r>
            <a:rPr lang="pl-PL" sz="900" b="0" i="0" baseline="0">
              <a:effectLst/>
              <a:latin typeface="Times New Roman" panose="02020603050405020304" pitchFamily="18" charset="0"/>
              <a:ea typeface="+mn-ea"/>
              <a:cs typeface="Times New Roman" panose="02020603050405020304" pitchFamily="18" charset="0"/>
            </a:rPr>
            <a:t>  </a:t>
          </a:r>
          <a:r>
            <a:rPr lang="pl-PL" sz="900" b="0" i="1" baseline="0">
              <a:effectLst/>
              <a:latin typeface="Times New Roman" panose="02020603050405020304" pitchFamily="18" charset="0"/>
              <a:ea typeface="+mn-ea"/>
              <a:cs typeface="Times New Roman" panose="02020603050405020304" pitchFamily="18" charset="0"/>
            </a:rPr>
            <a:t>Mineral or chemical including mixed fertilizers in terms of pure ingredient</a:t>
          </a:r>
          <a:endParaRPr lang="pl-PL" sz="900">
            <a:effectLst/>
            <a:latin typeface="Times New Roman" panose="02020603050405020304" pitchFamily="18" charset="0"/>
            <a:cs typeface="Times New Roman" panose="02020603050405020304" pitchFamily="18" charset="0"/>
          </a:endParaRPr>
        </a:p>
        <a:p xmlns:a="http://schemas.openxmlformats.org/drawingml/2006/main">
          <a:pPr algn="l" rtl="0">
            <a:defRPr sz="1000"/>
          </a:pPr>
          <a:endParaRPr lang="pl-PL"/>
        </a:p>
      </cdr:txBody>
    </cdr:sp>
  </cdr:relSizeAnchor>
</c:userShapes>
</file>

<file path=word/drawings/drawing16.xml><?xml version="1.0" encoding="utf-8"?>
<c:userShapes xmlns:c="http://schemas.openxmlformats.org/drawingml/2006/chart">
  <cdr:relSizeAnchor xmlns:cdr="http://schemas.openxmlformats.org/drawingml/2006/chartDrawing">
    <cdr:from>
      <cdr:x>0.0837</cdr:x>
      <cdr:y>0.07227</cdr:y>
    </cdr:from>
    <cdr:to>
      <cdr:x>0.27255</cdr:x>
      <cdr:y>0.1928</cdr:y>
    </cdr:to>
    <cdr:sp macro="" textlink="">
      <cdr:nvSpPr>
        <cdr:cNvPr id="404481" name="Tekst 1"/>
        <cdr:cNvSpPr txBox="1">
          <a:spLocks xmlns:a="http://schemas.openxmlformats.org/drawingml/2006/main" noChangeArrowheads="1"/>
        </cdr:cNvSpPr>
      </cdr:nvSpPr>
      <cdr:spPr bwMode="auto">
        <a:xfrm xmlns:a="http://schemas.openxmlformats.org/drawingml/2006/main">
          <a:off x="488695" y="345961"/>
          <a:ext cx="1095451" cy="571728"/>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1">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r>
            <a:rPr lang="pl-PL" sz="1100" b="0" i="0" u="none" strike="noStrike" baseline="0">
              <a:solidFill>
                <a:srgbClr val="000000"/>
              </a:solidFill>
              <a:latin typeface="Times New Roman" panose="02020603050405020304" pitchFamily="18" charset="0"/>
              <a:cs typeface="Times New Roman" panose="02020603050405020304" pitchFamily="18" charset="0"/>
            </a:rPr>
            <a:t>tys. ton</a:t>
          </a:r>
        </a:p>
        <a:p xmlns:a="http://schemas.openxmlformats.org/drawingml/2006/main">
          <a:pPr algn="l" rtl="0">
            <a:defRPr sz="1000"/>
          </a:pPr>
          <a:r>
            <a:rPr lang="pl-PL" sz="1100" b="0" i="1" u="none" strike="noStrike" baseline="0">
              <a:solidFill>
                <a:srgbClr val="000000"/>
              </a:solidFill>
              <a:latin typeface="Times New Roman" panose="02020603050405020304" pitchFamily="18" charset="0"/>
              <a:cs typeface="Times New Roman" panose="02020603050405020304" pitchFamily="18" charset="0"/>
            </a:rPr>
            <a:t>thous. tonnes</a:t>
          </a:r>
          <a:endParaRPr lang="pl-PL" sz="11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0.06206</cdr:x>
      <cdr:y>0.91769</cdr:y>
    </cdr:from>
    <cdr:to>
      <cdr:x>0.83491</cdr:x>
      <cdr:y>0.98996</cdr:y>
    </cdr:to>
    <cdr:sp macro="" textlink="">
      <cdr:nvSpPr>
        <cdr:cNvPr id="404482" name="Text Box 2"/>
        <cdr:cNvSpPr txBox="1">
          <a:spLocks xmlns:a="http://schemas.openxmlformats.org/drawingml/2006/main" noChangeArrowheads="1"/>
        </cdr:cNvSpPr>
      </cdr:nvSpPr>
      <cdr:spPr bwMode="auto">
        <a:xfrm xmlns:a="http://schemas.openxmlformats.org/drawingml/2006/main">
          <a:off x="363175" y="4356195"/>
          <a:ext cx="4483077" cy="342805"/>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pl-PL" sz="900" b="0" i="1" u="none" strike="noStrike" baseline="0">
              <a:solidFill>
                <a:srgbClr val="000000"/>
              </a:solidFill>
              <a:latin typeface="Times New Roman" panose="02020603050405020304" pitchFamily="18" charset="0"/>
              <a:cs typeface="Times New Roman" panose="02020603050405020304" pitchFamily="18" charset="0"/>
            </a:rPr>
            <a:t>a</a:t>
          </a:r>
          <a:r>
            <a:rPr lang="pl-PL" sz="900" b="0" i="0" u="none" strike="noStrike" baseline="0">
              <a:solidFill>
                <a:srgbClr val="000000"/>
              </a:solidFill>
              <a:latin typeface="Times New Roman" panose="02020603050405020304" pitchFamily="18" charset="0"/>
              <a:cs typeface="Times New Roman" panose="02020603050405020304" pitchFamily="18" charset="0"/>
            </a:rPr>
            <a:t>  Portlandzki, glinowy, żużlowy i podobne rodzaje cementu hydraulicznego</a:t>
          </a:r>
        </a:p>
        <a:p xmlns:a="http://schemas.openxmlformats.org/drawingml/2006/main">
          <a:pPr algn="l" rtl="0">
            <a:defRPr sz="1000"/>
          </a:pPr>
          <a:r>
            <a:rPr lang="pl-PL" sz="900" b="0" i="1" u="none" strike="noStrike" baseline="0">
              <a:solidFill>
                <a:srgbClr val="000000"/>
              </a:solidFill>
              <a:latin typeface="Times New Roman" panose="02020603050405020304" pitchFamily="18" charset="0"/>
              <a:cs typeface="Times New Roman" panose="02020603050405020304" pitchFamily="18" charset="0"/>
            </a:rPr>
            <a:t>a</a:t>
          </a:r>
          <a:r>
            <a:rPr lang="pl-PL" sz="900" b="0" i="0" u="none" strike="noStrike" baseline="0">
              <a:solidFill>
                <a:srgbClr val="000000"/>
              </a:solidFill>
              <a:latin typeface="Times New Roman" panose="02020603050405020304" pitchFamily="18" charset="0"/>
              <a:cs typeface="Times New Roman" panose="02020603050405020304" pitchFamily="18" charset="0"/>
            </a:rPr>
            <a:t>  </a:t>
          </a:r>
          <a:r>
            <a:rPr lang="pl-PL" sz="900" b="0" i="1" u="none" strike="noStrike" baseline="0">
              <a:solidFill>
                <a:srgbClr val="000000"/>
              </a:solidFill>
              <a:latin typeface="Times New Roman" panose="02020603050405020304" pitchFamily="18" charset="0"/>
              <a:cs typeface="Times New Roman" panose="02020603050405020304" pitchFamily="18" charset="0"/>
            </a:rPr>
            <a:t>Porthland, aluminous, slag and other hydraulic cement</a:t>
          </a:r>
          <a:endParaRPr lang="pl-PL" sz="900">
            <a:latin typeface="Times New Roman" panose="02020603050405020304" pitchFamily="18" charset="0"/>
            <a:cs typeface="Times New Roman" panose="02020603050405020304" pitchFamily="18" charset="0"/>
          </a:endParaRPr>
        </a:p>
      </cdr:txBody>
    </cdr:sp>
  </cdr:relSizeAnchor>
</c:userShapes>
</file>

<file path=word/drawings/drawing17.xml><?xml version="1.0" encoding="utf-8"?>
<c:userShapes xmlns:c="http://schemas.openxmlformats.org/drawingml/2006/chart">
  <cdr:relSizeAnchor xmlns:cdr="http://schemas.openxmlformats.org/drawingml/2006/chartDrawing">
    <cdr:from>
      <cdr:x>0.07507</cdr:x>
      <cdr:y>0.11868</cdr:y>
    </cdr:from>
    <cdr:to>
      <cdr:x>0.28286</cdr:x>
      <cdr:y>0.20166</cdr:y>
    </cdr:to>
    <cdr:sp macro="" textlink="">
      <cdr:nvSpPr>
        <cdr:cNvPr id="405505" name="Tekst 1"/>
        <cdr:cNvSpPr txBox="1">
          <a:spLocks xmlns:a="http://schemas.openxmlformats.org/drawingml/2006/main" noChangeArrowheads="1"/>
        </cdr:cNvSpPr>
      </cdr:nvSpPr>
      <cdr:spPr bwMode="auto">
        <a:xfrm xmlns:a="http://schemas.openxmlformats.org/drawingml/2006/main">
          <a:off x="436175" y="581025"/>
          <a:ext cx="1207312" cy="406272"/>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1">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lnSpc>
              <a:spcPts val="1100"/>
            </a:lnSpc>
            <a:defRPr sz="1000"/>
          </a:pPr>
          <a:r>
            <a:rPr lang="pl-PL" sz="1100" b="0" i="0" u="none" strike="noStrike" baseline="0">
              <a:solidFill>
                <a:srgbClr val="000000"/>
              </a:solidFill>
              <a:latin typeface="Times New Roman" panose="02020603050405020304" pitchFamily="18" charset="0"/>
              <a:cs typeface="Times New Roman" panose="02020603050405020304" pitchFamily="18" charset="0"/>
            </a:rPr>
            <a:t>tys. ton</a:t>
          </a:r>
        </a:p>
        <a:p xmlns:a="http://schemas.openxmlformats.org/drawingml/2006/main">
          <a:pPr algn="l" rtl="0">
            <a:defRPr sz="1000"/>
          </a:pPr>
          <a:r>
            <a:rPr lang="pl-PL" sz="1100" b="0" i="1" u="none" strike="noStrike" baseline="0">
              <a:solidFill>
                <a:srgbClr val="000000"/>
              </a:solidFill>
              <a:latin typeface="Times New Roman" panose="02020603050405020304" pitchFamily="18" charset="0"/>
              <a:cs typeface="Times New Roman" panose="02020603050405020304" pitchFamily="18" charset="0"/>
            </a:rPr>
            <a:t>thous. tonnes</a:t>
          </a:r>
          <a:endParaRPr lang="pl-PL" sz="1100">
            <a:latin typeface="Times New Roman" panose="02020603050405020304" pitchFamily="18" charset="0"/>
            <a:cs typeface="Times New Roman" panose="02020603050405020304" pitchFamily="18" charset="0"/>
          </a:endParaRPr>
        </a:p>
      </cdr:txBody>
    </cdr:sp>
  </cdr:relSizeAnchor>
</c:userShapes>
</file>

<file path=word/drawings/drawing18.xml><?xml version="1.0" encoding="utf-8"?>
<c:userShapes xmlns:c="http://schemas.openxmlformats.org/drawingml/2006/chart">
  <cdr:relSizeAnchor xmlns:cdr="http://schemas.openxmlformats.org/drawingml/2006/chartDrawing">
    <cdr:from>
      <cdr:x>0.06004</cdr:x>
      <cdr:y>0.1195</cdr:y>
    </cdr:from>
    <cdr:to>
      <cdr:x>0.16418</cdr:x>
      <cdr:y>0.22145</cdr:y>
    </cdr:to>
    <cdr:sp macro="" textlink="">
      <cdr:nvSpPr>
        <cdr:cNvPr id="406529" name="Tekst 1"/>
        <cdr:cNvSpPr txBox="1">
          <a:spLocks xmlns:a="http://schemas.openxmlformats.org/drawingml/2006/main" noChangeArrowheads="1"/>
        </cdr:cNvSpPr>
      </cdr:nvSpPr>
      <cdr:spPr bwMode="auto">
        <a:xfrm xmlns:a="http://schemas.openxmlformats.org/drawingml/2006/main">
          <a:off x="344844" y="542925"/>
          <a:ext cx="598132" cy="463216"/>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1">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lnSpc>
              <a:spcPts val="1100"/>
            </a:lnSpc>
            <a:defRPr sz="1000"/>
          </a:pPr>
          <a:r>
            <a:rPr lang="pl-PL" sz="1100" b="0" i="0" u="none" strike="noStrike" baseline="0">
              <a:solidFill>
                <a:srgbClr val="000000"/>
              </a:solidFill>
              <a:latin typeface="Times New Roman" panose="02020603050405020304" pitchFamily="18" charset="0"/>
              <a:cs typeface="Times New Roman" panose="02020603050405020304" pitchFamily="18" charset="0"/>
            </a:rPr>
            <a:t>szt</a:t>
          </a:r>
        </a:p>
        <a:p xmlns:a="http://schemas.openxmlformats.org/drawingml/2006/main">
          <a:pPr algn="l" rtl="0">
            <a:defRPr sz="1000"/>
          </a:pPr>
          <a:r>
            <a:rPr lang="pl-PL" sz="1100" b="0" i="1" u="none" strike="noStrike" baseline="0">
              <a:solidFill>
                <a:srgbClr val="000000"/>
              </a:solidFill>
              <a:latin typeface="Times New Roman" panose="02020603050405020304" pitchFamily="18" charset="0"/>
              <a:cs typeface="Times New Roman" panose="02020603050405020304" pitchFamily="18" charset="0"/>
            </a:rPr>
            <a:t>units</a:t>
          </a:r>
          <a:endParaRPr lang="pl-PL" sz="1100">
            <a:latin typeface="Times New Roman" panose="02020603050405020304" pitchFamily="18" charset="0"/>
            <a:cs typeface="Times New Roman" panose="02020603050405020304" pitchFamily="18" charset="0"/>
          </a:endParaRPr>
        </a:p>
      </cdr:txBody>
    </cdr:sp>
  </cdr:relSizeAnchor>
</c:userShapes>
</file>

<file path=word/drawings/drawing19.xml><?xml version="1.0" encoding="utf-8"?>
<c:userShapes xmlns:c="http://schemas.openxmlformats.org/drawingml/2006/chart">
  <cdr:relSizeAnchor xmlns:cdr="http://schemas.openxmlformats.org/drawingml/2006/chartDrawing">
    <cdr:from>
      <cdr:x>0.07953</cdr:x>
      <cdr:y>0.06835</cdr:y>
    </cdr:from>
    <cdr:to>
      <cdr:x>0.2637</cdr:x>
      <cdr:y>0.19336</cdr:y>
    </cdr:to>
    <cdr:sp macro="" textlink="">
      <cdr:nvSpPr>
        <cdr:cNvPr id="407553" name="Tekst 1"/>
        <cdr:cNvSpPr txBox="1">
          <a:spLocks xmlns:a="http://schemas.openxmlformats.org/drawingml/2006/main" noChangeArrowheads="1"/>
        </cdr:cNvSpPr>
      </cdr:nvSpPr>
      <cdr:spPr bwMode="auto">
        <a:xfrm xmlns:a="http://schemas.openxmlformats.org/drawingml/2006/main">
          <a:off x="463756" y="336498"/>
          <a:ext cx="1066567" cy="609647"/>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1">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r>
            <a:rPr lang="pl-PL" sz="1100" b="0" i="0" u="none" strike="noStrike" baseline="0">
              <a:solidFill>
                <a:srgbClr val="000000"/>
              </a:solidFill>
              <a:latin typeface="Times New Roman" panose="02020603050405020304" pitchFamily="18" charset="0"/>
              <a:cs typeface="Times New Roman" panose="02020603050405020304" pitchFamily="18" charset="0"/>
            </a:rPr>
            <a:t>tys. szt</a:t>
          </a:r>
        </a:p>
        <a:p xmlns:a="http://schemas.openxmlformats.org/drawingml/2006/main">
          <a:pPr algn="l" rtl="0">
            <a:defRPr sz="1000"/>
          </a:pPr>
          <a:r>
            <a:rPr lang="pl-PL" sz="1100" b="0" i="1" u="none" strike="noStrike" baseline="0">
              <a:solidFill>
                <a:srgbClr val="000000"/>
              </a:solidFill>
              <a:latin typeface="Times New Roman" panose="02020603050405020304" pitchFamily="18" charset="0"/>
              <a:cs typeface="Times New Roman" panose="02020603050405020304" pitchFamily="18" charset="0"/>
            </a:rPr>
            <a:t>thous. units</a:t>
          </a:r>
          <a:endParaRPr lang="pl-PL" sz="11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0.05937</cdr:x>
      <cdr:y>0.92381</cdr:y>
    </cdr:from>
    <cdr:to>
      <cdr:x>0.87621</cdr:x>
      <cdr:y>0.98976</cdr:y>
    </cdr:to>
    <cdr:sp macro="" textlink="">
      <cdr:nvSpPr>
        <cdr:cNvPr id="407554" name="Text Box 2"/>
        <cdr:cNvSpPr txBox="1">
          <a:spLocks xmlns:a="http://schemas.openxmlformats.org/drawingml/2006/main" noChangeArrowheads="1"/>
        </cdr:cNvSpPr>
      </cdr:nvSpPr>
      <cdr:spPr bwMode="auto">
        <a:xfrm xmlns:a="http://schemas.openxmlformats.org/drawingml/2006/main">
          <a:off x="343258" y="4584430"/>
          <a:ext cx="4722703" cy="327295"/>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pl-PL" sz="900" b="0" i="1" u="none" strike="noStrike" baseline="0">
              <a:solidFill>
                <a:srgbClr val="000000"/>
              </a:solidFill>
              <a:latin typeface="Times New Roman" panose="02020603050405020304" pitchFamily="18" charset="0"/>
              <a:cs typeface="Times New Roman" panose="02020603050405020304" pitchFamily="18" charset="0"/>
            </a:rPr>
            <a:t>a</a:t>
          </a:r>
          <a:r>
            <a:rPr lang="pl-PL" sz="900" b="0" i="0" u="none" strike="noStrike" baseline="0">
              <a:solidFill>
                <a:srgbClr val="000000"/>
              </a:solidFill>
              <a:latin typeface="Times New Roman" panose="02020603050405020304" pitchFamily="18" charset="0"/>
              <a:cs typeface="Times New Roman" panose="02020603050405020304" pitchFamily="18" charset="0"/>
            </a:rPr>
            <a:t>  Z wyłączeniem samochodów kempingowych, pojazdów śniegowych, do golfa i podobnych</a:t>
          </a:r>
        </a:p>
        <a:p xmlns:a="http://schemas.openxmlformats.org/drawingml/2006/main">
          <a:pPr algn="l" rtl="0">
            <a:defRPr sz="1000"/>
          </a:pPr>
          <a:r>
            <a:rPr lang="pl-PL" sz="900" b="0" i="1" u="none" strike="noStrike" baseline="0">
              <a:solidFill>
                <a:srgbClr val="000000"/>
              </a:solidFill>
              <a:latin typeface="Times New Roman" panose="02020603050405020304" pitchFamily="18" charset="0"/>
              <a:cs typeface="Times New Roman" panose="02020603050405020304" pitchFamily="18" charset="0"/>
            </a:rPr>
            <a:t>a</a:t>
          </a:r>
          <a:r>
            <a:rPr lang="pl-PL" sz="900" b="0" i="0" u="none" strike="noStrike" baseline="0">
              <a:solidFill>
                <a:srgbClr val="000000"/>
              </a:solidFill>
              <a:latin typeface="Times New Roman" panose="02020603050405020304" pitchFamily="18" charset="0"/>
              <a:cs typeface="Times New Roman" panose="02020603050405020304" pitchFamily="18" charset="0"/>
            </a:rPr>
            <a:t>  </a:t>
          </a:r>
          <a:r>
            <a:rPr lang="pl-PL" sz="900" b="0" i="1" u="none" strike="noStrike" baseline="0">
              <a:solidFill>
                <a:srgbClr val="000000"/>
              </a:solidFill>
              <a:latin typeface="Times New Roman" panose="02020603050405020304" pitchFamily="18" charset="0"/>
              <a:cs typeface="Times New Roman" panose="02020603050405020304" pitchFamily="18" charset="0"/>
            </a:rPr>
            <a:t>Excluding motor caravans, snowmobiles, golf cars and similar vehicles</a:t>
          </a:r>
          <a:endParaRPr lang="pl-PL" sz="900">
            <a:latin typeface="Times New Roman" panose="02020603050405020304" pitchFamily="18" charset="0"/>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0.03317</cdr:x>
      <cdr:y>0.19669</cdr:y>
    </cdr:from>
    <cdr:to>
      <cdr:x>0.36542</cdr:x>
      <cdr:y>0.275</cdr:y>
    </cdr:to>
    <cdr:sp macro="" textlink="">
      <cdr:nvSpPr>
        <cdr:cNvPr id="122882" name="Tekst 2"/>
        <cdr:cNvSpPr txBox="1">
          <a:spLocks xmlns:a="http://schemas.openxmlformats.org/drawingml/2006/main" noChangeArrowheads="1"/>
        </cdr:cNvSpPr>
      </cdr:nvSpPr>
      <cdr:spPr bwMode="auto">
        <a:xfrm xmlns:a="http://schemas.openxmlformats.org/drawingml/2006/main">
          <a:off x="182703" y="1009177"/>
          <a:ext cx="1830241" cy="401793"/>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1">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r>
            <a:rPr lang="pl-PL" sz="1100" b="0" i="0" u="none" strike="noStrike" baseline="0">
              <a:solidFill>
                <a:srgbClr val="000000"/>
              </a:solidFill>
              <a:latin typeface="Times New Roman" panose="02020603050405020304" pitchFamily="18" charset="0"/>
              <a:cs typeface="Times New Roman" panose="02020603050405020304" pitchFamily="18" charset="0"/>
            </a:rPr>
            <a:t>Wskaźnik rentowności w %</a:t>
          </a:r>
        </a:p>
        <a:p xmlns:a="http://schemas.openxmlformats.org/drawingml/2006/main">
          <a:pPr algn="l" rtl="0">
            <a:defRPr sz="1000"/>
          </a:pPr>
          <a:r>
            <a:rPr lang="pl-PL" sz="1100" b="0" i="1" u="none" strike="noStrike" baseline="0">
              <a:solidFill>
                <a:srgbClr val="000000"/>
              </a:solidFill>
              <a:latin typeface="Times New Roman" panose="02020603050405020304" pitchFamily="18" charset="0"/>
              <a:cs typeface="Times New Roman" panose="02020603050405020304" pitchFamily="18" charset="0"/>
            </a:rPr>
            <a:t>Profitability rate in %</a:t>
          </a:r>
          <a:endParaRPr lang="pl-PL" sz="11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0.08262</cdr:x>
      <cdr:y>0.36879</cdr:y>
    </cdr:from>
    <cdr:to>
      <cdr:x>0.19608</cdr:x>
      <cdr:y>0.3998</cdr:y>
    </cdr:to>
    <cdr:sp macro="" textlink="">
      <cdr:nvSpPr>
        <cdr:cNvPr id="122884" name="Text Box 4"/>
        <cdr:cNvSpPr txBox="1">
          <a:spLocks xmlns:a="http://schemas.openxmlformats.org/drawingml/2006/main" noChangeArrowheads="1"/>
        </cdr:cNvSpPr>
      </cdr:nvSpPr>
      <cdr:spPr bwMode="auto">
        <a:xfrm xmlns:a="http://schemas.openxmlformats.org/drawingml/2006/main">
          <a:off x="455128" y="1847677"/>
          <a:ext cx="625008" cy="155365"/>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0" tIns="0" rIns="27432" bIns="22860" anchor="b" upright="1"/>
        <a:lstStyle xmlns:a="http://schemas.openxmlformats.org/drawingml/2006/main"/>
        <a:p xmlns:a="http://schemas.openxmlformats.org/drawingml/2006/main">
          <a:pPr algn="r" rtl="0">
            <a:defRPr sz="1000"/>
          </a:pPr>
          <a:r>
            <a:rPr lang="pl-PL" sz="1100" b="0" i="1" u="none" strike="noStrike" baseline="0">
              <a:solidFill>
                <a:srgbClr val="000000"/>
              </a:solidFill>
              <a:latin typeface="Times New Roman" panose="02020603050405020304" pitchFamily="18" charset="0"/>
              <a:cs typeface="Times New Roman" panose="02020603050405020304" pitchFamily="18" charset="0"/>
            </a:rPr>
            <a:t>and less</a:t>
          </a:r>
          <a:endParaRPr lang="pl-PL" sz="11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0.58484</cdr:x>
      <cdr:y>0.72501</cdr:y>
    </cdr:from>
    <cdr:to>
      <cdr:x>0.60221</cdr:x>
      <cdr:y>0.76396</cdr:y>
    </cdr:to>
    <cdr:sp macro="" textlink="">
      <cdr:nvSpPr>
        <cdr:cNvPr id="122885" name="Text Box 5"/>
        <cdr:cNvSpPr txBox="1">
          <a:spLocks xmlns:a="http://schemas.openxmlformats.org/drawingml/2006/main" noChangeArrowheads="1"/>
        </cdr:cNvSpPr>
      </cdr:nvSpPr>
      <cdr:spPr bwMode="auto">
        <a:xfrm xmlns:a="http://schemas.openxmlformats.org/drawingml/2006/main">
          <a:off x="3581869" y="3701475"/>
          <a:ext cx="106440" cy="198837"/>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pl-PL" sz="975" b="0" i="0" u="none" strike="noStrike" baseline="0">
              <a:solidFill>
                <a:srgbClr val="000000"/>
              </a:solidFill>
              <a:latin typeface="Arial CE"/>
              <a:cs typeface="Arial CE"/>
            </a:rPr>
            <a:t>  </a:t>
          </a:r>
          <a:endParaRPr lang="pl-PL"/>
        </a:p>
      </cdr:txBody>
    </cdr:sp>
  </cdr:relSizeAnchor>
  <cdr:relSizeAnchor xmlns:cdr="http://schemas.openxmlformats.org/drawingml/2006/chartDrawing">
    <cdr:from>
      <cdr:x>0.06764</cdr:x>
      <cdr:y>0.75884</cdr:y>
    </cdr:from>
    <cdr:to>
      <cdr:x>0.1947</cdr:x>
      <cdr:y>0.79198</cdr:y>
    </cdr:to>
    <cdr:sp macro="" textlink="">
      <cdr:nvSpPr>
        <cdr:cNvPr id="122887" name="Text Box 7"/>
        <cdr:cNvSpPr txBox="1">
          <a:spLocks xmlns:a="http://schemas.openxmlformats.org/drawingml/2006/main" noChangeArrowheads="1"/>
        </cdr:cNvSpPr>
      </cdr:nvSpPr>
      <cdr:spPr bwMode="auto">
        <a:xfrm xmlns:a="http://schemas.openxmlformats.org/drawingml/2006/main">
          <a:off x="372608" y="3801880"/>
          <a:ext cx="699926" cy="166036"/>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0" tIns="0" rIns="27432" bIns="22860" anchor="b" upright="1"/>
        <a:lstStyle xmlns:a="http://schemas.openxmlformats.org/drawingml/2006/main"/>
        <a:p xmlns:a="http://schemas.openxmlformats.org/drawingml/2006/main">
          <a:pPr algn="r" rtl="0">
            <a:defRPr sz="1000"/>
          </a:pPr>
          <a:r>
            <a:rPr lang="pl-PL" sz="1100" b="0" i="1" u="none" strike="noStrike" baseline="0">
              <a:solidFill>
                <a:srgbClr val="000000"/>
              </a:solidFill>
              <a:latin typeface="Times New Roman" panose="02020603050405020304" pitchFamily="18" charset="0"/>
              <a:cs typeface="Times New Roman" panose="02020603050405020304" pitchFamily="18" charset="0"/>
            </a:rPr>
            <a:t>and more</a:t>
          </a:r>
          <a:endParaRPr lang="pl-PL" sz="11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0.58767</cdr:x>
      <cdr:y>0.72501</cdr:y>
    </cdr:from>
    <cdr:to>
      <cdr:x>0.59938</cdr:x>
      <cdr:y>0.76396</cdr:y>
    </cdr:to>
    <cdr:sp macro="" textlink="">
      <cdr:nvSpPr>
        <cdr:cNvPr id="122888" name="Text Box 8"/>
        <cdr:cNvSpPr txBox="1">
          <a:spLocks xmlns:a="http://schemas.openxmlformats.org/drawingml/2006/main" noChangeArrowheads="1"/>
        </cdr:cNvSpPr>
      </cdr:nvSpPr>
      <cdr:spPr bwMode="auto">
        <a:xfrm xmlns:a="http://schemas.openxmlformats.org/drawingml/2006/main">
          <a:off x="3599245" y="3701475"/>
          <a:ext cx="71686" cy="198837"/>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pl-PL" sz="975" b="0" i="0" u="none" strike="noStrike" baseline="0">
              <a:solidFill>
                <a:srgbClr val="000000"/>
              </a:solidFill>
              <a:latin typeface="Arial CE"/>
              <a:cs typeface="Arial CE"/>
            </a:rPr>
            <a:t> </a:t>
          </a:r>
          <a:endParaRPr lang="pl-PL"/>
        </a:p>
      </cdr:txBody>
    </cdr:sp>
  </cdr:relSizeAnchor>
  <cdr:relSizeAnchor xmlns:cdr="http://schemas.openxmlformats.org/drawingml/2006/chartDrawing">
    <cdr:from>
      <cdr:x>0.11515</cdr:x>
      <cdr:y>0.8756</cdr:y>
    </cdr:from>
    <cdr:to>
      <cdr:x>0.37349</cdr:x>
      <cdr:y>0.91065</cdr:y>
    </cdr:to>
    <cdr:sp macro="" textlink="">
      <cdr:nvSpPr>
        <cdr:cNvPr id="11" name="Text Box 2"/>
        <cdr:cNvSpPr txBox="1">
          <a:spLocks xmlns:a="http://schemas.openxmlformats.org/drawingml/2006/main" noChangeArrowheads="1"/>
        </cdr:cNvSpPr>
      </cdr:nvSpPr>
      <cdr:spPr bwMode="auto">
        <a:xfrm xmlns:a="http://schemas.openxmlformats.org/drawingml/2006/main">
          <a:off x="634313" y="4386338"/>
          <a:ext cx="1423098" cy="175584"/>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cdr:spPr>
      <cdr:txBody>
        <a:bodyPr xmlns:a="http://schemas.openxmlformats.org/drawingml/2006/main" wrap="square" lIns="27432" tIns="22860" rIns="0" bIns="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rtl="0">
            <a:defRPr sz="1000"/>
          </a:pPr>
          <a:r>
            <a:rPr lang="pl-PL" sz="1100" b="0" i="1" u="none" strike="noStrike" baseline="0">
              <a:solidFill>
                <a:srgbClr val="000000"/>
              </a:solidFill>
              <a:latin typeface="Times New Roman" panose="02020603050405020304" pitchFamily="18" charset="0"/>
              <a:cs typeface="Times New Roman" panose="02020603050405020304" pitchFamily="18" charset="0"/>
            </a:rPr>
            <a:t>Number of Enterprises</a:t>
          </a:r>
          <a:endParaRPr lang="pl-PL" sz="1100" baseline="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0.4807</cdr:x>
      <cdr:y>0.87722</cdr:y>
    </cdr:from>
    <cdr:to>
      <cdr:x>0.89396</cdr:x>
      <cdr:y>0.92775</cdr:y>
    </cdr:to>
    <cdr:sp macro="" textlink="">
      <cdr:nvSpPr>
        <cdr:cNvPr id="13" name="Text Box 2"/>
        <cdr:cNvSpPr txBox="1">
          <a:spLocks xmlns:a="http://schemas.openxmlformats.org/drawingml/2006/main" noChangeArrowheads="1"/>
        </cdr:cNvSpPr>
      </cdr:nvSpPr>
      <cdr:spPr bwMode="auto">
        <a:xfrm xmlns:a="http://schemas.openxmlformats.org/drawingml/2006/main">
          <a:off x="2647977" y="4394461"/>
          <a:ext cx="2276495" cy="253130"/>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cdr:spPr>
      <cdr:txBody>
        <a:bodyPr xmlns:a="http://schemas.openxmlformats.org/drawingml/2006/main" wrap="square" lIns="27432" tIns="22860" rIns="0" bIns="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rtl="0">
            <a:defRPr sz="1000"/>
          </a:pPr>
          <a:r>
            <a:rPr lang="pl-PL" sz="1100" b="0" i="1" u="none" strike="noStrike" baseline="0">
              <a:solidFill>
                <a:srgbClr val="000000"/>
              </a:solidFill>
              <a:latin typeface="Times New Roman" panose="02020603050405020304" pitchFamily="18" charset="0"/>
              <a:cs typeface="Times New Roman" panose="02020603050405020304" pitchFamily="18" charset="0"/>
            </a:rPr>
            <a:t>Sold production in current prices </a:t>
          </a:r>
          <a:endParaRPr lang="pl-PL" sz="1100">
            <a:latin typeface="Times New Roman" panose="02020603050405020304" pitchFamily="18" charset="0"/>
            <a:cs typeface="Times New Roman" panose="02020603050405020304"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0.09759</cdr:x>
      <cdr:y>0.87031</cdr:y>
    </cdr:from>
    <cdr:to>
      <cdr:x>0.53998</cdr:x>
      <cdr:y>0.95616</cdr:y>
    </cdr:to>
    <cdr:sp macro="" textlink="">
      <cdr:nvSpPr>
        <cdr:cNvPr id="2" name="Text Box 7"/>
        <cdr:cNvSpPr txBox="1">
          <a:spLocks xmlns:a="http://schemas.openxmlformats.org/drawingml/2006/main" noChangeArrowheads="1"/>
        </cdr:cNvSpPr>
      </cdr:nvSpPr>
      <cdr:spPr bwMode="auto">
        <a:xfrm xmlns:a="http://schemas.openxmlformats.org/drawingml/2006/main">
          <a:off x="565150" y="3536950"/>
          <a:ext cx="2561981" cy="348877"/>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square" lIns="27432" tIns="22860" rIns="0" bIns="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rtl="0">
            <a:defRPr sz="1000"/>
          </a:pPr>
          <a:r>
            <a:rPr lang="pl-PL" sz="900" b="0" i="1" u="none" strike="noStrike" baseline="0">
              <a:solidFill>
                <a:srgbClr val="000000"/>
              </a:solidFill>
              <a:latin typeface="Times New Roman" panose="02020603050405020304" pitchFamily="18" charset="0"/>
              <a:cs typeface="Times New Roman" panose="02020603050405020304" pitchFamily="18" charset="0"/>
            </a:rPr>
            <a:t>a</a:t>
          </a:r>
          <a:r>
            <a:rPr lang="pl-PL" sz="900" b="0" i="0" u="none" strike="noStrike" baseline="0">
              <a:solidFill>
                <a:srgbClr val="000000"/>
              </a:solidFill>
              <a:latin typeface="Times New Roman" panose="02020603050405020304" pitchFamily="18" charset="0"/>
              <a:cs typeface="Times New Roman" panose="02020603050405020304" pitchFamily="18" charset="0"/>
            </a:rPr>
            <a:t> Dane niewyrównane sezonowo</a:t>
          </a:r>
        </a:p>
        <a:p xmlns:a="http://schemas.openxmlformats.org/drawingml/2006/main">
          <a:pPr algn="l" rtl="0">
            <a:defRPr sz="1000"/>
          </a:pPr>
          <a:r>
            <a:rPr lang="pl-PL" sz="900" b="0" i="1" u="none" strike="noStrike" baseline="0">
              <a:solidFill>
                <a:srgbClr val="000000"/>
              </a:solidFill>
              <a:latin typeface="Times New Roman" panose="02020603050405020304" pitchFamily="18" charset="0"/>
              <a:cs typeface="Times New Roman" panose="02020603050405020304" pitchFamily="18" charset="0"/>
            </a:rPr>
            <a:t>a Seasonally un-adjusted data</a:t>
          </a:r>
          <a:endParaRPr lang="pl-PL" sz="9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0.22368</cdr:x>
      <cdr:y>0.80703</cdr:y>
    </cdr:from>
    <cdr:to>
      <cdr:x>0.36184</cdr:x>
      <cdr:y>0.84531</cdr:y>
    </cdr:to>
    <cdr:sp macro="" textlink="">
      <cdr:nvSpPr>
        <cdr:cNvPr id="3" name="Text Box 2"/>
        <cdr:cNvSpPr txBox="1">
          <a:spLocks xmlns:a="http://schemas.openxmlformats.org/drawingml/2006/main" noChangeArrowheads="1"/>
        </cdr:cNvSpPr>
      </cdr:nvSpPr>
      <cdr:spPr bwMode="auto">
        <a:xfrm xmlns:a="http://schemas.openxmlformats.org/drawingml/2006/main">
          <a:off x="1295400" y="3279771"/>
          <a:ext cx="800082" cy="155580"/>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cdr:spPr>
      <cdr:txBody>
        <a:bodyPr xmlns:a="http://schemas.openxmlformats.org/drawingml/2006/main" wrap="square" lIns="27432" tIns="22860" rIns="0" bIns="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rtl="0">
            <a:defRPr sz="1000"/>
          </a:pPr>
          <a:r>
            <a:rPr lang="pl-PL" sz="1100" b="1" i="1" u="none" strike="noStrike" baseline="0">
              <a:solidFill>
                <a:srgbClr val="000000"/>
              </a:solidFill>
              <a:latin typeface="Times New Roman" panose="02020603050405020304" pitchFamily="18" charset="0"/>
              <a:cs typeface="Times New Roman" panose="02020603050405020304" pitchFamily="18" charset="0"/>
            </a:rPr>
            <a:t>I-II Q 2016</a:t>
          </a:r>
          <a:endParaRPr lang="pl-PL" sz="1100" b="1" baseline="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0.66118</cdr:x>
      <cdr:y>0.80703</cdr:y>
    </cdr:from>
    <cdr:to>
      <cdr:x>0.79934</cdr:x>
      <cdr:y>0.85234</cdr:y>
    </cdr:to>
    <cdr:sp macro="" textlink="">
      <cdr:nvSpPr>
        <cdr:cNvPr id="4" name="Text Box 2"/>
        <cdr:cNvSpPr txBox="1">
          <a:spLocks xmlns:a="http://schemas.openxmlformats.org/drawingml/2006/main" noChangeArrowheads="1"/>
        </cdr:cNvSpPr>
      </cdr:nvSpPr>
      <cdr:spPr bwMode="auto">
        <a:xfrm xmlns:a="http://schemas.openxmlformats.org/drawingml/2006/main">
          <a:off x="3829026" y="3279771"/>
          <a:ext cx="800112" cy="184140"/>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cdr:spPr>
      <cdr:txBody>
        <a:bodyPr xmlns:a="http://schemas.openxmlformats.org/drawingml/2006/main" wrap="square" lIns="27432" tIns="22860" rIns="0" bIns="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rtl="0">
            <a:defRPr sz="1000"/>
          </a:pPr>
          <a:r>
            <a:rPr lang="pl-PL" sz="1100" b="1" i="1" u="none" strike="noStrike" baseline="0">
              <a:solidFill>
                <a:srgbClr val="000000"/>
              </a:solidFill>
              <a:latin typeface="Times New Roman" panose="02020603050405020304" pitchFamily="18" charset="0"/>
              <a:cs typeface="Times New Roman" panose="02020603050405020304" pitchFamily="18" charset="0"/>
            </a:rPr>
            <a:t>I-II Q 2017</a:t>
          </a:r>
          <a:endParaRPr lang="pl-PL" sz="1100" b="1" baseline="0">
            <a:latin typeface="Times New Roman" panose="02020603050405020304" pitchFamily="18" charset="0"/>
            <a:cs typeface="Times New Roman" panose="02020603050405020304"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0.10367</cdr:x>
      <cdr:y>0.73195</cdr:y>
    </cdr:from>
    <cdr:to>
      <cdr:x>0.33474</cdr:x>
      <cdr:y>0.766</cdr:y>
    </cdr:to>
    <cdr:sp macro="" textlink="">
      <cdr:nvSpPr>
        <cdr:cNvPr id="678913" name="Text Box 1"/>
        <cdr:cNvSpPr txBox="1">
          <a:spLocks xmlns:a="http://schemas.openxmlformats.org/drawingml/2006/main" noChangeArrowheads="1"/>
        </cdr:cNvSpPr>
      </cdr:nvSpPr>
      <cdr:spPr bwMode="auto">
        <a:xfrm xmlns:a="http://schemas.openxmlformats.org/drawingml/2006/main">
          <a:off x="588632" y="4371355"/>
          <a:ext cx="1312055" cy="203353"/>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pl-PL" sz="1100" b="0" i="1" u="none" strike="noStrike" baseline="0">
              <a:solidFill>
                <a:srgbClr val="000000"/>
              </a:solidFill>
              <a:latin typeface="Times New Roman" panose="02020603050405020304" pitchFamily="18" charset="0"/>
              <a:cs typeface="Times New Roman" panose="02020603050405020304" pitchFamily="18" charset="0"/>
            </a:rPr>
            <a:t>Mining and quarrying</a:t>
          </a:r>
          <a:endParaRPr lang="pl-PL" sz="11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0.10087</cdr:x>
      <cdr:y>0.66815</cdr:y>
    </cdr:from>
    <cdr:to>
      <cdr:x>0.26139</cdr:x>
      <cdr:y>0.69883</cdr:y>
    </cdr:to>
    <cdr:sp macro="" textlink="">
      <cdr:nvSpPr>
        <cdr:cNvPr id="678914" name="Text Box 2"/>
        <cdr:cNvSpPr txBox="1">
          <a:spLocks xmlns:a="http://schemas.openxmlformats.org/drawingml/2006/main" noChangeArrowheads="1"/>
        </cdr:cNvSpPr>
      </cdr:nvSpPr>
      <cdr:spPr bwMode="auto">
        <a:xfrm xmlns:a="http://schemas.openxmlformats.org/drawingml/2006/main">
          <a:off x="572779" y="3990320"/>
          <a:ext cx="911460" cy="183226"/>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pl-PL" sz="1100" b="0" i="1" u="none" strike="noStrike" baseline="0">
              <a:solidFill>
                <a:srgbClr val="000000"/>
              </a:solidFill>
              <a:latin typeface="Times New Roman" panose="02020603050405020304" pitchFamily="18" charset="0"/>
              <a:cs typeface="Times New Roman" panose="02020603050405020304" pitchFamily="18" charset="0"/>
            </a:rPr>
            <a:t>Total</a:t>
          </a:r>
          <a:r>
            <a:rPr lang="pl-PL" sz="975" b="0" i="1" u="none" strike="noStrike" baseline="0">
              <a:solidFill>
                <a:srgbClr val="000000"/>
              </a:solidFill>
              <a:latin typeface="Arial"/>
              <a:cs typeface="Arial"/>
            </a:rPr>
            <a:t> </a:t>
          </a:r>
          <a:r>
            <a:rPr lang="pl-PL" sz="1100" b="0" i="1" u="none" strike="noStrike" baseline="0">
              <a:solidFill>
                <a:srgbClr val="000000"/>
              </a:solidFill>
              <a:latin typeface="Times New Roman" panose="02020603050405020304" pitchFamily="18" charset="0"/>
              <a:cs typeface="Times New Roman" panose="02020603050405020304" pitchFamily="18" charset="0"/>
            </a:rPr>
            <a:t>industry</a:t>
          </a:r>
          <a:endParaRPr lang="pl-PL" sz="11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0.09722</cdr:x>
      <cdr:y>0.87092</cdr:y>
    </cdr:from>
    <cdr:to>
      <cdr:x>0.60138</cdr:x>
      <cdr:y>0.90438</cdr:y>
    </cdr:to>
    <cdr:sp macro="" textlink="">
      <cdr:nvSpPr>
        <cdr:cNvPr id="678915" name="Text Box 3"/>
        <cdr:cNvSpPr txBox="1">
          <a:spLocks xmlns:a="http://schemas.openxmlformats.org/drawingml/2006/main" noChangeArrowheads="1"/>
        </cdr:cNvSpPr>
      </cdr:nvSpPr>
      <cdr:spPr bwMode="auto">
        <a:xfrm xmlns:a="http://schemas.openxmlformats.org/drawingml/2006/main">
          <a:off x="540195" y="4579113"/>
          <a:ext cx="2801239" cy="175925"/>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pl-PL" sz="1100" b="0" i="1" u="none" strike="noStrike" baseline="0">
              <a:solidFill>
                <a:srgbClr val="000000"/>
              </a:solidFill>
              <a:latin typeface="Times New Roman" panose="02020603050405020304" pitchFamily="18" charset="0"/>
              <a:cs typeface="Times New Roman" panose="02020603050405020304" pitchFamily="18" charset="0"/>
            </a:rPr>
            <a:t>Electricity, gas, steam and air conditioning supply</a:t>
          </a:r>
          <a:endParaRPr lang="pl-PL" sz="11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0.10273</cdr:x>
      <cdr:y>0.79991</cdr:y>
    </cdr:from>
    <cdr:to>
      <cdr:x>0.27664</cdr:x>
      <cdr:y>0.84149</cdr:y>
    </cdr:to>
    <cdr:sp macro="" textlink="">
      <cdr:nvSpPr>
        <cdr:cNvPr id="678916" name="Text Box 4"/>
        <cdr:cNvSpPr txBox="1">
          <a:spLocks xmlns:a="http://schemas.openxmlformats.org/drawingml/2006/main" noChangeArrowheads="1"/>
        </cdr:cNvSpPr>
      </cdr:nvSpPr>
      <cdr:spPr bwMode="auto">
        <a:xfrm xmlns:a="http://schemas.openxmlformats.org/drawingml/2006/main">
          <a:off x="570770" y="4205748"/>
          <a:ext cx="966287" cy="218619"/>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pl-PL" sz="1100" b="0" i="1" u="none" strike="noStrike" baseline="0">
              <a:solidFill>
                <a:srgbClr val="000000"/>
              </a:solidFill>
              <a:latin typeface="Times New Roman" panose="02020603050405020304" pitchFamily="18" charset="0"/>
              <a:cs typeface="Times New Roman" panose="02020603050405020304" pitchFamily="18" charset="0"/>
            </a:rPr>
            <a:t>Manufacturing</a:t>
          </a:r>
          <a:endParaRPr lang="pl-PL" sz="11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0.09414</cdr:x>
      <cdr:y>0.93692</cdr:y>
    </cdr:from>
    <cdr:to>
      <cdr:x>0.82899</cdr:x>
      <cdr:y>0.9721</cdr:y>
    </cdr:to>
    <cdr:sp macro="" textlink="">
      <cdr:nvSpPr>
        <cdr:cNvPr id="678917" name="Text Box 5"/>
        <cdr:cNvSpPr txBox="1">
          <a:spLocks xmlns:a="http://schemas.openxmlformats.org/drawingml/2006/main" noChangeArrowheads="1"/>
        </cdr:cNvSpPr>
      </cdr:nvSpPr>
      <cdr:spPr bwMode="auto">
        <a:xfrm xmlns:a="http://schemas.openxmlformats.org/drawingml/2006/main">
          <a:off x="523042" y="4926136"/>
          <a:ext cx="4083010" cy="184969"/>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pl-PL" sz="1100" b="0" i="1" u="none" strike="noStrike" baseline="0">
              <a:solidFill>
                <a:srgbClr val="000000"/>
              </a:solidFill>
              <a:latin typeface="Times New Roman" panose="02020603050405020304" pitchFamily="18" charset="0"/>
              <a:cs typeface="Times New Roman" panose="02020603050405020304" pitchFamily="18" charset="0"/>
            </a:rPr>
            <a:t>Water supply; sewerage, waste management and remediation activities</a:t>
          </a:r>
          <a:endParaRPr lang="pl-PL" sz="11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0.23485</cdr:x>
      <cdr:y>0.58285</cdr:y>
    </cdr:from>
    <cdr:to>
      <cdr:x>0.372</cdr:x>
      <cdr:y>0.61695</cdr:y>
    </cdr:to>
    <cdr:sp macro="" textlink="">
      <cdr:nvSpPr>
        <cdr:cNvPr id="7" name="Text Box 2"/>
        <cdr:cNvSpPr txBox="1">
          <a:spLocks xmlns:a="http://schemas.openxmlformats.org/drawingml/2006/main" noChangeArrowheads="1"/>
        </cdr:cNvSpPr>
      </cdr:nvSpPr>
      <cdr:spPr bwMode="auto">
        <a:xfrm xmlns:a="http://schemas.openxmlformats.org/drawingml/2006/main">
          <a:off x="1304901" y="3258792"/>
          <a:ext cx="762040" cy="190659"/>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cdr:spPr>
      <cdr:txBody>
        <a:bodyPr xmlns:a="http://schemas.openxmlformats.org/drawingml/2006/main" wrap="square" lIns="27432" tIns="22860" rIns="0" bIns="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rtl="0">
            <a:defRPr sz="1000"/>
          </a:pPr>
          <a:r>
            <a:rPr lang="pl-PL" sz="1100" b="1" i="1" u="none" strike="noStrike" baseline="0">
              <a:solidFill>
                <a:srgbClr val="000000"/>
              </a:solidFill>
              <a:latin typeface="Times New Roman" panose="02020603050405020304" pitchFamily="18" charset="0"/>
              <a:cs typeface="Times New Roman" panose="02020603050405020304" pitchFamily="18" charset="0"/>
            </a:rPr>
            <a:t>I-II Q 2016</a:t>
          </a:r>
          <a:endParaRPr lang="pl-PL" sz="1100" b="1" baseline="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0.67543</cdr:x>
      <cdr:y>0.58444</cdr:y>
    </cdr:from>
    <cdr:to>
      <cdr:x>0.81257</cdr:x>
      <cdr:y>0.61854</cdr:y>
    </cdr:to>
    <cdr:sp macro="" textlink="">
      <cdr:nvSpPr>
        <cdr:cNvPr id="8" name="Text Box 2"/>
        <cdr:cNvSpPr txBox="1">
          <a:spLocks xmlns:a="http://schemas.openxmlformats.org/drawingml/2006/main" noChangeArrowheads="1"/>
        </cdr:cNvSpPr>
      </cdr:nvSpPr>
      <cdr:spPr bwMode="auto">
        <a:xfrm xmlns:a="http://schemas.openxmlformats.org/drawingml/2006/main">
          <a:off x="3752858" y="3267718"/>
          <a:ext cx="761984" cy="190659"/>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cdr:spPr>
      <cdr:txBody>
        <a:bodyPr xmlns:a="http://schemas.openxmlformats.org/drawingml/2006/main" wrap="square" lIns="27432" tIns="22860" rIns="0" bIns="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rtl="0">
            <a:defRPr sz="1000"/>
          </a:pPr>
          <a:r>
            <a:rPr lang="pl-PL" sz="1100" b="1" i="1" u="none" strike="noStrike" baseline="0">
              <a:solidFill>
                <a:srgbClr val="000000"/>
              </a:solidFill>
              <a:latin typeface="Times New Roman" panose="02020603050405020304" pitchFamily="18" charset="0"/>
              <a:cs typeface="Times New Roman" panose="02020603050405020304" pitchFamily="18" charset="0"/>
            </a:rPr>
            <a:t>I-II Q 2017</a:t>
          </a:r>
          <a:endParaRPr lang="pl-PL" sz="1100" b="1" baseline="0">
            <a:latin typeface="Times New Roman" panose="02020603050405020304" pitchFamily="18" charset="0"/>
            <a:cs typeface="Times New Roman" panose="02020603050405020304" pitchFamily="18" charset="0"/>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0.13459</cdr:x>
      <cdr:y>0.75536</cdr:y>
    </cdr:from>
    <cdr:to>
      <cdr:x>0.29337</cdr:x>
      <cdr:y>0.79366</cdr:y>
    </cdr:to>
    <cdr:sp macro="" textlink="">
      <cdr:nvSpPr>
        <cdr:cNvPr id="684035" name="Text Box 3"/>
        <cdr:cNvSpPr txBox="1">
          <a:spLocks xmlns:a="http://schemas.openxmlformats.org/drawingml/2006/main" noChangeArrowheads="1"/>
        </cdr:cNvSpPr>
      </cdr:nvSpPr>
      <cdr:spPr bwMode="auto">
        <a:xfrm xmlns:a="http://schemas.openxmlformats.org/drawingml/2006/main">
          <a:off x="812752" y="3676564"/>
          <a:ext cx="958849" cy="186416"/>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pl-PL" sz="1100" b="0" i="1" u="none" strike="noStrike" baseline="0">
              <a:solidFill>
                <a:srgbClr val="000000"/>
              </a:solidFill>
              <a:latin typeface="Times New Roman" panose="02020603050405020304" pitchFamily="18" charset="0"/>
              <a:cs typeface="Times New Roman" panose="02020603050405020304" pitchFamily="18" charset="0"/>
            </a:rPr>
            <a:t>Manufacturing</a:t>
          </a:r>
          <a:endParaRPr lang="pl-PL" sz="11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0.13932</cdr:x>
      <cdr:y>0.83734</cdr:y>
    </cdr:from>
    <cdr:to>
      <cdr:x>0.62766</cdr:x>
      <cdr:y>0.87423</cdr:y>
    </cdr:to>
    <cdr:sp macro="" textlink="">
      <cdr:nvSpPr>
        <cdr:cNvPr id="684036" name="Text Box 4"/>
        <cdr:cNvSpPr txBox="1">
          <a:spLocks xmlns:a="http://schemas.openxmlformats.org/drawingml/2006/main" noChangeArrowheads="1"/>
        </cdr:cNvSpPr>
      </cdr:nvSpPr>
      <cdr:spPr bwMode="auto">
        <a:xfrm xmlns:a="http://schemas.openxmlformats.org/drawingml/2006/main">
          <a:off x="841333" y="4075549"/>
          <a:ext cx="2949012" cy="179554"/>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pl-PL" sz="1100" b="0" i="1" u="none" strike="noStrike" baseline="0">
              <a:solidFill>
                <a:srgbClr val="000000"/>
              </a:solidFill>
              <a:latin typeface="Times New Roman" panose="02020603050405020304" pitchFamily="18" charset="0"/>
              <a:cs typeface="Times New Roman" panose="02020603050405020304" pitchFamily="18" charset="0"/>
            </a:rPr>
            <a:t>Electricity, gas, steam and air conditioning supply</a:t>
          </a:r>
          <a:endParaRPr lang="pl-PL" sz="11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0.13459</cdr:x>
      <cdr:y>0.91134</cdr:y>
    </cdr:from>
    <cdr:to>
      <cdr:x>0.84858</cdr:x>
      <cdr:y>0.94937</cdr:y>
    </cdr:to>
    <cdr:sp macro="" textlink="">
      <cdr:nvSpPr>
        <cdr:cNvPr id="684037" name="Text Box 5"/>
        <cdr:cNvSpPr txBox="1">
          <a:spLocks xmlns:a="http://schemas.openxmlformats.org/drawingml/2006/main" noChangeArrowheads="1"/>
        </cdr:cNvSpPr>
      </cdr:nvSpPr>
      <cdr:spPr bwMode="auto">
        <a:xfrm xmlns:a="http://schemas.openxmlformats.org/drawingml/2006/main">
          <a:off x="812785" y="4435757"/>
          <a:ext cx="4311679" cy="185103"/>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pl-PL" sz="1100" b="0" i="1" u="none" strike="noStrike" baseline="0">
              <a:solidFill>
                <a:srgbClr val="000000"/>
              </a:solidFill>
              <a:latin typeface="Times New Roman" panose="02020603050405020304" pitchFamily="18" charset="0"/>
              <a:cs typeface="Times New Roman" panose="02020603050405020304" pitchFamily="18" charset="0"/>
            </a:rPr>
            <a:t>Water supply; sewerage, waste management and remediation activities</a:t>
          </a:r>
          <a:endParaRPr lang="pl-PL" sz="11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0.13946</cdr:x>
      <cdr:y>0.67611</cdr:y>
    </cdr:from>
    <cdr:to>
      <cdr:x>0.38486</cdr:x>
      <cdr:y>0.71935</cdr:y>
    </cdr:to>
    <cdr:sp macro="" textlink="">
      <cdr:nvSpPr>
        <cdr:cNvPr id="684034" name="Text Box 2"/>
        <cdr:cNvSpPr txBox="1">
          <a:spLocks xmlns:a="http://schemas.openxmlformats.org/drawingml/2006/main" noChangeArrowheads="1"/>
        </cdr:cNvSpPr>
      </cdr:nvSpPr>
      <cdr:spPr bwMode="auto">
        <a:xfrm xmlns:a="http://schemas.openxmlformats.org/drawingml/2006/main">
          <a:off x="842181" y="3290830"/>
          <a:ext cx="1481934" cy="210461"/>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pl-PL" sz="1100" b="0" i="1" u="none" strike="noStrike" baseline="0">
              <a:solidFill>
                <a:srgbClr val="000000"/>
              </a:solidFill>
              <a:latin typeface="Times New Roman" panose="02020603050405020304" pitchFamily="18" charset="0"/>
              <a:cs typeface="Times New Roman" panose="02020603050405020304" pitchFamily="18" charset="0"/>
            </a:rPr>
            <a:t>Mining and quarrying</a:t>
          </a:r>
          <a:endParaRPr lang="pl-PL" sz="1100">
            <a:latin typeface="Times New Roman" panose="02020603050405020304" pitchFamily="18" charset="0"/>
            <a:cs typeface="Times New Roman" panose="02020603050405020304" pitchFamily="18" charset="0"/>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0.11467</cdr:x>
      <cdr:y>0.73445</cdr:y>
    </cdr:from>
    <cdr:to>
      <cdr:x>0.33327</cdr:x>
      <cdr:y>0.77398</cdr:y>
    </cdr:to>
    <cdr:sp macro="" textlink="">
      <cdr:nvSpPr>
        <cdr:cNvPr id="712705" name="Text Box 1"/>
        <cdr:cNvSpPr txBox="1">
          <a:spLocks xmlns:a="http://schemas.openxmlformats.org/drawingml/2006/main" noChangeArrowheads="1"/>
        </cdr:cNvSpPr>
      </cdr:nvSpPr>
      <cdr:spPr bwMode="auto">
        <a:xfrm xmlns:a="http://schemas.openxmlformats.org/drawingml/2006/main">
          <a:off x="692459" y="3588769"/>
          <a:ext cx="1320092" cy="193156"/>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pl-PL" sz="1100" b="0" i="1" u="none" strike="noStrike" baseline="0">
              <a:solidFill>
                <a:srgbClr val="000000"/>
              </a:solidFill>
              <a:latin typeface="Times New Roman" panose="02020603050405020304" pitchFamily="18" charset="0"/>
              <a:cs typeface="Times New Roman" panose="02020603050405020304" pitchFamily="18" charset="0"/>
            </a:rPr>
            <a:t>Mining and quarrying</a:t>
          </a:r>
          <a:endParaRPr lang="pl-PL" sz="11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0.11442</cdr:x>
      <cdr:y>0.80579</cdr:y>
    </cdr:from>
    <cdr:to>
      <cdr:x>0.297</cdr:x>
      <cdr:y>0.85547</cdr:y>
    </cdr:to>
    <cdr:sp macro="" textlink="">
      <cdr:nvSpPr>
        <cdr:cNvPr id="712706" name="Text Box 2"/>
        <cdr:cNvSpPr txBox="1">
          <a:spLocks xmlns:a="http://schemas.openxmlformats.org/drawingml/2006/main" noChangeArrowheads="1"/>
        </cdr:cNvSpPr>
      </cdr:nvSpPr>
      <cdr:spPr bwMode="auto">
        <a:xfrm xmlns:a="http://schemas.openxmlformats.org/drawingml/2006/main">
          <a:off x="690965" y="3937343"/>
          <a:ext cx="1102573" cy="242752"/>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pl-PL" sz="1100" b="0" i="1" u="none" strike="noStrike" baseline="0">
              <a:solidFill>
                <a:srgbClr val="000000"/>
              </a:solidFill>
              <a:latin typeface="Times New Roman" panose="02020603050405020304" pitchFamily="18" charset="0"/>
              <a:cs typeface="Times New Roman" panose="02020603050405020304" pitchFamily="18" charset="0"/>
            </a:rPr>
            <a:t>Manufacturing</a:t>
          </a:r>
          <a:endParaRPr lang="pl-PL" sz="11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0.11891</cdr:x>
      <cdr:y>0.66537</cdr:y>
    </cdr:from>
    <cdr:to>
      <cdr:x>0.37648</cdr:x>
      <cdr:y>0.70378</cdr:y>
    </cdr:to>
    <cdr:sp macro="" textlink="">
      <cdr:nvSpPr>
        <cdr:cNvPr id="712707" name="Text Box 3"/>
        <cdr:cNvSpPr txBox="1">
          <a:spLocks xmlns:a="http://schemas.openxmlformats.org/drawingml/2006/main" noChangeArrowheads="1"/>
        </cdr:cNvSpPr>
      </cdr:nvSpPr>
      <cdr:spPr bwMode="auto">
        <a:xfrm xmlns:a="http://schemas.openxmlformats.org/drawingml/2006/main">
          <a:off x="718091" y="3251206"/>
          <a:ext cx="1555426" cy="187685"/>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pl-PL" sz="1100" b="0" i="1" u="none" strike="noStrike" baseline="0">
              <a:solidFill>
                <a:srgbClr val="000000"/>
              </a:solidFill>
              <a:latin typeface="Times New Roman" panose="02020603050405020304" pitchFamily="18" charset="0"/>
              <a:cs typeface="Times New Roman" panose="02020603050405020304" pitchFamily="18" charset="0"/>
            </a:rPr>
            <a:t>Total industry</a:t>
          </a:r>
          <a:endParaRPr lang="pl-PL" sz="11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0.11783</cdr:x>
      <cdr:y>0.87791</cdr:y>
    </cdr:from>
    <cdr:to>
      <cdr:x>0.59815</cdr:x>
      <cdr:y>0.91827</cdr:y>
    </cdr:to>
    <cdr:sp macro="" textlink="">
      <cdr:nvSpPr>
        <cdr:cNvPr id="712708" name="Text Box 4"/>
        <cdr:cNvSpPr txBox="1">
          <a:spLocks xmlns:a="http://schemas.openxmlformats.org/drawingml/2006/main" noChangeArrowheads="1"/>
        </cdr:cNvSpPr>
      </cdr:nvSpPr>
      <cdr:spPr bwMode="auto">
        <a:xfrm xmlns:a="http://schemas.openxmlformats.org/drawingml/2006/main">
          <a:off x="711574" y="4289773"/>
          <a:ext cx="2900581" cy="197213"/>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pl-PL" sz="1100" b="0" i="1" u="none" strike="noStrike" baseline="0">
              <a:solidFill>
                <a:srgbClr val="000000"/>
              </a:solidFill>
              <a:latin typeface="Times New Roman" panose="02020603050405020304" pitchFamily="18" charset="0"/>
              <a:cs typeface="Times New Roman" panose="02020603050405020304" pitchFamily="18" charset="0"/>
            </a:rPr>
            <a:t>Electricity, gas, steam and air conditioning supply</a:t>
          </a:r>
          <a:endParaRPr lang="pl-PL" sz="11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0.11469</cdr:x>
      <cdr:y>0.95468</cdr:y>
    </cdr:from>
    <cdr:to>
      <cdr:x>0.80908</cdr:x>
      <cdr:y>0.9961</cdr:y>
    </cdr:to>
    <cdr:sp macro="" textlink="">
      <cdr:nvSpPr>
        <cdr:cNvPr id="712709" name="Text Box 5"/>
        <cdr:cNvSpPr txBox="1">
          <a:spLocks xmlns:a="http://schemas.openxmlformats.org/drawingml/2006/main" noChangeArrowheads="1"/>
        </cdr:cNvSpPr>
      </cdr:nvSpPr>
      <cdr:spPr bwMode="auto">
        <a:xfrm xmlns:a="http://schemas.openxmlformats.org/drawingml/2006/main">
          <a:off x="692596" y="4664883"/>
          <a:ext cx="4193317" cy="202392"/>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pl-PL" sz="1100" b="0" i="1" u="none" strike="noStrike" baseline="0">
              <a:solidFill>
                <a:srgbClr val="000000"/>
              </a:solidFill>
              <a:latin typeface="Times New Roman" panose="02020603050405020304" pitchFamily="18" charset="0"/>
              <a:cs typeface="Times New Roman" panose="02020603050405020304" pitchFamily="18" charset="0"/>
            </a:rPr>
            <a:t>Water supply; sewerage, waste management and remediation activities</a:t>
          </a:r>
          <a:endParaRPr lang="pl-PL" sz="11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0.2571</cdr:x>
      <cdr:y>0.59331</cdr:y>
    </cdr:from>
    <cdr:to>
      <cdr:x>0.38485</cdr:x>
      <cdr:y>0.62646</cdr:y>
    </cdr:to>
    <cdr:sp macro="" textlink="">
      <cdr:nvSpPr>
        <cdr:cNvPr id="7" name="Text Box 2"/>
        <cdr:cNvSpPr txBox="1">
          <a:spLocks xmlns:a="http://schemas.openxmlformats.org/drawingml/2006/main" noChangeArrowheads="1"/>
        </cdr:cNvSpPr>
      </cdr:nvSpPr>
      <cdr:spPr bwMode="auto">
        <a:xfrm xmlns:a="http://schemas.openxmlformats.org/drawingml/2006/main">
          <a:off x="1552588" y="2899111"/>
          <a:ext cx="771463" cy="161982"/>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cdr:spPr>
      <cdr:txBody>
        <a:bodyPr xmlns:a="http://schemas.openxmlformats.org/drawingml/2006/main" wrap="square" lIns="27432" tIns="22860" rIns="0" bIns="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rtl="0">
            <a:defRPr sz="1000"/>
          </a:pPr>
          <a:r>
            <a:rPr lang="pl-PL" sz="1100" b="1" i="1" u="none" strike="noStrike" baseline="0">
              <a:solidFill>
                <a:srgbClr val="000000"/>
              </a:solidFill>
              <a:latin typeface="Times New Roman" panose="02020603050405020304" pitchFamily="18" charset="0"/>
              <a:cs typeface="Times New Roman" panose="02020603050405020304" pitchFamily="18" charset="0"/>
            </a:rPr>
            <a:t>I-II Q 2016</a:t>
          </a:r>
          <a:endParaRPr lang="pl-PL" sz="1100" b="1" baseline="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0.64669</cdr:x>
      <cdr:y>0.59526</cdr:y>
    </cdr:from>
    <cdr:to>
      <cdr:x>0.78865</cdr:x>
      <cdr:y>0.63213</cdr:y>
    </cdr:to>
    <cdr:sp macro="" textlink="">
      <cdr:nvSpPr>
        <cdr:cNvPr id="8" name="Text Box 2"/>
        <cdr:cNvSpPr txBox="1">
          <a:spLocks xmlns:a="http://schemas.openxmlformats.org/drawingml/2006/main" noChangeArrowheads="1"/>
        </cdr:cNvSpPr>
      </cdr:nvSpPr>
      <cdr:spPr bwMode="auto">
        <a:xfrm xmlns:a="http://schemas.openxmlformats.org/drawingml/2006/main">
          <a:off x="3905236" y="2908636"/>
          <a:ext cx="857275" cy="180159"/>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cdr:spPr>
      <cdr:txBody>
        <a:bodyPr xmlns:a="http://schemas.openxmlformats.org/drawingml/2006/main" wrap="square" lIns="27432" tIns="22860" rIns="0" bIns="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rtl="0">
            <a:defRPr sz="1000"/>
          </a:pPr>
          <a:r>
            <a:rPr lang="pl-PL" sz="1100" b="1" i="1" u="none" strike="noStrike" baseline="0">
              <a:solidFill>
                <a:srgbClr val="000000"/>
              </a:solidFill>
              <a:latin typeface="Times New Roman" panose="02020603050405020304" pitchFamily="18" charset="0"/>
              <a:cs typeface="Times New Roman" panose="02020603050405020304" pitchFamily="18" charset="0"/>
            </a:rPr>
            <a:t>I-II Q 2017</a:t>
          </a:r>
          <a:endParaRPr lang="pl-PL" sz="1100" b="1" baseline="0">
            <a:latin typeface="Times New Roman" panose="02020603050405020304" pitchFamily="18" charset="0"/>
            <a:cs typeface="Times New Roman" panose="02020603050405020304" pitchFamily="18" charset="0"/>
          </a:endParaRPr>
        </a:p>
      </cdr:txBody>
    </cdr:sp>
  </cdr:relSizeAnchor>
</c:userShapes>
</file>

<file path=word/drawings/drawing7.xml><?xml version="1.0" encoding="utf-8"?>
<c:userShapes xmlns:c="http://schemas.openxmlformats.org/drawingml/2006/chart">
  <cdr:relSizeAnchor xmlns:cdr="http://schemas.openxmlformats.org/drawingml/2006/chartDrawing">
    <cdr:from>
      <cdr:x>0.14262</cdr:x>
      <cdr:y>0.00388</cdr:y>
    </cdr:from>
    <cdr:to>
      <cdr:x>0.93853</cdr:x>
      <cdr:y>0.1875</cdr:y>
    </cdr:to>
    <cdr:sp macro="" textlink="">
      <cdr:nvSpPr>
        <cdr:cNvPr id="2" name="pole tekstowe 1"/>
        <cdr:cNvSpPr txBox="1"/>
      </cdr:nvSpPr>
      <cdr:spPr bwMode="auto">
        <a:xfrm xmlns:a="http://schemas.openxmlformats.org/drawingml/2006/main">
          <a:off x="861901" y="17135"/>
          <a:ext cx="4809919" cy="811540"/>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0" bIns="0" rtlCol="0" anchor="t" upright="1"/>
        <a:lstStyle xmlns:a="http://schemas.openxmlformats.org/drawingml/2006/main"/>
        <a:p xmlns:a="http://schemas.openxmlformats.org/drawingml/2006/main">
          <a:pPr marL="0" marR="0" indent="0" algn="ctr" defTabSz="914400" rtl="0" eaLnBrk="1" fontAlgn="auto" latinLnBrk="0" hangingPunct="1">
            <a:lnSpc>
              <a:spcPct val="100000"/>
            </a:lnSpc>
            <a:spcBef>
              <a:spcPts val="0"/>
            </a:spcBef>
            <a:spcAft>
              <a:spcPts val="0"/>
            </a:spcAft>
            <a:buClrTx/>
            <a:buSzTx/>
            <a:buFontTx/>
            <a:buNone/>
            <a:tabLst/>
            <a:defRPr/>
          </a:pPr>
          <a:r>
            <a:rPr lang="pl-PL" sz="1050" b="1" i="0" baseline="0">
              <a:effectLst/>
              <a:latin typeface="Times New Roman" panose="02020603050405020304" pitchFamily="18" charset="0"/>
              <a:ea typeface="+mn-ea"/>
              <a:cs typeface="Times New Roman" panose="02020603050405020304" pitchFamily="18" charset="0"/>
            </a:rPr>
            <a:t>Przedsiębiorstwa przemysłowe według wysokości przeciętnego </a:t>
          </a:r>
        </a:p>
        <a:p xmlns:a="http://schemas.openxmlformats.org/drawingml/2006/main">
          <a:pPr marL="0" marR="0" indent="0" algn="ctr" defTabSz="914400" rtl="0" eaLnBrk="1" fontAlgn="auto" latinLnBrk="0" hangingPunct="1">
            <a:lnSpc>
              <a:spcPct val="100000"/>
            </a:lnSpc>
            <a:spcBef>
              <a:spcPts val="0"/>
            </a:spcBef>
            <a:spcAft>
              <a:spcPts val="0"/>
            </a:spcAft>
            <a:buClrTx/>
            <a:buSzTx/>
            <a:buFontTx/>
            <a:buNone/>
            <a:tabLst/>
            <a:defRPr/>
          </a:pPr>
          <a:r>
            <a:rPr lang="pl-PL" sz="1050" b="1" i="0" baseline="0">
              <a:effectLst/>
              <a:latin typeface="Times New Roman" panose="02020603050405020304" pitchFamily="18" charset="0"/>
              <a:ea typeface="+mn-ea"/>
              <a:cs typeface="Times New Roman" panose="02020603050405020304" pitchFamily="18" charset="0"/>
            </a:rPr>
            <a:t>miesięcznego wynagrodzenia brutto w I-II kwartale 2017 roku</a:t>
          </a:r>
        </a:p>
        <a:p xmlns:a="http://schemas.openxmlformats.org/drawingml/2006/main">
          <a:pPr marL="0" marR="0" indent="0" algn="ctr" defTabSz="914400" rtl="0" eaLnBrk="1" fontAlgn="auto" latinLnBrk="0" hangingPunct="1">
            <a:lnSpc>
              <a:spcPct val="100000"/>
            </a:lnSpc>
            <a:spcBef>
              <a:spcPts val="0"/>
            </a:spcBef>
            <a:spcAft>
              <a:spcPts val="0"/>
            </a:spcAft>
            <a:buClrTx/>
            <a:buSzTx/>
            <a:buFontTx/>
            <a:buNone/>
            <a:tabLst/>
            <a:defRPr/>
          </a:pPr>
          <a:r>
            <a:rPr lang="pl-PL" sz="1050" b="1" i="1" baseline="0">
              <a:effectLst/>
              <a:latin typeface="Times New Roman" panose="02020603050405020304" pitchFamily="18" charset="0"/>
              <a:ea typeface="+mn-ea"/>
              <a:cs typeface="Times New Roman" panose="02020603050405020304" pitchFamily="18" charset="0"/>
            </a:rPr>
            <a:t>Industrial enterprises by amount of average </a:t>
          </a:r>
        </a:p>
        <a:p xmlns:a="http://schemas.openxmlformats.org/drawingml/2006/main">
          <a:pPr marL="0" marR="0" indent="0" algn="ctr" defTabSz="914400" rtl="0" eaLnBrk="1" fontAlgn="auto" latinLnBrk="0" hangingPunct="1">
            <a:lnSpc>
              <a:spcPct val="100000"/>
            </a:lnSpc>
            <a:spcBef>
              <a:spcPts val="0"/>
            </a:spcBef>
            <a:spcAft>
              <a:spcPts val="0"/>
            </a:spcAft>
            <a:buClrTx/>
            <a:buSzTx/>
            <a:buFontTx/>
            <a:buNone/>
            <a:tabLst/>
            <a:defRPr/>
          </a:pPr>
          <a:r>
            <a:rPr lang="pl-PL" sz="1050" b="1" i="1" baseline="0">
              <a:effectLst/>
              <a:latin typeface="Times New Roman" panose="02020603050405020304" pitchFamily="18" charset="0"/>
              <a:ea typeface="+mn-ea"/>
              <a:cs typeface="Times New Roman" panose="02020603050405020304" pitchFamily="18" charset="0"/>
            </a:rPr>
            <a:t>monthly gross wages and salaries in I-II quarter 2017</a:t>
          </a:r>
          <a:endParaRPr lang="pl-PL" sz="1050" i="1">
            <a:effectLst/>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0.06357</cdr:x>
      <cdr:y>0.79406</cdr:y>
    </cdr:from>
    <cdr:to>
      <cdr:x>0.17389</cdr:x>
      <cdr:y>0.83943</cdr:y>
    </cdr:to>
    <cdr:sp macro="" textlink="">
      <cdr:nvSpPr>
        <cdr:cNvPr id="3" name="pole tekstowe 8"/>
        <cdr:cNvSpPr txBox="1"/>
      </cdr:nvSpPr>
      <cdr:spPr bwMode="auto">
        <a:xfrm xmlns:a="http://schemas.openxmlformats.org/drawingml/2006/main">
          <a:off x="384162" y="3509434"/>
          <a:ext cx="666697" cy="200518"/>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square" lIns="27432" tIns="22860" rIns="0" bIns="0" rtlCol="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rtl="0"/>
          <a:r>
            <a:rPr lang="pl-PL" sz="1100" b="0" i="1" u="none" strike="noStrike" baseline="0">
              <a:solidFill>
                <a:srgbClr val="000000"/>
              </a:solidFill>
              <a:latin typeface="Times New Roman" panose="02020603050405020304" pitchFamily="18" charset="0"/>
              <a:cs typeface="Times New Roman" panose="02020603050405020304" pitchFamily="18" charset="0"/>
            </a:rPr>
            <a:t>and less</a:t>
          </a:r>
        </a:p>
      </cdr:txBody>
    </cdr:sp>
  </cdr:relSizeAnchor>
  <cdr:absSizeAnchor xmlns:cdr="http://schemas.openxmlformats.org/drawingml/2006/chartDrawing">
    <cdr:from>
      <cdr:x>0.06006</cdr:x>
      <cdr:y>0.23824</cdr:y>
    </cdr:from>
    <cdr:ext cx="666445" cy="212449"/>
    <cdr:sp macro="" textlink="">
      <cdr:nvSpPr>
        <cdr:cNvPr id="4" name="pole tekstowe 8"/>
        <cdr:cNvSpPr txBox="1"/>
      </cdr:nvSpPr>
      <cdr:spPr bwMode="auto">
        <a:xfrm xmlns:a="http://schemas.openxmlformats.org/drawingml/2006/main">
          <a:off x="362960" y="948522"/>
          <a:ext cx="666445" cy="212449"/>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square" lIns="27432" tIns="22860" rIns="0" bIns="0" rtlCol="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rtl="0"/>
          <a:r>
            <a:rPr lang="pl-PL" sz="1100" b="0" i="1" u="none" strike="noStrike" baseline="0">
              <a:solidFill>
                <a:srgbClr val="000000"/>
              </a:solidFill>
              <a:latin typeface="Times New Roman" panose="02020603050405020304" pitchFamily="18" charset="0"/>
              <a:cs typeface="Times New Roman" panose="02020603050405020304" pitchFamily="18" charset="0"/>
            </a:rPr>
            <a:t>and more</a:t>
          </a:r>
        </a:p>
      </cdr:txBody>
    </cdr:sp>
  </cdr:absSizeAnchor>
  <cdr:relSizeAnchor xmlns:cdr="http://schemas.openxmlformats.org/drawingml/2006/chartDrawing">
    <cdr:from>
      <cdr:x>0.15617</cdr:x>
      <cdr:y>0.94585</cdr:y>
    </cdr:from>
    <cdr:to>
      <cdr:x>0.35002</cdr:x>
      <cdr:y>0.98502</cdr:y>
    </cdr:to>
    <cdr:sp macro="" textlink="">
      <cdr:nvSpPr>
        <cdr:cNvPr id="5" name="pole tekstowe 7"/>
        <cdr:cNvSpPr txBox="1"/>
      </cdr:nvSpPr>
      <cdr:spPr bwMode="auto">
        <a:xfrm xmlns:a="http://schemas.openxmlformats.org/drawingml/2006/main">
          <a:off x="943855" y="4428932"/>
          <a:ext cx="1171555" cy="183413"/>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square" lIns="27432" tIns="22860" rIns="0" bIns="0" rtlCol="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rtl="0"/>
          <a:r>
            <a:rPr lang="pl-PL" sz="1100" b="0" i="1" u="none" strike="noStrike" baseline="0">
              <a:solidFill>
                <a:srgbClr val="000000"/>
              </a:solidFill>
              <a:latin typeface="Times New Roman" panose="02020603050405020304" pitchFamily="18" charset="0"/>
              <a:cs typeface="Times New Roman" panose="02020603050405020304" pitchFamily="18" charset="0"/>
            </a:rPr>
            <a:t>number of entities</a:t>
          </a:r>
        </a:p>
      </cdr:txBody>
    </cdr:sp>
  </cdr:relSizeAnchor>
  <cdr:relSizeAnchor xmlns:cdr="http://schemas.openxmlformats.org/drawingml/2006/chartDrawing">
    <cdr:from>
      <cdr:x>0.39968</cdr:x>
      <cdr:y>0.9501</cdr:y>
    </cdr:from>
    <cdr:to>
      <cdr:x>0.59353</cdr:x>
      <cdr:y>0.98992</cdr:y>
    </cdr:to>
    <cdr:sp macro="" textlink="">
      <cdr:nvSpPr>
        <cdr:cNvPr id="6" name="pole tekstowe 7"/>
        <cdr:cNvSpPr txBox="1"/>
      </cdr:nvSpPr>
      <cdr:spPr bwMode="auto">
        <a:xfrm xmlns:a="http://schemas.openxmlformats.org/drawingml/2006/main">
          <a:off x="2415512" y="4448845"/>
          <a:ext cx="1171554" cy="186456"/>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square" lIns="27432" tIns="22860" rIns="0" bIns="0" rtlCol="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rtl="0"/>
          <a:r>
            <a:rPr lang="pl-PL" sz="1100" b="0" i="1" u="none" strike="noStrike" baseline="0">
              <a:solidFill>
                <a:srgbClr val="000000"/>
              </a:solidFill>
              <a:latin typeface="Times New Roman" panose="02020603050405020304" pitchFamily="18" charset="0"/>
              <a:cs typeface="Times New Roman" panose="02020603050405020304" pitchFamily="18" charset="0"/>
            </a:rPr>
            <a:t>sold production</a:t>
          </a:r>
        </a:p>
      </cdr:txBody>
    </cdr:sp>
  </cdr:relSizeAnchor>
  <cdr:relSizeAnchor xmlns:cdr="http://schemas.openxmlformats.org/drawingml/2006/chartDrawing">
    <cdr:from>
      <cdr:x>0.66083</cdr:x>
      <cdr:y>0.94831</cdr:y>
    </cdr:from>
    <cdr:to>
      <cdr:x>0.91142</cdr:x>
      <cdr:y>0.99372</cdr:y>
    </cdr:to>
    <cdr:sp macro="" textlink="">
      <cdr:nvSpPr>
        <cdr:cNvPr id="7" name="pole tekstowe 7"/>
        <cdr:cNvSpPr txBox="1"/>
      </cdr:nvSpPr>
      <cdr:spPr bwMode="auto">
        <a:xfrm xmlns:a="http://schemas.openxmlformats.org/drawingml/2006/main">
          <a:off x="3993776" y="4440436"/>
          <a:ext cx="1514469" cy="212632"/>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square" lIns="27432" tIns="22860" rIns="0" bIns="0" rtlCol="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rtl="0"/>
          <a:r>
            <a:rPr lang="pl-PL" sz="1100" b="0" i="1" u="none" strike="noStrike" baseline="0">
              <a:solidFill>
                <a:srgbClr val="000000"/>
              </a:solidFill>
              <a:latin typeface="Times New Roman" panose="02020603050405020304" pitchFamily="18" charset="0"/>
              <a:cs typeface="Times New Roman" panose="02020603050405020304" pitchFamily="18" charset="0"/>
            </a:rPr>
            <a:t>average paid employment</a:t>
          </a:r>
        </a:p>
      </cdr:txBody>
    </cdr:sp>
  </cdr:relSizeAnchor>
</c:userShapes>
</file>

<file path=word/drawings/drawing8.xml><?xml version="1.0" encoding="utf-8"?>
<c:userShapes xmlns:c="http://schemas.openxmlformats.org/drawingml/2006/chart">
  <cdr:relSizeAnchor xmlns:cdr="http://schemas.openxmlformats.org/drawingml/2006/chartDrawing">
    <cdr:from>
      <cdr:x>0.07127</cdr:x>
      <cdr:y>0.09276</cdr:y>
    </cdr:from>
    <cdr:to>
      <cdr:x>0.21426</cdr:x>
      <cdr:y>0.18889</cdr:y>
    </cdr:to>
    <cdr:sp macro="" textlink="">
      <cdr:nvSpPr>
        <cdr:cNvPr id="396289" name="Tekst 1"/>
        <cdr:cNvSpPr txBox="1">
          <a:spLocks xmlns:a="http://schemas.openxmlformats.org/drawingml/2006/main" noChangeArrowheads="1"/>
        </cdr:cNvSpPr>
      </cdr:nvSpPr>
      <cdr:spPr bwMode="auto">
        <a:xfrm xmlns:a="http://schemas.openxmlformats.org/drawingml/2006/main">
          <a:off x="401198" y="447675"/>
          <a:ext cx="804930" cy="463908"/>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1">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r>
            <a:rPr lang="pl-PL" sz="1100" b="0" i="0" u="none" strike="noStrike" baseline="0">
              <a:solidFill>
                <a:srgbClr val="000000"/>
              </a:solidFill>
              <a:latin typeface="Times New Roman" panose="02020603050405020304" pitchFamily="18" charset="0"/>
              <a:cs typeface="Times New Roman" panose="02020603050405020304" pitchFamily="18" charset="0"/>
            </a:rPr>
            <a:t>mln ton</a:t>
          </a:r>
        </a:p>
        <a:p xmlns:a="http://schemas.openxmlformats.org/drawingml/2006/main">
          <a:pPr algn="l" rtl="0">
            <a:defRPr sz="1000"/>
          </a:pPr>
          <a:r>
            <a:rPr lang="pl-PL" sz="1100" b="0" i="1" u="none" strike="noStrike" baseline="0">
              <a:solidFill>
                <a:srgbClr val="000000"/>
              </a:solidFill>
              <a:latin typeface="Times New Roman" panose="02020603050405020304" pitchFamily="18" charset="0"/>
              <a:cs typeface="Times New Roman" panose="02020603050405020304" pitchFamily="18" charset="0"/>
            </a:rPr>
            <a:t>mln tonnes</a:t>
          </a:r>
          <a:endParaRPr lang="pl-PL" sz="11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0.05702</cdr:x>
      <cdr:y>0.9113</cdr:y>
    </cdr:from>
    <cdr:to>
      <cdr:x>0.61523</cdr:x>
      <cdr:y>0.98382</cdr:y>
    </cdr:to>
    <cdr:sp macro="" textlink="">
      <cdr:nvSpPr>
        <cdr:cNvPr id="396290" name="Text Box 2"/>
        <cdr:cNvSpPr txBox="1">
          <a:spLocks xmlns:a="http://schemas.openxmlformats.org/drawingml/2006/main" noChangeArrowheads="1"/>
        </cdr:cNvSpPr>
      </cdr:nvSpPr>
      <cdr:spPr bwMode="auto">
        <a:xfrm xmlns:a="http://schemas.openxmlformats.org/drawingml/2006/main">
          <a:off x="318191" y="4317221"/>
          <a:ext cx="3083814" cy="343262"/>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pl-PL" sz="900" b="0" i="1" u="none" strike="noStrike" baseline="0">
              <a:solidFill>
                <a:srgbClr val="000000"/>
              </a:solidFill>
              <a:latin typeface="Times New Roman" panose="02020603050405020304" pitchFamily="18" charset="0"/>
              <a:cs typeface="Times New Roman" panose="02020603050405020304" pitchFamily="18" charset="0"/>
            </a:rPr>
            <a:t>a</a:t>
          </a:r>
          <a:r>
            <a:rPr lang="pl-PL" sz="900" b="0" i="0" u="none" strike="noStrike" baseline="0">
              <a:solidFill>
                <a:srgbClr val="000000"/>
              </a:solidFill>
              <a:latin typeface="Times New Roman" panose="02020603050405020304" pitchFamily="18" charset="0"/>
              <a:cs typeface="Times New Roman" panose="02020603050405020304" pitchFamily="18" charset="0"/>
            </a:rPr>
            <a:t>  Z wyłączeniem brykietów i podobnych paliw stałych</a:t>
          </a:r>
        </a:p>
        <a:p xmlns:a="http://schemas.openxmlformats.org/drawingml/2006/main">
          <a:pPr algn="l" rtl="0">
            <a:defRPr sz="1000"/>
          </a:pPr>
          <a:r>
            <a:rPr lang="pl-PL" sz="900" b="0" i="1" u="none" strike="noStrike" baseline="0">
              <a:solidFill>
                <a:srgbClr val="000000"/>
              </a:solidFill>
              <a:latin typeface="Times New Roman" panose="02020603050405020304" pitchFamily="18" charset="0"/>
              <a:cs typeface="Times New Roman" panose="02020603050405020304" pitchFamily="18" charset="0"/>
            </a:rPr>
            <a:t>a</a:t>
          </a:r>
          <a:r>
            <a:rPr lang="pl-PL" sz="900" b="0" i="0" u="none" strike="noStrike" baseline="0">
              <a:solidFill>
                <a:srgbClr val="000000"/>
              </a:solidFill>
              <a:latin typeface="Times New Roman" panose="02020603050405020304" pitchFamily="18" charset="0"/>
              <a:cs typeface="Times New Roman" panose="02020603050405020304" pitchFamily="18" charset="0"/>
            </a:rPr>
            <a:t>  </a:t>
          </a:r>
          <a:r>
            <a:rPr lang="pl-PL" sz="900" b="0" i="1" u="none" strike="noStrike" baseline="0">
              <a:solidFill>
                <a:srgbClr val="000000"/>
              </a:solidFill>
              <a:latin typeface="Times New Roman" panose="02020603050405020304" pitchFamily="18" charset="0"/>
              <a:cs typeface="Times New Roman" panose="02020603050405020304" pitchFamily="18" charset="0"/>
            </a:rPr>
            <a:t>Excluding coal briquettes and similar solid fuels</a:t>
          </a:r>
          <a:endParaRPr lang="pl-PL" sz="900">
            <a:latin typeface="Times New Roman" panose="02020603050405020304" pitchFamily="18" charset="0"/>
            <a:cs typeface="Times New Roman" panose="02020603050405020304" pitchFamily="18" charset="0"/>
          </a:endParaRPr>
        </a:p>
      </cdr:txBody>
    </cdr:sp>
  </cdr:relSizeAnchor>
</c:userShapes>
</file>

<file path=word/drawings/drawing9.xml><?xml version="1.0" encoding="utf-8"?>
<c:userShapes xmlns:c="http://schemas.openxmlformats.org/drawingml/2006/chart">
  <cdr:relSizeAnchor xmlns:cdr="http://schemas.openxmlformats.org/drawingml/2006/chartDrawing">
    <cdr:from>
      <cdr:x>0.0754</cdr:x>
      <cdr:y>0.1357</cdr:y>
    </cdr:from>
    <cdr:to>
      <cdr:x>0.19875</cdr:x>
      <cdr:y>0.18228</cdr:y>
    </cdr:to>
    <cdr:sp macro="" textlink="">
      <cdr:nvSpPr>
        <cdr:cNvPr id="397313" name="Tekst 1"/>
        <cdr:cNvSpPr txBox="1">
          <a:spLocks xmlns:a="http://schemas.openxmlformats.org/drawingml/2006/main" noChangeArrowheads="1"/>
        </cdr:cNvSpPr>
      </cdr:nvSpPr>
      <cdr:spPr bwMode="auto">
        <a:xfrm xmlns:a="http://schemas.openxmlformats.org/drawingml/2006/main">
          <a:off x="422580" y="670125"/>
          <a:ext cx="686152" cy="228933"/>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1">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r>
            <a:rPr lang="pl-PL" sz="1100" b="0" i="0" u="none" strike="noStrike" baseline="0">
              <a:solidFill>
                <a:srgbClr val="000000"/>
              </a:solidFill>
              <a:latin typeface="Times New Roman" panose="02020603050405020304" pitchFamily="18" charset="0"/>
              <a:cs typeface="Times New Roman" panose="02020603050405020304" pitchFamily="18" charset="0"/>
            </a:rPr>
            <a:t>TW·h</a:t>
          </a:r>
          <a:endParaRPr lang="pl-PL" sz="1100">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C1F76-FEB2-4314-9B5C-B09A0541B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27</Pages>
  <Words>7277</Words>
  <Characters>43667</Characters>
  <Application>Microsoft Office Word</Application>
  <DocSecurity>0</DocSecurity>
  <Lines>363</Lines>
  <Paragraphs>101</Paragraphs>
  <ScaleCrop>false</ScaleCrop>
  <HeadingPairs>
    <vt:vector size="2" baseType="variant">
      <vt:variant>
        <vt:lpstr>Tytuł</vt:lpstr>
      </vt:variant>
      <vt:variant>
        <vt:i4>1</vt:i4>
      </vt:variant>
    </vt:vector>
  </HeadingPairs>
  <TitlesOfParts>
    <vt:vector size="1" baseType="lpstr">
      <vt:lpstr>GŁÓWNY URZĄD STATYSTYCZNY</vt:lpstr>
    </vt:vector>
  </TitlesOfParts>
  <Company/>
  <LinksUpToDate>false</LinksUpToDate>
  <CharactersWithSpaces>50843</CharactersWithSpaces>
  <SharedDoc>false</SharedDoc>
  <HLinks>
    <vt:vector size="12" baseType="variant">
      <vt:variant>
        <vt:i4>5963790</vt:i4>
      </vt:variant>
      <vt:variant>
        <vt:i4>3</vt:i4>
      </vt:variant>
      <vt:variant>
        <vt:i4>0</vt:i4>
      </vt:variant>
      <vt:variant>
        <vt:i4>5</vt:i4>
      </vt:variant>
      <vt:variant>
        <vt:lpwstr>http://www.stat.gov.pl/gus/prod_bud_inw_PLK_HTML.htm</vt:lpwstr>
      </vt:variant>
      <vt:variant>
        <vt:lpwstr/>
      </vt:variant>
      <vt:variant>
        <vt:i4>5963790</vt:i4>
      </vt:variant>
      <vt:variant>
        <vt:i4>0</vt:i4>
      </vt:variant>
      <vt:variant>
        <vt:i4>0</vt:i4>
      </vt:variant>
      <vt:variant>
        <vt:i4>5</vt:i4>
      </vt:variant>
      <vt:variant>
        <vt:lpwstr>http://www.stat.gov.pl/gus/prod_bud_inw_PLK_HTML.htm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URZĄD STATYSTYCZNY</dc:title>
  <dc:subject/>
  <dc:creator>Grzybowska Magdalena</dc:creator>
  <cp:keywords/>
  <cp:lastModifiedBy>Joanna Ślepowrońska</cp:lastModifiedBy>
  <cp:revision>18</cp:revision>
  <cp:lastPrinted>2017-09-11T13:22:00Z</cp:lastPrinted>
  <dcterms:created xsi:type="dcterms:W3CDTF">2017-09-07T12:12:00Z</dcterms:created>
  <dcterms:modified xsi:type="dcterms:W3CDTF">2017-10-05T12:51:00Z</dcterms:modified>
</cp:coreProperties>
</file>