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1214"/>
        <w:gridCol w:w="5698"/>
        <w:gridCol w:w="3261"/>
      </w:tblGrid>
      <w:tr w:rsidR="001B6008" w:rsidRPr="001C0FB9" w:rsidTr="0081668D">
        <w:trPr>
          <w:trHeight w:val="992"/>
        </w:trPr>
        <w:tc>
          <w:tcPr>
            <w:tcW w:w="1214" w:type="dxa"/>
          </w:tcPr>
          <w:p w:rsidR="001B6008" w:rsidRPr="001C0FB9" w:rsidRDefault="009D1F38" w:rsidP="001B6008">
            <w:pPr>
              <w:spacing w:before="20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612140" cy="532765"/>
                  <wp:effectExtent l="0" t="0" r="0" b="635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1B6008" w:rsidRPr="0031198A" w:rsidRDefault="0008699C" w:rsidP="001B6008">
            <w:pPr>
              <w:spacing w:before="120" w:line="288" w:lineRule="auto"/>
              <w:ind w:left="62"/>
              <w:jc w:val="both"/>
              <w:rPr>
                <w:rFonts w:ascii="Arial" w:hAnsi="Arial" w:cs="Arial"/>
                <w:b/>
                <w:sz w:val="32"/>
                <w:lang w:val="en-US"/>
              </w:rPr>
            </w:pPr>
            <w:r w:rsidRPr="0031198A">
              <w:rPr>
                <w:rFonts w:ascii="Arial" w:hAnsi="Arial" w:cs="Arial"/>
                <w:b/>
                <w:sz w:val="32"/>
                <w:lang w:val="en-US"/>
              </w:rPr>
              <w:t>CENTRAL STATISTICAL OFFICE</w:t>
            </w:r>
          </w:p>
          <w:p w:rsidR="001B6008" w:rsidRDefault="0031198A" w:rsidP="001B6008">
            <w:pPr>
              <w:spacing w:before="120" w:line="288" w:lineRule="auto"/>
              <w:ind w:left="62"/>
              <w:rPr>
                <w:rFonts w:ascii="Arial" w:hAnsi="Arial" w:cs="Arial"/>
                <w:szCs w:val="24"/>
                <w:lang w:val="en-US"/>
              </w:rPr>
            </w:pPr>
            <w:r w:rsidRPr="0031198A">
              <w:rPr>
                <w:rFonts w:ascii="Arial" w:hAnsi="Arial" w:cs="Arial"/>
                <w:szCs w:val="24"/>
                <w:lang w:val="en-US"/>
              </w:rPr>
              <w:t>Signal information</w:t>
            </w:r>
            <w:r w:rsidR="001B6008" w:rsidRPr="0031198A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  <w:p w:rsidR="000974F9" w:rsidRDefault="000974F9" w:rsidP="001B6008">
            <w:pPr>
              <w:spacing w:before="120" w:line="288" w:lineRule="auto"/>
              <w:ind w:left="62"/>
              <w:rPr>
                <w:rFonts w:ascii="Arial" w:hAnsi="Arial" w:cs="Arial"/>
                <w:b/>
                <w:lang w:val="en-US"/>
              </w:rPr>
            </w:pPr>
          </w:p>
          <w:p w:rsidR="00756E14" w:rsidRDefault="00756E14" w:rsidP="001B6008">
            <w:pPr>
              <w:spacing w:before="120" w:line="288" w:lineRule="auto"/>
              <w:ind w:left="62"/>
              <w:rPr>
                <w:rFonts w:ascii="Arial" w:hAnsi="Arial" w:cs="Arial"/>
                <w:b/>
                <w:lang w:val="en-US"/>
              </w:rPr>
            </w:pPr>
          </w:p>
          <w:p w:rsidR="00F42767" w:rsidRDefault="00F42767" w:rsidP="001B6008">
            <w:pPr>
              <w:spacing w:before="120" w:line="288" w:lineRule="auto"/>
              <w:ind w:left="62"/>
              <w:rPr>
                <w:rFonts w:ascii="Arial" w:hAnsi="Arial" w:cs="Arial"/>
                <w:b/>
                <w:lang w:val="en-US"/>
              </w:rPr>
            </w:pPr>
          </w:p>
          <w:p w:rsidR="00F42767" w:rsidRPr="0031198A" w:rsidRDefault="00F42767" w:rsidP="001B6008">
            <w:pPr>
              <w:spacing w:before="120" w:line="288" w:lineRule="auto"/>
              <w:ind w:left="62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261" w:type="dxa"/>
          </w:tcPr>
          <w:p w:rsidR="001B6008" w:rsidRPr="001C0FB9" w:rsidRDefault="0008699C" w:rsidP="005201E9">
            <w:pPr>
              <w:spacing w:before="120" w:line="288" w:lineRule="auto"/>
              <w:ind w:left="-125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Warsaw</w:t>
            </w:r>
            <w:proofErr w:type="spellEnd"/>
            <w:r w:rsidR="001B6008" w:rsidRPr="001C0F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57C4">
              <w:rPr>
                <w:rFonts w:ascii="Arial" w:hAnsi="Arial" w:cs="Arial"/>
                <w:sz w:val="24"/>
                <w:szCs w:val="24"/>
              </w:rPr>
              <w:t>31</w:t>
            </w:r>
            <w:r w:rsidR="001B6008" w:rsidRPr="001C0FB9">
              <w:rPr>
                <w:rFonts w:ascii="Arial" w:hAnsi="Arial" w:cs="Arial"/>
                <w:sz w:val="24"/>
                <w:szCs w:val="24"/>
              </w:rPr>
              <w:t>.</w:t>
            </w:r>
            <w:r w:rsidR="00043BBC">
              <w:rPr>
                <w:rFonts w:ascii="Arial" w:hAnsi="Arial" w:cs="Arial"/>
                <w:sz w:val="24"/>
                <w:szCs w:val="24"/>
              </w:rPr>
              <w:t>0</w:t>
            </w:r>
            <w:r w:rsidR="005201E9">
              <w:rPr>
                <w:rFonts w:ascii="Arial" w:hAnsi="Arial" w:cs="Arial"/>
                <w:sz w:val="24"/>
                <w:szCs w:val="24"/>
              </w:rPr>
              <w:t>8</w:t>
            </w:r>
            <w:r w:rsidR="001B6008" w:rsidRPr="001C0FB9">
              <w:rPr>
                <w:rFonts w:ascii="Arial" w:hAnsi="Arial" w:cs="Arial"/>
                <w:sz w:val="24"/>
                <w:szCs w:val="24"/>
              </w:rPr>
              <w:t>.201</w:t>
            </w:r>
            <w:r w:rsidR="00043BB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743B48" w:rsidRPr="00743B48" w:rsidRDefault="00743B48" w:rsidP="00743B48">
      <w:pPr>
        <w:spacing w:before="120" w:after="120" w:line="120" w:lineRule="exact"/>
        <w:ind w:left="142" w:right="96"/>
        <w:jc w:val="center"/>
        <w:rPr>
          <w:rFonts w:ascii="Arial" w:hAnsi="Arial" w:cs="Arial"/>
          <w:b/>
          <w:lang w:val="en-US"/>
        </w:rPr>
      </w:pPr>
      <w:r w:rsidRPr="00743B48">
        <w:rPr>
          <w:rFonts w:ascii="Arial" w:hAnsi="Arial" w:cs="Arial"/>
          <w:b/>
          <w:lang w:val="en-US"/>
        </w:rPr>
        <w:t xml:space="preserve">Gross Domestic Product in the </w:t>
      </w:r>
      <w:r w:rsidR="005201E9">
        <w:rPr>
          <w:rFonts w:ascii="Arial" w:hAnsi="Arial" w:cs="Arial"/>
          <w:b/>
          <w:lang w:val="en-US"/>
        </w:rPr>
        <w:t>2</w:t>
      </w:r>
      <w:r w:rsidR="005201E9">
        <w:rPr>
          <w:rFonts w:ascii="Arial" w:hAnsi="Arial" w:cs="Arial"/>
          <w:b/>
          <w:vertAlign w:val="superscript"/>
          <w:lang w:val="en-US"/>
        </w:rPr>
        <w:t>nd</w:t>
      </w:r>
      <w:r w:rsidRPr="00743B48">
        <w:rPr>
          <w:rFonts w:ascii="Arial" w:hAnsi="Arial" w:cs="Arial"/>
          <w:b/>
          <w:vertAlign w:val="superscript"/>
          <w:lang w:val="en-US"/>
        </w:rPr>
        <w:t xml:space="preserve"> </w:t>
      </w:r>
      <w:r w:rsidRPr="00743B48">
        <w:rPr>
          <w:rFonts w:ascii="Arial" w:hAnsi="Arial" w:cs="Arial"/>
          <w:b/>
          <w:lang w:val="en-US"/>
        </w:rPr>
        <w:t xml:space="preserve">quarter of </w:t>
      </w:r>
      <w:r w:rsidR="009D72FA">
        <w:rPr>
          <w:rFonts w:ascii="Arial" w:hAnsi="Arial" w:cs="Arial"/>
          <w:b/>
          <w:lang w:val="en-US"/>
        </w:rPr>
        <w:t>201</w:t>
      </w:r>
      <w:r w:rsidR="007157C4">
        <w:rPr>
          <w:rFonts w:ascii="Arial" w:hAnsi="Arial" w:cs="Arial"/>
          <w:b/>
          <w:lang w:val="en-US"/>
        </w:rPr>
        <w:t>7</w:t>
      </w:r>
    </w:p>
    <w:p w:rsidR="001B6008" w:rsidRPr="0031198A" w:rsidRDefault="00743B48" w:rsidP="00743B48">
      <w:pPr>
        <w:spacing w:before="240" w:after="240"/>
        <w:ind w:left="142" w:right="96"/>
        <w:jc w:val="center"/>
        <w:rPr>
          <w:rFonts w:ascii="Arial" w:hAnsi="Arial" w:cs="Arial"/>
          <w:b/>
          <w:lang w:val="en-US"/>
        </w:rPr>
      </w:pPr>
      <w:r w:rsidRPr="00743B48">
        <w:rPr>
          <w:rFonts w:ascii="Arial" w:hAnsi="Arial" w:cs="Arial"/>
          <w:b/>
          <w:lang w:val="en-US"/>
        </w:rPr>
        <w:t xml:space="preserve"> Preliminary estimate</w:t>
      </w:r>
      <w:r w:rsidR="001269A5" w:rsidRPr="0031198A">
        <w:rPr>
          <w:rFonts w:ascii="Arial" w:hAnsi="Arial" w:cs="Arial"/>
          <w:b/>
          <w:lang w:val="en-US"/>
        </w:rPr>
        <w:br/>
        <w:t xml:space="preserve"> </w:t>
      </w:r>
    </w:p>
    <w:p w:rsidR="00743B48" w:rsidRPr="0011709F" w:rsidRDefault="001A363D" w:rsidP="007F4772">
      <w:pPr>
        <w:tabs>
          <w:tab w:val="left" w:pos="284"/>
        </w:tabs>
        <w:spacing w:before="240" w:line="340" w:lineRule="atLeast"/>
        <w:jc w:val="both"/>
        <w:rPr>
          <w:rFonts w:ascii="Arial" w:eastAsia="Calibri" w:hAnsi="Arial" w:cs="Arial"/>
          <w:bCs/>
          <w:sz w:val="22"/>
          <w:szCs w:val="24"/>
          <w:lang w:val="en-US"/>
        </w:rPr>
      </w:pPr>
      <w:r w:rsidRPr="00C36FF4">
        <w:rPr>
          <w:rFonts w:ascii="Arial" w:hAnsi="Arial" w:cs="Arial"/>
          <w:b/>
          <w:spacing w:val="-4"/>
          <w:sz w:val="24"/>
          <w:szCs w:val="24"/>
          <w:lang w:val="en-US"/>
        </w:rPr>
        <w:t xml:space="preserve"> </w:t>
      </w:r>
      <w:r w:rsidR="0020487E" w:rsidRPr="00C36FF4">
        <w:rPr>
          <w:rFonts w:ascii="Arial" w:hAnsi="Arial" w:cs="Arial"/>
          <w:lang w:val="en-US"/>
        </w:rPr>
        <w:tab/>
      </w:r>
      <w:r w:rsidR="00743B48" w:rsidRPr="00C36FF4">
        <w:rPr>
          <w:rFonts w:ascii="Arial" w:hAnsi="Arial" w:cs="Arial"/>
          <w:sz w:val="24"/>
          <w:szCs w:val="24"/>
          <w:lang w:val="en-US"/>
        </w:rPr>
        <w:t>In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43B48" w:rsidRPr="00F1150C">
        <w:rPr>
          <w:rFonts w:ascii="Arial" w:hAnsi="Arial" w:cs="Arial"/>
          <w:sz w:val="24"/>
          <w:szCs w:val="24"/>
          <w:lang w:val="en-US"/>
        </w:rPr>
        <w:t xml:space="preserve">the </w:t>
      </w:r>
      <w:r w:rsidR="005201E9" w:rsidRPr="00F1150C">
        <w:rPr>
          <w:rFonts w:ascii="Arial" w:hAnsi="Arial" w:cs="Arial"/>
          <w:sz w:val="24"/>
          <w:szCs w:val="24"/>
          <w:lang w:val="en-US"/>
        </w:rPr>
        <w:t>2</w:t>
      </w:r>
      <w:r w:rsidR="005201E9" w:rsidRPr="00F1150C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743B48" w:rsidRPr="00F1150C">
        <w:rPr>
          <w:rFonts w:ascii="Arial" w:hAnsi="Arial" w:cs="Arial"/>
          <w:sz w:val="24"/>
          <w:szCs w:val="24"/>
          <w:lang w:val="en-US"/>
        </w:rPr>
        <w:t xml:space="preserve"> quarter of </w:t>
      </w:r>
      <w:r w:rsidR="009D72FA" w:rsidRPr="00F1150C">
        <w:rPr>
          <w:rFonts w:ascii="Arial" w:hAnsi="Arial" w:cs="Arial"/>
          <w:sz w:val="24"/>
          <w:szCs w:val="24"/>
          <w:lang w:val="en-US"/>
        </w:rPr>
        <w:t>201</w:t>
      </w:r>
      <w:r w:rsidR="007157C4" w:rsidRPr="00F1150C">
        <w:rPr>
          <w:rFonts w:ascii="Arial" w:hAnsi="Arial" w:cs="Arial"/>
          <w:sz w:val="24"/>
          <w:szCs w:val="24"/>
          <w:lang w:val="en-US"/>
        </w:rPr>
        <w:t>7</w:t>
      </w:r>
      <w:r w:rsidR="00743B48" w:rsidRPr="00C36FF4">
        <w:rPr>
          <w:rFonts w:ascii="Arial" w:hAnsi="Arial" w:cs="Arial"/>
          <w:sz w:val="24"/>
          <w:szCs w:val="24"/>
          <w:lang w:val="en-US"/>
        </w:rPr>
        <w:t xml:space="preserve"> </w:t>
      </w:r>
      <w:r w:rsidR="006A0A99">
        <w:rPr>
          <w:rFonts w:ascii="Arial" w:hAnsi="Arial" w:cs="Arial"/>
          <w:b/>
          <w:sz w:val="24"/>
          <w:szCs w:val="24"/>
          <w:lang w:val="en-US"/>
        </w:rPr>
        <w:t>seasonally adjusted gross domestic p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>roduct (GDP)</w:t>
      </w:r>
      <w:r w:rsidR="00743B48" w:rsidRPr="00C36FF4">
        <w:rPr>
          <w:rFonts w:ascii="Arial" w:hAnsi="Arial" w:cs="Arial"/>
          <w:sz w:val="24"/>
          <w:szCs w:val="24"/>
          <w:lang w:val="en-US"/>
        </w:rPr>
        <w:t xml:space="preserve"> (constant</w:t>
      </w:r>
      <w:r w:rsidR="00D73570">
        <w:rPr>
          <w:rFonts w:ascii="Arial" w:hAnsi="Arial" w:cs="Arial"/>
          <w:sz w:val="24"/>
          <w:szCs w:val="24"/>
          <w:lang w:val="en-US"/>
        </w:rPr>
        <w:t xml:space="preserve"> </w:t>
      </w:r>
      <w:r w:rsidR="00743B48" w:rsidRPr="00C36FF4">
        <w:rPr>
          <w:rFonts w:ascii="Arial" w:hAnsi="Arial" w:cs="Arial"/>
          <w:sz w:val="24"/>
          <w:szCs w:val="24"/>
          <w:lang w:val="en-US"/>
        </w:rPr>
        <w:t xml:space="preserve"> prices, reference year 2010) was </w:t>
      </w:r>
      <w:r w:rsidR="009413ED">
        <w:rPr>
          <w:rFonts w:ascii="Arial" w:hAnsi="Arial" w:cs="Arial"/>
          <w:sz w:val="24"/>
          <w:szCs w:val="24"/>
          <w:lang w:val="en-US"/>
        </w:rPr>
        <w:t>higher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67D48">
        <w:rPr>
          <w:rFonts w:ascii="Arial" w:hAnsi="Arial" w:cs="Arial"/>
          <w:sz w:val="24"/>
          <w:szCs w:val="24"/>
          <w:lang w:val="en-US"/>
        </w:rPr>
        <w:t xml:space="preserve">by </w:t>
      </w:r>
      <w:r w:rsidR="00E81148" w:rsidRPr="00F1150C">
        <w:rPr>
          <w:rFonts w:ascii="Arial" w:hAnsi="Arial" w:cs="Arial"/>
          <w:b/>
          <w:sz w:val="24"/>
          <w:szCs w:val="24"/>
          <w:lang w:val="en-US"/>
        </w:rPr>
        <w:t>1.1</w:t>
      </w:r>
      <w:r w:rsidR="00743B48" w:rsidRPr="00F1150C">
        <w:rPr>
          <w:rFonts w:ascii="Arial" w:hAnsi="Arial" w:cs="Arial"/>
          <w:b/>
          <w:sz w:val="24"/>
          <w:szCs w:val="24"/>
          <w:lang w:val="en-US"/>
        </w:rPr>
        <w:t>%</w:t>
      </w:r>
      <w:r w:rsidR="00743B48" w:rsidRPr="00C36FF4">
        <w:rPr>
          <w:rFonts w:ascii="Arial" w:hAnsi="Arial" w:cs="Arial"/>
          <w:sz w:val="24"/>
          <w:szCs w:val="24"/>
          <w:lang w:val="en-US"/>
        </w:rPr>
        <w:t xml:space="preserve"> than</w:t>
      </w:r>
      <w:r w:rsidR="00767D48">
        <w:rPr>
          <w:rFonts w:ascii="Arial" w:hAnsi="Arial" w:cs="Arial"/>
          <w:sz w:val="24"/>
          <w:szCs w:val="24"/>
          <w:lang w:val="en-US"/>
        </w:rPr>
        <w:t xml:space="preserve"> in the previous quarter </w:t>
      </w:r>
      <w:r w:rsidR="00767D48" w:rsidRPr="0011709F">
        <w:rPr>
          <w:rFonts w:ascii="Arial" w:eastAsia="Calibri" w:hAnsi="Arial" w:cs="Arial"/>
          <w:bCs/>
          <w:sz w:val="22"/>
          <w:szCs w:val="24"/>
          <w:lang w:val="en-US"/>
        </w:rPr>
        <w:t xml:space="preserve">and </w:t>
      </w:r>
      <w:r w:rsidR="00E81148">
        <w:rPr>
          <w:rFonts w:ascii="Arial" w:eastAsia="Calibri" w:hAnsi="Arial" w:cs="Arial"/>
          <w:b/>
          <w:bCs/>
          <w:sz w:val="24"/>
          <w:szCs w:val="24"/>
          <w:lang w:val="en-US"/>
        </w:rPr>
        <w:t>4.4</w:t>
      </w:r>
      <w:r w:rsidR="00743B48" w:rsidRPr="00E37E32">
        <w:rPr>
          <w:rFonts w:ascii="Arial" w:eastAsia="Calibri" w:hAnsi="Arial" w:cs="Arial"/>
          <w:b/>
          <w:bCs/>
          <w:sz w:val="24"/>
          <w:szCs w:val="24"/>
          <w:lang w:val="en-US"/>
        </w:rPr>
        <w:t>%</w:t>
      </w:r>
      <w:r w:rsidR="00743B48" w:rsidRPr="00E37E32">
        <w:rPr>
          <w:rFonts w:ascii="Arial" w:eastAsia="Calibri" w:hAnsi="Arial" w:cs="Arial"/>
          <w:bCs/>
          <w:sz w:val="24"/>
          <w:szCs w:val="24"/>
          <w:lang w:val="en-US"/>
        </w:rPr>
        <w:t xml:space="preserve"> higher than in the </w:t>
      </w:r>
      <w:r w:rsidR="00CC628E">
        <w:rPr>
          <w:rFonts w:ascii="Arial" w:hAnsi="Arial" w:cs="Arial"/>
          <w:sz w:val="24"/>
          <w:szCs w:val="24"/>
          <w:lang w:val="en-US"/>
        </w:rPr>
        <w:t>2</w:t>
      </w:r>
      <w:r w:rsidR="00CC628E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9413ED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="00743B48" w:rsidRPr="00E37E32">
        <w:rPr>
          <w:rFonts w:ascii="Arial" w:eastAsia="Calibri" w:hAnsi="Arial" w:cs="Arial"/>
          <w:bCs/>
          <w:sz w:val="24"/>
          <w:szCs w:val="24"/>
          <w:lang w:val="en-US"/>
        </w:rPr>
        <w:t xml:space="preserve"> quarter of the previous year.</w:t>
      </w:r>
    </w:p>
    <w:p w:rsidR="00E81148" w:rsidRDefault="002D64CA" w:rsidP="007F4772">
      <w:pPr>
        <w:tabs>
          <w:tab w:val="left" w:pos="284"/>
        </w:tabs>
        <w:spacing w:line="340" w:lineRule="atLeas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>S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 xml:space="preserve">easonally </w:t>
      </w:r>
      <w:r>
        <w:rPr>
          <w:rFonts w:ascii="Arial" w:hAnsi="Arial" w:cs="Arial"/>
          <w:b/>
          <w:sz w:val="24"/>
          <w:szCs w:val="24"/>
          <w:lang w:val="en-US"/>
        </w:rPr>
        <w:t>un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 xml:space="preserve">adjusted GDP </w:t>
      </w:r>
      <w:r w:rsidR="00743B48" w:rsidRPr="00C36FF4">
        <w:rPr>
          <w:rFonts w:ascii="Arial" w:hAnsi="Arial" w:cs="Arial"/>
          <w:sz w:val="24"/>
          <w:szCs w:val="24"/>
          <w:lang w:val="en-US"/>
        </w:rPr>
        <w:t>(constant average prices of the previous year) was higher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43B48" w:rsidRPr="00C36FF4">
        <w:rPr>
          <w:rFonts w:ascii="Arial" w:hAnsi="Arial" w:cs="Arial"/>
          <w:sz w:val="24"/>
          <w:szCs w:val="24"/>
          <w:lang w:val="en-US"/>
        </w:rPr>
        <w:t>by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C7F48">
        <w:rPr>
          <w:rFonts w:ascii="Arial" w:hAnsi="Arial" w:cs="Arial"/>
          <w:b/>
          <w:sz w:val="24"/>
          <w:szCs w:val="24"/>
          <w:lang w:val="en-US"/>
        </w:rPr>
        <w:t>3.9</w:t>
      </w:r>
      <w:r w:rsidR="00743B48" w:rsidRPr="00C36FF4">
        <w:rPr>
          <w:rFonts w:ascii="Arial" w:hAnsi="Arial" w:cs="Arial"/>
          <w:b/>
          <w:sz w:val="24"/>
          <w:szCs w:val="24"/>
          <w:lang w:val="en-US"/>
        </w:rPr>
        <w:t>%</w:t>
      </w:r>
      <w:r w:rsidR="00743B48" w:rsidRPr="00C36FF4">
        <w:rPr>
          <w:rFonts w:ascii="Arial" w:hAnsi="Arial" w:cs="Arial"/>
          <w:sz w:val="24"/>
          <w:szCs w:val="24"/>
          <w:lang w:val="en-US"/>
        </w:rPr>
        <w:t xml:space="preserve"> than in the corresponding quarter of the pr</w:t>
      </w:r>
      <w:r w:rsidR="00D00496">
        <w:rPr>
          <w:rFonts w:ascii="Arial" w:hAnsi="Arial" w:cs="Arial"/>
          <w:sz w:val="24"/>
          <w:szCs w:val="24"/>
          <w:lang w:val="en-US"/>
        </w:rPr>
        <w:t>e</w:t>
      </w:r>
      <w:r w:rsidR="00F1098E">
        <w:rPr>
          <w:rFonts w:ascii="Arial" w:hAnsi="Arial" w:cs="Arial"/>
          <w:sz w:val="24"/>
          <w:szCs w:val="24"/>
          <w:lang w:val="en-US"/>
        </w:rPr>
        <w:t>vious year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9D72FA" w:rsidRPr="002D64CA" w:rsidRDefault="00E56706" w:rsidP="007F4772">
      <w:pPr>
        <w:tabs>
          <w:tab w:val="left" w:pos="284"/>
        </w:tabs>
        <w:spacing w:line="340" w:lineRule="atLeas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2D64CA" w:rsidRPr="00896E3E">
        <w:rPr>
          <w:rFonts w:ascii="Arial" w:hAnsi="Arial" w:cs="Arial"/>
          <w:sz w:val="24"/>
          <w:szCs w:val="24"/>
          <w:lang w:val="en-US"/>
        </w:rPr>
        <w:t>The result presented has not been changed</w:t>
      </w:r>
      <w:r w:rsidR="001126D8" w:rsidRPr="00896E3E">
        <w:rPr>
          <w:rFonts w:ascii="Arial" w:hAnsi="Arial" w:cs="Arial"/>
          <w:sz w:val="24"/>
          <w:szCs w:val="24"/>
          <w:lang w:val="en-US"/>
        </w:rPr>
        <w:t xml:space="preserve"> </w:t>
      </w:r>
      <w:r w:rsidR="00ED5E08" w:rsidRPr="00896E3E">
        <w:rPr>
          <w:rFonts w:ascii="Arial" w:hAnsi="Arial" w:cs="Arial"/>
          <w:sz w:val="24"/>
          <w:szCs w:val="24"/>
          <w:lang w:val="en-US"/>
        </w:rPr>
        <w:t>c</w:t>
      </w:r>
      <w:r w:rsidR="008856A4" w:rsidRPr="00896E3E">
        <w:rPr>
          <w:rFonts w:ascii="Arial" w:hAnsi="Arial" w:cs="Arial"/>
          <w:sz w:val="24"/>
          <w:szCs w:val="24"/>
          <w:lang w:val="en-US"/>
        </w:rPr>
        <w:t>ompared to the GDP flash</w:t>
      </w:r>
      <w:r w:rsidR="008856A4" w:rsidRPr="00BF2485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8856A4" w:rsidRPr="002D64CA">
        <w:rPr>
          <w:rFonts w:ascii="Arial" w:hAnsi="Arial" w:cs="Arial"/>
          <w:sz w:val="24"/>
          <w:szCs w:val="24"/>
          <w:lang w:val="en-US"/>
        </w:rPr>
        <w:t xml:space="preserve">estimate for </w:t>
      </w:r>
      <w:r w:rsidR="002D64CA" w:rsidRPr="002D64CA">
        <w:rPr>
          <w:rFonts w:ascii="Arial" w:hAnsi="Arial" w:cs="Arial"/>
          <w:sz w:val="24"/>
          <w:szCs w:val="24"/>
          <w:lang w:val="en-US"/>
        </w:rPr>
        <w:t xml:space="preserve">the </w:t>
      </w:r>
      <w:r w:rsidR="00CC628E">
        <w:rPr>
          <w:rFonts w:ascii="Arial" w:hAnsi="Arial" w:cs="Arial"/>
          <w:sz w:val="24"/>
          <w:szCs w:val="24"/>
          <w:lang w:val="en-US"/>
        </w:rPr>
        <w:t>2</w:t>
      </w:r>
      <w:r w:rsidR="00CC628E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2D64CA" w:rsidRPr="002D64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856A4" w:rsidRPr="002D64CA">
        <w:rPr>
          <w:rFonts w:ascii="Arial" w:hAnsi="Arial" w:cs="Arial"/>
          <w:sz w:val="24"/>
          <w:szCs w:val="24"/>
          <w:lang w:val="en-US"/>
        </w:rPr>
        <w:t>quarter of 201</w:t>
      </w:r>
      <w:r w:rsidR="007157C4">
        <w:rPr>
          <w:rFonts w:ascii="Arial" w:hAnsi="Arial" w:cs="Arial"/>
          <w:sz w:val="24"/>
          <w:szCs w:val="24"/>
          <w:lang w:val="en-US"/>
        </w:rPr>
        <w:t>7</w:t>
      </w:r>
      <w:r w:rsidR="008856A4" w:rsidRPr="002D64CA">
        <w:rPr>
          <w:rFonts w:ascii="Arial" w:hAnsi="Arial" w:cs="Arial"/>
          <w:sz w:val="24"/>
          <w:szCs w:val="24"/>
          <w:lang w:val="en-US"/>
        </w:rPr>
        <w:t>, released on 1</w:t>
      </w:r>
      <w:r w:rsidR="007157C4">
        <w:rPr>
          <w:rFonts w:ascii="Arial" w:hAnsi="Arial" w:cs="Arial"/>
          <w:sz w:val="24"/>
          <w:szCs w:val="24"/>
          <w:lang w:val="en-US"/>
        </w:rPr>
        <w:t>6</w:t>
      </w:r>
      <w:r w:rsidR="008856A4" w:rsidRPr="002D64CA">
        <w:rPr>
          <w:rFonts w:ascii="Arial" w:hAnsi="Arial" w:cs="Arial"/>
          <w:sz w:val="24"/>
          <w:szCs w:val="24"/>
          <w:lang w:val="en-US"/>
        </w:rPr>
        <w:t xml:space="preserve"> </w:t>
      </w:r>
      <w:r w:rsidR="00CC628E">
        <w:rPr>
          <w:rFonts w:ascii="Arial" w:hAnsi="Arial" w:cs="Arial"/>
          <w:sz w:val="24"/>
          <w:szCs w:val="24"/>
          <w:lang w:val="en-US"/>
        </w:rPr>
        <w:t>August</w:t>
      </w:r>
      <w:r w:rsidR="00ED5E08" w:rsidRPr="002D64CA">
        <w:rPr>
          <w:rFonts w:ascii="Arial" w:hAnsi="Arial" w:cs="Arial"/>
          <w:sz w:val="24"/>
          <w:szCs w:val="24"/>
          <w:lang w:val="en-US"/>
        </w:rPr>
        <w:t xml:space="preserve"> 201</w:t>
      </w:r>
      <w:r w:rsidR="00043BBC">
        <w:rPr>
          <w:rFonts w:ascii="Arial" w:hAnsi="Arial" w:cs="Arial"/>
          <w:sz w:val="24"/>
          <w:szCs w:val="24"/>
          <w:lang w:val="en-US"/>
        </w:rPr>
        <w:t>7</w:t>
      </w:r>
      <w:r w:rsidR="008856A4" w:rsidRPr="002D64CA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7E32" w:rsidRPr="009C2F6B" w:rsidRDefault="00E37E32" w:rsidP="009C2F6B">
      <w:pPr>
        <w:pStyle w:val="Default"/>
        <w:spacing w:before="80" w:after="120"/>
        <w:jc w:val="center"/>
        <w:rPr>
          <w:b/>
          <w:bCs/>
          <w:color w:val="auto"/>
          <w:lang w:val="en-US"/>
        </w:rPr>
      </w:pPr>
    </w:p>
    <w:p w:rsidR="001C53F5" w:rsidRPr="009C2F6B" w:rsidRDefault="008C462A" w:rsidP="009C2F6B">
      <w:pPr>
        <w:pStyle w:val="Default"/>
        <w:spacing w:before="80" w:after="120"/>
        <w:rPr>
          <w:b/>
          <w:bCs/>
          <w:color w:val="auto"/>
          <w:lang w:val="en-US"/>
        </w:rPr>
      </w:pPr>
      <w:r w:rsidRPr="009C2F6B">
        <w:rPr>
          <w:b/>
          <w:bCs/>
          <w:color w:val="auto"/>
          <w:lang w:val="en-US"/>
        </w:rPr>
        <w:t>Seasonally adjusted GDP; constant prices, reference year 2010</w:t>
      </w:r>
      <w:r w:rsidR="001C53F5" w:rsidRPr="009C2F6B">
        <w:rPr>
          <w:b/>
          <w:bCs/>
          <w:color w:val="auto"/>
          <w:lang w:val="en-US"/>
        </w:rPr>
        <w:tab/>
      </w:r>
    </w:p>
    <w:p w:rsidR="005E5676" w:rsidRDefault="00F42767" w:rsidP="00B272D8">
      <w:pPr>
        <w:pStyle w:val="Default"/>
        <w:spacing w:before="80"/>
        <w:rPr>
          <w:b/>
          <w:bCs/>
          <w:color w:val="auto"/>
          <w:lang w:val="en-US"/>
        </w:rPr>
      </w:pPr>
      <w:r w:rsidRPr="00F42767">
        <w:rPr>
          <w:noProof/>
        </w:rPr>
        <w:drawing>
          <wp:inline distT="0" distB="0" distL="0" distR="0">
            <wp:extent cx="6120765" cy="1357093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5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767" w:rsidRPr="008C462A" w:rsidRDefault="00F42767" w:rsidP="00B272D8">
      <w:pPr>
        <w:pStyle w:val="Default"/>
        <w:spacing w:before="80"/>
        <w:rPr>
          <w:b/>
          <w:bCs/>
          <w:color w:val="auto"/>
          <w:lang w:val="en-US"/>
        </w:rPr>
      </w:pPr>
    </w:p>
    <w:p w:rsidR="00B272D8" w:rsidRDefault="00B272D8" w:rsidP="009C2F6B">
      <w:pPr>
        <w:pStyle w:val="Default"/>
        <w:spacing w:before="80" w:after="120"/>
        <w:rPr>
          <w:b/>
          <w:bCs/>
          <w:color w:val="auto"/>
          <w:lang w:val="en-US"/>
        </w:rPr>
      </w:pPr>
    </w:p>
    <w:p w:rsidR="001C53F5" w:rsidRDefault="00BB0A4C" w:rsidP="009C2F6B">
      <w:pPr>
        <w:pStyle w:val="Default"/>
        <w:spacing w:before="80" w:after="120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>S</w:t>
      </w:r>
      <w:r w:rsidR="008C462A" w:rsidRPr="008C462A">
        <w:rPr>
          <w:b/>
          <w:bCs/>
          <w:color w:val="auto"/>
          <w:lang w:val="en-US"/>
        </w:rPr>
        <w:t xml:space="preserve">easonally </w:t>
      </w:r>
      <w:r>
        <w:rPr>
          <w:b/>
          <w:bCs/>
          <w:color w:val="auto"/>
          <w:lang w:val="en-US"/>
        </w:rPr>
        <w:t>un</w:t>
      </w:r>
      <w:r w:rsidR="008C462A" w:rsidRPr="008C462A">
        <w:rPr>
          <w:b/>
          <w:bCs/>
          <w:color w:val="auto"/>
          <w:lang w:val="en-US"/>
        </w:rPr>
        <w:t xml:space="preserve">adjusted GDP; constant average prices of </w:t>
      </w:r>
      <w:r w:rsidR="008C462A">
        <w:rPr>
          <w:b/>
          <w:bCs/>
          <w:color w:val="auto"/>
          <w:lang w:val="en-US"/>
        </w:rPr>
        <w:t xml:space="preserve">the </w:t>
      </w:r>
      <w:r w:rsidR="008C462A" w:rsidRPr="008C462A">
        <w:rPr>
          <w:b/>
          <w:bCs/>
          <w:color w:val="auto"/>
          <w:lang w:val="en-US"/>
        </w:rPr>
        <w:t>previous year</w:t>
      </w:r>
    </w:p>
    <w:p w:rsidR="00F42767" w:rsidRPr="008C462A" w:rsidRDefault="00F42767" w:rsidP="009C2F6B">
      <w:pPr>
        <w:pStyle w:val="Default"/>
        <w:spacing w:before="80" w:after="120"/>
        <w:rPr>
          <w:b/>
          <w:bCs/>
          <w:color w:val="auto"/>
          <w:lang w:val="en-US"/>
        </w:rPr>
      </w:pPr>
      <w:r w:rsidRPr="00F42767">
        <w:rPr>
          <w:noProof/>
        </w:rPr>
        <w:drawing>
          <wp:inline distT="0" distB="0" distL="0" distR="0">
            <wp:extent cx="6120765" cy="908190"/>
            <wp:effectExtent l="0" t="0" r="0" b="635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61" w:rsidRDefault="008E6561" w:rsidP="001C53F5">
      <w:pPr>
        <w:spacing w:before="240"/>
        <w:contextualSpacing/>
        <w:rPr>
          <w:rFonts w:ascii="Arial" w:hAnsi="Arial" w:cs="Arial"/>
          <w:bCs/>
          <w:sz w:val="16"/>
          <w:szCs w:val="16"/>
          <w:lang w:val="en-US"/>
        </w:rPr>
      </w:pPr>
    </w:p>
    <w:p w:rsidR="00AD103A" w:rsidRDefault="00AD103A" w:rsidP="001C53F5">
      <w:pPr>
        <w:spacing w:before="240"/>
        <w:contextualSpacing/>
        <w:rPr>
          <w:rFonts w:ascii="Arial" w:hAnsi="Arial" w:cs="Arial"/>
          <w:bCs/>
          <w:sz w:val="16"/>
          <w:szCs w:val="16"/>
          <w:lang w:val="en-US"/>
        </w:rPr>
      </w:pPr>
    </w:p>
    <w:p w:rsidR="003E45FC" w:rsidRDefault="003E45FC" w:rsidP="001C53F5">
      <w:pPr>
        <w:spacing w:before="240"/>
        <w:contextualSpacing/>
        <w:rPr>
          <w:rFonts w:ascii="Arial" w:hAnsi="Arial" w:cs="Arial"/>
          <w:bCs/>
          <w:sz w:val="16"/>
          <w:szCs w:val="16"/>
          <w:lang w:val="en-US"/>
        </w:rPr>
      </w:pPr>
    </w:p>
    <w:p w:rsidR="00D06B7B" w:rsidRDefault="00D06B7B" w:rsidP="001C53F5">
      <w:pPr>
        <w:spacing w:before="240"/>
        <w:contextualSpacing/>
        <w:rPr>
          <w:rFonts w:ascii="Arial" w:hAnsi="Arial" w:cs="Arial"/>
          <w:bCs/>
          <w:sz w:val="16"/>
          <w:szCs w:val="16"/>
          <w:lang w:val="en-US"/>
        </w:rPr>
      </w:pPr>
    </w:p>
    <w:p w:rsidR="00D06B7B" w:rsidRDefault="00D06B7B" w:rsidP="001C53F5">
      <w:pPr>
        <w:spacing w:before="240"/>
        <w:contextualSpacing/>
        <w:rPr>
          <w:rFonts w:ascii="Arial" w:hAnsi="Arial" w:cs="Arial"/>
          <w:bCs/>
          <w:sz w:val="16"/>
          <w:szCs w:val="16"/>
          <w:lang w:val="en-US"/>
        </w:rPr>
      </w:pPr>
    </w:p>
    <w:p w:rsidR="00081E2A" w:rsidRDefault="00081E2A" w:rsidP="001C53F5">
      <w:pPr>
        <w:spacing w:before="240"/>
        <w:contextualSpacing/>
        <w:rPr>
          <w:rFonts w:ascii="Arial" w:hAnsi="Arial" w:cs="Arial"/>
          <w:bCs/>
          <w:sz w:val="16"/>
          <w:szCs w:val="16"/>
          <w:lang w:val="en-US"/>
        </w:rPr>
      </w:pPr>
    </w:p>
    <w:p w:rsidR="00081E2A" w:rsidRDefault="00081E2A" w:rsidP="001C53F5">
      <w:pPr>
        <w:spacing w:before="240"/>
        <w:contextualSpacing/>
        <w:rPr>
          <w:rFonts w:ascii="Arial" w:hAnsi="Arial" w:cs="Arial"/>
          <w:bCs/>
          <w:sz w:val="16"/>
          <w:szCs w:val="16"/>
          <w:lang w:val="en-US"/>
        </w:rPr>
      </w:pPr>
    </w:p>
    <w:p w:rsidR="007F4772" w:rsidRDefault="007F4772">
      <w:pPr>
        <w:rPr>
          <w:rFonts w:ascii="Arial" w:hAnsi="Arial" w:cs="Arial"/>
          <w:sz w:val="22"/>
          <w:szCs w:val="22"/>
          <w:lang w:val="en-US"/>
        </w:rPr>
      </w:pPr>
    </w:p>
    <w:p w:rsidR="007F4772" w:rsidRDefault="007F4772">
      <w:pPr>
        <w:rPr>
          <w:rFonts w:ascii="Arial" w:hAnsi="Arial" w:cs="Arial"/>
          <w:sz w:val="22"/>
          <w:szCs w:val="22"/>
          <w:lang w:val="en-US"/>
        </w:rPr>
      </w:pPr>
    </w:p>
    <w:p w:rsidR="00081E2A" w:rsidRDefault="00081E2A">
      <w:pPr>
        <w:rPr>
          <w:rFonts w:ascii="Arial" w:hAnsi="Arial" w:cs="Arial"/>
          <w:sz w:val="22"/>
          <w:szCs w:val="22"/>
          <w:lang w:val="en-US"/>
        </w:rPr>
      </w:pPr>
    </w:p>
    <w:p w:rsidR="00E56706" w:rsidRDefault="00232885" w:rsidP="00232885">
      <w:pPr>
        <w:tabs>
          <w:tab w:val="left" w:pos="284"/>
        </w:tabs>
        <w:spacing w:line="3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38330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38330A" w:rsidRPr="0038330A">
        <w:rPr>
          <w:rFonts w:ascii="Arial" w:hAnsi="Arial" w:cs="Arial"/>
          <w:sz w:val="22"/>
          <w:szCs w:val="22"/>
          <w:lang w:val="en-US"/>
        </w:rPr>
        <w:t>2</w:t>
      </w:r>
      <w:r w:rsidR="0038330A" w:rsidRPr="0038330A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0038330A">
        <w:rPr>
          <w:rFonts w:ascii="Arial" w:hAnsi="Arial" w:cs="Arial"/>
          <w:sz w:val="22"/>
          <w:szCs w:val="22"/>
          <w:lang w:val="en-US"/>
        </w:rPr>
        <w:t xml:space="preserve"> quar</w:t>
      </w:r>
      <w:r w:rsidR="00ED5E08" w:rsidRPr="0038330A">
        <w:rPr>
          <w:rFonts w:ascii="Arial" w:hAnsi="Arial" w:cs="Arial"/>
          <w:sz w:val="22"/>
          <w:szCs w:val="22"/>
          <w:lang w:val="en-US"/>
        </w:rPr>
        <w:t>ter of 201</w:t>
      </w:r>
      <w:r w:rsidR="00AD103A" w:rsidRPr="0038330A">
        <w:rPr>
          <w:rFonts w:ascii="Arial" w:hAnsi="Arial" w:cs="Arial"/>
          <w:sz w:val="22"/>
          <w:szCs w:val="22"/>
          <w:lang w:val="en-US"/>
        </w:rPr>
        <w:t>7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 the growth of domestic uses </w:t>
      </w:r>
      <w:r w:rsidR="00377A45" w:rsidRPr="0038330A">
        <w:rPr>
          <w:rFonts w:ascii="Arial" w:hAnsi="Arial" w:cs="Arial"/>
          <w:sz w:val="22"/>
          <w:szCs w:val="22"/>
          <w:lang w:val="en-US"/>
        </w:rPr>
        <w:t xml:space="preserve">was </w:t>
      </w:r>
      <w:r w:rsidR="0038330A" w:rsidRPr="0038330A">
        <w:rPr>
          <w:rFonts w:ascii="Arial" w:hAnsi="Arial" w:cs="Arial"/>
          <w:sz w:val="22"/>
          <w:szCs w:val="22"/>
          <w:lang w:val="en-US"/>
        </w:rPr>
        <w:t>5.6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% </w:t>
      </w:r>
      <w:r w:rsidR="00F1150C">
        <w:rPr>
          <w:rFonts w:ascii="Arial" w:hAnsi="Arial" w:cs="Arial"/>
          <w:sz w:val="22"/>
          <w:szCs w:val="22"/>
          <w:lang w:val="en-US"/>
        </w:rPr>
        <w:t xml:space="preserve">compared with a 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year </w:t>
      </w:r>
      <w:r w:rsidR="00F1150C">
        <w:rPr>
          <w:rFonts w:ascii="Arial" w:hAnsi="Arial" w:cs="Arial"/>
          <w:sz w:val="22"/>
          <w:szCs w:val="22"/>
          <w:lang w:val="en-US"/>
        </w:rPr>
        <w:t>earlier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 and it was </w:t>
      </w:r>
      <w:r w:rsidR="00A97A90" w:rsidRPr="0038330A">
        <w:rPr>
          <w:rFonts w:ascii="Arial" w:hAnsi="Arial" w:cs="Arial"/>
          <w:sz w:val="22"/>
          <w:szCs w:val="22"/>
          <w:lang w:val="en-US"/>
        </w:rPr>
        <w:t>higher</w:t>
      </w:r>
      <w:r w:rsidR="0032786D" w:rsidRPr="0038330A">
        <w:rPr>
          <w:rFonts w:ascii="Arial" w:hAnsi="Arial" w:cs="Arial"/>
          <w:sz w:val="22"/>
          <w:szCs w:val="22"/>
          <w:lang w:val="en-US"/>
        </w:rPr>
        <w:t xml:space="preserve"> than in the </w:t>
      </w:r>
      <w:r w:rsidR="0038330A" w:rsidRPr="0038330A">
        <w:rPr>
          <w:rFonts w:ascii="Arial" w:hAnsi="Arial" w:cs="Arial"/>
          <w:sz w:val="22"/>
          <w:szCs w:val="22"/>
          <w:lang w:val="en-US"/>
        </w:rPr>
        <w:t>1</w:t>
      </w:r>
      <w:r w:rsidR="0038330A" w:rsidRPr="0038330A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32786D" w:rsidRPr="0038330A">
        <w:rPr>
          <w:rFonts w:ascii="Arial" w:hAnsi="Arial" w:cs="Arial"/>
          <w:sz w:val="22"/>
          <w:szCs w:val="22"/>
          <w:lang w:val="en-US"/>
        </w:rPr>
        <w:t xml:space="preserve"> </w:t>
      </w:r>
      <w:r w:rsidR="00467CCB" w:rsidRPr="0038330A">
        <w:rPr>
          <w:rFonts w:ascii="Arial" w:hAnsi="Arial" w:cs="Arial"/>
          <w:sz w:val="22"/>
          <w:szCs w:val="22"/>
          <w:lang w:val="en-US"/>
        </w:rPr>
        <w:t xml:space="preserve">quarter </w:t>
      </w:r>
      <w:r w:rsidR="0032786D" w:rsidRPr="0038330A">
        <w:rPr>
          <w:rFonts w:ascii="Arial" w:hAnsi="Arial" w:cs="Arial"/>
          <w:sz w:val="22"/>
          <w:szCs w:val="22"/>
          <w:lang w:val="en-US"/>
        </w:rPr>
        <w:t>of 201</w:t>
      </w:r>
      <w:r w:rsidR="0038330A" w:rsidRPr="0038330A">
        <w:rPr>
          <w:rFonts w:ascii="Arial" w:hAnsi="Arial" w:cs="Arial"/>
          <w:sz w:val="22"/>
          <w:szCs w:val="22"/>
          <w:lang w:val="en-US"/>
        </w:rPr>
        <w:t>7</w:t>
      </w:r>
      <w:r w:rsidR="0032786D" w:rsidRPr="0038330A">
        <w:rPr>
          <w:rFonts w:ascii="Arial" w:hAnsi="Arial" w:cs="Arial"/>
          <w:sz w:val="22"/>
          <w:szCs w:val="22"/>
          <w:lang w:val="en-US"/>
        </w:rPr>
        <w:t xml:space="preserve"> (</w:t>
      </w:r>
      <w:r w:rsidR="00A97A90" w:rsidRPr="0038330A">
        <w:rPr>
          <w:rFonts w:ascii="Arial" w:hAnsi="Arial" w:cs="Arial"/>
          <w:sz w:val="22"/>
          <w:szCs w:val="22"/>
          <w:lang w:val="en-US"/>
        </w:rPr>
        <w:t xml:space="preserve">the growth of </w:t>
      </w:r>
      <w:r w:rsidR="0038330A" w:rsidRPr="0038330A">
        <w:rPr>
          <w:rFonts w:ascii="Arial" w:hAnsi="Arial" w:cs="Arial"/>
          <w:sz w:val="22"/>
          <w:szCs w:val="22"/>
          <w:lang w:val="en-US"/>
        </w:rPr>
        <w:t>4.1</w:t>
      </w:r>
      <w:r w:rsidR="006F60D5" w:rsidRPr="0038330A">
        <w:rPr>
          <w:rFonts w:ascii="Arial" w:hAnsi="Arial" w:cs="Arial"/>
          <w:sz w:val="22"/>
          <w:szCs w:val="22"/>
          <w:lang w:val="en-US"/>
        </w:rPr>
        <w:t>%).</w:t>
      </w:r>
      <w:r w:rsidR="00CC4694" w:rsidRPr="0038330A">
        <w:rPr>
          <w:rFonts w:ascii="Arial" w:hAnsi="Arial" w:cs="Arial"/>
          <w:sz w:val="22"/>
          <w:szCs w:val="22"/>
          <w:lang w:val="en-US"/>
        </w:rPr>
        <w:t xml:space="preserve"> It </w:t>
      </w:r>
      <w:r w:rsidR="00BF581D" w:rsidRPr="0038330A">
        <w:rPr>
          <w:rFonts w:ascii="Arial" w:hAnsi="Arial" w:cs="Arial"/>
          <w:sz w:val="22"/>
          <w:szCs w:val="22"/>
          <w:lang w:val="en-US"/>
        </w:rPr>
        <w:t>resulted from</w:t>
      </w:r>
      <w:r w:rsidR="00CC4694" w:rsidRPr="0038330A">
        <w:rPr>
          <w:rFonts w:ascii="Arial" w:hAnsi="Arial" w:cs="Arial"/>
          <w:sz w:val="22"/>
          <w:szCs w:val="22"/>
          <w:lang w:val="en-US"/>
        </w:rPr>
        <w:t xml:space="preserve"> 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the </w:t>
      </w:r>
      <w:r w:rsidR="00FC7488" w:rsidRPr="0038330A">
        <w:rPr>
          <w:rFonts w:ascii="Arial" w:hAnsi="Arial" w:cs="Arial"/>
          <w:sz w:val="22"/>
          <w:szCs w:val="22"/>
          <w:lang w:val="en-US"/>
        </w:rPr>
        <w:t>higher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 </w:t>
      </w:r>
      <w:r w:rsidR="0032786D" w:rsidRPr="0038330A">
        <w:rPr>
          <w:rFonts w:ascii="Arial" w:hAnsi="Arial" w:cs="Arial"/>
          <w:sz w:val="22"/>
          <w:szCs w:val="22"/>
          <w:lang w:val="en-US"/>
        </w:rPr>
        <w:t xml:space="preserve">than in </w:t>
      </w:r>
    </w:p>
    <w:p w:rsidR="00BB2C9C" w:rsidRDefault="0032786D" w:rsidP="00232885">
      <w:pPr>
        <w:tabs>
          <w:tab w:val="left" w:pos="284"/>
        </w:tabs>
        <w:spacing w:line="3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38330A">
        <w:rPr>
          <w:rFonts w:ascii="Arial" w:hAnsi="Arial" w:cs="Arial"/>
          <w:sz w:val="22"/>
          <w:szCs w:val="22"/>
          <w:lang w:val="en-US"/>
        </w:rPr>
        <w:t xml:space="preserve">the </w:t>
      </w:r>
      <w:r w:rsidR="0038330A" w:rsidRPr="0038330A">
        <w:rPr>
          <w:rFonts w:ascii="Arial" w:hAnsi="Arial" w:cs="Arial"/>
          <w:sz w:val="22"/>
          <w:szCs w:val="22"/>
          <w:lang w:val="en-US"/>
        </w:rPr>
        <w:t>1</w:t>
      </w:r>
      <w:r w:rsidR="0038330A" w:rsidRPr="0038330A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38330A">
        <w:rPr>
          <w:rFonts w:ascii="Arial" w:hAnsi="Arial" w:cs="Arial"/>
          <w:sz w:val="22"/>
          <w:szCs w:val="22"/>
          <w:lang w:val="en-US"/>
        </w:rPr>
        <w:t xml:space="preserve"> quarter </w:t>
      </w:r>
      <w:r w:rsidR="007F4772" w:rsidRPr="0038330A">
        <w:rPr>
          <w:rFonts w:ascii="Arial" w:hAnsi="Arial" w:cs="Arial"/>
          <w:sz w:val="22"/>
          <w:szCs w:val="22"/>
          <w:lang w:val="en-US"/>
        </w:rPr>
        <w:t>201</w:t>
      </w:r>
      <w:r w:rsidR="0038330A" w:rsidRPr="0038330A">
        <w:rPr>
          <w:rFonts w:ascii="Arial" w:hAnsi="Arial" w:cs="Arial"/>
          <w:sz w:val="22"/>
          <w:szCs w:val="22"/>
          <w:lang w:val="en-US"/>
        </w:rPr>
        <w:t>7</w:t>
      </w:r>
      <w:r w:rsidR="007F4772" w:rsidRPr="0038330A">
        <w:rPr>
          <w:rFonts w:ascii="Arial" w:hAnsi="Arial" w:cs="Arial"/>
          <w:sz w:val="22"/>
          <w:szCs w:val="22"/>
          <w:lang w:val="en-US"/>
        </w:rPr>
        <w:t xml:space="preserve"> </w:t>
      </w:r>
      <w:r w:rsidR="00E56706">
        <w:rPr>
          <w:rFonts w:ascii="Arial" w:hAnsi="Arial" w:cs="Arial"/>
          <w:sz w:val="22"/>
          <w:szCs w:val="22"/>
          <w:lang w:val="en-US"/>
        </w:rPr>
        <w:t xml:space="preserve">the </w:t>
      </w:r>
      <w:r w:rsidRPr="0038330A">
        <w:rPr>
          <w:rFonts w:ascii="Arial" w:hAnsi="Arial" w:cs="Arial"/>
          <w:sz w:val="22"/>
          <w:szCs w:val="22"/>
          <w:lang w:val="en-US"/>
        </w:rPr>
        <w:t xml:space="preserve">increase </w:t>
      </w:r>
      <w:r w:rsidR="006F60D5" w:rsidRPr="0038330A">
        <w:rPr>
          <w:rFonts w:ascii="Arial" w:hAnsi="Arial" w:cs="Arial"/>
          <w:sz w:val="22"/>
          <w:szCs w:val="22"/>
          <w:lang w:val="en-US"/>
        </w:rPr>
        <w:t>in final consumption expenditure</w:t>
      </w:r>
      <w:r w:rsidR="006F60D5" w:rsidRPr="0038330A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which was </w:t>
      </w:r>
      <w:r w:rsidR="0038330A" w:rsidRPr="0038330A">
        <w:rPr>
          <w:rFonts w:ascii="Arial" w:hAnsi="Arial" w:cs="Arial"/>
          <w:sz w:val="22"/>
          <w:szCs w:val="22"/>
          <w:lang w:val="en-US"/>
        </w:rPr>
        <w:t>4.3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% (against </w:t>
      </w:r>
      <w:r w:rsidR="00FC7488" w:rsidRPr="0038330A">
        <w:rPr>
          <w:rFonts w:ascii="Arial" w:hAnsi="Arial" w:cs="Arial"/>
          <w:sz w:val="22"/>
          <w:szCs w:val="22"/>
          <w:lang w:val="en-US"/>
        </w:rPr>
        <w:t>3</w:t>
      </w:r>
      <w:r w:rsidRPr="0038330A">
        <w:rPr>
          <w:rFonts w:ascii="Arial" w:hAnsi="Arial" w:cs="Arial"/>
          <w:sz w:val="22"/>
          <w:szCs w:val="22"/>
          <w:lang w:val="en-US"/>
        </w:rPr>
        <w:t>.</w:t>
      </w:r>
      <w:r w:rsidR="0038330A" w:rsidRPr="0038330A">
        <w:rPr>
          <w:rFonts w:ascii="Arial" w:hAnsi="Arial" w:cs="Arial"/>
          <w:sz w:val="22"/>
          <w:szCs w:val="22"/>
          <w:lang w:val="en-US"/>
        </w:rPr>
        <w:t>9</w:t>
      </w:r>
      <w:r w:rsidR="006F60D5" w:rsidRPr="0038330A">
        <w:rPr>
          <w:rFonts w:ascii="Arial" w:hAnsi="Arial" w:cs="Arial"/>
          <w:sz w:val="22"/>
          <w:szCs w:val="22"/>
          <w:lang w:val="en-US"/>
        </w:rPr>
        <w:t>%</w:t>
      </w:r>
      <w:r w:rsidR="00053A72" w:rsidRPr="0038330A">
        <w:rPr>
          <w:rFonts w:ascii="Arial" w:hAnsi="Arial" w:cs="Arial"/>
          <w:sz w:val="22"/>
          <w:szCs w:val="22"/>
          <w:lang w:val="en-US"/>
        </w:rPr>
        <w:t>)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 </w:t>
      </w:r>
      <w:r w:rsidRPr="0038330A">
        <w:rPr>
          <w:rFonts w:ascii="Arial" w:hAnsi="Arial" w:cs="Arial"/>
          <w:sz w:val="22"/>
          <w:szCs w:val="22"/>
          <w:lang w:val="en-US"/>
        </w:rPr>
        <w:t xml:space="preserve">and 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the </w:t>
      </w:r>
      <w:r w:rsidR="00FC7488" w:rsidRPr="0038330A">
        <w:rPr>
          <w:rFonts w:ascii="Arial" w:hAnsi="Arial" w:cs="Arial"/>
          <w:sz w:val="22"/>
          <w:szCs w:val="22"/>
          <w:lang w:val="en-US"/>
        </w:rPr>
        <w:t>in</w:t>
      </w:r>
      <w:r w:rsidR="008036BB" w:rsidRPr="0038330A">
        <w:rPr>
          <w:rFonts w:ascii="Arial" w:hAnsi="Arial" w:cs="Arial"/>
          <w:sz w:val="22"/>
          <w:szCs w:val="22"/>
          <w:lang w:val="en-US"/>
        </w:rPr>
        <w:t>crease</w:t>
      </w:r>
      <w:r w:rsidR="006F60D5" w:rsidRPr="0038330A">
        <w:rPr>
          <w:rFonts w:ascii="Arial" w:hAnsi="Arial" w:cs="Arial"/>
          <w:sz w:val="22"/>
          <w:szCs w:val="22"/>
          <w:lang w:val="en-US"/>
        </w:rPr>
        <w:t xml:space="preserve"> </w:t>
      </w:r>
      <w:r w:rsidR="008036BB" w:rsidRPr="0038330A">
        <w:rPr>
          <w:rFonts w:ascii="Arial" w:hAnsi="Arial" w:cs="Arial"/>
          <w:sz w:val="22"/>
          <w:szCs w:val="22"/>
          <w:lang w:val="en-US"/>
        </w:rPr>
        <w:t xml:space="preserve">in </w:t>
      </w:r>
      <w:r w:rsidR="001126D8" w:rsidRPr="0038330A">
        <w:rPr>
          <w:rFonts w:ascii="Arial" w:hAnsi="Arial" w:cs="Arial"/>
          <w:sz w:val="22"/>
          <w:szCs w:val="22"/>
          <w:lang w:val="en-US"/>
        </w:rPr>
        <w:t xml:space="preserve">gross capital </w:t>
      </w:r>
      <w:r w:rsidR="001126D8" w:rsidRPr="00842D25">
        <w:rPr>
          <w:rFonts w:ascii="Arial" w:hAnsi="Arial" w:cs="Arial"/>
          <w:sz w:val="22"/>
          <w:szCs w:val="22"/>
          <w:lang w:val="en-US"/>
        </w:rPr>
        <w:t>f</w:t>
      </w:r>
      <w:r w:rsidR="00232885" w:rsidRPr="00842D25">
        <w:rPr>
          <w:rFonts w:ascii="Arial" w:hAnsi="Arial" w:cs="Arial"/>
          <w:sz w:val="22"/>
          <w:szCs w:val="22"/>
          <w:lang w:val="en-US"/>
        </w:rPr>
        <w:t xml:space="preserve">ormation </w:t>
      </w:r>
      <w:r w:rsidR="00020013" w:rsidRPr="00842D25">
        <w:rPr>
          <w:rFonts w:ascii="Arial" w:hAnsi="Arial" w:cs="Arial"/>
          <w:sz w:val="22"/>
          <w:szCs w:val="22"/>
          <w:lang w:val="en-US"/>
        </w:rPr>
        <w:t xml:space="preserve">by </w:t>
      </w:r>
      <w:r w:rsidR="0038330A" w:rsidRPr="00842D25">
        <w:rPr>
          <w:rFonts w:ascii="Arial" w:hAnsi="Arial" w:cs="Arial"/>
          <w:sz w:val="22"/>
          <w:szCs w:val="22"/>
          <w:lang w:val="en-US"/>
        </w:rPr>
        <w:t>11.5</w:t>
      </w:r>
      <w:r w:rsidR="00CC4694" w:rsidRPr="00842D25">
        <w:rPr>
          <w:rFonts w:ascii="Arial" w:hAnsi="Arial" w:cs="Arial"/>
          <w:sz w:val="22"/>
          <w:szCs w:val="22"/>
          <w:lang w:val="en-US"/>
        </w:rPr>
        <w:t xml:space="preserve">% </w:t>
      </w:r>
      <w:r w:rsidR="008036BB" w:rsidRPr="00842D25">
        <w:rPr>
          <w:rFonts w:ascii="Arial" w:hAnsi="Arial" w:cs="Arial"/>
          <w:sz w:val="22"/>
          <w:szCs w:val="22"/>
          <w:lang w:val="en-US"/>
        </w:rPr>
        <w:t>(</w:t>
      </w:r>
      <w:r w:rsidR="0038330A" w:rsidRPr="00842D25">
        <w:rPr>
          <w:rFonts w:ascii="Arial" w:hAnsi="Arial" w:cs="Arial"/>
          <w:sz w:val="22"/>
          <w:szCs w:val="22"/>
          <w:lang w:val="en-US"/>
        </w:rPr>
        <w:t>against 5.2%</w:t>
      </w:r>
      <w:r w:rsidR="008036BB" w:rsidRPr="00842D25">
        <w:rPr>
          <w:rFonts w:ascii="Arial" w:hAnsi="Arial" w:cs="Arial"/>
          <w:sz w:val="22"/>
          <w:szCs w:val="22"/>
          <w:lang w:val="en-US"/>
        </w:rPr>
        <w:t xml:space="preserve"> in the </w:t>
      </w:r>
      <w:r w:rsidR="0038330A" w:rsidRPr="00842D25">
        <w:rPr>
          <w:rFonts w:ascii="Arial" w:hAnsi="Arial" w:cs="Arial"/>
          <w:sz w:val="22"/>
          <w:szCs w:val="22"/>
          <w:lang w:val="en-US"/>
        </w:rPr>
        <w:t>1</w:t>
      </w:r>
      <w:r w:rsidR="0038330A" w:rsidRPr="00842D25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8036BB" w:rsidRPr="00842D25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467CCB" w:rsidRPr="00842D25">
        <w:rPr>
          <w:rFonts w:ascii="Arial" w:hAnsi="Arial" w:cs="Arial"/>
          <w:sz w:val="22"/>
          <w:szCs w:val="22"/>
          <w:lang w:val="en-US"/>
        </w:rPr>
        <w:t xml:space="preserve">quarter </w:t>
      </w:r>
      <w:r w:rsidRPr="00842D25">
        <w:rPr>
          <w:rFonts w:ascii="Arial" w:hAnsi="Arial" w:cs="Arial"/>
          <w:sz w:val="22"/>
          <w:szCs w:val="22"/>
          <w:lang w:val="en-US"/>
        </w:rPr>
        <w:t>of 201</w:t>
      </w:r>
      <w:r w:rsidR="0038330A" w:rsidRPr="00842D25">
        <w:rPr>
          <w:rFonts w:ascii="Arial" w:hAnsi="Arial" w:cs="Arial"/>
          <w:sz w:val="22"/>
          <w:szCs w:val="22"/>
          <w:lang w:val="en-US"/>
        </w:rPr>
        <w:t>7</w:t>
      </w:r>
      <w:r w:rsidR="008036BB" w:rsidRPr="00842D25">
        <w:rPr>
          <w:rFonts w:ascii="Arial" w:hAnsi="Arial" w:cs="Arial"/>
          <w:sz w:val="22"/>
          <w:szCs w:val="22"/>
          <w:lang w:val="en-US"/>
        </w:rPr>
        <w:t xml:space="preserve">). </w:t>
      </w:r>
      <w:r w:rsidR="007F4772" w:rsidRPr="00842D25">
        <w:rPr>
          <w:rFonts w:ascii="Arial" w:hAnsi="Arial" w:cs="Arial"/>
          <w:sz w:val="22"/>
          <w:szCs w:val="22"/>
          <w:lang w:val="en-US"/>
        </w:rPr>
        <w:t>C</w:t>
      </w:r>
      <w:r w:rsidR="008036BB" w:rsidRPr="00842D25">
        <w:rPr>
          <w:rFonts w:ascii="Arial" w:hAnsi="Arial" w:cs="Arial"/>
          <w:sz w:val="22"/>
          <w:szCs w:val="22"/>
          <w:lang w:val="en-US"/>
        </w:rPr>
        <w:t xml:space="preserve">onsumption expenditure in the households sector rose by </w:t>
      </w:r>
      <w:r w:rsidRPr="00842D25">
        <w:rPr>
          <w:rFonts w:ascii="Arial" w:hAnsi="Arial" w:cs="Arial"/>
          <w:sz w:val="22"/>
          <w:szCs w:val="22"/>
          <w:lang w:val="en-US"/>
        </w:rPr>
        <w:t>4.</w:t>
      </w:r>
      <w:r w:rsidR="00842D25" w:rsidRPr="00842D25">
        <w:rPr>
          <w:rFonts w:ascii="Arial" w:hAnsi="Arial" w:cs="Arial"/>
          <w:sz w:val="22"/>
          <w:szCs w:val="22"/>
          <w:lang w:val="en-US"/>
        </w:rPr>
        <w:t>9</w:t>
      </w:r>
      <w:r w:rsidR="008036BB" w:rsidRPr="00842D25">
        <w:rPr>
          <w:rFonts w:ascii="Arial" w:hAnsi="Arial" w:cs="Arial"/>
          <w:sz w:val="22"/>
          <w:szCs w:val="22"/>
          <w:lang w:val="en-US"/>
        </w:rPr>
        <w:t xml:space="preserve">% </w:t>
      </w:r>
      <w:r w:rsidR="00B07C0E" w:rsidRPr="00842D25">
        <w:rPr>
          <w:rFonts w:ascii="Arial" w:hAnsi="Arial" w:cs="Arial"/>
          <w:sz w:val="22"/>
          <w:szCs w:val="22"/>
          <w:lang w:val="en-US"/>
        </w:rPr>
        <w:t xml:space="preserve">than a year earlier </w:t>
      </w:r>
      <w:r w:rsidR="00467CCB" w:rsidRPr="00842D25">
        <w:rPr>
          <w:rFonts w:ascii="Arial" w:hAnsi="Arial" w:cs="Arial"/>
          <w:sz w:val="22"/>
          <w:szCs w:val="22"/>
          <w:lang w:val="en-US"/>
        </w:rPr>
        <w:t xml:space="preserve">and </w:t>
      </w:r>
      <w:r w:rsidR="007F4772" w:rsidRPr="00842D25">
        <w:rPr>
          <w:rFonts w:ascii="Arial" w:hAnsi="Arial" w:cs="Arial"/>
          <w:sz w:val="22"/>
          <w:szCs w:val="22"/>
          <w:lang w:val="en-US"/>
        </w:rPr>
        <w:t xml:space="preserve">it </w:t>
      </w:r>
      <w:r w:rsidR="00467CCB" w:rsidRPr="00842D25">
        <w:rPr>
          <w:rFonts w:ascii="Arial" w:hAnsi="Arial" w:cs="Arial"/>
          <w:sz w:val="22"/>
          <w:szCs w:val="22"/>
          <w:lang w:val="en-US"/>
        </w:rPr>
        <w:t>was higher than</w:t>
      </w:r>
      <w:r w:rsidR="00BF581D" w:rsidRPr="00842D25">
        <w:rPr>
          <w:rFonts w:ascii="Arial" w:hAnsi="Arial" w:cs="Arial"/>
          <w:sz w:val="22"/>
          <w:szCs w:val="22"/>
          <w:lang w:val="en-US"/>
        </w:rPr>
        <w:t xml:space="preserve"> </w:t>
      </w:r>
      <w:r w:rsidR="00B07C0E" w:rsidRPr="00842D25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2D25" w:rsidRPr="00842D25">
        <w:rPr>
          <w:rFonts w:ascii="Arial" w:hAnsi="Arial" w:cs="Arial"/>
          <w:sz w:val="22"/>
          <w:szCs w:val="22"/>
          <w:lang w:val="en-US"/>
        </w:rPr>
        <w:t>1</w:t>
      </w:r>
      <w:r w:rsidR="00842D25" w:rsidRPr="00842D25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551A0C" w:rsidRPr="00842D25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467CCB" w:rsidRPr="00842D25">
        <w:rPr>
          <w:rFonts w:ascii="Arial" w:hAnsi="Arial" w:cs="Arial"/>
          <w:sz w:val="22"/>
          <w:szCs w:val="22"/>
          <w:lang w:val="en-US"/>
        </w:rPr>
        <w:t xml:space="preserve">quarter </w:t>
      </w:r>
      <w:r w:rsidR="00B67E69" w:rsidRPr="00842D25">
        <w:rPr>
          <w:rFonts w:ascii="Arial" w:hAnsi="Arial" w:cs="Arial"/>
          <w:sz w:val="22"/>
          <w:szCs w:val="22"/>
          <w:lang w:val="en-US"/>
        </w:rPr>
        <w:t>of 201</w:t>
      </w:r>
      <w:r w:rsidR="00842D25" w:rsidRPr="00842D25">
        <w:rPr>
          <w:rFonts w:ascii="Arial" w:hAnsi="Arial" w:cs="Arial"/>
          <w:sz w:val="22"/>
          <w:szCs w:val="22"/>
          <w:lang w:val="en-US"/>
        </w:rPr>
        <w:t>7</w:t>
      </w:r>
      <w:r w:rsidR="00B67E69" w:rsidRPr="00842D25">
        <w:rPr>
          <w:rFonts w:ascii="Arial" w:hAnsi="Arial" w:cs="Arial"/>
          <w:sz w:val="22"/>
          <w:szCs w:val="22"/>
          <w:lang w:val="en-US"/>
        </w:rPr>
        <w:t xml:space="preserve"> (</w:t>
      </w:r>
      <w:r w:rsidR="00A97A90" w:rsidRPr="00842D25">
        <w:rPr>
          <w:rFonts w:ascii="Arial" w:hAnsi="Arial" w:cs="Arial"/>
          <w:sz w:val="22"/>
          <w:szCs w:val="22"/>
          <w:lang w:val="en-US"/>
        </w:rPr>
        <w:t xml:space="preserve">the growth of </w:t>
      </w:r>
      <w:r w:rsidR="00FC7488" w:rsidRPr="00842D25">
        <w:rPr>
          <w:rFonts w:ascii="Arial" w:hAnsi="Arial" w:cs="Arial"/>
          <w:sz w:val="22"/>
          <w:szCs w:val="22"/>
          <w:lang w:val="en-US"/>
        </w:rPr>
        <w:t>4.</w:t>
      </w:r>
      <w:r w:rsidR="00842D25" w:rsidRPr="00842D25">
        <w:rPr>
          <w:rFonts w:ascii="Arial" w:hAnsi="Arial" w:cs="Arial"/>
          <w:sz w:val="22"/>
          <w:szCs w:val="22"/>
          <w:lang w:val="en-US"/>
        </w:rPr>
        <w:t>7</w:t>
      </w:r>
      <w:r w:rsidR="00B07C0E" w:rsidRPr="00842D25">
        <w:rPr>
          <w:rFonts w:ascii="Arial" w:hAnsi="Arial" w:cs="Arial"/>
          <w:sz w:val="22"/>
          <w:szCs w:val="22"/>
          <w:lang w:val="en-US"/>
        </w:rPr>
        <w:t xml:space="preserve">%). </w:t>
      </w:r>
      <w:r w:rsidR="00B07C0E" w:rsidRPr="00E07C0E">
        <w:rPr>
          <w:rFonts w:ascii="Arial" w:hAnsi="Arial" w:cs="Arial"/>
          <w:sz w:val="22"/>
          <w:szCs w:val="22"/>
          <w:lang w:val="en-US"/>
        </w:rPr>
        <w:t xml:space="preserve">The </w:t>
      </w:r>
      <w:r w:rsidR="00A97A90" w:rsidRPr="00E07C0E">
        <w:rPr>
          <w:rFonts w:ascii="Arial" w:hAnsi="Arial" w:cs="Arial"/>
          <w:sz w:val="22"/>
          <w:szCs w:val="22"/>
          <w:lang w:val="en-US"/>
        </w:rPr>
        <w:t>growth</w:t>
      </w:r>
      <w:r w:rsidR="00B07C0E" w:rsidRPr="00E07C0E">
        <w:rPr>
          <w:rFonts w:ascii="Arial" w:hAnsi="Arial" w:cs="Arial"/>
          <w:sz w:val="22"/>
          <w:szCs w:val="22"/>
          <w:lang w:val="en-US"/>
        </w:rPr>
        <w:t xml:space="preserve"> of gross capital formation in the </w:t>
      </w:r>
      <w:r w:rsidR="00886ACE" w:rsidRPr="00E07C0E">
        <w:rPr>
          <w:rFonts w:ascii="Arial" w:hAnsi="Arial" w:cs="Arial"/>
          <w:sz w:val="22"/>
          <w:szCs w:val="22"/>
          <w:lang w:val="en-US"/>
        </w:rPr>
        <w:t>2</w:t>
      </w:r>
      <w:r w:rsidR="00886ACE" w:rsidRPr="00E07C0E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="00A97A90" w:rsidRPr="00E07C0E">
        <w:rPr>
          <w:rFonts w:ascii="Arial" w:hAnsi="Arial" w:cs="Arial"/>
          <w:sz w:val="22"/>
          <w:szCs w:val="22"/>
          <w:lang w:val="en-US"/>
        </w:rPr>
        <w:t xml:space="preserve"> quarter of 2017</w:t>
      </w:r>
      <w:r w:rsidR="00B07C0E" w:rsidRPr="00E07C0E">
        <w:rPr>
          <w:rFonts w:ascii="Arial" w:hAnsi="Arial" w:cs="Arial"/>
          <w:sz w:val="22"/>
          <w:szCs w:val="22"/>
          <w:lang w:val="en-US"/>
        </w:rPr>
        <w:t xml:space="preserve"> resulted from </w:t>
      </w:r>
      <w:r w:rsidR="00A97A90" w:rsidRPr="00E56706">
        <w:rPr>
          <w:rFonts w:ascii="Arial" w:hAnsi="Arial" w:cs="Arial"/>
          <w:sz w:val="22"/>
          <w:szCs w:val="22"/>
          <w:lang w:val="en-US"/>
        </w:rPr>
        <w:t xml:space="preserve">the </w:t>
      </w:r>
      <w:r w:rsidR="00E07C0E" w:rsidRPr="00E56706">
        <w:rPr>
          <w:rFonts w:ascii="Arial" w:hAnsi="Arial" w:cs="Arial"/>
          <w:sz w:val="22"/>
          <w:szCs w:val="22"/>
          <w:lang w:val="en-US"/>
        </w:rPr>
        <w:t xml:space="preserve">significant increase </w:t>
      </w:r>
      <w:r w:rsidR="00A97A90" w:rsidRPr="00E07C0E">
        <w:rPr>
          <w:rFonts w:ascii="Arial" w:hAnsi="Arial" w:cs="Arial"/>
          <w:sz w:val="22"/>
          <w:szCs w:val="22"/>
          <w:lang w:val="en-US"/>
        </w:rPr>
        <w:t>of changes in inventories with</w:t>
      </w:r>
      <w:r w:rsidR="008F2CA7" w:rsidRPr="00E07C0E">
        <w:rPr>
          <w:rFonts w:ascii="Arial" w:hAnsi="Arial" w:cs="Arial"/>
          <w:sz w:val="22"/>
          <w:szCs w:val="22"/>
          <w:lang w:val="en-US"/>
        </w:rPr>
        <w:t>,</w:t>
      </w:r>
      <w:r w:rsidR="00A97A90" w:rsidRPr="00E07C0E">
        <w:rPr>
          <w:rFonts w:ascii="Arial" w:hAnsi="Arial" w:cs="Arial"/>
          <w:sz w:val="22"/>
          <w:szCs w:val="22"/>
          <w:lang w:val="en-US"/>
        </w:rPr>
        <w:t xml:space="preserve"> </w:t>
      </w:r>
      <w:r w:rsidR="00E56706" w:rsidRPr="00E56706">
        <w:rPr>
          <w:rFonts w:ascii="Arial" w:hAnsi="Arial" w:cs="Arial"/>
          <w:sz w:val="22"/>
          <w:szCs w:val="22"/>
          <w:lang w:val="en-US"/>
        </w:rPr>
        <w:t>recorded for</w:t>
      </w:r>
      <w:r w:rsidR="00E07C0E" w:rsidRPr="00E56706">
        <w:rPr>
          <w:rFonts w:ascii="Arial" w:hAnsi="Arial" w:cs="Arial"/>
          <w:sz w:val="22"/>
          <w:szCs w:val="22"/>
          <w:lang w:val="en-US"/>
        </w:rPr>
        <w:t xml:space="preserve"> the first time</w:t>
      </w:r>
      <w:r w:rsidR="00E56706" w:rsidRPr="00E56706">
        <w:rPr>
          <w:rFonts w:ascii="Arial" w:hAnsi="Arial" w:cs="Arial"/>
          <w:sz w:val="22"/>
          <w:szCs w:val="22"/>
          <w:lang w:val="en-US"/>
        </w:rPr>
        <w:t xml:space="preserve"> since the</w:t>
      </w:r>
      <w:r w:rsidR="00E07C0E" w:rsidRPr="00E56706">
        <w:rPr>
          <w:rFonts w:ascii="Arial" w:hAnsi="Arial" w:cs="Arial"/>
          <w:sz w:val="22"/>
          <w:szCs w:val="22"/>
          <w:lang w:val="en-US"/>
        </w:rPr>
        <w:t xml:space="preserve"> 4</w:t>
      </w:r>
      <w:r w:rsidR="00E07C0E" w:rsidRPr="00E56706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E07C0E" w:rsidRPr="00E56706">
        <w:rPr>
          <w:rFonts w:ascii="Arial" w:hAnsi="Arial" w:cs="Arial"/>
          <w:sz w:val="22"/>
          <w:szCs w:val="22"/>
          <w:lang w:val="en-US"/>
        </w:rPr>
        <w:t xml:space="preserve"> quarter of 2015,</w:t>
      </w:r>
      <w:r w:rsidR="00E07C0E" w:rsidRPr="00466B16">
        <w:rPr>
          <w:rFonts w:ascii="Arial" w:hAnsi="Arial" w:cs="Arial"/>
          <w:sz w:val="22"/>
          <w:szCs w:val="22"/>
          <w:lang w:val="en-US"/>
        </w:rPr>
        <w:t xml:space="preserve"> </w:t>
      </w:r>
      <w:r w:rsidR="00B07C0E" w:rsidRPr="00466B16">
        <w:rPr>
          <w:rFonts w:ascii="Arial" w:hAnsi="Arial" w:cs="Arial"/>
          <w:sz w:val="22"/>
          <w:szCs w:val="22"/>
          <w:lang w:val="en-US"/>
        </w:rPr>
        <w:t xml:space="preserve">the </w:t>
      </w:r>
      <w:r w:rsidR="00E07C0E" w:rsidRPr="00466B16">
        <w:rPr>
          <w:rFonts w:ascii="Arial" w:hAnsi="Arial" w:cs="Arial"/>
          <w:sz w:val="22"/>
          <w:szCs w:val="22"/>
          <w:lang w:val="en-US"/>
        </w:rPr>
        <w:t>growth</w:t>
      </w:r>
      <w:r w:rsidR="00B07C0E" w:rsidRPr="00466B16">
        <w:rPr>
          <w:rFonts w:ascii="Arial" w:hAnsi="Arial" w:cs="Arial"/>
          <w:sz w:val="22"/>
          <w:szCs w:val="22"/>
          <w:lang w:val="en-US"/>
        </w:rPr>
        <w:t xml:space="preserve"> in gros</w:t>
      </w:r>
      <w:r w:rsidR="00B67E69" w:rsidRPr="00466B16">
        <w:rPr>
          <w:rFonts w:ascii="Arial" w:hAnsi="Arial" w:cs="Arial"/>
          <w:sz w:val="22"/>
          <w:szCs w:val="22"/>
          <w:lang w:val="en-US"/>
        </w:rPr>
        <w:t xml:space="preserve">s fixed capital formation by </w:t>
      </w:r>
      <w:r w:rsidR="001969F4" w:rsidRPr="00466B16">
        <w:rPr>
          <w:rFonts w:ascii="Arial" w:hAnsi="Arial" w:cs="Arial"/>
          <w:sz w:val="22"/>
          <w:szCs w:val="22"/>
          <w:lang w:val="en-US"/>
        </w:rPr>
        <w:t>0.</w:t>
      </w:r>
      <w:r w:rsidR="00E07C0E" w:rsidRPr="00466B16">
        <w:rPr>
          <w:rFonts w:ascii="Arial" w:hAnsi="Arial" w:cs="Arial"/>
          <w:sz w:val="22"/>
          <w:szCs w:val="22"/>
          <w:lang w:val="en-US"/>
        </w:rPr>
        <w:t>8</w:t>
      </w:r>
      <w:r w:rsidR="00B07C0E" w:rsidRPr="00466B16">
        <w:rPr>
          <w:rFonts w:ascii="Arial" w:hAnsi="Arial" w:cs="Arial"/>
          <w:sz w:val="22"/>
          <w:szCs w:val="22"/>
          <w:lang w:val="en-US"/>
        </w:rPr>
        <w:t>%</w:t>
      </w:r>
      <w:r w:rsidR="007F4772" w:rsidRPr="00466B16">
        <w:rPr>
          <w:rFonts w:ascii="Arial" w:hAnsi="Arial" w:cs="Arial"/>
          <w:sz w:val="22"/>
          <w:szCs w:val="22"/>
          <w:lang w:val="en-US"/>
        </w:rPr>
        <w:t>.</w:t>
      </w:r>
      <w:r w:rsidR="001668A6" w:rsidRPr="00466B16">
        <w:rPr>
          <w:rFonts w:ascii="Arial" w:hAnsi="Arial" w:cs="Arial"/>
          <w:sz w:val="22"/>
          <w:szCs w:val="22"/>
          <w:lang w:val="en-US"/>
        </w:rPr>
        <w:t xml:space="preserve"> </w:t>
      </w:r>
      <w:r w:rsidR="00B07C0E" w:rsidRPr="00466B16">
        <w:rPr>
          <w:rFonts w:ascii="Arial" w:hAnsi="Arial" w:cs="Arial"/>
          <w:sz w:val="22"/>
          <w:szCs w:val="22"/>
          <w:lang w:val="en-US"/>
        </w:rPr>
        <w:t xml:space="preserve">On the whole, the influence of domestic </w:t>
      </w:r>
      <w:r w:rsidR="00B67E69" w:rsidRPr="00466B16">
        <w:rPr>
          <w:rFonts w:ascii="Arial" w:hAnsi="Arial" w:cs="Arial"/>
          <w:sz w:val="22"/>
          <w:szCs w:val="22"/>
          <w:lang w:val="en-US"/>
        </w:rPr>
        <w:t>uses on economic growth was +</w:t>
      </w:r>
      <w:r w:rsidR="00466B16" w:rsidRPr="00466B16">
        <w:rPr>
          <w:rFonts w:ascii="Arial" w:hAnsi="Arial" w:cs="Arial"/>
          <w:sz w:val="22"/>
          <w:szCs w:val="22"/>
          <w:lang w:val="en-US"/>
        </w:rPr>
        <w:t xml:space="preserve">5.4 </w:t>
      </w:r>
      <w:r w:rsidR="0016745F" w:rsidRPr="00466B16">
        <w:rPr>
          <w:rFonts w:ascii="Arial" w:hAnsi="Arial" w:cs="Arial"/>
          <w:sz w:val="22"/>
          <w:szCs w:val="22"/>
          <w:lang w:val="en-US"/>
        </w:rPr>
        <w:t>percentage points (against +</w:t>
      </w:r>
      <w:r w:rsidR="00466B16" w:rsidRPr="00466B16">
        <w:rPr>
          <w:rFonts w:ascii="Arial" w:hAnsi="Arial" w:cs="Arial"/>
          <w:sz w:val="22"/>
          <w:szCs w:val="22"/>
          <w:lang w:val="en-US"/>
        </w:rPr>
        <w:t>3.9</w:t>
      </w:r>
      <w:r w:rsidR="00B07C0E" w:rsidRPr="00466B16">
        <w:rPr>
          <w:rFonts w:ascii="Arial" w:hAnsi="Arial" w:cs="Arial"/>
          <w:sz w:val="22"/>
          <w:szCs w:val="22"/>
          <w:lang w:val="en-US"/>
        </w:rPr>
        <w:t xml:space="preserve"> percentage points in </w:t>
      </w:r>
      <w:r w:rsidR="00E670EA" w:rsidRPr="00466B16">
        <w:rPr>
          <w:rFonts w:ascii="Arial" w:hAnsi="Arial" w:cs="Arial"/>
          <w:sz w:val="22"/>
          <w:szCs w:val="22"/>
          <w:lang w:val="en-US"/>
        </w:rPr>
        <w:t xml:space="preserve">the </w:t>
      </w:r>
      <w:r w:rsidR="00466B16" w:rsidRPr="00466B16">
        <w:rPr>
          <w:rFonts w:ascii="Arial" w:hAnsi="Arial" w:cs="Arial"/>
          <w:sz w:val="22"/>
          <w:szCs w:val="22"/>
          <w:lang w:val="en-US"/>
        </w:rPr>
        <w:t>1</w:t>
      </w:r>
      <w:r w:rsidR="00466B16" w:rsidRPr="00466B16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B67E69" w:rsidRPr="00466B16">
        <w:rPr>
          <w:rFonts w:ascii="Arial" w:hAnsi="Arial" w:cs="Arial"/>
          <w:sz w:val="22"/>
          <w:szCs w:val="22"/>
          <w:lang w:val="en-US"/>
        </w:rPr>
        <w:t xml:space="preserve"> </w:t>
      </w:r>
      <w:r w:rsidR="00467CCB" w:rsidRPr="00466B16">
        <w:rPr>
          <w:rFonts w:ascii="Arial" w:hAnsi="Arial" w:cs="Arial"/>
          <w:sz w:val="22"/>
          <w:szCs w:val="22"/>
          <w:lang w:val="en-US"/>
        </w:rPr>
        <w:t xml:space="preserve">quarter </w:t>
      </w:r>
      <w:r w:rsidR="00B07C0E" w:rsidRPr="00466B16">
        <w:rPr>
          <w:rFonts w:ascii="Arial" w:hAnsi="Arial" w:cs="Arial"/>
          <w:sz w:val="22"/>
          <w:szCs w:val="22"/>
          <w:lang w:val="en-US"/>
        </w:rPr>
        <w:t>of 201</w:t>
      </w:r>
      <w:r w:rsidR="00466B16" w:rsidRPr="00466B16">
        <w:rPr>
          <w:rFonts w:ascii="Arial" w:hAnsi="Arial" w:cs="Arial"/>
          <w:sz w:val="22"/>
          <w:szCs w:val="22"/>
          <w:lang w:val="en-US"/>
        </w:rPr>
        <w:t>7</w:t>
      </w:r>
      <w:r w:rsidR="00B07C0E" w:rsidRPr="00C23985">
        <w:rPr>
          <w:rFonts w:ascii="Arial" w:hAnsi="Arial" w:cs="Arial"/>
          <w:sz w:val="22"/>
          <w:szCs w:val="22"/>
          <w:lang w:val="en-US"/>
        </w:rPr>
        <w:t xml:space="preserve">). </w:t>
      </w:r>
      <w:r w:rsidR="00F63F17" w:rsidRPr="00C23985">
        <w:rPr>
          <w:rFonts w:ascii="Arial" w:hAnsi="Arial" w:cs="Arial"/>
          <w:sz w:val="22"/>
          <w:szCs w:val="22"/>
          <w:lang w:val="en-US"/>
        </w:rPr>
        <w:t>It was made by t</w:t>
      </w:r>
      <w:r w:rsidR="00467CCB" w:rsidRPr="00C23985">
        <w:rPr>
          <w:rFonts w:ascii="Arial" w:hAnsi="Arial" w:cs="Arial"/>
          <w:sz w:val="22"/>
          <w:szCs w:val="22"/>
          <w:lang w:val="en-US"/>
        </w:rPr>
        <w:t>he positive contribution of final consum</w:t>
      </w:r>
      <w:r w:rsidR="00B67E69" w:rsidRPr="00C23985">
        <w:rPr>
          <w:rFonts w:ascii="Arial" w:hAnsi="Arial" w:cs="Arial"/>
          <w:sz w:val="22"/>
          <w:szCs w:val="22"/>
          <w:lang w:val="en-US"/>
        </w:rPr>
        <w:t>ption expenditure which was +</w:t>
      </w:r>
      <w:r w:rsidR="001969F4" w:rsidRPr="00C23985">
        <w:rPr>
          <w:rFonts w:ascii="Arial" w:hAnsi="Arial" w:cs="Arial"/>
          <w:sz w:val="22"/>
          <w:szCs w:val="22"/>
          <w:lang w:val="en-US"/>
        </w:rPr>
        <w:t>3.</w:t>
      </w:r>
      <w:r w:rsidR="00C23985" w:rsidRPr="00C23985">
        <w:rPr>
          <w:rFonts w:ascii="Arial" w:hAnsi="Arial" w:cs="Arial"/>
          <w:sz w:val="22"/>
          <w:szCs w:val="22"/>
          <w:lang w:val="en-US"/>
        </w:rPr>
        <w:t>4</w:t>
      </w:r>
      <w:r w:rsidR="00B67E69" w:rsidRPr="00C23985">
        <w:rPr>
          <w:rFonts w:ascii="Arial" w:hAnsi="Arial" w:cs="Arial"/>
          <w:sz w:val="22"/>
          <w:szCs w:val="22"/>
          <w:lang w:val="en-US"/>
        </w:rPr>
        <w:t xml:space="preserve"> percentage points (against +</w:t>
      </w:r>
      <w:r w:rsidR="00C23985" w:rsidRPr="00C23985">
        <w:rPr>
          <w:rFonts w:ascii="Arial" w:hAnsi="Arial" w:cs="Arial"/>
          <w:sz w:val="22"/>
          <w:szCs w:val="22"/>
          <w:lang w:val="en-US"/>
        </w:rPr>
        <w:t>3.2</w:t>
      </w:r>
      <w:r w:rsidR="00467CCB" w:rsidRPr="00C23985">
        <w:rPr>
          <w:rFonts w:ascii="Arial" w:hAnsi="Arial" w:cs="Arial"/>
          <w:sz w:val="22"/>
          <w:szCs w:val="22"/>
          <w:lang w:val="en-US"/>
        </w:rPr>
        <w:t xml:space="preserve"> percentage points in </w:t>
      </w:r>
      <w:r w:rsidR="00E670EA" w:rsidRPr="00C23985">
        <w:rPr>
          <w:rFonts w:ascii="Arial" w:hAnsi="Arial" w:cs="Arial"/>
          <w:sz w:val="22"/>
          <w:szCs w:val="22"/>
          <w:lang w:val="en-US"/>
        </w:rPr>
        <w:t xml:space="preserve">the </w:t>
      </w:r>
      <w:r w:rsidR="00C23985" w:rsidRPr="00C23985">
        <w:rPr>
          <w:rFonts w:ascii="Arial" w:hAnsi="Arial" w:cs="Arial"/>
          <w:sz w:val="22"/>
          <w:szCs w:val="22"/>
          <w:lang w:val="en-US"/>
        </w:rPr>
        <w:t>1</w:t>
      </w:r>
      <w:r w:rsidR="00C23985" w:rsidRPr="00C23985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467CCB" w:rsidRPr="00C23985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3D1A3B" w:rsidRPr="00C23985">
        <w:rPr>
          <w:rFonts w:ascii="Arial" w:hAnsi="Arial" w:cs="Arial"/>
          <w:sz w:val="22"/>
          <w:szCs w:val="22"/>
          <w:lang w:val="en-US"/>
        </w:rPr>
        <w:t xml:space="preserve">quarter </w:t>
      </w:r>
      <w:r w:rsidR="00467CCB" w:rsidRPr="00C23985">
        <w:rPr>
          <w:rFonts w:ascii="Arial" w:hAnsi="Arial" w:cs="Arial"/>
          <w:sz w:val="22"/>
          <w:szCs w:val="22"/>
          <w:lang w:val="en-US"/>
        </w:rPr>
        <w:t>of 201</w:t>
      </w:r>
      <w:r w:rsidR="00C23985" w:rsidRPr="00C23985">
        <w:rPr>
          <w:rFonts w:ascii="Arial" w:hAnsi="Arial" w:cs="Arial"/>
          <w:sz w:val="22"/>
          <w:szCs w:val="22"/>
          <w:lang w:val="en-US"/>
        </w:rPr>
        <w:t>7</w:t>
      </w:r>
      <w:r w:rsidR="00467CCB" w:rsidRPr="00C23985">
        <w:rPr>
          <w:rFonts w:ascii="Arial" w:hAnsi="Arial" w:cs="Arial"/>
          <w:sz w:val="22"/>
          <w:szCs w:val="22"/>
          <w:lang w:val="en-US"/>
        </w:rPr>
        <w:t>), of which the impact of the consumption expen</w:t>
      </w:r>
      <w:r w:rsidR="00B67E69" w:rsidRPr="00C23985">
        <w:rPr>
          <w:rFonts w:ascii="Arial" w:hAnsi="Arial" w:cs="Arial"/>
          <w:sz w:val="22"/>
          <w:szCs w:val="22"/>
          <w:lang w:val="en-US"/>
        </w:rPr>
        <w:t>diture in households sector +</w:t>
      </w:r>
      <w:r w:rsidR="00C23985" w:rsidRPr="00C23985">
        <w:rPr>
          <w:rFonts w:ascii="Arial" w:hAnsi="Arial" w:cs="Arial"/>
          <w:sz w:val="22"/>
          <w:szCs w:val="22"/>
          <w:lang w:val="en-US"/>
        </w:rPr>
        <w:t>2.9</w:t>
      </w:r>
      <w:r w:rsidR="001969F4" w:rsidRPr="00C23985">
        <w:rPr>
          <w:rFonts w:ascii="Arial" w:hAnsi="Arial" w:cs="Arial"/>
          <w:sz w:val="22"/>
          <w:szCs w:val="22"/>
          <w:lang w:val="en-US"/>
        </w:rPr>
        <w:t xml:space="preserve"> </w:t>
      </w:r>
      <w:r w:rsidR="00467CCB" w:rsidRPr="00C23985">
        <w:rPr>
          <w:rFonts w:ascii="Arial" w:hAnsi="Arial" w:cs="Arial"/>
          <w:sz w:val="22"/>
          <w:szCs w:val="22"/>
          <w:lang w:val="en-US"/>
        </w:rPr>
        <w:t xml:space="preserve">percentage points and </w:t>
      </w:r>
      <w:r w:rsidR="00467CCB" w:rsidRPr="002F161B">
        <w:rPr>
          <w:rFonts w:ascii="Arial" w:hAnsi="Arial" w:cs="Arial"/>
          <w:sz w:val="22"/>
          <w:szCs w:val="22"/>
          <w:lang w:val="en-US"/>
        </w:rPr>
        <w:t>public consumption expenditure</w:t>
      </w:r>
      <w:r w:rsidR="00467CCB" w:rsidRPr="002F161B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B67E69" w:rsidRPr="002F161B">
        <w:rPr>
          <w:rFonts w:ascii="Arial" w:hAnsi="Arial" w:cs="Arial"/>
          <w:sz w:val="22"/>
          <w:szCs w:val="22"/>
          <w:lang w:val="en-US"/>
        </w:rPr>
        <w:t>+0.</w:t>
      </w:r>
      <w:r w:rsidR="00C23985" w:rsidRPr="002F161B">
        <w:rPr>
          <w:rFonts w:ascii="Arial" w:hAnsi="Arial" w:cs="Arial"/>
          <w:sz w:val="22"/>
          <w:szCs w:val="22"/>
          <w:lang w:val="en-US"/>
        </w:rPr>
        <w:t>5</w:t>
      </w:r>
      <w:r w:rsidR="00B67E69" w:rsidRPr="002F161B">
        <w:rPr>
          <w:rFonts w:ascii="Arial" w:hAnsi="Arial" w:cs="Arial"/>
          <w:sz w:val="22"/>
          <w:szCs w:val="22"/>
          <w:lang w:val="en-US"/>
        </w:rPr>
        <w:t xml:space="preserve"> </w:t>
      </w:r>
      <w:r w:rsidR="0016745F" w:rsidRPr="002F161B">
        <w:rPr>
          <w:rFonts w:ascii="Arial" w:hAnsi="Arial" w:cs="Arial"/>
          <w:sz w:val="22"/>
          <w:szCs w:val="22"/>
          <w:lang w:val="en-US"/>
        </w:rPr>
        <w:t>percentage points (+</w:t>
      </w:r>
      <w:r w:rsidR="00C23985" w:rsidRPr="002F161B">
        <w:rPr>
          <w:rFonts w:ascii="Arial" w:hAnsi="Arial" w:cs="Arial"/>
          <w:sz w:val="22"/>
          <w:szCs w:val="22"/>
          <w:lang w:val="en-US"/>
        </w:rPr>
        <w:t>3.0</w:t>
      </w:r>
      <w:r w:rsidR="0016745F" w:rsidRPr="002F161B">
        <w:rPr>
          <w:rFonts w:ascii="Arial" w:hAnsi="Arial" w:cs="Arial"/>
          <w:sz w:val="22"/>
          <w:szCs w:val="22"/>
          <w:lang w:val="en-US"/>
        </w:rPr>
        <w:t xml:space="preserve"> and </w:t>
      </w:r>
      <w:r w:rsidR="00C23985" w:rsidRPr="002F161B">
        <w:rPr>
          <w:rFonts w:ascii="Arial" w:hAnsi="Arial" w:cs="Arial"/>
          <w:sz w:val="22"/>
          <w:szCs w:val="22"/>
          <w:lang w:val="en-US"/>
        </w:rPr>
        <w:t>+0.2</w:t>
      </w:r>
      <w:r w:rsidR="00467CCB" w:rsidRPr="002F161B">
        <w:rPr>
          <w:rFonts w:ascii="Arial" w:hAnsi="Arial" w:cs="Arial"/>
          <w:sz w:val="22"/>
          <w:szCs w:val="22"/>
          <w:lang w:val="en-US"/>
        </w:rPr>
        <w:t xml:space="preserve"> percentage points in </w:t>
      </w:r>
      <w:r w:rsidR="0016745F" w:rsidRPr="002F161B">
        <w:rPr>
          <w:rFonts w:ascii="Arial" w:hAnsi="Arial" w:cs="Arial"/>
          <w:sz w:val="22"/>
          <w:szCs w:val="22"/>
          <w:lang w:val="en-US"/>
        </w:rPr>
        <w:t xml:space="preserve">the </w:t>
      </w:r>
      <w:r w:rsidR="00C23985" w:rsidRPr="002F161B">
        <w:rPr>
          <w:rFonts w:ascii="Arial" w:hAnsi="Arial" w:cs="Arial"/>
          <w:sz w:val="22"/>
          <w:szCs w:val="22"/>
          <w:lang w:val="en-US"/>
        </w:rPr>
        <w:t>1</w:t>
      </w:r>
      <w:r w:rsidR="00C23985" w:rsidRPr="002F161B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3D1A3B" w:rsidRPr="002F161B">
        <w:rPr>
          <w:rFonts w:ascii="Arial" w:hAnsi="Arial" w:cs="Arial"/>
          <w:sz w:val="22"/>
          <w:szCs w:val="22"/>
          <w:lang w:val="en-US"/>
        </w:rPr>
        <w:t xml:space="preserve"> quarter</w:t>
      </w:r>
      <w:r w:rsidR="00467CCB" w:rsidRPr="002F161B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467CCB" w:rsidRPr="002F161B">
        <w:rPr>
          <w:rFonts w:ascii="Arial" w:hAnsi="Arial" w:cs="Arial"/>
          <w:sz w:val="22"/>
          <w:szCs w:val="22"/>
          <w:lang w:val="en-US"/>
        </w:rPr>
        <w:t>of 201</w:t>
      </w:r>
      <w:r w:rsidR="00C23985" w:rsidRPr="002F161B">
        <w:rPr>
          <w:rFonts w:ascii="Arial" w:hAnsi="Arial" w:cs="Arial"/>
          <w:sz w:val="22"/>
          <w:szCs w:val="22"/>
          <w:lang w:val="en-US"/>
        </w:rPr>
        <w:t>7</w:t>
      </w:r>
      <w:r w:rsidR="00E670EA" w:rsidRPr="002F161B">
        <w:rPr>
          <w:rFonts w:ascii="Arial" w:hAnsi="Arial" w:cs="Arial"/>
          <w:sz w:val="22"/>
          <w:szCs w:val="22"/>
          <w:lang w:val="en-US"/>
        </w:rPr>
        <w:t xml:space="preserve"> respectively</w:t>
      </w:r>
      <w:r w:rsidR="00B67E69" w:rsidRPr="002F161B">
        <w:rPr>
          <w:rFonts w:ascii="Arial" w:hAnsi="Arial" w:cs="Arial"/>
          <w:sz w:val="22"/>
          <w:szCs w:val="22"/>
          <w:lang w:val="en-US"/>
        </w:rPr>
        <w:t>). In</w:t>
      </w:r>
      <w:r w:rsidR="0097548A" w:rsidRPr="002F161B">
        <w:rPr>
          <w:rFonts w:ascii="Arial" w:hAnsi="Arial" w:cs="Arial"/>
          <w:sz w:val="22"/>
          <w:szCs w:val="22"/>
          <w:lang w:val="en-US"/>
        </w:rPr>
        <w:t xml:space="preserve"> </w:t>
      </w:r>
      <w:r w:rsidR="00B67E69" w:rsidRPr="002F161B">
        <w:rPr>
          <w:rFonts w:ascii="Arial" w:hAnsi="Arial" w:cs="Arial"/>
          <w:sz w:val="22"/>
          <w:szCs w:val="22"/>
          <w:lang w:val="en-US"/>
        </w:rPr>
        <w:t xml:space="preserve">the </w:t>
      </w:r>
      <w:r w:rsidR="00706CC4" w:rsidRPr="002F161B">
        <w:rPr>
          <w:rFonts w:ascii="Arial" w:hAnsi="Arial" w:cs="Arial"/>
          <w:sz w:val="22"/>
          <w:szCs w:val="22"/>
          <w:lang w:val="en-US"/>
        </w:rPr>
        <w:t>2</w:t>
      </w:r>
      <w:r w:rsidR="00706CC4" w:rsidRPr="002F161B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="00FA6722" w:rsidRPr="002F161B">
        <w:rPr>
          <w:rFonts w:ascii="Arial" w:hAnsi="Arial" w:cs="Arial"/>
          <w:sz w:val="22"/>
          <w:szCs w:val="22"/>
          <w:lang w:val="en-US"/>
        </w:rPr>
        <w:t xml:space="preserve"> quarter of 201</w:t>
      </w:r>
      <w:r w:rsidR="001969F4" w:rsidRPr="002F161B">
        <w:rPr>
          <w:rFonts w:ascii="Arial" w:hAnsi="Arial" w:cs="Arial"/>
          <w:sz w:val="22"/>
          <w:szCs w:val="22"/>
          <w:lang w:val="en-US"/>
        </w:rPr>
        <w:t>7</w:t>
      </w:r>
      <w:r w:rsidR="00FA6722" w:rsidRPr="002F161B">
        <w:rPr>
          <w:rFonts w:ascii="Arial" w:hAnsi="Arial" w:cs="Arial"/>
          <w:sz w:val="22"/>
          <w:szCs w:val="22"/>
          <w:lang w:val="en-US"/>
        </w:rPr>
        <w:t xml:space="preserve"> the impact of gross </w:t>
      </w:r>
      <w:r w:rsidR="003500D7" w:rsidRPr="002F161B">
        <w:rPr>
          <w:rFonts w:ascii="Arial" w:hAnsi="Arial" w:cs="Arial"/>
          <w:sz w:val="22"/>
          <w:szCs w:val="22"/>
          <w:lang w:val="en-US"/>
        </w:rPr>
        <w:t xml:space="preserve">fixed </w:t>
      </w:r>
      <w:r w:rsidR="00FA6722" w:rsidRPr="002F161B">
        <w:rPr>
          <w:rFonts w:ascii="Arial" w:hAnsi="Arial" w:cs="Arial"/>
          <w:sz w:val="22"/>
          <w:szCs w:val="22"/>
          <w:lang w:val="en-US"/>
        </w:rPr>
        <w:t xml:space="preserve">capital formation </w:t>
      </w:r>
      <w:r w:rsidR="00B67E69" w:rsidRPr="002F161B">
        <w:rPr>
          <w:rFonts w:ascii="Arial" w:hAnsi="Arial" w:cs="Arial"/>
          <w:sz w:val="22"/>
          <w:szCs w:val="22"/>
          <w:lang w:val="en-US"/>
        </w:rPr>
        <w:t xml:space="preserve">was </w:t>
      </w:r>
      <w:r w:rsidR="002F161B" w:rsidRPr="00E56706">
        <w:rPr>
          <w:rFonts w:ascii="Arial" w:hAnsi="Arial" w:cs="Arial"/>
          <w:sz w:val="22"/>
          <w:szCs w:val="22"/>
          <w:lang w:val="en-US"/>
        </w:rPr>
        <w:t>positive</w:t>
      </w:r>
      <w:r w:rsidR="00B67E69" w:rsidRPr="00E56706">
        <w:rPr>
          <w:rFonts w:ascii="Arial" w:hAnsi="Arial" w:cs="Arial"/>
          <w:sz w:val="22"/>
          <w:szCs w:val="22"/>
          <w:lang w:val="en-US"/>
        </w:rPr>
        <w:t xml:space="preserve"> (</w:t>
      </w:r>
      <w:r w:rsidR="0016745F" w:rsidRPr="00E56706">
        <w:rPr>
          <w:rFonts w:ascii="Arial" w:hAnsi="Arial" w:cs="Arial"/>
          <w:sz w:val="22"/>
          <w:szCs w:val="22"/>
          <w:lang w:val="en-US"/>
        </w:rPr>
        <w:t xml:space="preserve">against </w:t>
      </w:r>
      <w:r w:rsidR="002F161B" w:rsidRPr="00E56706">
        <w:rPr>
          <w:rFonts w:ascii="Arial" w:hAnsi="Arial" w:cs="Arial"/>
          <w:sz w:val="22"/>
          <w:szCs w:val="22"/>
          <w:lang w:val="en-US"/>
        </w:rPr>
        <w:t xml:space="preserve">the neutral impact in </w:t>
      </w:r>
      <w:r w:rsidR="00F1150C">
        <w:rPr>
          <w:rFonts w:ascii="Arial" w:hAnsi="Arial" w:cs="Arial"/>
          <w:sz w:val="22"/>
          <w:szCs w:val="22"/>
          <w:lang w:val="en-US"/>
        </w:rPr>
        <w:t xml:space="preserve">the </w:t>
      </w:r>
      <w:r w:rsidR="002F161B" w:rsidRPr="00E56706">
        <w:rPr>
          <w:rFonts w:ascii="Arial" w:hAnsi="Arial" w:cs="Arial"/>
          <w:sz w:val="22"/>
          <w:szCs w:val="22"/>
          <w:lang w:val="en-US"/>
        </w:rPr>
        <w:t>1</w:t>
      </w:r>
      <w:r w:rsidR="002F161B" w:rsidRPr="00E56706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16745F" w:rsidRPr="00E56706">
        <w:rPr>
          <w:rFonts w:ascii="Arial" w:hAnsi="Arial" w:cs="Arial"/>
          <w:sz w:val="22"/>
          <w:szCs w:val="22"/>
          <w:lang w:val="en-US"/>
        </w:rPr>
        <w:t xml:space="preserve"> quarter</w:t>
      </w:r>
      <w:r w:rsidR="0016745F" w:rsidRPr="00E56706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16745F" w:rsidRPr="00E56706">
        <w:rPr>
          <w:rFonts w:ascii="Arial" w:hAnsi="Arial" w:cs="Arial"/>
          <w:sz w:val="22"/>
          <w:szCs w:val="22"/>
          <w:lang w:val="en-US"/>
        </w:rPr>
        <w:t>of 201</w:t>
      </w:r>
      <w:r w:rsidR="002F161B" w:rsidRPr="00E56706">
        <w:rPr>
          <w:rFonts w:ascii="Arial" w:hAnsi="Arial" w:cs="Arial"/>
          <w:sz w:val="22"/>
          <w:szCs w:val="22"/>
          <w:lang w:val="en-US"/>
        </w:rPr>
        <w:t>7</w:t>
      </w:r>
      <w:r w:rsidR="00EB0C2D" w:rsidRPr="00E56706">
        <w:rPr>
          <w:rFonts w:ascii="Arial" w:hAnsi="Arial" w:cs="Arial"/>
          <w:sz w:val="22"/>
          <w:szCs w:val="22"/>
          <w:lang w:val="en-US"/>
        </w:rPr>
        <w:t xml:space="preserve">) </w:t>
      </w:r>
      <w:r w:rsidR="00B67E69" w:rsidRPr="00E56706">
        <w:rPr>
          <w:rFonts w:ascii="Arial" w:hAnsi="Arial" w:cs="Arial"/>
          <w:sz w:val="22"/>
          <w:szCs w:val="22"/>
          <w:lang w:val="en-US"/>
        </w:rPr>
        <w:t xml:space="preserve">which, with </w:t>
      </w:r>
      <w:r w:rsidR="009E4D1D" w:rsidRPr="00E56706">
        <w:rPr>
          <w:rFonts w:ascii="Arial" w:hAnsi="Arial" w:cs="Arial"/>
          <w:sz w:val="22"/>
          <w:szCs w:val="22"/>
          <w:lang w:val="en-US"/>
        </w:rPr>
        <w:t xml:space="preserve">the </w:t>
      </w:r>
      <w:r w:rsidR="003031C6">
        <w:rPr>
          <w:rFonts w:ascii="Arial" w:hAnsi="Arial" w:cs="Arial"/>
          <w:sz w:val="22"/>
          <w:szCs w:val="22"/>
          <w:lang w:val="en-US"/>
        </w:rPr>
        <w:t>upward effect</w:t>
      </w:r>
      <w:r w:rsidR="00407237" w:rsidRPr="00E56706">
        <w:rPr>
          <w:rFonts w:ascii="Arial" w:hAnsi="Arial" w:cs="Arial"/>
          <w:sz w:val="22"/>
          <w:szCs w:val="22"/>
          <w:lang w:val="en-US"/>
        </w:rPr>
        <w:t xml:space="preserve"> of </w:t>
      </w:r>
      <w:r w:rsidR="00407237" w:rsidRPr="002F161B">
        <w:rPr>
          <w:rFonts w:ascii="Arial" w:hAnsi="Arial" w:cs="Arial"/>
          <w:sz w:val="22"/>
          <w:szCs w:val="22"/>
          <w:lang w:val="en-US"/>
        </w:rPr>
        <w:t>changes in inventories (+</w:t>
      </w:r>
      <w:r w:rsidR="002F161B" w:rsidRPr="002F161B">
        <w:rPr>
          <w:rFonts w:ascii="Arial" w:hAnsi="Arial" w:cs="Arial"/>
          <w:sz w:val="22"/>
          <w:szCs w:val="22"/>
          <w:lang w:val="en-US"/>
        </w:rPr>
        <w:t>1.9</w:t>
      </w:r>
      <w:r w:rsidR="007019DB" w:rsidRPr="002F161B">
        <w:rPr>
          <w:rFonts w:ascii="Arial" w:hAnsi="Arial" w:cs="Arial"/>
          <w:sz w:val="22"/>
          <w:szCs w:val="22"/>
          <w:lang w:val="en-US"/>
        </w:rPr>
        <w:t xml:space="preserve"> </w:t>
      </w:r>
      <w:r w:rsidR="00407237" w:rsidRPr="002F161B">
        <w:rPr>
          <w:rFonts w:ascii="Arial" w:hAnsi="Arial" w:cs="Arial"/>
          <w:sz w:val="22"/>
          <w:szCs w:val="22"/>
          <w:lang w:val="en-US"/>
        </w:rPr>
        <w:t>percentage points),</w:t>
      </w:r>
      <w:r w:rsidR="00407237" w:rsidRPr="002F161B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9E4D1D" w:rsidRPr="002F161B">
        <w:rPr>
          <w:rFonts w:ascii="Arial" w:hAnsi="Arial" w:cs="Arial"/>
          <w:sz w:val="22"/>
          <w:szCs w:val="22"/>
          <w:lang w:val="en-US"/>
        </w:rPr>
        <w:t>made</w:t>
      </w:r>
      <w:r w:rsidR="00053A72" w:rsidRPr="002F161B">
        <w:rPr>
          <w:rFonts w:ascii="Arial" w:hAnsi="Arial" w:cs="Arial"/>
          <w:sz w:val="22"/>
          <w:szCs w:val="22"/>
          <w:lang w:val="en-US"/>
        </w:rPr>
        <w:t xml:space="preserve"> </w:t>
      </w:r>
      <w:r w:rsidR="007019DB" w:rsidRPr="002F161B">
        <w:rPr>
          <w:rFonts w:ascii="Arial" w:hAnsi="Arial" w:cs="Arial"/>
          <w:sz w:val="22"/>
          <w:szCs w:val="22"/>
          <w:lang w:val="en-US"/>
        </w:rPr>
        <w:t xml:space="preserve">positive </w:t>
      </w:r>
      <w:r w:rsidR="00EB0C2D" w:rsidRPr="002F161B">
        <w:rPr>
          <w:rFonts w:ascii="Arial" w:hAnsi="Arial" w:cs="Arial"/>
          <w:sz w:val="22"/>
          <w:szCs w:val="22"/>
          <w:lang w:val="en-US"/>
        </w:rPr>
        <w:t>influence of gross capit</w:t>
      </w:r>
      <w:r w:rsidR="00D87D64" w:rsidRPr="002F161B">
        <w:rPr>
          <w:rFonts w:ascii="Arial" w:hAnsi="Arial" w:cs="Arial"/>
          <w:sz w:val="22"/>
          <w:szCs w:val="22"/>
          <w:lang w:val="en-US"/>
        </w:rPr>
        <w:t>al formation on economic growth</w:t>
      </w:r>
      <w:r w:rsidR="009E4D1D" w:rsidRPr="002F161B">
        <w:rPr>
          <w:rFonts w:ascii="Arial" w:hAnsi="Arial" w:cs="Arial"/>
          <w:sz w:val="22"/>
          <w:szCs w:val="22"/>
          <w:lang w:val="en-US"/>
        </w:rPr>
        <w:t xml:space="preserve"> of</w:t>
      </w:r>
      <w:r w:rsidR="00407237" w:rsidRPr="002F161B">
        <w:rPr>
          <w:rFonts w:ascii="Arial" w:hAnsi="Arial" w:cs="Arial"/>
          <w:sz w:val="22"/>
          <w:szCs w:val="22"/>
          <w:lang w:val="en-US"/>
        </w:rPr>
        <w:t xml:space="preserve"> </w:t>
      </w:r>
      <w:r w:rsidR="007019DB" w:rsidRPr="002F161B">
        <w:rPr>
          <w:rFonts w:ascii="Arial" w:hAnsi="Arial" w:cs="Arial"/>
          <w:sz w:val="22"/>
          <w:szCs w:val="22"/>
          <w:lang w:val="en-US"/>
        </w:rPr>
        <w:t>+</w:t>
      </w:r>
      <w:r w:rsidR="002F161B" w:rsidRPr="002F161B">
        <w:rPr>
          <w:rFonts w:ascii="Arial" w:hAnsi="Arial" w:cs="Arial"/>
          <w:sz w:val="22"/>
          <w:szCs w:val="22"/>
          <w:lang w:val="en-US"/>
        </w:rPr>
        <w:t>2.0</w:t>
      </w:r>
      <w:r w:rsidR="00EB0C2D" w:rsidRPr="002F161B">
        <w:rPr>
          <w:rFonts w:ascii="Arial" w:hAnsi="Arial" w:cs="Arial"/>
          <w:sz w:val="22"/>
          <w:szCs w:val="22"/>
          <w:lang w:val="en-US"/>
        </w:rPr>
        <w:t xml:space="preserve"> percentage points</w:t>
      </w:r>
      <w:r w:rsidR="00EB0C2D" w:rsidRPr="002F161B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407237" w:rsidRPr="002F161B">
        <w:rPr>
          <w:rFonts w:ascii="Arial" w:hAnsi="Arial" w:cs="Arial"/>
          <w:sz w:val="22"/>
          <w:szCs w:val="22"/>
          <w:lang w:val="en-US"/>
        </w:rPr>
        <w:t xml:space="preserve">(against </w:t>
      </w:r>
      <w:r w:rsidR="002F161B" w:rsidRPr="002F161B">
        <w:rPr>
          <w:rFonts w:ascii="Arial" w:hAnsi="Arial" w:cs="Arial"/>
          <w:sz w:val="22"/>
          <w:szCs w:val="22"/>
          <w:lang w:val="en-US"/>
        </w:rPr>
        <w:t>+0.7</w:t>
      </w:r>
      <w:r w:rsidR="00EB0C2D" w:rsidRPr="002F161B">
        <w:rPr>
          <w:rFonts w:ascii="Arial" w:hAnsi="Arial" w:cs="Arial"/>
          <w:sz w:val="22"/>
          <w:szCs w:val="22"/>
          <w:lang w:val="en-US"/>
        </w:rPr>
        <w:t xml:space="preserve"> percentage points</w:t>
      </w:r>
      <w:r w:rsidR="00EB0C2D" w:rsidRPr="002F161B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9469EC" w:rsidRPr="002F161B">
        <w:rPr>
          <w:rFonts w:ascii="Arial" w:hAnsi="Arial" w:cs="Arial"/>
          <w:sz w:val="22"/>
          <w:szCs w:val="22"/>
          <w:lang w:val="en-US"/>
        </w:rPr>
        <w:t>in</w:t>
      </w:r>
      <w:r w:rsidR="009469EC" w:rsidRPr="002F161B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7C029C" w:rsidRPr="002F161B">
        <w:rPr>
          <w:rFonts w:ascii="Arial" w:hAnsi="Arial" w:cs="Arial"/>
          <w:sz w:val="22"/>
          <w:szCs w:val="22"/>
          <w:lang w:val="en-US"/>
        </w:rPr>
        <w:t xml:space="preserve">the </w:t>
      </w:r>
      <w:r w:rsidR="002F161B" w:rsidRPr="002F161B">
        <w:rPr>
          <w:rFonts w:ascii="Arial" w:hAnsi="Arial" w:cs="Arial"/>
          <w:sz w:val="22"/>
          <w:szCs w:val="22"/>
          <w:lang w:val="en-US"/>
        </w:rPr>
        <w:t>1</w:t>
      </w:r>
      <w:r w:rsidR="002F161B" w:rsidRPr="002F161B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9469EC" w:rsidRPr="002F161B">
        <w:rPr>
          <w:rFonts w:ascii="Arial" w:hAnsi="Arial" w:cs="Arial"/>
          <w:sz w:val="22"/>
          <w:szCs w:val="22"/>
          <w:lang w:val="en-US"/>
        </w:rPr>
        <w:t xml:space="preserve"> quarter</w:t>
      </w:r>
      <w:r w:rsidR="009469EC" w:rsidRPr="002F161B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9469EC" w:rsidRPr="002F161B">
        <w:rPr>
          <w:rFonts w:ascii="Arial" w:hAnsi="Arial" w:cs="Arial"/>
          <w:sz w:val="22"/>
          <w:szCs w:val="22"/>
          <w:lang w:val="en-US"/>
        </w:rPr>
        <w:t>of 201</w:t>
      </w:r>
      <w:r w:rsidR="002F161B" w:rsidRPr="002F161B">
        <w:rPr>
          <w:rFonts w:ascii="Arial" w:hAnsi="Arial" w:cs="Arial"/>
          <w:sz w:val="22"/>
          <w:szCs w:val="22"/>
          <w:lang w:val="en-US"/>
        </w:rPr>
        <w:t>7</w:t>
      </w:r>
      <w:r w:rsidR="009469EC" w:rsidRPr="002F161B">
        <w:rPr>
          <w:rFonts w:ascii="Arial" w:hAnsi="Arial" w:cs="Arial"/>
          <w:sz w:val="22"/>
          <w:szCs w:val="22"/>
          <w:lang w:val="en-US"/>
        </w:rPr>
        <w:t xml:space="preserve">). </w:t>
      </w:r>
      <w:r w:rsidR="00540653" w:rsidRPr="00E1664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1812925</wp:posOffset>
                </wp:positionV>
                <wp:extent cx="88265" cy="3175"/>
                <wp:effectExtent l="0" t="0" r="0" b="0"/>
                <wp:wrapNone/>
                <wp:docPr id="6" name="AutoShap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317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D0A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4" o:spid="_x0000_s1026" type="#_x0000_t32" style="position:absolute;margin-left:278.6pt;margin-top:142.75pt;width:6.95pt;height: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" stroked="f"/>
            </w:pict>
          </mc:Fallback>
        </mc:AlternateContent>
      </w:r>
      <w:r w:rsidR="00F1150C">
        <w:rPr>
          <w:rFonts w:ascii="Arial" w:hAnsi="Arial" w:cs="Arial"/>
          <w:sz w:val="22"/>
          <w:szCs w:val="22"/>
          <w:lang w:val="en-US"/>
        </w:rPr>
        <w:t xml:space="preserve">In </w:t>
      </w:r>
      <w:r w:rsidR="00F1150C" w:rsidRPr="0038330A">
        <w:rPr>
          <w:rFonts w:ascii="Arial" w:hAnsi="Arial" w:cs="Arial"/>
          <w:sz w:val="22"/>
          <w:szCs w:val="22"/>
          <w:lang w:val="en-US"/>
        </w:rPr>
        <w:t>the 2</w:t>
      </w:r>
      <w:r w:rsidR="00F1150C" w:rsidRPr="0038330A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="00F1150C" w:rsidRPr="0038330A">
        <w:rPr>
          <w:rFonts w:ascii="Arial" w:hAnsi="Arial" w:cs="Arial"/>
          <w:sz w:val="22"/>
          <w:szCs w:val="22"/>
          <w:lang w:val="en-US"/>
        </w:rPr>
        <w:t xml:space="preserve"> quarter of 2017 </w:t>
      </w:r>
      <w:r w:rsidR="00F1150C">
        <w:rPr>
          <w:rFonts w:ascii="Arial" w:hAnsi="Arial" w:cs="Arial"/>
          <w:sz w:val="22"/>
          <w:szCs w:val="22"/>
          <w:lang w:val="en-US"/>
        </w:rPr>
        <w:t>t</w:t>
      </w:r>
      <w:r w:rsidR="009469EC" w:rsidRPr="00E16642">
        <w:rPr>
          <w:rFonts w:ascii="Arial" w:hAnsi="Arial" w:cs="Arial"/>
          <w:sz w:val="22"/>
          <w:szCs w:val="22"/>
          <w:lang w:val="en-US"/>
        </w:rPr>
        <w:t xml:space="preserve">he </w:t>
      </w:r>
      <w:r w:rsidR="009E4D1D" w:rsidRPr="00E16642">
        <w:rPr>
          <w:rFonts w:ascii="Arial" w:hAnsi="Arial" w:cs="Arial"/>
          <w:sz w:val="22"/>
          <w:szCs w:val="22"/>
          <w:lang w:val="en-US"/>
        </w:rPr>
        <w:t>net</w:t>
      </w:r>
      <w:r w:rsidR="009469EC" w:rsidRPr="00E16642">
        <w:rPr>
          <w:rFonts w:ascii="Arial" w:hAnsi="Arial" w:cs="Arial"/>
          <w:sz w:val="22"/>
          <w:szCs w:val="22"/>
          <w:lang w:val="en-US"/>
        </w:rPr>
        <w:t xml:space="preserve"> exports </w:t>
      </w:r>
      <w:r w:rsidR="003031C6">
        <w:rPr>
          <w:rFonts w:ascii="Arial" w:hAnsi="Arial" w:cs="Arial"/>
          <w:sz w:val="22"/>
          <w:szCs w:val="22"/>
          <w:lang w:val="en-US"/>
        </w:rPr>
        <w:t xml:space="preserve">slowed down economic growth </w:t>
      </w:r>
      <w:r w:rsidR="00407237" w:rsidRPr="00E16642">
        <w:rPr>
          <w:rFonts w:ascii="Arial" w:hAnsi="Arial" w:cs="Arial"/>
          <w:sz w:val="22"/>
          <w:szCs w:val="22"/>
          <w:lang w:val="en-US"/>
        </w:rPr>
        <w:t>(</w:t>
      </w:r>
      <w:r w:rsidR="00E16642" w:rsidRPr="00E16642">
        <w:rPr>
          <w:rFonts w:ascii="Arial" w:hAnsi="Arial" w:cs="Arial"/>
          <w:sz w:val="22"/>
          <w:szCs w:val="22"/>
          <w:lang w:val="en-US"/>
        </w:rPr>
        <w:t>-1.5</w:t>
      </w:r>
      <w:r w:rsidR="00407237" w:rsidRPr="00E16642">
        <w:rPr>
          <w:rFonts w:ascii="Arial" w:hAnsi="Arial" w:cs="Arial"/>
          <w:sz w:val="22"/>
          <w:szCs w:val="22"/>
          <w:lang w:val="en-US"/>
        </w:rPr>
        <w:t xml:space="preserve"> against </w:t>
      </w:r>
      <w:r w:rsidR="007019DB" w:rsidRPr="00E16642">
        <w:rPr>
          <w:rFonts w:ascii="Arial" w:hAnsi="Arial" w:cs="Arial"/>
          <w:sz w:val="22"/>
          <w:szCs w:val="22"/>
          <w:lang w:val="en-US"/>
        </w:rPr>
        <w:t>+</w:t>
      </w:r>
      <w:r w:rsidR="009E4D1D" w:rsidRPr="00E16642">
        <w:rPr>
          <w:rFonts w:ascii="Arial" w:hAnsi="Arial" w:cs="Arial"/>
          <w:sz w:val="22"/>
          <w:szCs w:val="22"/>
          <w:lang w:val="en-US"/>
        </w:rPr>
        <w:t>0.</w:t>
      </w:r>
      <w:r w:rsidR="00E16642" w:rsidRPr="00E16642">
        <w:rPr>
          <w:rFonts w:ascii="Arial" w:hAnsi="Arial" w:cs="Arial"/>
          <w:sz w:val="22"/>
          <w:szCs w:val="22"/>
          <w:lang w:val="en-US"/>
        </w:rPr>
        <w:t>1</w:t>
      </w:r>
      <w:r w:rsidR="009469EC" w:rsidRPr="00E16642">
        <w:rPr>
          <w:rFonts w:ascii="Arial" w:hAnsi="Arial" w:cs="Arial"/>
          <w:sz w:val="22"/>
          <w:szCs w:val="22"/>
          <w:lang w:val="en-US"/>
        </w:rPr>
        <w:t xml:space="preserve"> percentage points in </w:t>
      </w:r>
      <w:r w:rsidR="00053A72" w:rsidRPr="00E16642">
        <w:rPr>
          <w:rFonts w:ascii="Arial" w:hAnsi="Arial" w:cs="Arial"/>
          <w:sz w:val="22"/>
          <w:szCs w:val="22"/>
          <w:lang w:val="en-US"/>
        </w:rPr>
        <w:t xml:space="preserve">the </w:t>
      </w:r>
      <w:r w:rsidR="00E16642" w:rsidRPr="00E16642">
        <w:rPr>
          <w:rFonts w:ascii="Arial" w:hAnsi="Arial" w:cs="Arial"/>
          <w:sz w:val="22"/>
          <w:szCs w:val="22"/>
          <w:lang w:val="en-US"/>
        </w:rPr>
        <w:t>1</w:t>
      </w:r>
      <w:r w:rsidR="00E16642" w:rsidRPr="00E16642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407237" w:rsidRPr="00E16642">
        <w:rPr>
          <w:rFonts w:ascii="Arial" w:hAnsi="Arial" w:cs="Arial"/>
          <w:sz w:val="22"/>
          <w:szCs w:val="22"/>
          <w:lang w:val="en-US"/>
        </w:rPr>
        <w:t xml:space="preserve"> </w:t>
      </w:r>
      <w:r w:rsidR="009469EC" w:rsidRPr="00E16642">
        <w:rPr>
          <w:rFonts w:ascii="Arial" w:hAnsi="Arial" w:cs="Arial"/>
          <w:sz w:val="22"/>
          <w:szCs w:val="22"/>
          <w:lang w:val="en-US"/>
        </w:rPr>
        <w:t>quarter of 201</w:t>
      </w:r>
      <w:r w:rsidR="00E16642" w:rsidRPr="00E16642">
        <w:rPr>
          <w:rFonts w:ascii="Arial" w:hAnsi="Arial" w:cs="Arial"/>
          <w:sz w:val="22"/>
          <w:szCs w:val="22"/>
          <w:lang w:val="en-US"/>
        </w:rPr>
        <w:t>7</w:t>
      </w:r>
      <w:r w:rsidR="009469EC" w:rsidRPr="00E16642">
        <w:rPr>
          <w:rFonts w:ascii="Arial" w:hAnsi="Arial" w:cs="Arial"/>
          <w:sz w:val="22"/>
          <w:szCs w:val="22"/>
          <w:lang w:val="en-US"/>
        </w:rPr>
        <w:t>).</w:t>
      </w:r>
    </w:p>
    <w:p w:rsidR="002A3319" w:rsidRDefault="000A008B" w:rsidP="00232885">
      <w:pPr>
        <w:tabs>
          <w:tab w:val="left" w:pos="284"/>
        </w:tabs>
        <w:spacing w:line="340" w:lineRule="atLeast"/>
        <w:jc w:val="both"/>
        <w:rPr>
          <w:rFonts w:ascii="Arial" w:hAnsi="Arial" w:cs="Arial"/>
          <w:noProof/>
          <w:sz w:val="18"/>
          <w:szCs w:val="18"/>
          <w:lang w:val="en-US"/>
        </w:rPr>
      </w:pPr>
      <w:r w:rsidRPr="000A008B">
        <w:rPr>
          <w:noProof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216535</wp:posOffset>
            </wp:positionV>
            <wp:extent cx="3023870" cy="1965325"/>
            <wp:effectExtent l="0" t="0" r="508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08B">
        <w:rPr>
          <w:noProof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216535</wp:posOffset>
            </wp:positionV>
            <wp:extent cx="3444875" cy="1965325"/>
            <wp:effectExtent l="0" t="0" r="3175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D1D" w:rsidRDefault="009E4D1D" w:rsidP="00232885">
      <w:pPr>
        <w:tabs>
          <w:tab w:val="left" w:pos="284"/>
        </w:tabs>
        <w:spacing w:line="340" w:lineRule="atLeast"/>
        <w:jc w:val="both"/>
        <w:rPr>
          <w:rFonts w:ascii="Arial" w:hAnsi="Arial" w:cs="Arial"/>
          <w:noProof/>
          <w:sz w:val="18"/>
          <w:szCs w:val="18"/>
          <w:lang w:val="en-US"/>
        </w:rPr>
        <w:sectPr w:rsidR="009E4D1D" w:rsidSect="00AC0DF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type w:val="continuous"/>
          <w:pgSz w:w="11907" w:h="16840" w:code="9"/>
          <w:pgMar w:top="1134" w:right="1134" w:bottom="851" w:left="1134" w:header="284" w:footer="284" w:gutter="0"/>
          <w:cols w:space="708"/>
          <w:titlePg/>
          <w:docGrid w:linePitch="360"/>
        </w:sectPr>
      </w:pPr>
    </w:p>
    <w:p w:rsidR="002A3319" w:rsidRPr="001126D8" w:rsidRDefault="002A3319" w:rsidP="00232885">
      <w:pPr>
        <w:tabs>
          <w:tab w:val="left" w:pos="284"/>
        </w:tabs>
        <w:spacing w:line="340" w:lineRule="atLeast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p w:rsidR="002A3319" w:rsidRDefault="002A3319" w:rsidP="00E670EA">
      <w:pPr>
        <w:tabs>
          <w:tab w:val="left" w:pos="170"/>
        </w:tabs>
        <w:spacing w:before="120"/>
        <w:ind w:left="142" w:right="238"/>
        <w:rPr>
          <w:rFonts w:ascii="Arial" w:hAnsi="Arial" w:cs="Arial"/>
          <w:b/>
          <w:i/>
          <w:sz w:val="22"/>
          <w:szCs w:val="22"/>
          <w:lang w:val="en-US"/>
        </w:rPr>
      </w:pPr>
    </w:p>
    <w:p w:rsidR="00B3744A" w:rsidRDefault="00B3744A" w:rsidP="00E670EA">
      <w:pPr>
        <w:tabs>
          <w:tab w:val="left" w:pos="170"/>
        </w:tabs>
        <w:spacing w:before="120"/>
        <w:ind w:left="142" w:right="238"/>
        <w:rPr>
          <w:rFonts w:ascii="Arial" w:hAnsi="Arial" w:cs="Arial"/>
          <w:b/>
          <w:i/>
          <w:sz w:val="22"/>
          <w:szCs w:val="22"/>
          <w:lang w:val="en-US"/>
        </w:rPr>
      </w:pPr>
      <w:r w:rsidRPr="00B3744A">
        <w:rPr>
          <w:rFonts w:ascii="Arial" w:hAnsi="Arial" w:cs="Arial"/>
          <w:b/>
          <w:i/>
          <w:sz w:val="22"/>
          <w:szCs w:val="22"/>
          <w:lang w:val="en-US"/>
        </w:rPr>
        <w:t>Seasonally adjusted GDP (previous quarter = 100, constant prices, reference year 2010)</w:t>
      </w:r>
    </w:p>
    <w:p w:rsidR="00B3744A" w:rsidRPr="00B3744A" w:rsidRDefault="00B3744A" w:rsidP="00B3744A">
      <w:pPr>
        <w:tabs>
          <w:tab w:val="left" w:pos="284"/>
        </w:tabs>
        <w:spacing w:line="360" w:lineRule="atLeast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</w:p>
    <w:p w:rsidR="00D66580" w:rsidRDefault="00B3744A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B3744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F308A6">
        <w:rPr>
          <w:rFonts w:ascii="Arial" w:hAnsi="Arial" w:cs="Arial"/>
          <w:sz w:val="22"/>
          <w:szCs w:val="22"/>
          <w:lang w:val="en-US"/>
        </w:rPr>
        <w:t>7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 compared with the previous quarter </w:t>
      </w:r>
      <w:r w:rsidRPr="00B3744A">
        <w:rPr>
          <w:rFonts w:ascii="Arial" w:hAnsi="Arial" w:cs="Arial"/>
          <w:b/>
          <w:sz w:val="22"/>
          <w:szCs w:val="22"/>
          <w:lang w:val="en-US"/>
        </w:rPr>
        <w:t>seasonally adjusted GDP</w:t>
      </w:r>
      <w:r w:rsidR="002A3D9B">
        <w:rPr>
          <w:rFonts w:ascii="Arial" w:hAnsi="Arial" w:cs="Arial"/>
          <w:sz w:val="22"/>
          <w:szCs w:val="22"/>
          <w:lang w:val="en-US"/>
        </w:rPr>
        <w:t xml:space="preserve"> was </w:t>
      </w:r>
    </w:p>
    <w:p w:rsidR="00B3744A" w:rsidRPr="00B3744A" w:rsidRDefault="000A008B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1.1</w:t>
      </w:r>
      <w:r w:rsidR="00B3744A" w:rsidRPr="00DB0E62">
        <w:rPr>
          <w:rFonts w:ascii="Arial" w:hAnsi="Arial" w:cs="Arial"/>
          <w:sz w:val="22"/>
          <w:szCs w:val="22"/>
          <w:lang w:val="en-US"/>
        </w:rPr>
        <w:t>%</w:t>
      </w:r>
      <w:r w:rsidR="00B3744A" w:rsidRPr="00B3744A">
        <w:rPr>
          <w:rFonts w:ascii="Arial" w:hAnsi="Arial" w:cs="Arial"/>
          <w:sz w:val="22"/>
          <w:szCs w:val="22"/>
          <w:lang w:val="en-US"/>
        </w:rPr>
        <w:t xml:space="preserve"> </w:t>
      </w:r>
      <w:r w:rsidR="00E42C40">
        <w:rPr>
          <w:rFonts w:ascii="Arial" w:hAnsi="Arial" w:cs="Arial"/>
          <w:sz w:val="22"/>
          <w:szCs w:val="22"/>
          <w:lang w:val="en-US"/>
        </w:rPr>
        <w:t>higher</w:t>
      </w:r>
      <w:r w:rsidR="00B3744A" w:rsidRPr="00B3744A">
        <w:rPr>
          <w:rFonts w:ascii="Arial" w:hAnsi="Arial" w:cs="Arial"/>
          <w:sz w:val="22"/>
          <w:szCs w:val="22"/>
          <w:lang w:val="en-US"/>
        </w:rPr>
        <w:t>.</w:t>
      </w:r>
    </w:p>
    <w:p w:rsidR="00B3744A" w:rsidRP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Gross value added </w:t>
      </w:r>
      <w:r w:rsidRPr="00B3744A">
        <w:rPr>
          <w:rFonts w:ascii="Arial" w:hAnsi="Arial" w:cs="Arial"/>
          <w:sz w:val="22"/>
          <w:szCs w:val="22"/>
          <w:lang w:val="en-US"/>
        </w:rPr>
        <w:t>in</w:t>
      </w: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 national economy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="002A3D9B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F308A6">
        <w:rPr>
          <w:rFonts w:ascii="Arial" w:hAnsi="Arial" w:cs="Arial"/>
          <w:sz w:val="22"/>
          <w:szCs w:val="22"/>
          <w:lang w:val="en-US"/>
        </w:rPr>
        <w:t>7</w:t>
      </w:r>
      <w:r w:rsidR="002A3D9B">
        <w:rPr>
          <w:rFonts w:ascii="Arial" w:hAnsi="Arial" w:cs="Arial"/>
          <w:sz w:val="22"/>
          <w:szCs w:val="22"/>
          <w:lang w:val="en-US"/>
        </w:rPr>
        <w:t xml:space="preserve"> was </w:t>
      </w:r>
      <w:r w:rsidR="000A008B">
        <w:rPr>
          <w:rFonts w:ascii="Arial" w:hAnsi="Arial" w:cs="Arial"/>
          <w:sz w:val="22"/>
          <w:szCs w:val="22"/>
          <w:lang w:val="en-US"/>
        </w:rPr>
        <w:t>1.4</w:t>
      </w:r>
      <w:r w:rsidRPr="00B3744A">
        <w:rPr>
          <w:rFonts w:ascii="Arial" w:hAnsi="Arial" w:cs="Arial"/>
          <w:sz w:val="22"/>
          <w:szCs w:val="22"/>
          <w:lang w:val="en-US"/>
        </w:rPr>
        <w:t>% higher.</w:t>
      </w:r>
    </w:p>
    <w:p w:rsidR="00B3744A" w:rsidRP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Gross value added </w:t>
      </w:r>
      <w:r w:rsidRPr="00B3744A">
        <w:rPr>
          <w:rFonts w:ascii="Arial" w:hAnsi="Arial" w:cs="Arial"/>
          <w:sz w:val="22"/>
          <w:szCs w:val="22"/>
          <w:lang w:val="en-US"/>
        </w:rPr>
        <w:t>in</w:t>
      </w: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 industry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44A">
        <w:rPr>
          <w:rFonts w:ascii="Arial" w:hAnsi="Arial" w:cs="Arial"/>
          <w:sz w:val="22"/>
          <w:szCs w:val="22"/>
          <w:lang w:val="en-US"/>
        </w:rPr>
        <w:t>quarter</w:t>
      </w:r>
      <w:r w:rsidR="002A3D9B">
        <w:rPr>
          <w:rFonts w:ascii="Arial" w:hAnsi="Arial" w:cs="Arial"/>
          <w:sz w:val="22"/>
          <w:szCs w:val="22"/>
          <w:lang w:val="en-US"/>
        </w:rPr>
        <w:t xml:space="preserve">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F308A6">
        <w:rPr>
          <w:rFonts w:ascii="Arial" w:hAnsi="Arial" w:cs="Arial"/>
          <w:sz w:val="22"/>
          <w:szCs w:val="22"/>
          <w:lang w:val="en-US"/>
        </w:rPr>
        <w:t>7</w:t>
      </w:r>
      <w:r w:rsidR="002A3D9B">
        <w:rPr>
          <w:rFonts w:ascii="Arial" w:hAnsi="Arial" w:cs="Arial"/>
          <w:sz w:val="22"/>
          <w:szCs w:val="22"/>
          <w:lang w:val="en-US"/>
        </w:rPr>
        <w:t xml:space="preserve"> was </w:t>
      </w:r>
      <w:r w:rsidR="00485DB4">
        <w:rPr>
          <w:rFonts w:ascii="Arial" w:hAnsi="Arial" w:cs="Arial"/>
          <w:sz w:val="22"/>
          <w:szCs w:val="22"/>
          <w:lang w:val="en-US"/>
        </w:rPr>
        <w:t>1.8</w:t>
      </w:r>
      <w:r w:rsidRPr="00B3744A">
        <w:rPr>
          <w:rFonts w:ascii="Arial" w:hAnsi="Arial" w:cs="Arial"/>
          <w:sz w:val="22"/>
          <w:szCs w:val="22"/>
          <w:lang w:val="en-US"/>
        </w:rPr>
        <w:t>% higher.</w:t>
      </w:r>
    </w:p>
    <w:p w:rsidR="00B3744A" w:rsidRP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B3744A">
        <w:rPr>
          <w:rFonts w:ascii="Arial" w:hAnsi="Arial" w:cs="Arial"/>
          <w:b/>
          <w:sz w:val="22"/>
          <w:szCs w:val="22"/>
          <w:lang w:val="en-US"/>
        </w:rPr>
        <w:t>Gross value added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 in</w:t>
      </w: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 construction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F308A6">
        <w:rPr>
          <w:rFonts w:ascii="Arial" w:hAnsi="Arial" w:cs="Arial"/>
          <w:sz w:val="22"/>
          <w:szCs w:val="22"/>
          <w:lang w:val="en-US"/>
        </w:rPr>
        <w:t>7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 was </w:t>
      </w:r>
      <w:r w:rsidR="00485DB4">
        <w:rPr>
          <w:rFonts w:ascii="Arial" w:hAnsi="Arial" w:cs="Arial"/>
          <w:sz w:val="22"/>
          <w:szCs w:val="22"/>
          <w:lang w:val="en-US"/>
        </w:rPr>
        <w:t>1.4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% </w:t>
      </w:r>
      <w:r w:rsidR="009F4C0F">
        <w:rPr>
          <w:rFonts w:ascii="Arial" w:hAnsi="Arial" w:cs="Arial"/>
          <w:sz w:val="22"/>
          <w:szCs w:val="22"/>
          <w:lang w:val="en-US"/>
        </w:rPr>
        <w:t>higher</w:t>
      </w:r>
      <w:r w:rsidR="005D7A0E">
        <w:rPr>
          <w:rFonts w:ascii="Arial" w:hAnsi="Arial" w:cs="Arial"/>
          <w:sz w:val="22"/>
          <w:szCs w:val="22"/>
          <w:lang w:val="en-US"/>
        </w:rPr>
        <w:t>.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B3744A" w:rsidRPr="004D0AD6" w:rsidRDefault="00DC6EDE" w:rsidP="00AE7750">
      <w:pPr>
        <w:pStyle w:val="Tekstpodstawowy"/>
        <w:tabs>
          <w:tab w:val="left" w:pos="284"/>
        </w:tabs>
        <w:spacing w:before="120" w:line="280" w:lineRule="atLeast"/>
        <w:jc w:val="left"/>
        <w:rPr>
          <w:rFonts w:ascii="Arial" w:hAnsi="Arial" w:cs="Arial"/>
          <w:sz w:val="22"/>
          <w:szCs w:val="22"/>
          <w:lang w:val="en-US"/>
        </w:rPr>
      </w:pPr>
      <w:r w:rsidRPr="009B0D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G</w:t>
      </w:r>
      <w:r w:rsidR="00B3744A" w:rsidRPr="009B0D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ross value added </w:t>
      </w:r>
      <w:r w:rsidR="00B3744A"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</w:t>
      </w:r>
      <w:r w:rsidR="00B3744A" w:rsidRPr="009B0D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trade and repair </w:t>
      </w:r>
      <w:r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was </w:t>
      </w:r>
      <w:r w:rsidR="00485DB4"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>1.7</w:t>
      </w:r>
      <w:r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>%</w:t>
      </w:r>
      <w:r w:rsidRPr="009B0D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>higher</w:t>
      </w:r>
      <w:r w:rsidRPr="009B0D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r w:rsidR="00592969"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>in</w:t>
      </w:r>
      <w:r w:rsidR="00592969" w:rsidRPr="009B0D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B3744A" w:rsidRPr="009B0D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transportation and storage</w:t>
      </w:r>
      <w:r w:rsidR="002A3D9B"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85DB4"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was 0.8% higher, </w:t>
      </w:r>
      <w:r w:rsidR="009B0D77" w:rsidRPr="009B0D77">
        <w:rPr>
          <w:rFonts w:ascii="Arial" w:hAnsi="Arial" w:cs="Arial"/>
          <w:color w:val="000000" w:themeColor="text1"/>
          <w:sz w:val="22"/>
          <w:szCs w:val="22"/>
          <w:lang w:val="en-US"/>
        </w:rPr>
        <w:t>while</w:t>
      </w:r>
      <w:r w:rsidR="00B3744A" w:rsidRPr="009B0D77">
        <w:rPr>
          <w:rFonts w:ascii="Arial" w:hAnsi="Arial" w:cs="Arial"/>
          <w:sz w:val="22"/>
          <w:szCs w:val="22"/>
          <w:lang w:val="en-US"/>
        </w:rPr>
        <w:t xml:space="preserve"> in </w:t>
      </w:r>
      <w:r w:rsidR="00B3744A" w:rsidRPr="009B0D77">
        <w:rPr>
          <w:rFonts w:ascii="Arial" w:hAnsi="Arial" w:cs="Arial"/>
          <w:b/>
          <w:sz w:val="22"/>
          <w:szCs w:val="22"/>
          <w:lang w:val="en-US"/>
        </w:rPr>
        <w:t>financial and insurance activities</w:t>
      </w:r>
      <w:r w:rsidR="00B3744A" w:rsidRPr="009B0D77">
        <w:rPr>
          <w:rFonts w:ascii="Arial" w:hAnsi="Arial" w:cs="Arial"/>
          <w:sz w:val="22"/>
          <w:szCs w:val="22"/>
          <w:lang w:val="en-US"/>
        </w:rPr>
        <w:t xml:space="preserve"> w</w:t>
      </w:r>
      <w:r w:rsidR="00AE59EB" w:rsidRPr="009B0D77">
        <w:rPr>
          <w:rFonts w:ascii="Arial" w:hAnsi="Arial" w:cs="Arial"/>
          <w:sz w:val="22"/>
          <w:szCs w:val="22"/>
          <w:lang w:val="en-US"/>
        </w:rPr>
        <w:t xml:space="preserve">as </w:t>
      </w:r>
      <w:r w:rsidR="00485DB4" w:rsidRPr="009B0D77">
        <w:rPr>
          <w:rFonts w:ascii="Arial" w:hAnsi="Arial" w:cs="Arial"/>
          <w:sz w:val="22"/>
          <w:szCs w:val="22"/>
          <w:lang w:val="en-US"/>
        </w:rPr>
        <w:t>4.6</w:t>
      </w:r>
      <w:r w:rsidR="00B3744A" w:rsidRPr="009B0D77">
        <w:rPr>
          <w:rFonts w:ascii="Arial" w:hAnsi="Arial" w:cs="Arial"/>
          <w:sz w:val="22"/>
          <w:szCs w:val="22"/>
          <w:lang w:val="en-US"/>
        </w:rPr>
        <w:t xml:space="preserve">% </w:t>
      </w:r>
      <w:r w:rsidR="00485DB4" w:rsidRPr="009B0D77">
        <w:rPr>
          <w:rFonts w:ascii="Arial" w:hAnsi="Arial" w:cs="Arial"/>
          <w:sz w:val="22"/>
          <w:szCs w:val="22"/>
          <w:lang w:val="en-US"/>
        </w:rPr>
        <w:t>higher</w:t>
      </w:r>
      <w:r w:rsidRPr="009B0D77">
        <w:rPr>
          <w:rFonts w:ascii="Arial" w:hAnsi="Arial" w:cs="Arial"/>
          <w:sz w:val="22"/>
          <w:szCs w:val="22"/>
          <w:lang w:val="en-US"/>
        </w:rPr>
        <w:t>.</w:t>
      </w:r>
    </w:p>
    <w:p w:rsidR="00B3744A" w:rsidRPr="00B3744A" w:rsidRDefault="00B3744A" w:rsidP="00B3744A">
      <w:pPr>
        <w:pStyle w:val="Tekstpodstawowy"/>
        <w:tabs>
          <w:tab w:val="left" w:pos="284"/>
        </w:tabs>
        <w:spacing w:before="120" w:line="280" w:lineRule="atLeast"/>
        <w:jc w:val="left"/>
        <w:rPr>
          <w:rFonts w:ascii="Arial" w:hAnsi="Arial" w:cs="Arial"/>
          <w:sz w:val="22"/>
          <w:szCs w:val="22"/>
          <w:lang w:val="en-US"/>
        </w:rPr>
      </w:pPr>
      <w:r w:rsidRPr="00B3744A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Gross value added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in </w:t>
      </w:r>
      <w:r w:rsidRPr="00B3744A">
        <w:rPr>
          <w:rFonts w:ascii="Arial" w:hAnsi="Arial" w:cs="Arial"/>
          <w:b/>
          <w:sz w:val="22"/>
          <w:szCs w:val="22"/>
          <w:lang w:val="en-US"/>
        </w:rPr>
        <w:t>public administration and defense, compulsory social security, education, human health and social work activities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 altogether 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F308A6">
        <w:rPr>
          <w:rFonts w:ascii="Arial" w:hAnsi="Arial" w:cs="Arial"/>
          <w:sz w:val="22"/>
          <w:szCs w:val="22"/>
          <w:lang w:val="en-US"/>
        </w:rPr>
        <w:t>7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was </w:t>
      </w:r>
      <w:r w:rsidR="0076219E">
        <w:rPr>
          <w:rFonts w:ascii="Arial" w:hAnsi="Arial" w:cs="Arial"/>
          <w:sz w:val="22"/>
          <w:szCs w:val="22"/>
          <w:lang w:val="en-US"/>
        </w:rPr>
        <w:t>0.3</w:t>
      </w:r>
      <w:r w:rsidR="00D66580">
        <w:rPr>
          <w:rFonts w:ascii="Arial" w:hAnsi="Arial" w:cs="Arial"/>
          <w:sz w:val="22"/>
          <w:szCs w:val="22"/>
          <w:lang w:val="en-US"/>
        </w:rPr>
        <w:t xml:space="preserve">% </w:t>
      </w:r>
      <w:r w:rsidR="00946CB4">
        <w:rPr>
          <w:rFonts w:ascii="Arial" w:hAnsi="Arial" w:cs="Arial"/>
          <w:sz w:val="22"/>
          <w:szCs w:val="22"/>
          <w:lang w:val="en-US"/>
        </w:rPr>
        <w:t>higher</w:t>
      </w:r>
      <w:r w:rsidRPr="00B3744A">
        <w:rPr>
          <w:rFonts w:ascii="Arial" w:hAnsi="Arial" w:cs="Arial"/>
          <w:sz w:val="22"/>
          <w:szCs w:val="22"/>
          <w:lang w:val="en-US"/>
        </w:rPr>
        <w:t>.</w:t>
      </w:r>
    </w:p>
    <w:p w:rsidR="00B3744A" w:rsidRP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trike/>
          <w:sz w:val="22"/>
          <w:szCs w:val="22"/>
          <w:lang w:val="en-US"/>
        </w:rPr>
      </w:pP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Domestic uses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 we</w:t>
      </w:r>
      <w:r w:rsidR="00AE59EB">
        <w:rPr>
          <w:rFonts w:ascii="Arial" w:hAnsi="Arial" w:cs="Arial"/>
          <w:sz w:val="22"/>
          <w:szCs w:val="22"/>
          <w:lang w:val="en-US"/>
        </w:rPr>
        <w:t xml:space="preserve">re </w:t>
      </w:r>
      <w:r w:rsidR="0076219E">
        <w:rPr>
          <w:rFonts w:ascii="Arial" w:hAnsi="Arial" w:cs="Arial"/>
          <w:sz w:val="22"/>
          <w:szCs w:val="22"/>
          <w:lang w:val="en-US"/>
        </w:rPr>
        <w:t>1.4</w:t>
      </w:r>
      <w:r w:rsidRPr="00B3744A">
        <w:rPr>
          <w:rFonts w:ascii="Arial" w:hAnsi="Arial" w:cs="Arial"/>
          <w:sz w:val="22"/>
          <w:szCs w:val="22"/>
          <w:lang w:val="en-US"/>
        </w:rPr>
        <w:t>% higher.</w:t>
      </w:r>
    </w:p>
    <w:p w:rsidR="005508C8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32885">
        <w:rPr>
          <w:rFonts w:ascii="Arial" w:hAnsi="Arial" w:cs="Arial"/>
          <w:b/>
          <w:sz w:val="22"/>
          <w:szCs w:val="22"/>
          <w:lang w:val="en-US"/>
        </w:rPr>
        <w:t>Total consumption expenditure</w:t>
      </w:r>
      <w:r w:rsidR="00D665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66580">
        <w:rPr>
          <w:rFonts w:ascii="Arial" w:hAnsi="Arial" w:cs="Arial"/>
          <w:sz w:val="22"/>
          <w:szCs w:val="22"/>
          <w:lang w:val="en-US"/>
        </w:rPr>
        <w:t xml:space="preserve">was </w:t>
      </w:r>
      <w:r w:rsidR="0076219E">
        <w:rPr>
          <w:rFonts w:ascii="Arial" w:hAnsi="Arial" w:cs="Arial"/>
          <w:sz w:val="22"/>
          <w:szCs w:val="22"/>
          <w:lang w:val="en-US"/>
        </w:rPr>
        <w:t>1.0</w:t>
      </w:r>
      <w:r w:rsidR="00D66580">
        <w:rPr>
          <w:rFonts w:ascii="Arial" w:hAnsi="Arial" w:cs="Arial"/>
          <w:sz w:val="22"/>
          <w:szCs w:val="22"/>
          <w:lang w:val="en-US"/>
        </w:rPr>
        <w:t>% higher</w:t>
      </w:r>
      <w:r w:rsidR="0056277E" w:rsidRPr="00232885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792209" w:rsidRPr="00232885">
        <w:rPr>
          <w:rFonts w:ascii="Arial" w:hAnsi="Arial" w:cs="Arial"/>
          <w:sz w:val="22"/>
          <w:szCs w:val="22"/>
          <w:lang w:val="en-US"/>
        </w:rPr>
        <w:t>of</w:t>
      </w:r>
      <w:r w:rsidR="0056277E" w:rsidRPr="00232885">
        <w:rPr>
          <w:rFonts w:ascii="Arial" w:hAnsi="Arial" w:cs="Arial"/>
          <w:sz w:val="22"/>
          <w:szCs w:val="22"/>
          <w:lang w:val="en-US"/>
        </w:rPr>
        <w:t xml:space="preserve"> which</w:t>
      </w:r>
      <w:r w:rsidRPr="0023288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6277E" w:rsidRPr="00232885">
        <w:rPr>
          <w:rFonts w:ascii="Arial" w:hAnsi="Arial" w:cs="Arial"/>
          <w:b/>
          <w:sz w:val="22"/>
          <w:szCs w:val="22"/>
          <w:lang w:val="en-US"/>
        </w:rPr>
        <w:t>consumption expenditure in the households sector</w:t>
      </w:r>
      <w:r w:rsidR="0056277E" w:rsidRPr="00232885">
        <w:rPr>
          <w:rFonts w:ascii="Arial" w:hAnsi="Arial" w:cs="Arial"/>
          <w:sz w:val="22"/>
          <w:szCs w:val="22"/>
          <w:lang w:val="en-US"/>
        </w:rPr>
        <w:t xml:space="preserve"> </w:t>
      </w:r>
      <w:r w:rsidRPr="00232885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232885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 w:rsidRPr="00232885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Pr="0023288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E59EB" w:rsidRPr="00232885">
        <w:rPr>
          <w:rFonts w:ascii="Arial" w:hAnsi="Arial" w:cs="Arial"/>
          <w:sz w:val="22"/>
          <w:szCs w:val="22"/>
          <w:lang w:val="en-US"/>
        </w:rPr>
        <w:t xml:space="preserve">increased by </w:t>
      </w:r>
      <w:r w:rsidR="0076219E">
        <w:rPr>
          <w:rFonts w:ascii="Arial" w:hAnsi="Arial" w:cs="Arial"/>
          <w:sz w:val="22"/>
          <w:szCs w:val="22"/>
          <w:lang w:val="en-US"/>
        </w:rPr>
        <w:t>1.3</w:t>
      </w:r>
      <w:r w:rsidRPr="00232885">
        <w:rPr>
          <w:rFonts w:ascii="Arial" w:hAnsi="Arial" w:cs="Arial"/>
          <w:sz w:val="22"/>
          <w:szCs w:val="22"/>
          <w:lang w:val="en-US"/>
        </w:rPr>
        <w:t>%</w:t>
      </w:r>
      <w:r w:rsidR="00232885" w:rsidRPr="00232885">
        <w:rPr>
          <w:rFonts w:ascii="Arial" w:hAnsi="Arial" w:cs="Arial"/>
          <w:sz w:val="22"/>
          <w:szCs w:val="22"/>
          <w:lang w:val="en-US"/>
        </w:rPr>
        <w:t>.</w:t>
      </w:r>
    </w:p>
    <w:p w:rsidR="00B3744A" w:rsidRP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Gross capital formation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="009619E7">
        <w:rPr>
          <w:rFonts w:ascii="Arial" w:hAnsi="Arial" w:cs="Arial"/>
          <w:sz w:val="22"/>
          <w:szCs w:val="22"/>
          <w:lang w:val="en-US"/>
        </w:rPr>
        <w:t>quarter</w:t>
      </w:r>
      <w:r w:rsidR="00DB0E62">
        <w:rPr>
          <w:rFonts w:ascii="Arial" w:hAnsi="Arial" w:cs="Arial"/>
          <w:sz w:val="22"/>
          <w:szCs w:val="22"/>
          <w:lang w:val="en-US"/>
        </w:rPr>
        <w:t xml:space="preserve">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="009619E7">
        <w:rPr>
          <w:rFonts w:ascii="Arial" w:hAnsi="Arial" w:cs="Arial"/>
          <w:sz w:val="22"/>
          <w:szCs w:val="22"/>
          <w:lang w:val="en-US"/>
        </w:rPr>
        <w:t xml:space="preserve"> was </w:t>
      </w:r>
      <w:r w:rsidR="0076219E">
        <w:rPr>
          <w:rFonts w:ascii="Arial" w:hAnsi="Arial" w:cs="Arial"/>
          <w:sz w:val="22"/>
          <w:szCs w:val="22"/>
          <w:lang w:val="en-US"/>
        </w:rPr>
        <w:t>4.3</w:t>
      </w:r>
      <w:r w:rsidRPr="00B3744A">
        <w:rPr>
          <w:rFonts w:ascii="Arial" w:hAnsi="Arial" w:cs="Arial"/>
          <w:sz w:val="22"/>
          <w:szCs w:val="22"/>
          <w:lang w:val="en-US"/>
        </w:rPr>
        <w:t>%</w:t>
      </w:r>
      <w:r w:rsidR="008B662C">
        <w:rPr>
          <w:rFonts w:ascii="Arial" w:hAnsi="Arial" w:cs="Arial"/>
          <w:sz w:val="22"/>
          <w:szCs w:val="22"/>
          <w:lang w:val="en-US"/>
        </w:rPr>
        <w:t xml:space="preserve"> </w:t>
      </w:r>
      <w:r w:rsidR="00D967DD">
        <w:rPr>
          <w:rFonts w:ascii="Arial" w:hAnsi="Arial" w:cs="Arial"/>
          <w:sz w:val="22"/>
          <w:szCs w:val="22"/>
          <w:lang w:val="en-US"/>
        </w:rPr>
        <w:t>high</w:t>
      </w:r>
      <w:r w:rsidR="00A558F0">
        <w:rPr>
          <w:rFonts w:ascii="Arial" w:hAnsi="Arial" w:cs="Arial"/>
          <w:sz w:val="22"/>
          <w:szCs w:val="22"/>
          <w:lang w:val="en-US"/>
        </w:rPr>
        <w:t>er</w:t>
      </w:r>
      <w:r w:rsidR="008B662C">
        <w:rPr>
          <w:rFonts w:ascii="Arial" w:hAnsi="Arial" w:cs="Arial"/>
          <w:sz w:val="22"/>
          <w:szCs w:val="22"/>
          <w:lang w:val="en-US"/>
        </w:rPr>
        <w:t>.</w:t>
      </w:r>
    </w:p>
    <w:p w:rsid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Gross fixed capital formation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B3744A">
        <w:rPr>
          <w:rFonts w:ascii="Arial" w:hAnsi="Arial" w:cs="Arial"/>
          <w:sz w:val="22"/>
          <w:szCs w:val="22"/>
          <w:lang w:val="en-US"/>
        </w:rPr>
        <w:t xml:space="preserve">quarter </w:t>
      </w:r>
      <w:r w:rsidR="00DB0E62">
        <w:rPr>
          <w:rFonts w:ascii="Arial" w:hAnsi="Arial" w:cs="Arial"/>
          <w:sz w:val="22"/>
          <w:szCs w:val="22"/>
          <w:lang w:val="en-US"/>
        </w:rPr>
        <w:t xml:space="preserve">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="00DB0E62">
        <w:rPr>
          <w:rFonts w:ascii="Arial" w:hAnsi="Arial" w:cs="Arial"/>
          <w:sz w:val="22"/>
          <w:szCs w:val="22"/>
          <w:lang w:val="en-US"/>
        </w:rPr>
        <w:t xml:space="preserve"> </w:t>
      </w:r>
      <w:r w:rsidR="00A2775D">
        <w:rPr>
          <w:rFonts w:ascii="Arial" w:hAnsi="Arial" w:cs="Arial"/>
          <w:sz w:val="22"/>
          <w:szCs w:val="22"/>
          <w:lang w:val="en-US"/>
        </w:rPr>
        <w:t>was up</w:t>
      </w: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3744A">
        <w:rPr>
          <w:rFonts w:ascii="Arial" w:hAnsi="Arial" w:cs="Arial"/>
          <w:sz w:val="22"/>
          <w:szCs w:val="22"/>
          <w:lang w:val="en-US"/>
        </w:rPr>
        <w:t>by</w:t>
      </w:r>
      <w:r w:rsidRPr="00B374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6219E">
        <w:rPr>
          <w:rFonts w:ascii="Arial" w:hAnsi="Arial" w:cs="Arial"/>
          <w:sz w:val="22"/>
          <w:szCs w:val="22"/>
          <w:lang w:val="en-US"/>
        </w:rPr>
        <w:t>0.5</w:t>
      </w:r>
      <w:r w:rsidRPr="00B3744A">
        <w:rPr>
          <w:rFonts w:ascii="Arial" w:hAnsi="Arial" w:cs="Arial"/>
          <w:sz w:val="22"/>
          <w:szCs w:val="22"/>
          <w:lang w:val="en-US"/>
        </w:rPr>
        <w:t>%.</w:t>
      </w:r>
    </w:p>
    <w:p w:rsidR="00B3744A" w:rsidRP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:rsidR="00B3744A" w:rsidRPr="00B3744A" w:rsidRDefault="00B3744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B3744A">
        <w:rPr>
          <w:rFonts w:ascii="Arial" w:hAnsi="Arial" w:cs="Arial"/>
          <w:sz w:val="22"/>
          <w:szCs w:val="22"/>
          <w:lang w:val="en-US"/>
        </w:rPr>
        <w:tab/>
      </w:r>
      <w:r w:rsidRPr="00B3744A">
        <w:rPr>
          <w:rFonts w:ascii="Arial" w:hAnsi="Arial" w:cs="Arial"/>
          <w:i/>
          <w:sz w:val="22"/>
          <w:szCs w:val="22"/>
          <w:lang w:val="en-US"/>
        </w:rPr>
        <w:t xml:space="preserve">Tables 1 and 2 present indices in constant prices with reference to the year 2010 for GDP time series and its main aggregates for seasonally </w:t>
      </w:r>
      <w:r w:rsidR="009B674A">
        <w:rPr>
          <w:rFonts w:ascii="Arial" w:hAnsi="Arial" w:cs="Arial"/>
          <w:i/>
          <w:sz w:val="22"/>
          <w:szCs w:val="22"/>
          <w:lang w:val="en-US"/>
        </w:rPr>
        <w:t>un</w:t>
      </w:r>
      <w:r w:rsidRPr="00B3744A">
        <w:rPr>
          <w:rFonts w:ascii="Arial" w:hAnsi="Arial" w:cs="Arial"/>
          <w:i/>
          <w:sz w:val="22"/>
          <w:szCs w:val="22"/>
          <w:lang w:val="en-US"/>
        </w:rPr>
        <w:t xml:space="preserve">adjusted data, seasonally adjusted data as well as trend. Table 1 presents indices on the previous quarter and table 2 presents indices on the corresponding quarter of the previous year.  </w:t>
      </w:r>
    </w:p>
    <w:p w:rsidR="00B3744A" w:rsidRDefault="009C2F6B" w:rsidP="000739F8">
      <w:pPr>
        <w:tabs>
          <w:tab w:val="left" w:pos="284"/>
        </w:tabs>
        <w:spacing w:before="480" w:after="360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t>S</w:t>
      </w:r>
      <w:r w:rsidR="00B3744A" w:rsidRPr="00B3744A">
        <w:rPr>
          <w:rFonts w:ascii="Arial" w:hAnsi="Arial" w:cs="Arial"/>
          <w:b/>
          <w:i/>
          <w:sz w:val="22"/>
          <w:szCs w:val="22"/>
          <w:lang w:val="en-US"/>
        </w:rPr>
        <w:t xml:space="preserve">easonally </w:t>
      </w:r>
      <w:r>
        <w:rPr>
          <w:rFonts w:ascii="Arial" w:hAnsi="Arial" w:cs="Arial"/>
          <w:b/>
          <w:i/>
          <w:sz w:val="22"/>
          <w:szCs w:val="22"/>
          <w:lang w:val="en-US"/>
        </w:rPr>
        <w:t>un</w:t>
      </w:r>
      <w:r w:rsidR="00B3744A" w:rsidRPr="00B3744A">
        <w:rPr>
          <w:rFonts w:ascii="Arial" w:hAnsi="Arial" w:cs="Arial"/>
          <w:b/>
          <w:i/>
          <w:sz w:val="22"/>
          <w:szCs w:val="22"/>
          <w:lang w:val="en-US"/>
        </w:rPr>
        <w:t>adjusted GDP (constant average prices of the previous year)</w:t>
      </w:r>
    </w:p>
    <w:p w:rsidR="00B3744A" w:rsidRPr="000739F8" w:rsidRDefault="00476D40" w:rsidP="00B3744A">
      <w:pPr>
        <w:tabs>
          <w:tab w:val="left" w:pos="284"/>
        </w:tabs>
        <w:spacing w:line="280" w:lineRule="atLeast"/>
        <w:rPr>
          <w:rFonts w:ascii="Arial" w:hAnsi="Arial" w:cs="Arial"/>
          <w:sz w:val="22"/>
          <w:szCs w:val="22"/>
          <w:lang w:val="en-US"/>
        </w:rPr>
      </w:pPr>
      <w:r w:rsidRPr="00476D40">
        <w:rPr>
          <w:lang w:val="en-US"/>
        </w:rPr>
        <w:t xml:space="preserve"> </w:t>
      </w:r>
      <w:r w:rsidR="00B3744A" w:rsidRPr="000739F8">
        <w:rPr>
          <w:rFonts w:ascii="Arial" w:hAnsi="Arial" w:cs="Arial"/>
          <w:sz w:val="22"/>
          <w:szCs w:val="22"/>
          <w:lang w:val="en-US"/>
        </w:rPr>
        <w:t xml:space="preserve">According to the preliminary estimate </w:t>
      </w:r>
      <w:r w:rsidR="006A0A99">
        <w:rPr>
          <w:rFonts w:ascii="Arial" w:hAnsi="Arial" w:cs="Arial"/>
          <w:b/>
          <w:sz w:val="22"/>
          <w:szCs w:val="22"/>
          <w:lang w:val="en-US"/>
        </w:rPr>
        <w:t>gross domestic p</w:t>
      </w:r>
      <w:r w:rsidR="00B3744A" w:rsidRPr="000739F8">
        <w:rPr>
          <w:rFonts w:ascii="Arial" w:hAnsi="Arial" w:cs="Arial"/>
          <w:b/>
          <w:sz w:val="22"/>
          <w:szCs w:val="22"/>
          <w:lang w:val="en-US"/>
        </w:rPr>
        <w:t>roduct (GDP)</w:t>
      </w:r>
      <w:r w:rsidR="00B3744A" w:rsidRPr="000739F8">
        <w:rPr>
          <w:rFonts w:ascii="Arial" w:hAnsi="Arial" w:cs="Arial"/>
          <w:sz w:val="22"/>
          <w:szCs w:val="22"/>
          <w:lang w:val="en-US"/>
        </w:rPr>
        <w:t xml:space="preserve"> 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="00B3744A" w:rsidRPr="000739F8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AD103A">
        <w:rPr>
          <w:rFonts w:ascii="Arial" w:hAnsi="Arial" w:cs="Arial"/>
          <w:sz w:val="22"/>
          <w:szCs w:val="22"/>
          <w:lang w:val="en-US"/>
        </w:rPr>
        <w:t xml:space="preserve">7 </w:t>
      </w:r>
      <w:r w:rsidR="00B3744A" w:rsidRPr="000739F8">
        <w:rPr>
          <w:rFonts w:ascii="Arial" w:hAnsi="Arial" w:cs="Arial"/>
          <w:sz w:val="22"/>
          <w:szCs w:val="22"/>
          <w:lang w:val="en-US"/>
        </w:rPr>
        <w:t xml:space="preserve">was </w:t>
      </w:r>
      <w:r w:rsidR="00A81DD4">
        <w:rPr>
          <w:rFonts w:ascii="Arial" w:hAnsi="Arial" w:cs="Arial"/>
          <w:noProof/>
          <w:sz w:val="22"/>
          <w:szCs w:val="22"/>
          <w:lang w:val="en-US"/>
        </w:rPr>
        <w:t>3.9</w:t>
      </w:r>
      <w:r w:rsidR="00B3744A" w:rsidRPr="005D7A0E">
        <w:rPr>
          <w:rFonts w:ascii="Arial" w:hAnsi="Arial" w:cs="Arial"/>
          <w:sz w:val="22"/>
          <w:szCs w:val="22"/>
          <w:lang w:val="en-US"/>
        </w:rPr>
        <w:t>%</w:t>
      </w:r>
      <w:r w:rsidR="00B3744A" w:rsidRPr="000739F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3744A" w:rsidRPr="000739F8">
        <w:rPr>
          <w:rFonts w:ascii="Arial" w:hAnsi="Arial" w:cs="Arial"/>
          <w:sz w:val="22"/>
          <w:szCs w:val="22"/>
          <w:lang w:val="en-US"/>
        </w:rPr>
        <w:t xml:space="preserve">higher than in the corresponding quarter of the previous year. </w:t>
      </w:r>
    </w:p>
    <w:p w:rsidR="00B3744A" w:rsidRPr="006415F7" w:rsidRDefault="009F2FE0" w:rsidP="00B3744A">
      <w:pPr>
        <w:tabs>
          <w:tab w:val="left" w:pos="284"/>
        </w:tabs>
        <w:spacing w:line="280" w:lineRule="atLeast"/>
        <w:rPr>
          <w:szCs w:val="22"/>
          <w:lang w:val="en-US"/>
        </w:rPr>
      </w:pPr>
      <w:r w:rsidRPr="009F2FE0">
        <w:rPr>
          <w:noProof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376466</wp:posOffset>
            </wp:positionV>
            <wp:extent cx="6119495" cy="373634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B5E" w:rsidRDefault="00B3744A" w:rsidP="00B3744A">
      <w:pPr>
        <w:tabs>
          <w:tab w:val="left" w:pos="284"/>
        </w:tabs>
        <w:spacing w:before="120" w:line="280" w:lineRule="atLeast"/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ab/>
      </w:r>
    </w:p>
    <w:p w:rsidR="00B3744A" w:rsidRPr="000739F8" w:rsidRDefault="00673F0A" w:rsidP="00B3744A">
      <w:pPr>
        <w:tabs>
          <w:tab w:val="left" w:pos="284"/>
        </w:tabs>
        <w:spacing w:before="12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 w:rsidR="00B3744A" w:rsidRPr="000739F8">
        <w:rPr>
          <w:rFonts w:ascii="Arial" w:hAnsi="Arial" w:cs="Arial"/>
          <w:b/>
          <w:sz w:val="22"/>
          <w:szCs w:val="22"/>
          <w:lang w:val="en-US"/>
        </w:rPr>
        <w:t xml:space="preserve">Gross value added </w:t>
      </w:r>
      <w:r w:rsidR="00B3744A" w:rsidRPr="000739F8">
        <w:rPr>
          <w:rFonts w:ascii="Arial" w:hAnsi="Arial" w:cs="Arial"/>
          <w:sz w:val="22"/>
          <w:szCs w:val="22"/>
          <w:lang w:val="en-US"/>
        </w:rPr>
        <w:t xml:space="preserve">in </w:t>
      </w:r>
      <w:r w:rsidR="00B3744A" w:rsidRPr="000739F8">
        <w:rPr>
          <w:rFonts w:ascii="Arial" w:hAnsi="Arial" w:cs="Arial"/>
          <w:b/>
          <w:sz w:val="22"/>
          <w:szCs w:val="22"/>
          <w:lang w:val="en-US"/>
        </w:rPr>
        <w:t xml:space="preserve">national economy </w:t>
      </w:r>
      <w:r w:rsidR="00B3744A" w:rsidRPr="000739F8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was </w:t>
      </w:r>
      <w:r w:rsidR="00A81DD4">
        <w:rPr>
          <w:rFonts w:ascii="Arial" w:hAnsi="Arial" w:cs="Arial"/>
          <w:sz w:val="22"/>
          <w:szCs w:val="22"/>
          <w:lang w:val="en-US"/>
        </w:rPr>
        <w:t>3.7</w:t>
      </w:r>
      <w:r w:rsidR="00B3744A" w:rsidRPr="000739F8">
        <w:rPr>
          <w:rFonts w:ascii="Arial" w:hAnsi="Arial" w:cs="Arial"/>
          <w:sz w:val="22"/>
          <w:szCs w:val="22"/>
          <w:lang w:val="en-US"/>
        </w:rPr>
        <w:t>% higher than in the corresponding quarter of 201</w:t>
      </w:r>
      <w:r w:rsidR="00D44E48">
        <w:rPr>
          <w:rFonts w:ascii="Arial" w:hAnsi="Arial" w:cs="Arial"/>
          <w:sz w:val="22"/>
          <w:szCs w:val="22"/>
          <w:lang w:val="en-US"/>
        </w:rPr>
        <w:t>6</w:t>
      </w:r>
      <w:r w:rsidR="00B3744A" w:rsidRPr="000739F8">
        <w:rPr>
          <w:rFonts w:ascii="Arial" w:hAnsi="Arial" w:cs="Arial"/>
          <w:sz w:val="22"/>
          <w:szCs w:val="22"/>
          <w:lang w:val="en-US"/>
        </w:rPr>
        <w:t>.</w:t>
      </w:r>
    </w:p>
    <w:p w:rsidR="00B3744A" w:rsidRPr="000739F8" w:rsidRDefault="00B3744A" w:rsidP="00B3744A">
      <w:pPr>
        <w:tabs>
          <w:tab w:val="left" w:pos="284"/>
          <w:tab w:val="left" w:pos="6195"/>
        </w:tabs>
        <w:spacing w:before="8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0739F8">
        <w:rPr>
          <w:rFonts w:ascii="Arial" w:hAnsi="Arial" w:cs="Arial"/>
          <w:b/>
          <w:sz w:val="22"/>
          <w:szCs w:val="22"/>
          <w:lang w:val="en-US"/>
        </w:rPr>
        <w:tab/>
        <w:t>Gross value added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in</w:t>
      </w: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 industry </w:t>
      </w:r>
      <w:r w:rsidRPr="000739F8">
        <w:rPr>
          <w:rFonts w:ascii="Arial" w:hAnsi="Arial" w:cs="Arial"/>
          <w:sz w:val="22"/>
          <w:szCs w:val="22"/>
          <w:lang w:val="en-US"/>
        </w:rPr>
        <w:t>was</w:t>
      </w: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81DD4">
        <w:rPr>
          <w:rFonts w:ascii="Arial" w:hAnsi="Arial" w:cs="Arial"/>
          <w:sz w:val="22"/>
          <w:szCs w:val="22"/>
          <w:lang w:val="en-US"/>
        </w:rPr>
        <w:t>3.9</w:t>
      </w:r>
      <w:r w:rsidRPr="000739F8">
        <w:rPr>
          <w:rFonts w:ascii="Arial" w:hAnsi="Arial" w:cs="Arial"/>
          <w:sz w:val="22"/>
          <w:szCs w:val="22"/>
          <w:lang w:val="en-US"/>
        </w:rPr>
        <w:t>% higher than in the corresponding quarter of 201</w:t>
      </w:r>
      <w:r w:rsidR="00D44E48">
        <w:rPr>
          <w:rFonts w:ascii="Arial" w:hAnsi="Arial" w:cs="Arial"/>
          <w:sz w:val="22"/>
          <w:szCs w:val="22"/>
          <w:lang w:val="en-US"/>
        </w:rPr>
        <w:t>6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, while in </w:t>
      </w: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construction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was </w:t>
      </w:r>
      <w:r w:rsidR="00A81DD4">
        <w:rPr>
          <w:rFonts w:ascii="Arial" w:hAnsi="Arial" w:cs="Arial"/>
          <w:sz w:val="22"/>
          <w:szCs w:val="22"/>
          <w:lang w:val="en-US"/>
        </w:rPr>
        <w:t>9.8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 </w:t>
      </w:r>
      <w:r w:rsidR="00D44E48">
        <w:rPr>
          <w:rFonts w:ascii="Arial" w:hAnsi="Arial" w:cs="Arial"/>
          <w:sz w:val="22"/>
          <w:szCs w:val="22"/>
          <w:lang w:val="en-US"/>
        </w:rPr>
        <w:t>higher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respectively.</w:t>
      </w:r>
    </w:p>
    <w:p w:rsidR="00B3744A" w:rsidRPr="000739F8" w:rsidRDefault="00B3744A" w:rsidP="00B3744A">
      <w:pPr>
        <w:tabs>
          <w:tab w:val="left" w:pos="284"/>
          <w:tab w:val="left" w:pos="6195"/>
        </w:tabs>
        <w:spacing w:before="80" w:line="280" w:lineRule="atLeast"/>
        <w:jc w:val="both"/>
        <w:rPr>
          <w:rFonts w:ascii="Arial" w:hAnsi="Arial" w:cs="Arial"/>
          <w:strike/>
          <w:sz w:val="22"/>
          <w:szCs w:val="22"/>
          <w:lang w:val="en-US"/>
        </w:rPr>
      </w:pPr>
      <w:r w:rsidRPr="000739F8">
        <w:rPr>
          <w:rFonts w:ascii="Arial" w:hAnsi="Arial" w:cs="Arial"/>
          <w:b/>
          <w:sz w:val="22"/>
          <w:szCs w:val="22"/>
          <w:lang w:val="en-US"/>
        </w:rPr>
        <w:lastRenderedPageBreak/>
        <w:tab/>
        <w:t>Gross value added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in </w:t>
      </w:r>
      <w:r w:rsidRPr="000739F8">
        <w:rPr>
          <w:rFonts w:ascii="Arial" w:hAnsi="Arial" w:cs="Arial"/>
          <w:b/>
          <w:sz w:val="22"/>
          <w:szCs w:val="22"/>
          <w:lang w:val="en-US"/>
        </w:rPr>
        <w:t>trade and repair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rose by </w:t>
      </w:r>
      <w:r w:rsidR="00A81DD4">
        <w:rPr>
          <w:rFonts w:ascii="Arial" w:hAnsi="Arial" w:cs="Arial"/>
          <w:sz w:val="22"/>
          <w:szCs w:val="22"/>
          <w:lang w:val="en-US"/>
        </w:rPr>
        <w:t>5.4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 and in </w:t>
      </w:r>
      <w:r w:rsidRPr="000739F8">
        <w:rPr>
          <w:rFonts w:ascii="Arial" w:hAnsi="Arial" w:cs="Arial"/>
          <w:b/>
          <w:sz w:val="22"/>
          <w:szCs w:val="22"/>
          <w:lang w:val="en-US"/>
        </w:rPr>
        <w:t>transportation and storage</w:t>
      </w:r>
      <w:r w:rsidR="00C96F2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00603">
        <w:rPr>
          <w:rFonts w:ascii="Arial" w:hAnsi="Arial" w:cs="Arial"/>
          <w:sz w:val="22"/>
          <w:szCs w:val="22"/>
          <w:lang w:val="en-US"/>
        </w:rPr>
        <w:t>in</w:t>
      </w:r>
      <w:r w:rsidR="002352D2">
        <w:rPr>
          <w:rFonts w:ascii="Arial" w:hAnsi="Arial" w:cs="Arial"/>
          <w:sz w:val="22"/>
          <w:szCs w:val="22"/>
          <w:lang w:val="en-US"/>
        </w:rPr>
        <w:t xml:space="preserve">creased </w:t>
      </w:r>
      <w:r w:rsidRPr="000739F8">
        <w:rPr>
          <w:rFonts w:ascii="Arial" w:hAnsi="Arial" w:cs="Arial"/>
          <w:sz w:val="22"/>
          <w:szCs w:val="22"/>
          <w:lang w:val="en-US"/>
        </w:rPr>
        <w:t>by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</w:t>
      </w:r>
      <w:r w:rsidR="00A81DD4">
        <w:rPr>
          <w:rFonts w:ascii="Arial" w:hAnsi="Arial" w:cs="Arial"/>
          <w:sz w:val="22"/>
          <w:szCs w:val="22"/>
          <w:lang w:val="en-US"/>
        </w:rPr>
        <w:t>9.3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%. </w:t>
      </w:r>
      <w:r w:rsidRPr="000739F8">
        <w:rPr>
          <w:rFonts w:ascii="Arial" w:hAnsi="Arial" w:cs="Arial"/>
          <w:b/>
          <w:sz w:val="22"/>
          <w:szCs w:val="22"/>
          <w:lang w:val="en-US"/>
        </w:rPr>
        <w:t>Gross value added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in </w:t>
      </w:r>
      <w:r w:rsidRPr="000739F8">
        <w:rPr>
          <w:rFonts w:ascii="Arial" w:hAnsi="Arial" w:cs="Arial"/>
          <w:b/>
          <w:sz w:val="22"/>
          <w:szCs w:val="22"/>
          <w:lang w:val="en-US"/>
        </w:rPr>
        <w:t>financial and insurance activities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</w:t>
      </w:r>
      <w:r w:rsidR="00F1150C">
        <w:rPr>
          <w:rFonts w:ascii="Arial" w:hAnsi="Arial" w:cs="Arial"/>
          <w:sz w:val="22"/>
          <w:szCs w:val="22"/>
          <w:lang w:val="en-US"/>
        </w:rPr>
        <w:t>increased</w:t>
      </w:r>
      <w:r w:rsidR="00302C54">
        <w:rPr>
          <w:rFonts w:ascii="Arial" w:hAnsi="Arial" w:cs="Arial"/>
          <w:sz w:val="22"/>
          <w:szCs w:val="22"/>
          <w:lang w:val="en-US"/>
        </w:rPr>
        <w:t xml:space="preserve">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by </w:t>
      </w:r>
      <w:r w:rsidR="00A81DD4">
        <w:rPr>
          <w:rFonts w:ascii="Arial" w:hAnsi="Arial" w:cs="Arial"/>
          <w:sz w:val="22"/>
          <w:szCs w:val="22"/>
          <w:lang w:val="en-US"/>
        </w:rPr>
        <w:t>2.2</w:t>
      </w:r>
      <w:r w:rsidR="00AE59EB">
        <w:rPr>
          <w:rFonts w:ascii="Arial" w:hAnsi="Arial" w:cs="Arial"/>
          <w:sz w:val="22"/>
          <w:szCs w:val="22"/>
          <w:lang w:val="en-US"/>
        </w:rPr>
        <w:t>% compared with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the </w:t>
      </w:r>
      <w:r w:rsidR="00FA13B8">
        <w:rPr>
          <w:rFonts w:ascii="Arial" w:hAnsi="Arial" w:cs="Arial"/>
          <w:sz w:val="22"/>
          <w:szCs w:val="22"/>
          <w:lang w:val="en-US"/>
        </w:rPr>
        <w:t xml:space="preserve">corresponding </w:t>
      </w:r>
      <w:r w:rsidRPr="000739F8">
        <w:rPr>
          <w:rFonts w:ascii="Arial" w:hAnsi="Arial" w:cs="Arial"/>
          <w:sz w:val="22"/>
          <w:szCs w:val="22"/>
          <w:lang w:val="en-US"/>
        </w:rPr>
        <w:t>quarter of 201</w:t>
      </w:r>
      <w:r w:rsidR="00D44E48">
        <w:rPr>
          <w:rFonts w:ascii="Arial" w:hAnsi="Arial" w:cs="Arial"/>
          <w:sz w:val="22"/>
          <w:szCs w:val="22"/>
          <w:lang w:val="en-US"/>
        </w:rPr>
        <w:t>6</w:t>
      </w:r>
      <w:r w:rsidR="00156FE6">
        <w:rPr>
          <w:rFonts w:ascii="Arial" w:hAnsi="Arial" w:cs="Arial"/>
          <w:sz w:val="22"/>
          <w:szCs w:val="22"/>
          <w:lang w:val="en-US"/>
        </w:rPr>
        <w:t>.</w:t>
      </w:r>
    </w:p>
    <w:p w:rsidR="00B3744A" w:rsidRPr="000739F8" w:rsidRDefault="00B3744A" w:rsidP="00AE59EB">
      <w:pPr>
        <w:pStyle w:val="Tekstpodstawowy"/>
        <w:tabs>
          <w:tab w:val="left" w:pos="284"/>
        </w:tabs>
        <w:spacing w:before="8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0739F8">
        <w:rPr>
          <w:rFonts w:ascii="Arial" w:hAnsi="Arial" w:cs="Arial"/>
          <w:b/>
          <w:sz w:val="22"/>
          <w:szCs w:val="22"/>
          <w:lang w:val="en-US"/>
        </w:rPr>
        <w:tab/>
        <w:t xml:space="preserve">Gross value added 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in </w:t>
      </w:r>
      <w:r w:rsidR="00B50A5C">
        <w:rPr>
          <w:rFonts w:ascii="Arial" w:hAnsi="Arial" w:cs="Arial"/>
          <w:b/>
          <w:sz w:val="22"/>
          <w:szCs w:val="22"/>
          <w:lang w:val="en-US"/>
        </w:rPr>
        <w:t xml:space="preserve">public administration and </w:t>
      </w:r>
      <w:r w:rsidR="00D73570">
        <w:rPr>
          <w:rFonts w:ascii="Arial" w:hAnsi="Arial" w:cs="Arial"/>
          <w:b/>
          <w:sz w:val="22"/>
          <w:szCs w:val="22"/>
          <w:lang w:val="en-US"/>
        </w:rPr>
        <w:t>defens</w:t>
      </w:r>
      <w:r w:rsidR="00D73570" w:rsidRPr="000739F8">
        <w:rPr>
          <w:rFonts w:ascii="Arial" w:hAnsi="Arial" w:cs="Arial"/>
          <w:b/>
          <w:sz w:val="22"/>
          <w:szCs w:val="22"/>
          <w:lang w:val="en-US"/>
        </w:rPr>
        <w:t>e</w:t>
      </w:r>
      <w:r w:rsidRPr="000739F8">
        <w:rPr>
          <w:rFonts w:ascii="Arial" w:hAnsi="Arial" w:cs="Arial"/>
          <w:b/>
          <w:sz w:val="22"/>
          <w:szCs w:val="22"/>
          <w:lang w:val="en-US"/>
        </w:rPr>
        <w:t>, compulsory social security, education, human health and social work activities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altogether 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was</w:t>
      </w:r>
      <w:r w:rsidR="00FA13B8">
        <w:rPr>
          <w:rFonts w:ascii="Arial" w:hAnsi="Arial" w:cs="Arial"/>
          <w:sz w:val="22"/>
          <w:szCs w:val="22"/>
          <w:lang w:val="en-US"/>
        </w:rPr>
        <w:t xml:space="preserve"> </w:t>
      </w:r>
      <w:r w:rsidR="00100603">
        <w:rPr>
          <w:rFonts w:ascii="Arial" w:hAnsi="Arial" w:cs="Arial"/>
          <w:sz w:val="22"/>
          <w:szCs w:val="22"/>
          <w:lang w:val="en-US"/>
        </w:rPr>
        <w:br/>
      </w:r>
      <w:r w:rsidR="00A81DD4">
        <w:rPr>
          <w:rFonts w:ascii="Arial" w:hAnsi="Arial" w:cs="Arial"/>
          <w:sz w:val="22"/>
          <w:szCs w:val="22"/>
          <w:lang w:val="en-US"/>
        </w:rPr>
        <w:t>0.2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 </w:t>
      </w:r>
      <w:r w:rsidR="00A81DD4">
        <w:rPr>
          <w:rFonts w:ascii="Arial" w:hAnsi="Arial" w:cs="Arial"/>
          <w:sz w:val="22"/>
          <w:szCs w:val="22"/>
          <w:lang w:val="en-US"/>
        </w:rPr>
        <w:t>lower</w:t>
      </w:r>
      <w:r w:rsidRPr="000739F8">
        <w:rPr>
          <w:rFonts w:ascii="Arial" w:hAnsi="Arial" w:cs="Arial"/>
          <w:sz w:val="22"/>
          <w:szCs w:val="22"/>
          <w:lang w:val="en-US"/>
        </w:rPr>
        <w:t>.</w:t>
      </w:r>
    </w:p>
    <w:p w:rsidR="00B3744A" w:rsidRPr="00F1098E" w:rsidRDefault="00B3744A" w:rsidP="00B3744A">
      <w:pPr>
        <w:tabs>
          <w:tab w:val="left" w:pos="284"/>
        </w:tabs>
        <w:spacing w:before="8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0739F8">
        <w:rPr>
          <w:rFonts w:ascii="Arial" w:hAnsi="Arial" w:cs="Arial"/>
          <w:b/>
          <w:sz w:val="22"/>
          <w:szCs w:val="22"/>
          <w:lang w:val="en-US"/>
        </w:rPr>
        <w:tab/>
        <w:t xml:space="preserve">Domestic uses 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were </w:t>
      </w:r>
      <w:r w:rsidR="00A81DD4">
        <w:rPr>
          <w:rFonts w:ascii="Arial" w:hAnsi="Arial" w:cs="Arial"/>
          <w:sz w:val="22"/>
          <w:szCs w:val="22"/>
          <w:lang w:val="en-US"/>
        </w:rPr>
        <w:t>5.6</w:t>
      </w:r>
      <w:r w:rsidRPr="000739F8">
        <w:rPr>
          <w:rFonts w:ascii="Arial" w:hAnsi="Arial" w:cs="Arial"/>
          <w:sz w:val="22"/>
          <w:szCs w:val="22"/>
          <w:lang w:val="en-US"/>
        </w:rPr>
        <w:t>% higher than in the corresponding quarter of the previous year</w:t>
      </w:r>
      <w:r w:rsidRPr="000739F8">
        <w:rPr>
          <w:rFonts w:ascii="Arial" w:hAnsi="Arial" w:cs="Arial"/>
          <w:b/>
          <w:sz w:val="22"/>
          <w:szCs w:val="22"/>
          <w:lang w:val="en-US"/>
        </w:rPr>
        <w:t>.</w:t>
      </w:r>
    </w:p>
    <w:p w:rsidR="00B3744A" w:rsidRPr="000739F8" w:rsidRDefault="00B3744A" w:rsidP="00B3744A">
      <w:pPr>
        <w:tabs>
          <w:tab w:val="left" w:pos="284"/>
        </w:tabs>
        <w:spacing w:before="80" w:line="28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0739F8">
        <w:rPr>
          <w:rFonts w:ascii="Arial" w:hAnsi="Arial" w:cs="Arial"/>
          <w:b/>
          <w:sz w:val="22"/>
          <w:szCs w:val="22"/>
          <w:lang w:val="en-US"/>
        </w:rPr>
        <w:tab/>
        <w:t xml:space="preserve">Final consumption expenditure 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in c</w:t>
      </w:r>
      <w:r w:rsidR="00F1098E">
        <w:rPr>
          <w:rFonts w:ascii="Arial" w:hAnsi="Arial" w:cs="Arial"/>
          <w:sz w:val="22"/>
          <w:szCs w:val="22"/>
          <w:lang w:val="en-US"/>
        </w:rPr>
        <w:t>omparison with the same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quar</w:t>
      </w:r>
      <w:r w:rsidR="00AE59EB">
        <w:rPr>
          <w:rFonts w:ascii="Arial" w:hAnsi="Arial" w:cs="Arial"/>
          <w:sz w:val="22"/>
          <w:szCs w:val="22"/>
          <w:lang w:val="en-US"/>
        </w:rPr>
        <w:t xml:space="preserve">ter of the previous year was </w:t>
      </w:r>
      <w:r w:rsidR="00A81DD4">
        <w:rPr>
          <w:rFonts w:ascii="Arial" w:hAnsi="Arial" w:cs="Arial"/>
          <w:sz w:val="22"/>
          <w:szCs w:val="22"/>
          <w:lang w:val="en-US"/>
        </w:rPr>
        <w:t>4.3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 higher, of which </w:t>
      </w: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consumption expenditure </w:t>
      </w:r>
      <w:r w:rsidR="00AE59EB" w:rsidRPr="00FA13B8">
        <w:rPr>
          <w:rFonts w:ascii="Arial" w:hAnsi="Arial" w:cs="Arial"/>
          <w:b/>
          <w:sz w:val="22"/>
          <w:szCs w:val="22"/>
          <w:lang w:val="en-US"/>
        </w:rPr>
        <w:t>in the</w:t>
      </w:r>
      <w:r w:rsidR="00AE59EB">
        <w:rPr>
          <w:rFonts w:ascii="Arial" w:hAnsi="Arial" w:cs="Arial"/>
          <w:b/>
          <w:sz w:val="22"/>
          <w:szCs w:val="22"/>
          <w:lang w:val="en-US"/>
        </w:rPr>
        <w:t xml:space="preserve"> households sector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grew by </w:t>
      </w:r>
      <w:r w:rsidR="00A81DD4">
        <w:rPr>
          <w:rFonts w:ascii="Arial" w:hAnsi="Arial" w:cs="Arial"/>
          <w:sz w:val="22"/>
          <w:szCs w:val="22"/>
          <w:lang w:val="en-US"/>
        </w:rPr>
        <w:t>4.9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 and the growth of </w:t>
      </w: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public consumption expenditure </w:t>
      </w:r>
      <w:r w:rsidR="00AE59EB">
        <w:rPr>
          <w:rFonts w:ascii="Arial" w:hAnsi="Arial" w:cs="Arial"/>
          <w:sz w:val="22"/>
          <w:szCs w:val="22"/>
          <w:lang w:val="en-US"/>
        </w:rPr>
        <w:t xml:space="preserve">amounted to </w:t>
      </w:r>
      <w:r w:rsidR="00A81DD4">
        <w:rPr>
          <w:rFonts w:ascii="Arial" w:hAnsi="Arial" w:cs="Arial"/>
          <w:sz w:val="22"/>
          <w:szCs w:val="22"/>
          <w:lang w:val="en-US"/>
        </w:rPr>
        <w:t>2.4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%. </w:t>
      </w:r>
    </w:p>
    <w:p w:rsidR="00B3744A" w:rsidRDefault="00B3744A" w:rsidP="00B3744A">
      <w:pPr>
        <w:tabs>
          <w:tab w:val="left" w:pos="284"/>
        </w:tabs>
        <w:spacing w:before="80" w:line="280" w:lineRule="atLeast"/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Gross capital formation 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847123">
        <w:rPr>
          <w:rFonts w:ascii="Arial" w:hAnsi="Arial" w:cs="Arial"/>
          <w:sz w:val="22"/>
          <w:szCs w:val="22"/>
          <w:lang w:val="en-US"/>
        </w:rPr>
        <w:t>second</w:t>
      </w:r>
      <w:r w:rsidR="007157C4">
        <w:rPr>
          <w:rFonts w:ascii="Arial" w:hAnsi="Arial" w:cs="Arial"/>
          <w:sz w:val="22"/>
          <w:szCs w:val="22"/>
          <w:lang w:val="en-US"/>
        </w:rPr>
        <w:t xml:space="preserve"> 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quarter of </w:t>
      </w:r>
      <w:r w:rsidR="009D72FA">
        <w:rPr>
          <w:rFonts w:ascii="Arial" w:hAnsi="Arial" w:cs="Arial"/>
          <w:sz w:val="22"/>
          <w:szCs w:val="22"/>
          <w:lang w:val="en-US"/>
        </w:rPr>
        <w:t>201</w:t>
      </w:r>
      <w:r w:rsidR="00D44E48">
        <w:rPr>
          <w:rFonts w:ascii="Arial" w:hAnsi="Arial" w:cs="Arial"/>
          <w:sz w:val="22"/>
          <w:szCs w:val="22"/>
          <w:lang w:val="en-US"/>
        </w:rPr>
        <w:t>7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wa</w:t>
      </w:r>
      <w:r w:rsidR="00AE59EB">
        <w:rPr>
          <w:rFonts w:ascii="Arial" w:hAnsi="Arial" w:cs="Arial"/>
          <w:sz w:val="22"/>
          <w:szCs w:val="22"/>
          <w:lang w:val="en-US"/>
        </w:rPr>
        <w:t xml:space="preserve">s </w:t>
      </w:r>
      <w:r w:rsidR="00D44E48">
        <w:rPr>
          <w:rFonts w:ascii="Arial" w:hAnsi="Arial" w:cs="Arial"/>
          <w:sz w:val="22"/>
          <w:szCs w:val="22"/>
          <w:lang w:val="en-US"/>
        </w:rPr>
        <w:t>higher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by </w:t>
      </w:r>
      <w:r w:rsidR="00A81DD4">
        <w:rPr>
          <w:rFonts w:ascii="Arial" w:hAnsi="Arial" w:cs="Arial"/>
          <w:sz w:val="22"/>
          <w:szCs w:val="22"/>
          <w:lang w:val="en-US"/>
        </w:rPr>
        <w:t>11.5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% compared with </w:t>
      </w:r>
      <w:r w:rsidR="00FA13B8">
        <w:rPr>
          <w:rFonts w:ascii="Arial" w:hAnsi="Arial" w:cs="Arial"/>
          <w:sz w:val="22"/>
          <w:szCs w:val="22"/>
          <w:lang w:val="en-US"/>
        </w:rPr>
        <w:br/>
      </w:r>
      <w:r w:rsidRPr="000739F8">
        <w:rPr>
          <w:rFonts w:ascii="Arial" w:hAnsi="Arial" w:cs="Arial"/>
          <w:sz w:val="22"/>
          <w:szCs w:val="22"/>
          <w:lang w:val="en-US"/>
        </w:rPr>
        <w:t xml:space="preserve">the </w:t>
      </w:r>
      <w:r w:rsidR="00F1150C">
        <w:rPr>
          <w:rFonts w:ascii="Arial" w:hAnsi="Arial" w:cs="Arial"/>
          <w:sz w:val="22"/>
          <w:szCs w:val="22"/>
          <w:lang w:val="en-US"/>
        </w:rPr>
        <w:t>second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quarter of </w:t>
      </w:r>
      <w:r w:rsidR="00F1150C">
        <w:rPr>
          <w:rFonts w:ascii="Arial" w:hAnsi="Arial" w:cs="Arial"/>
          <w:sz w:val="22"/>
          <w:szCs w:val="22"/>
          <w:lang w:val="en-US"/>
        </w:rPr>
        <w:t>2016</w:t>
      </w:r>
      <w:bookmarkStart w:id="0" w:name="_GoBack"/>
      <w:bookmarkEnd w:id="0"/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739F8">
        <w:rPr>
          <w:rFonts w:ascii="Arial" w:hAnsi="Arial" w:cs="Arial"/>
          <w:sz w:val="22"/>
          <w:szCs w:val="22"/>
          <w:lang w:val="en-US"/>
        </w:rPr>
        <w:t>of which</w:t>
      </w: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 gross fixed capital formation </w:t>
      </w:r>
      <w:r w:rsidR="00A81DD4">
        <w:rPr>
          <w:rFonts w:ascii="Arial" w:hAnsi="Arial" w:cs="Arial"/>
          <w:sz w:val="22"/>
          <w:szCs w:val="22"/>
          <w:lang w:val="en-US"/>
        </w:rPr>
        <w:t>grew</w:t>
      </w:r>
      <w:r w:rsidR="00AE59EB">
        <w:rPr>
          <w:rFonts w:ascii="Arial" w:hAnsi="Arial" w:cs="Arial"/>
          <w:sz w:val="22"/>
          <w:szCs w:val="22"/>
          <w:lang w:val="en-US"/>
        </w:rPr>
        <w:t xml:space="preserve"> by </w:t>
      </w:r>
      <w:r w:rsidR="00FB10B9">
        <w:rPr>
          <w:rFonts w:ascii="Arial" w:hAnsi="Arial" w:cs="Arial"/>
          <w:sz w:val="22"/>
          <w:szCs w:val="22"/>
          <w:lang w:val="en-US"/>
        </w:rPr>
        <w:br/>
      </w:r>
      <w:r w:rsidR="00A81DD4">
        <w:rPr>
          <w:rFonts w:ascii="Arial" w:hAnsi="Arial" w:cs="Arial"/>
          <w:sz w:val="22"/>
          <w:szCs w:val="22"/>
          <w:lang w:val="en-US"/>
        </w:rPr>
        <w:t>0.8</w:t>
      </w:r>
      <w:r w:rsidRPr="000739F8">
        <w:rPr>
          <w:rFonts w:ascii="Arial" w:hAnsi="Arial" w:cs="Arial"/>
          <w:sz w:val="22"/>
          <w:szCs w:val="22"/>
          <w:lang w:val="en-US"/>
        </w:rPr>
        <w:t>%.</w:t>
      </w:r>
      <w:r w:rsidRPr="000739F8">
        <w:rPr>
          <w:rFonts w:ascii="Arial" w:hAnsi="Arial" w:cs="Arial"/>
          <w:b/>
          <w:sz w:val="22"/>
          <w:szCs w:val="22"/>
          <w:lang w:val="en-US"/>
        </w:rPr>
        <w:t xml:space="preserve"> Investment ratio</w:t>
      </w:r>
      <w:r w:rsidRPr="000739F8">
        <w:rPr>
          <w:rFonts w:ascii="Arial" w:hAnsi="Arial" w:cs="Arial"/>
          <w:sz w:val="22"/>
          <w:szCs w:val="22"/>
          <w:lang w:val="en-US"/>
        </w:rPr>
        <w:t xml:space="preserve"> (relation of gross fixed capital formation to gross domestic product at c</w:t>
      </w:r>
      <w:r w:rsidR="00AE59EB">
        <w:rPr>
          <w:rFonts w:ascii="Arial" w:hAnsi="Arial" w:cs="Arial"/>
          <w:sz w:val="22"/>
          <w:szCs w:val="22"/>
          <w:lang w:val="en-US"/>
        </w:rPr>
        <w:t xml:space="preserve">urrent prices) was equal to </w:t>
      </w:r>
      <w:r w:rsidR="00A81DD4">
        <w:rPr>
          <w:rFonts w:ascii="Arial" w:hAnsi="Arial" w:cs="Arial"/>
          <w:sz w:val="22"/>
          <w:szCs w:val="22"/>
          <w:lang w:val="en-US"/>
        </w:rPr>
        <w:t>16.2</w:t>
      </w:r>
      <w:r w:rsidR="004B15D7">
        <w:rPr>
          <w:rFonts w:ascii="Arial" w:hAnsi="Arial" w:cs="Arial"/>
          <w:sz w:val="22"/>
          <w:szCs w:val="22"/>
          <w:lang w:val="en-US"/>
        </w:rPr>
        <w:t>% against</w:t>
      </w:r>
      <w:r w:rsidR="00C46EC2">
        <w:rPr>
          <w:rFonts w:ascii="Arial" w:hAnsi="Arial" w:cs="Arial"/>
          <w:sz w:val="22"/>
          <w:szCs w:val="22"/>
          <w:lang w:val="en-US"/>
        </w:rPr>
        <w:t xml:space="preserve"> </w:t>
      </w:r>
      <w:r w:rsidR="00A81DD4">
        <w:rPr>
          <w:rFonts w:ascii="Arial" w:hAnsi="Arial" w:cs="Arial"/>
          <w:sz w:val="22"/>
          <w:szCs w:val="22"/>
          <w:lang w:val="en-US"/>
        </w:rPr>
        <w:t>16.8</w:t>
      </w:r>
      <w:r w:rsidR="004B15D7">
        <w:rPr>
          <w:rFonts w:ascii="Arial" w:hAnsi="Arial" w:cs="Arial"/>
          <w:sz w:val="22"/>
          <w:szCs w:val="22"/>
          <w:lang w:val="en-US"/>
        </w:rPr>
        <w:t>% in previous year</w:t>
      </w:r>
      <w:r w:rsidRPr="000739F8">
        <w:rPr>
          <w:rFonts w:ascii="Arial" w:hAnsi="Arial" w:cs="Arial"/>
          <w:sz w:val="22"/>
          <w:szCs w:val="22"/>
          <w:lang w:val="en-US"/>
        </w:rPr>
        <w:t>.</w:t>
      </w:r>
    </w:p>
    <w:p w:rsidR="000739F8" w:rsidRPr="000739F8" w:rsidRDefault="000739F8" w:rsidP="00B3744A">
      <w:pPr>
        <w:tabs>
          <w:tab w:val="left" w:pos="284"/>
        </w:tabs>
        <w:spacing w:before="80" w:line="280" w:lineRule="atLeast"/>
        <w:ind w:firstLine="360"/>
        <w:jc w:val="both"/>
        <w:rPr>
          <w:rFonts w:ascii="Arial" w:hAnsi="Arial" w:cs="Arial"/>
          <w:sz w:val="22"/>
          <w:szCs w:val="22"/>
          <w:lang w:val="en-US"/>
        </w:rPr>
      </w:pPr>
    </w:p>
    <w:p w:rsidR="00B3744A" w:rsidRDefault="00B3744A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739F8">
        <w:rPr>
          <w:rFonts w:ascii="Arial" w:hAnsi="Arial" w:cs="Arial"/>
          <w:i/>
          <w:sz w:val="22"/>
          <w:szCs w:val="22"/>
          <w:lang w:val="en-US"/>
        </w:rPr>
        <w:t xml:space="preserve">Detailed data for GDP time series and its aggregates at current prices as well as volume growth rate (corresponding quarter of the previous year = 100, constant average prices of the previous year) is presented in tables 3 and 4. Table 5 includes information on contribution to GDP volume growth rate. </w:t>
      </w:r>
    </w:p>
    <w:p w:rsidR="00316B5E" w:rsidRDefault="00316B5E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A373C6" w:rsidRDefault="00A373C6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A373C6" w:rsidRDefault="00A373C6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316B5E" w:rsidRDefault="00540653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64770</wp:posOffset>
                </wp:positionV>
                <wp:extent cx="5925820" cy="388620"/>
                <wp:effectExtent l="0" t="0" r="17780" b="1143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81" w:rsidRPr="00B37C8C" w:rsidRDefault="00E34481" w:rsidP="00E34481">
                            <w:pPr>
                              <w:spacing w:before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8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Seasonal adjustment procedure can cause revisions to historical GDP growth rates </w:t>
                            </w:r>
                            <w:r w:rsidR="00A373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and GDP components </w:t>
                            </w:r>
                            <w:r w:rsidRPr="00B37C8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>hen later quarterly observation</w:t>
                            </w:r>
                            <w:r w:rsidR="00A373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become</w:t>
                            </w:r>
                            <w:r w:rsidR="00B676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available or the </w:t>
                            </w:r>
                            <w:r w:rsidR="000D5C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past </w:t>
                            </w:r>
                            <w:r w:rsidR="00B6764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unadjusted data </w:t>
                            </w:r>
                            <w:r w:rsidR="000D5C0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n-US"/>
                              </w:rPr>
                              <w:t>are revised.</w:t>
                            </w:r>
                          </w:p>
                          <w:p w:rsidR="00E34481" w:rsidRPr="00B37C8C" w:rsidRDefault="00E34481" w:rsidP="00E34481">
                            <w:pPr>
                              <w:spacing w:before="8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7.85pt;margin-top:5.1pt;width:466.6pt;height:30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">
                <v:textbox inset=",0">
                  <w:txbxContent>
                    <w:p w:rsidR="00E34481" w:rsidRPr="00B37C8C" w:rsidRDefault="00E34481" w:rsidP="00E34481">
                      <w:pPr>
                        <w:spacing w:before="80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37C8C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 xml:space="preserve">Seasonal adjustment procedure can cause revisions to historical GDP growth rates </w:t>
                      </w:r>
                      <w:r w:rsidR="00A373C6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 xml:space="preserve">and GDP components </w:t>
                      </w:r>
                      <w:r w:rsidRPr="00B37C8C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>hen later quarterly observation</w:t>
                      </w:r>
                      <w:r w:rsidR="00A373C6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 xml:space="preserve"> become</w:t>
                      </w:r>
                      <w:r w:rsidR="00B67641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 xml:space="preserve"> available or the </w:t>
                      </w:r>
                      <w:r w:rsidR="000D5C07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 xml:space="preserve">past </w:t>
                      </w:r>
                      <w:r w:rsidR="00B67641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 xml:space="preserve">unadjusted data </w:t>
                      </w:r>
                      <w:r w:rsidR="000D5C07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n-US"/>
                        </w:rPr>
                        <w:t>are revised.</w:t>
                      </w:r>
                    </w:p>
                    <w:p w:rsidR="00E34481" w:rsidRPr="00B37C8C" w:rsidRDefault="00E34481" w:rsidP="00E34481">
                      <w:pPr>
                        <w:spacing w:before="80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6B5E" w:rsidRPr="00E34481" w:rsidRDefault="00316B5E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:rsidR="00316B5E" w:rsidRPr="000739F8" w:rsidRDefault="00316B5E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B3744A" w:rsidRDefault="00B3744A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739F8">
        <w:rPr>
          <w:rFonts w:ascii="Arial" w:hAnsi="Arial" w:cs="Arial"/>
          <w:i/>
          <w:sz w:val="22"/>
          <w:szCs w:val="22"/>
          <w:lang w:val="en-US"/>
        </w:rPr>
        <w:tab/>
      </w:r>
    </w:p>
    <w:p w:rsidR="00A373C6" w:rsidRDefault="00A373C6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A373C6" w:rsidRDefault="00A373C6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A373C6" w:rsidRPr="000739F8" w:rsidRDefault="00A373C6" w:rsidP="00B3744A">
      <w:pPr>
        <w:tabs>
          <w:tab w:val="left" w:pos="284"/>
        </w:tabs>
        <w:spacing w:line="280" w:lineRule="atLeast"/>
        <w:jc w:val="both"/>
        <w:rPr>
          <w:rFonts w:ascii="Arial" w:hAnsi="Arial" w:cs="Arial"/>
          <w:i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833"/>
      </w:tblGrid>
      <w:tr w:rsidR="00121F6E" w:rsidRPr="00043BBC" w:rsidTr="00027129">
        <w:tc>
          <w:tcPr>
            <w:tcW w:w="4926" w:type="dxa"/>
          </w:tcPr>
          <w:p w:rsidR="00121F6E" w:rsidRPr="009E58C6" w:rsidRDefault="00540653" w:rsidP="00121F6E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7018654</wp:posOffset>
                      </wp:positionV>
                      <wp:extent cx="194945" cy="0"/>
                      <wp:effectExtent l="0" t="0" r="0" b="0"/>
                      <wp:wrapNone/>
                      <wp:docPr id="4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9848D" id="AutoShape 579" o:spid="_x0000_s1026" type="#_x0000_t32" style="position:absolute;margin-left:127.4pt;margin-top:552.65pt;width:15.3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7018654</wp:posOffset>
                      </wp:positionV>
                      <wp:extent cx="200025" cy="0"/>
                      <wp:effectExtent l="0" t="0" r="0" b="0"/>
                      <wp:wrapNone/>
                      <wp:docPr id="3" name="AutoShap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25BDA" id="AutoShape 578" o:spid="_x0000_s1026" type="#_x0000_t32" style="position:absolute;margin-left:127.4pt;margin-top:552.65pt;width:15.7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7018654</wp:posOffset>
                      </wp:positionV>
                      <wp:extent cx="198120" cy="0"/>
                      <wp:effectExtent l="0" t="0" r="30480" b="19050"/>
                      <wp:wrapNone/>
                      <wp:docPr id="2" name="AutoShap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22843" id="AutoShape 574" o:spid="_x0000_s1026" type="#_x0000_t32" style="position:absolute;margin-left:88.8pt;margin-top:552.65pt;width:15.6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9sIQ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" strokecolor="#c00000"/>
                  </w:pict>
                </mc:Fallback>
              </mc:AlternateContent>
            </w:r>
            <w:r w:rsidR="009E58C6" w:rsidRPr="009E58C6">
              <w:rPr>
                <w:rFonts w:ascii="Arial" w:hAnsi="Arial" w:cs="Arial"/>
                <w:sz w:val="20"/>
                <w:lang w:val="en-US"/>
              </w:rPr>
              <w:t>Prepared by</w:t>
            </w:r>
            <w:r w:rsidR="00121F6E" w:rsidRPr="009E58C6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121F6E" w:rsidRPr="009E58C6" w:rsidRDefault="009E58C6" w:rsidP="00121F6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9E58C6">
              <w:rPr>
                <w:rFonts w:ascii="Arial" w:hAnsi="Arial" w:cs="Arial"/>
                <w:b/>
                <w:sz w:val="20"/>
                <w:lang w:val="en-US"/>
              </w:rPr>
              <w:t>National Accounts Department</w:t>
            </w:r>
          </w:p>
          <w:p w:rsidR="00121F6E" w:rsidRPr="009E58C6" w:rsidRDefault="009E58C6" w:rsidP="00121F6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9E58C6">
              <w:rPr>
                <w:rFonts w:ascii="Arial" w:hAnsi="Arial" w:cs="Arial"/>
                <w:b/>
                <w:sz w:val="20"/>
                <w:lang w:val="en-US"/>
              </w:rPr>
              <w:t>Ms.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3D3DBC" w:rsidRPr="009E58C6">
              <w:rPr>
                <w:rFonts w:ascii="Arial" w:hAnsi="Arial" w:cs="Arial"/>
                <w:b/>
                <w:sz w:val="20"/>
                <w:lang w:val="en-US"/>
              </w:rPr>
              <w:t>Irmina Cerling</w:t>
            </w:r>
          </w:p>
          <w:p w:rsidR="00121F6E" w:rsidRPr="00121F6E" w:rsidRDefault="00121F6E" w:rsidP="003D3DB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21F6E">
              <w:rPr>
                <w:rFonts w:ascii="Arial" w:hAnsi="Arial" w:cs="Arial"/>
                <w:b/>
                <w:sz w:val="20"/>
                <w:lang w:val="fi-FI"/>
              </w:rPr>
              <w:t>Tel:</w:t>
            </w:r>
            <w:r w:rsidR="009E58C6">
              <w:rPr>
                <w:rFonts w:ascii="Arial" w:hAnsi="Arial" w:cs="Arial"/>
                <w:b/>
                <w:sz w:val="20"/>
                <w:lang w:val="fi-FI"/>
              </w:rPr>
              <w:t>+48</w:t>
            </w:r>
            <w:r w:rsidRPr="00121F6E">
              <w:rPr>
                <w:rFonts w:ascii="Arial" w:hAnsi="Arial" w:cs="Arial"/>
                <w:b/>
                <w:sz w:val="20"/>
                <w:lang w:val="fi-FI"/>
              </w:rPr>
              <w:t xml:space="preserve"> 22 608 </w:t>
            </w:r>
            <w:r w:rsidR="003D3DBC">
              <w:rPr>
                <w:rFonts w:ascii="Arial" w:hAnsi="Arial" w:cs="Arial"/>
                <w:b/>
                <w:sz w:val="20"/>
                <w:lang w:val="fi-FI"/>
              </w:rPr>
              <w:t>3832</w:t>
            </w:r>
          </w:p>
        </w:tc>
        <w:tc>
          <w:tcPr>
            <w:tcW w:w="4929" w:type="dxa"/>
          </w:tcPr>
          <w:p w:rsidR="00121F6E" w:rsidRPr="009E58C6" w:rsidRDefault="009E58C6" w:rsidP="00121F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58C6">
              <w:rPr>
                <w:rFonts w:ascii="Arial" w:hAnsi="Arial" w:cs="Arial"/>
                <w:sz w:val="20"/>
                <w:szCs w:val="20"/>
                <w:lang w:val="en-US"/>
              </w:rPr>
              <w:t>Dissemination</w:t>
            </w:r>
            <w:r w:rsidR="00121F6E" w:rsidRPr="009E58C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121F6E" w:rsidRPr="009E58C6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9E58C6">
              <w:rPr>
                <w:rFonts w:ascii="Arial" w:hAnsi="Arial" w:cs="Arial"/>
                <w:b/>
                <w:sz w:val="20"/>
                <w:szCs w:val="20"/>
                <w:lang w:val="en-US"/>
              </w:rPr>
              <w:t>The Spokesman of the President of the CSO</w:t>
            </w:r>
          </w:p>
          <w:p w:rsidR="00121F6E" w:rsidRPr="00B5769F" w:rsidRDefault="00B6508B" w:rsidP="0012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69F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  <w:r w:rsidR="009E58C6" w:rsidRPr="00B576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5769F">
              <w:rPr>
                <w:rFonts w:ascii="Arial" w:hAnsi="Arial" w:cs="Arial"/>
                <w:b/>
                <w:bCs/>
                <w:sz w:val="20"/>
                <w:szCs w:val="20"/>
              </w:rPr>
              <w:t>Karolina Dawidziuk</w:t>
            </w:r>
          </w:p>
          <w:p w:rsidR="00121F6E" w:rsidRPr="00A158A4" w:rsidRDefault="00121F6E" w:rsidP="00121F6E">
            <w:pPr>
              <w:pStyle w:val="Nagwek3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158A4">
              <w:rPr>
                <w:rFonts w:ascii="Arial" w:hAnsi="Arial" w:cs="Arial"/>
                <w:sz w:val="20"/>
                <w:szCs w:val="20"/>
                <w:lang w:val="fi-FI"/>
              </w:rPr>
              <w:t>Tel: 22 608 3475, 22 608 3009</w:t>
            </w:r>
          </w:p>
          <w:p w:rsidR="00121F6E" w:rsidRPr="00B5769F" w:rsidRDefault="00121F6E" w:rsidP="00121F6E">
            <w:pPr>
              <w:pStyle w:val="Nagwek3"/>
              <w:rPr>
                <w:rFonts w:ascii="Arial" w:hAnsi="Arial" w:cs="Arial"/>
                <w:sz w:val="20"/>
                <w:szCs w:val="20"/>
              </w:rPr>
            </w:pPr>
            <w:r w:rsidRPr="00B5769F">
              <w:rPr>
                <w:rFonts w:ascii="Arial" w:hAnsi="Arial" w:cs="Arial"/>
                <w:b w:val="0"/>
                <w:sz w:val="20"/>
                <w:szCs w:val="20"/>
              </w:rPr>
              <w:t xml:space="preserve">e-mail: </w:t>
            </w:r>
            <w:hyperlink r:id="rId20" w:history="1">
              <w:r w:rsidRPr="00B5769F">
                <w:rPr>
                  <w:rStyle w:val="Hipercze"/>
                  <w:rFonts w:ascii="Arial" w:hAnsi="Arial" w:cs="Arial"/>
                  <w:b w:val="0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121F6E" w:rsidRPr="00B5769F" w:rsidRDefault="00121F6E" w:rsidP="00121F6E">
      <w:pPr>
        <w:jc w:val="center"/>
        <w:rPr>
          <w:rFonts w:ascii="Arial" w:hAnsi="Arial" w:cs="Arial"/>
          <w:sz w:val="24"/>
          <w:szCs w:val="24"/>
        </w:rPr>
      </w:pPr>
    </w:p>
    <w:p w:rsidR="00121F6E" w:rsidRDefault="00180C29" w:rsidP="00121F6E">
      <w:pPr>
        <w:jc w:val="center"/>
        <w:rPr>
          <w:rFonts w:ascii="Arial" w:hAnsi="Arial" w:cs="Arial"/>
          <w:sz w:val="20"/>
          <w:szCs w:val="24"/>
          <w:lang w:val="en-US"/>
        </w:rPr>
      </w:pPr>
      <w:r w:rsidRPr="00180C29">
        <w:rPr>
          <w:rFonts w:ascii="Arial" w:hAnsi="Arial" w:cs="Arial"/>
          <w:sz w:val="20"/>
          <w:szCs w:val="24"/>
          <w:lang w:val="en-US"/>
        </w:rPr>
        <w:t>More information</w:t>
      </w:r>
      <w:r w:rsidR="00121F6E" w:rsidRPr="00180C29">
        <w:rPr>
          <w:rFonts w:ascii="Arial" w:hAnsi="Arial" w:cs="Arial"/>
          <w:sz w:val="20"/>
          <w:szCs w:val="24"/>
          <w:lang w:val="en-US"/>
        </w:rPr>
        <w:t xml:space="preserve">: </w:t>
      </w:r>
      <w:hyperlink r:id="rId21" w:history="1">
        <w:r w:rsidRPr="0056198D">
          <w:rPr>
            <w:rStyle w:val="Hipercze"/>
            <w:rFonts w:ascii="Arial" w:hAnsi="Arial" w:cs="Arial"/>
            <w:sz w:val="20"/>
            <w:szCs w:val="24"/>
            <w:lang w:val="en-US"/>
          </w:rPr>
          <w:t>http://stat.gov.pl/en/topics/national-accounts/quarterly-national-accounts/</w:t>
        </w:r>
      </w:hyperlink>
    </w:p>
    <w:p w:rsidR="00180C29" w:rsidRPr="00180C29" w:rsidRDefault="00180C29" w:rsidP="00121F6E">
      <w:pPr>
        <w:jc w:val="center"/>
        <w:rPr>
          <w:rFonts w:ascii="Arial" w:hAnsi="Arial" w:cs="Arial"/>
          <w:sz w:val="20"/>
          <w:szCs w:val="24"/>
          <w:lang w:val="en-US"/>
        </w:rPr>
      </w:pPr>
    </w:p>
    <w:sectPr w:rsidR="00180C29" w:rsidRPr="00180C29" w:rsidSect="00AC0DF4">
      <w:footnotePr>
        <w:pos w:val="beneathText"/>
      </w:footnotePr>
      <w:type w:val="continuous"/>
      <w:pgSz w:w="11907" w:h="16840" w:code="9"/>
      <w:pgMar w:top="1134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22" w:rsidRDefault="00A96122">
      <w:r>
        <w:separator/>
      </w:r>
    </w:p>
  </w:endnote>
  <w:endnote w:type="continuationSeparator" w:id="0">
    <w:p w:rsidR="00A96122" w:rsidRDefault="00A9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1" w:rsidRDefault="00A21D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1" w:rsidRDefault="00A21D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F1" w:rsidRDefault="00E52AF1">
    <w:pPr>
      <w:pStyle w:val="Stopka"/>
      <w:jc w:val="center"/>
    </w:pPr>
  </w:p>
  <w:p w:rsidR="00E52AF1" w:rsidRDefault="00E52A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22" w:rsidRDefault="00A96122">
      <w:r>
        <w:separator/>
      </w:r>
    </w:p>
  </w:footnote>
  <w:footnote w:type="continuationSeparator" w:id="0">
    <w:p w:rsidR="00A96122" w:rsidRDefault="00A96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1" w:rsidRDefault="00A21D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1" w:rsidRDefault="00A21D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1" w:rsidRDefault="00A21D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4A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7AE3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4466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045B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ACA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784A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EAD9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B23B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8E7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8E3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251801"/>
    <w:multiLevelType w:val="hybridMultilevel"/>
    <w:tmpl w:val="33FCBB78"/>
    <w:lvl w:ilvl="0" w:tplc="43C693CA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proofState w:spelling="clean"/>
  <w:defaultTabStop w:val="709"/>
  <w:hyphenationZone w:val="284"/>
  <w:doNotHyphenateCaps/>
  <w:displayHorizontalDrawingGridEvery w:val="0"/>
  <w:displayVerticalDrawingGridEvery w:val="0"/>
  <w:doNotUseMarginsForDrawingGridOrigin/>
  <w:doNotShadeFormData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E3"/>
    <w:rsid w:val="00003332"/>
    <w:rsid w:val="000101B2"/>
    <w:rsid w:val="0001048C"/>
    <w:rsid w:val="0001278A"/>
    <w:rsid w:val="00012AB6"/>
    <w:rsid w:val="00016A41"/>
    <w:rsid w:val="000173E0"/>
    <w:rsid w:val="00020013"/>
    <w:rsid w:val="000248B8"/>
    <w:rsid w:val="00025FD9"/>
    <w:rsid w:val="000264EB"/>
    <w:rsid w:val="00027129"/>
    <w:rsid w:val="00032BF4"/>
    <w:rsid w:val="00034236"/>
    <w:rsid w:val="0003544F"/>
    <w:rsid w:val="000354DC"/>
    <w:rsid w:val="00040565"/>
    <w:rsid w:val="00043BBC"/>
    <w:rsid w:val="00053A72"/>
    <w:rsid w:val="000603B7"/>
    <w:rsid w:val="00061B68"/>
    <w:rsid w:val="0007023D"/>
    <w:rsid w:val="000739F8"/>
    <w:rsid w:val="000808C3"/>
    <w:rsid w:val="00081470"/>
    <w:rsid w:val="00081823"/>
    <w:rsid w:val="00081E2A"/>
    <w:rsid w:val="000829C0"/>
    <w:rsid w:val="000859FA"/>
    <w:rsid w:val="0008699C"/>
    <w:rsid w:val="00086C4D"/>
    <w:rsid w:val="00090D27"/>
    <w:rsid w:val="000956B0"/>
    <w:rsid w:val="00096AF8"/>
    <w:rsid w:val="000974F9"/>
    <w:rsid w:val="000A008B"/>
    <w:rsid w:val="000A489E"/>
    <w:rsid w:val="000A4E04"/>
    <w:rsid w:val="000B02AF"/>
    <w:rsid w:val="000B2F76"/>
    <w:rsid w:val="000B3987"/>
    <w:rsid w:val="000B7800"/>
    <w:rsid w:val="000C1DC5"/>
    <w:rsid w:val="000C2B49"/>
    <w:rsid w:val="000C5591"/>
    <w:rsid w:val="000C7DEF"/>
    <w:rsid w:val="000D0DA6"/>
    <w:rsid w:val="000D5C07"/>
    <w:rsid w:val="000E5598"/>
    <w:rsid w:val="000E7703"/>
    <w:rsid w:val="000F4081"/>
    <w:rsid w:val="000F5180"/>
    <w:rsid w:val="000F7B3B"/>
    <w:rsid w:val="00100603"/>
    <w:rsid w:val="00100D62"/>
    <w:rsid w:val="00106E98"/>
    <w:rsid w:val="001072E2"/>
    <w:rsid w:val="0011062D"/>
    <w:rsid w:val="00111E56"/>
    <w:rsid w:val="00111F0E"/>
    <w:rsid w:val="001126D8"/>
    <w:rsid w:val="0011537D"/>
    <w:rsid w:val="0011709F"/>
    <w:rsid w:val="001219A4"/>
    <w:rsid w:val="00121F6E"/>
    <w:rsid w:val="00125917"/>
    <w:rsid w:val="001269A5"/>
    <w:rsid w:val="0013716E"/>
    <w:rsid w:val="001372AB"/>
    <w:rsid w:val="001437CF"/>
    <w:rsid w:val="00144AD5"/>
    <w:rsid w:val="00144BF5"/>
    <w:rsid w:val="00151F50"/>
    <w:rsid w:val="00155E5A"/>
    <w:rsid w:val="00155F1C"/>
    <w:rsid w:val="00156FE6"/>
    <w:rsid w:val="00157C06"/>
    <w:rsid w:val="00160422"/>
    <w:rsid w:val="00163CD4"/>
    <w:rsid w:val="001642D9"/>
    <w:rsid w:val="00166183"/>
    <w:rsid w:val="001668A6"/>
    <w:rsid w:val="0016745F"/>
    <w:rsid w:val="00175CD1"/>
    <w:rsid w:val="001763D1"/>
    <w:rsid w:val="001776FC"/>
    <w:rsid w:val="00177AC1"/>
    <w:rsid w:val="00180A63"/>
    <w:rsid w:val="00180C29"/>
    <w:rsid w:val="001823AA"/>
    <w:rsid w:val="00182542"/>
    <w:rsid w:val="001833E3"/>
    <w:rsid w:val="001839F5"/>
    <w:rsid w:val="00187257"/>
    <w:rsid w:val="00191253"/>
    <w:rsid w:val="001912C3"/>
    <w:rsid w:val="001929EC"/>
    <w:rsid w:val="00193FB3"/>
    <w:rsid w:val="0019476B"/>
    <w:rsid w:val="001969F4"/>
    <w:rsid w:val="001A0544"/>
    <w:rsid w:val="001A066F"/>
    <w:rsid w:val="001A0B80"/>
    <w:rsid w:val="001A3142"/>
    <w:rsid w:val="001A363D"/>
    <w:rsid w:val="001A7590"/>
    <w:rsid w:val="001B06B3"/>
    <w:rsid w:val="001B562C"/>
    <w:rsid w:val="001B5CE9"/>
    <w:rsid w:val="001B6008"/>
    <w:rsid w:val="001B7041"/>
    <w:rsid w:val="001C5217"/>
    <w:rsid w:val="001C53F5"/>
    <w:rsid w:val="001C55F5"/>
    <w:rsid w:val="001C5E02"/>
    <w:rsid w:val="001C65D4"/>
    <w:rsid w:val="001C74F9"/>
    <w:rsid w:val="001C7E3C"/>
    <w:rsid w:val="001D2518"/>
    <w:rsid w:val="001D2EBF"/>
    <w:rsid w:val="001D306B"/>
    <w:rsid w:val="001D7EAA"/>
    <w:rsid w:val="001E05CB"/>
    <w:rsid w:val="001E303E"/>
    <w:rsid w:val="001E476D"/>
    <w:rsid w:val="001E48CF"/>
    <w:rsid w:val="001E6F43"/>
    <w:rsid w:val="001E7389"/>
    <w:rsid w:val="001F194E"/>
    <w:rsid w:val="001F334A"/>
    <w:rsid w:val="001F4335"/>
    <w:rsid w:val="001F49FC"/>
    <w:rsid w:val="001F4CA9"/>
    <w:rsid w:val="001F6CDA"/>
    <w:rsid w:val="001F7F91"/>
    <w:rsid w:val="00201E01"/>
    <w:rsid w:val="0020283F"/>
    <w:rsid w:val="0020487E"/>
    <w:rsid w:val="00211D3B"/>
    <w:rsid w:val="00212161"/>
    <w:rsid w:val="00220483"/>
    <w:rsid w:val="002327C6"/>
    <w:rsid w:val="00232885"/>
    <w:rsid w:val="002352D2"/>
    <w:rsid w:val="002357B1"/>
    <w:rsid w:val="00236E26"/>
    <w:rsid w:val="00241F8A"/>
    <w:rsid w:val="00243FF8"/>
    <w:rsid w:val="00244D88"/>
    <w:rsid w:val="00247B76"/>
    <w:rsid w:val="0025049A"/>
    <w:rsid w:val="0025163D"/>
    <w:rsid w:val="002528B7"/>
    <w:rsid w:val="002538F2"/>
    <w:rsid w:val="0025454E"/>
    <w:rsid w:val="00254687"/>
    <w:rsid w:val="00255F8A"/>
    <w:rsid w:val="002566C0"/>
    <w:rsid w:val="002567A9"/>
    <w:rsid w:val="00256B4A"/>
    <w:rsid w:val="00264520"/>
    <w:rsid w:val="00266CC0"/>
    <w:rsid w:val="00267130"/>
    <w:rsid w:val="00277BA9"/>
    <w:rsid w:val="00296240"/>
    <w:rsid w:val="002A3319"/>
    <w:rsid w:val="002A3D9B"/>
    <w:rsid w:val="002B06F0"/>
    <w:rsid w:val="002B0A41"/>
    <w:rsid w:val="002B24D3"/>
    <w:rsid w:val="002B2954"/>
    <w:rsid w:val="002B2B1C"/>
    <w:rsid w:val="002B3BB0"/>
    <w:rsid w:val="002B646B"/>
    <w:rsid w:val="002B6A07"/>
    <w:rsid w:val="002C0069"/>
    <w:rsid w:val="002C06EE"/>
    <w:rsid w:val="002C5A9A"/>
    <w:rsid w:val="002C7B6D"/>
    <w:rsid w:val="002D0647"/>
    <w:rsid w:val="002D61B4"/>
    <w:rsid w:val="002D64CA"/>
    <w:rsid w:val="002D6C6C"/>
    <w:rsid w:val="002D745D"/>
    <w:rsid w:val="002E1B9D"/>
    <w:rsid w:val="002E1DB9"/>
    <w:rsid w:val="002E47DC"/>
    <w:rsid w:val="002E5CD0"/>
    <w:rsid w:val="002F161B"/>
    <w:rsid w:val="00300579"/>
    <w:rsid w:val="00300F6E"/>
    <w:rsid w:val="0030149B"/>
    <w:rsid w:val="00302C54"/>
    <w:rsid w:val="003031C6"/>
    <w:rsid w:val="00310F0F"/>
    <w:rsid w:val="00310FC6"/>
    <w:rsid w:val="00311002"/>
    <w:rsid w:val="003118BB"/>
    <w:rsid w:val="0031198A"/>
    <w:rsid w:val="00311D15"/>
    <w:rsid w:val="00312C04"/>
    <w:rsid w:val="003142E2"/>
    <w:rsid w:val="00315071"/>
    <w:rsid w:val="00316B5E"/>
    <w:rsid w:val="00316CE4"/>
    <w:rsid w:val="003215C0"/>
    <w:rsid w:val="00324E2C"/>
    <w:rsid w:val="0032786D"/>
    <w:rsid w:val="00330905"/>
    <w:rsid w:val="00332765"/>
    <w:rsid w:val="00332C0E"/>
    <w:rsid w:val="0033488A"/>
    <w:rsid w:val="00341C07"/>
    <w:rsid w:val="003459CB"/>
    <w:rsid w:val="00346328"/>
    <w:rsid w:val="00347A35"/>
    <w:rsid w:val="003500BF"/>
    <w:rsid w:val="003500D7"/>
    <w:rsid w:val="00352D7C"/>
    <w:rsid w:val="00360179"/>
    <w:rsid w:val="003617D6"/>
    <w:rsid w:val="00362FED"/>
    <w:rsid w:val="0036311A"/>
    <w:rsid w:val="003673F1"/>
    <w:rsid w:val="003675D2"/>
    <w:rsid w:val="00371017"/>
    <w:rsid w:val="00373DA0"/>
    <w:rsid w:val="00376919"/>
    <w:rsid w:val="00377A45"/>
    <w:rsid w:val="00381CD9"/>
    <w:rsid w:val="0038330A"/>
    <w:rsid w:val="0038687F"/>
    <w:rsid w:val="00387782"/>
    <w:rsid w:val="00390107"/>
    <w:rsid w:val="003918E5"/>
    <w:rsid w:val="00392A0E"/>
    <w:rsid w:val="00393AB6"/>
    <w:rsid w:val="00394351"/>
    <w:rsid w:val="003A0D8B"/>
    <w:rsid w:val="003A4784"/>
    <w:rsid w:val="003A7632"/>
    <w:rsid w:val="003A7898"/>
    <w:rsid w:val="003A7976"/>
    <w:rsid w:val="003B15EF"/>
    <w:rsid w:val="003B198C"/>
    <w:rsid w:val="003B1DCB"/>
    <w:rsid w:val="003B2EB0"/>
    <w:rsid w:val="003B3580"/>
    <w:rsid w:val="003B4FCB"/>
    <w:rsid w:val="003C135A"/>
    <w:rsid w:val="003C329A"/>
    <w:rsid w:val="003C4CBB"/>
    <w:rsid w:val="003C7642"/>
    <w:rsid w:val="003D075D"/>
    <w:rsid w:val="003D1311"/>
    <w:rsid w:val="003D17E3"/>
    <w:rsid w:val="003D1A3B"/>
    <w:rsid w:val="003D2CC8"/>
    <w:rsid w:val="003D3D6F"/>
    <w:rsid w:val="003D3DBC"/>
    <w:rsid w:val="003E142F"/>
    <w:rsid w:val="003E20FA"/>
    <w:rsid w:val="003E45FC"/>
    <w:rsid w:val="003E5A1F"/>
    <w:rsid w:val="003F22A5"/>
    <w:rsid w:val="003F2BCA"/>
    <w:rsid w:val="003F37D0"/>
    <w:rsid w:val="003F3E7C"/>
    <w:rsid w:val="00400DCA"/>
    <w:rsid w:val="00402BA1"/>
    <w:rsid w:val="004038F2"/>
    <w:rsid w:val="0040561E"/>
    <w:rsid w:val="00407237"/>
    <w:rsid w:val="00411C4C"/>
    <w:rsid w:val="004152E7"/>
    <w:rsid w:val="00415F05"/>
    <w:rsid w:val="00416D8D"/>
    <w:rsid w:val="0042733E"/>
    <w:rsid w:val="004371B2"/>
    <w:rsid w:val="0044762D"/>
    <w:rsid w:val="00454712"/>
    <w:rsid w:val="00454C40"/>
    <w:rsid w:val="004558D3"/>
    <w:rsid w:val="00455B1B"/>
    <w:rsid w:val="00455EC3"/>
    <w:rsid w:val="00461855"/>
    <w:rsid w:val="0046191F"/>
    <w:rsid w:val="00463D26"/>
    <w:rsid w:val="00466B16"/>
    <w:rsid w:val="004677DC"/>
    <w:rsid w:val="00467CCB"/>
    <w:rsid w:val="0047269B"/>
    <w:rsid w:val="004728CE"/>
    <w:rsid w:val="004729EC"/>
    <w:rsid w:val="00476D40"/>
    <w:rsid w:val="00485DB4"/>
    <w:rsid w:val="00486038"/>
    <w:rsid w:val="0049303D"/>
    <w:rsid w:val="00495A7B"/>
    <w:rsid w:val="00496B6A"/>
    <w:rsid w:val="004A1C3A"/>
    <w:rsid w:val="004A25FB"/>
    <w:rsid w:val="004A2ABE"/>
    <w:rsid w:val="004A5311"/>
    <w:rsid w:val="004A5D78"/>
    <w:rsid w:val="004A69AA"/>
    <w:rsid w:val="004B15D7"/>
    <w:rsid w:val="004C7CA2"/>
    <w:rsid w:val="004D007A"/>
    <w:rsid w:val="004D0AD6"/>
    <w:rsid w:val="004D127B"/>
    <w:rsid w:val="004D28FA"/>
    <w:rsid w:val="004D35A0"/>
    <w:rsid w:val="004D6906"/>
    <w:rsid w:val="004E288D"/>
    <w:rsid w:val="004E48C7"/>
    <w:rsid w:val="004E75B5"/>
    <w:rsid w:val="004E79CB"/>
    <w:rsid w:val="004E7E8D"/>
    <w:rsid w:val="004F417E"/>
    <w:rsid w:val="004F56C1"/>
    <w:rsid w:val="004F70B3"/>
    <w:rsid w:val="00502BB0"/>
    <w:rsid w:val="005030B0"/>
    <w:rsid w:val="00511386"/>
    <w:rsid w:val="0051285A"/>
    <w:rsid w:val="00515ACB"/>
    <w:rsid w:val="00515EFC"/>
    <w:rsid w:val="00516483"/>
    <w:rsid w:val="005167B1"/>
    <w:rsid w:val="005201E9"/>
    <w:rsid w:val="00525EDA"/>
    <w:rsid w:val="00530586"/>
    <w:rsid w:val="00537C3D"/>
    <w:rsid w:val="00540653"/>
    <w:rsid w:val="00543713"/>
    <w:rsid w:val="00543953"/>
    <w:rsid w:val="00547F0E"/>
    <w:rsid w:val="00547F70"/>
    <w:rsid w:val="005508C8"/>
    <w:rsid w:val="00551A0C"/>
    <w:rsid w:val="00552FD5"/>
    <w:rsid w:val="00557DD5"/>
    <w:rsid w:val="0056195D"/>
    <w:rsid w:val="00562457"/>
    <w:rsid w:val="0056277E"/>
    <w:rsid w:val="00564207"/>
    <w:rsid w:val="0057363D"/>
    <w:rsid w:val="00577C63"/>
    <w:rsid w:val="0058233B"/>
    <w:rsid w:val="00582BD6"/>
    <w:rsid w:val="00585653"/>
    <w:rsid w:val="00587326"/>
    <w:rsid w:val="005876D7"/>
    <w:rsid w:val="00592969"/>
    <w:rsid w:val="005A0FB6"/>
    <w:rsid w:val="005A1AEC"/>
    <w:rsid w:val="005A51B7"/>
    <w:rsid w:val="005B2B2C"/>
    <w:rsid w:val="005B5A07"/>
    <w:rsid w:val="005B7D56"/>
    <w:rsid w:val="005C6C14"/>
    <w:rsid w:val="005D15C9"/>
    <w:rsid w:val="005D27CA"/>
    <w:rsid w:val="005D2D26"/>
    <w:rsid w:val="005D3AA7"/>
    <w:rsid w:val="005D6C3F"/>
    <w:rsid w:val="005D79F1"/>
    <w:rsid w:val="005D7A0E"/>
    <w:rsid w:val="005D7B15"/>
    <w:rsid w:val="005D7B6F"/>
    <w:rsid w:val="005D7D03"/>
    <w:rsid w:val="005E0261"/>
    <w:rsid w:val="005E2CE6"/>
    <w:rsid w:val="005E3C49"/>
    <w:rsid w:val="005E5676"/>
    <w:rsid w:val="005F087B"/>
    <w:rsid w:val="005F2C17"/>
    <w:rsid w:val="005F33BA"/>
    <w:rsid w:val="005F44FA"/>
    <w:rsid w:val="005F6674"/>
    <w:rsid w:val="005F75F9"/>
    <w:rsid w:val="00603CCD"/>
    <w:rsid w:val="00612162"/>
    <w:rsid w:val="0062295E"/>
    <w:rsid w:val="00624D0C"/>
    <w:rsid w:val="006262F0"/>
    <w:rsid w:val="006307C9"/>
    <w:rsid w:val="006313D4"/>
    <w:rsid w:val="00631A86"/>
    <w:rsid w:val="00632434"/>
    <w:rsid w:val="00636588"/>
    <w:rsid w:val="0063673F"/>
    <w:rsid w:val="00643F57"/>
    <w:rsid w:val="00664A8C"/>
    <w:rsid w:val="006655E8"/>
    <w:rsid w:val="00666E2D"/>
    <w:rsid w:val="00667259"/>
    <w:rsid w:val="00673DFC"/>
    <w:rsid w:val="00673F0A"/>
    <w:rsid w:val="00675F7D"/>
    <w:rsid w:val="00676C40"/>
    <w:rsid w:val="00677DE8"/>
    <w:rsid w:val="00680A6D"/>
    <w:rsid w:val="00682A04"/>
    <w:rsid w:val="0068357B"/>
    <w:rsid w:val="0068711D"/>
    <w:rsid w:val="006878FE"/>
    <w:rsid w:val="00691C4E"/>
    <w:rsid w:val="00694C5F"/>
    <w:rsid w:val="006A0A99"/>
    <w:rsid w:val="006A333A"/>
    <w:rsid w:val="006A385B"/>
    <w:rsid w:val="006A4B14"/>
    <w:rsid w:val="006A6C9D"/>
    <w:rsid w:val="006B0F4C"/>
    <w:rsid w:val="006B46F9"/>
    <w:rsid w:val="006B75A9"/>
    <w:rsid w:val="006B7CEB"/>
    <w:rsid w:val="006C206F"/>
    <w:rsid w:val="006C5412"/>
    <w:rsid w:val="006C5934"/>
    <w:rsid w:val="006C6285"/>
    <w:rsid w:val="006C7235"/>
    <w:rsid w:val="006C74BF"/>
    <w:rsid w:val="006D0DDE"/>
    <w:rsid w:val="006D56F1"/>
    <w:rsid w:val="006D58D0"/>
    <w:rsid w:val="006D696C"/>
    <w:rsid w:val="006E53D4"/>
    <w:rsid w:val="006E56AB"/>
    <w:rsid w:val="006F1616"/>
    <w:rsid w:val="006F4DFE"/>
    <w:rsid w:val="006F60D5"/>
    <w:rsid w:val="00700E94"/>
    <w:rsid w:val="007019DB"/>
    <w:rsid w:val="00701FAA"/>
    <w:rsid w:val="00702913"/>
    <w:rsid w:val="00702DC1"/>
    <w:rsid w:val="00704D40"/>
    <w:rsid w:val="007062FF"/>
    <w:rsid w:val="00706CC4"/>
    <w:rsid w:val="00714DAC"/>
    <w:rsid w:val="007157C4"/>
    <w:rsid w:val="00716B45"/>
    <w:rsid w:val="00720338"/>
    <w:rsid w:val="00720C63"/>
    <w:rsid w:val="00731336"/>
    <w:rsid w:val="00734D8C"/>
    <w:rsid w:val="00735B08"/>
    <w:rsid w:val="00743B48"/>
    <w:rsid w:val="007450B2"/>
    <w:rsid w:val="007460AB"/>
    <w:rsid w:val="00746473"/>
    <w:rsid w:val="00746EF0"/>
    <w:rsid w:val="00751AA2"/>
    <w:rsid w:val="0075493B"/>
    <w:rsid w:val="007556C5"/>
    <w:rsid w:val="00756E14"/>
    <w:rsid w:val="00756E24"/>
    <w:rsid w:val="007579AC"/>
    <w:rsid w:val="00757E9A"/>
    <w:rsid w:val="00761C1B"/>
    <w:rsid w:val="0076219E"/>
    <w:rsid w:val="007654E0"/>
    <w:rsid w:val="007660DC"/>
    <w:rsid w:val="007664F0"/>
    <w:rsid w:val="00766575"/>
    <w:rsid w:val="00766FDA"/>
    <w:rsid w:val="007677B7"/>
    <w:rsid w:val="00767D48"/>
    <w:rsid w:val="007756E0"/>
    <w:rsid w:val="00775E7C"/>
    <w:rsid w:val="007772DB"/>
    <w:rsid w:val="00777D9B"/>
    <w:rsid w:val="00783ABE"/>
    <w:rsid w:val="007846B2"/>
    <w:rsid w:val="007869C4"/>
    <w:rsid w:val="0079083F"/>
    <w:rsid w:val="0079175C"/>
    <w:rsid w:val="00792209"/>
    <w:rsid w:val="007A2967"/>
    <w:rsid w:val="007A467C"/>
    <w:rsid w:val="007B1B92"/>
    <w:rsid w:val="007B23AC"/>
    <w:rsid w:val="007B6883"/>
    <w:rsid w:val="007B7658"/>
    <w:rsid w:val="007C029C"/>
    <w:rsid w:val="007C046F"/>
    <w:rsid w:val="007C1C7B"/>
    <w:rsid w:val="007C2644"/>
    <w:rsid w:val="007C26B0"/>
    <w:rsid w:val="007C3375"/>
    <w:rsid w:val="007D7CEE"/>
    <w:rsid w:val="007E0B73"/>
    <w:rsid w:val="007E33FE"/>
    <w:rsid w:val="007E3F54"/>
    <w:rsid w:val="007E47E8"/>
    <w:rsid w:val="007E4CB6"/>
    <w:rsid w:val="007E6242"/>
    <w:rsid w:val="007E6C62"/>
    <w:rsid w:val="007F14B7"/>
    <w:rsid w:val="007F2137"/>
    <w:rsid w:val="007F4772"/>
    <w:rsid w:val="007F64D3"/>
    <w:rsid w:val="00803382"/>
    <w:rsid w:val="008036BB"/>
    <w:rsid w:val="00806176"/>
    <w:rsid w:val="00810E7B"/>
    <w:rsid w:val="0081434A"/>
    <w:rsid w:val="00816583"/>
    <w:rsid w:val="0081668D"/>
    <w:rsid w:val="00816C4E"/>
    <w:rsid w:val="00826058"/>
    <w:rsid w:val="00827013"/>
    <w:rsid w:val="0082718C"/>
    <w:rsid w:val="00827F3F"/>
    <w:rsid w:val="00830CA0"/>
    <w:rsid w:val="00833259"/>
    <w:rsid w:val="00836F81"/>
    <w:rsid w:val="00840459"/>
    <w:rsid w:val="00841E05"/>
    <w:rsid w:val="00842D25"/>
    <w:rsid w:val="00847123"/>
    <w:rsid w:val="00851EED"/>
    <w:rsid w:val="008531EA"/>
    <w:rsid w:val="008561D1"/>
    <w:rsid w:val="00856D22"/>
    <w:rsid w:val="00866624"/>
    <w:rsid w:val="008667F0"/>
    <w:rsid w:val="00870326"/>
    <w:rsid w:val="008741C0"/>
    <w:rsid w:val="00874991"/>
    <w:rsid w:val="00874D71"/>
    <w:rsid w:val="0087573E"/>
    <w:rsid w:val="0088452E"/>
    <w:rsid w:val="00884F8F"/>
    <w:rsid w:val="008856A4"/>
    <w:rsid w:val="00886ACE"/>
    <w:rsid w:val="008872E7"/>
    <w:rsid w:val="00887D59"/>
    <w:rsid w:val="00890C7E"/>
    <w:rsid w:val="00896CC7"/>
    <w:rsid w:val="00896E3E"/>
    <w:rsid w:val="008A0BEF"/>
    <w:rsid w:val="008A28AE"/>
    <w:rsid w:val="008A522C"/>
    <w:rsid w:val="008B04CD"/>
    <w:rsid w:val="008B0F6C"/>
    <w:rsid w:val="008B2368"/>
    <w:rsid w:val="008B29B8"/>
    <w:rsid w:val="008B30DE"/>
    <w:rsid w:val="008B662C"/>
    <w:rsid w:val="008B7BEC"/>
    <w:rsid w:val="008C1582"/>
    <w:rsid w:val="008C2AEF"/>
    <w:rsid w:val="008C462A"/>
    <w:rsid w:val="008D63BF"/>
    <w:rsid w:val="008D6967"/>
    <w:rsid w:val="008E4C1B"/>
    <w:rsid w:val="008E510B"/>
    <w:rsid w:val="008E623D"/>
    <w:rsid w:val="008E6561"/>
    <w:rsid w:val="008E701A"/>
    <w:rsid w:val="008F0CE2"/>
    <w:rsid w:val="008F2CA7"/>
    <w:rsid w:val="008F3548"/>
    <w:rsid w:val="008F5391"/>
    <w:rsid w:val="00900C84"/>
    <w:rsid w:val="00902B28"/>
    <w:rsid w:val="0090408B"/>
    <w:rsid w:val="00905C75"/>
    <w:rsid w:val="00910357"/>
    <w:rsid w:val="009205EC"/>
    <w:rsid w:val="00923035"/>
    <w:rsid w:val="0092697F"/>
    <w:rsid w:val="00927BEA"/>
    <w:rsid w:val="00934995"/>
    <w:rsid w:val="009362E3"/>
    <w:rsid w:val="009413ED"/>
    <w:rsid w:val="00942117"/>
    <w:rsid w:val="00944FDD"/>
    <w:rsid w:val="00945E6F"/>
    <w:rsid w:val="009469EC"/>
    <w:rsid w:val="00946CB4"/>
    <w:rsid w:val="00946F11"/>
    <w:rsid w:val="00954FB6"/>
    <w:rsid w:val="00955331"/>
    <w:rsid w:val="009619E7"/>
    <w:rsid w:val="00963ACB"/>
    <w:rsid w:val="0097548A"/>
    <w:rsid w:val="00976F49"/>
    <w:rsid w:val="009778B7"/>
    <w:rsid w:val="009830D3"/>
    <w:rsid w:val="0098423C"/>
    <w:rsid w:val="0098503D"/>
    <w:rsid w:val="00986402"/>
    <w:rsid w:val="00987289"/>
    <w:rsid w:val="00991DC4"/>
    <w:rsid w:val="00994375"/>
    <w:rsid w:val="009951CB"/>
    <w:rsid w:val="00997891"/>
    <w:rsid w:val="009A22DF"/>
    <w:rsid w:val="009A2B3C"/>
    <w:rsid w:val="009B03C3"/>
    <w:rsid w:val="009B0D77"/>
    <w:rsid w:val="009B14E9"/>
    <w:rsid w:val="009B39C3"/>
    <w:rsid w:val="009B4F0E"/>
    <w:rsid w:val="009B674A"/>
    <w:rsid w:val="009C0FE7"/>
    <w:rsid w:val="009C2EC3"/>
    <w:rsid w:val="009C2EE3"/>
    <w:rsid w:val="009C2F6B"/>
    <w:rsid w:val="009C3BFC"/>
    <w:rsid w:val="009C465B"/>
    <w:rsid w:val="009C556E"/>
    <w:rsid w:val="009C5C80"/>
    <w:rsid w:val="009C7510"/>
    <w:rsid w:val="009D0914"/>
    <w:rsid w:val="009D0917"/>
    <w:rsid w:val="009D1DB4"/>
    <w:rsid w:val="009D1F38"/>
    <w:rsid w:val="009D2610"/>
    <w:rsid w:val="009D639A"/>
    <w:rsid w:val="009D72FA"/>
    <w:rsid w:val="009D747A"/>
    <w:rsid w:val="009D7D7F"/>
    <w:rsid w:val="009E02EE"/>
    <w:rsid w:val="009E2743"/>
    <w:rsid w:val="009E32D0"/>
    <w:rsid w:val="009E3728"/>
    <w:rsid w:val="009E3A93"/>
    <w:rsid w:val="009E4D1D"/>
    <w:rsid w:val="009E58C6"/>
    <w:rsid w:val="009E5929"/>
    <w:rsid w:val="009F1087"/>
    <w:rsid w:val="009F2FE0"/>
    <w:rsid w:val="009F4C0F"/>
    <w:rsid w:val="009F6BA8"/>
    <w:rsid w:val="009F6F76"/>
    <w:rsid w:val="00A03E51"/>
    <w:rsid w:val="00A1300A"/>
    <w:rsid w:val="00A13769"/>
    <w:rsid w:val="00A158A4"/>
    <w:rsid w:val="00A20315"/>
    <w:rsid w:val="00A21D71"/>
    <w:rsid w:val="00A2312C"/>
    <w:rsid w:val="00A25A50"/>
    <w:rsid w:val="00A26332"/>
    <w:rsid w:val="00A2775D"/>
    <w:rsid w:val="00A34752"/>
    <w:rsid w:val="00A373C6"/>
    <w:rsid w:val="00A403E3"/>
    <w:rsid w:val="00A40DC2"/>
    <w:rsid w:val="00A4318D"/>
    <w:rsid w:val="00A456F7"/>
    <w:rsid w:val="00A465DD"/>
    <w:rsid w:val="00A472E4"/>
    <w:rsid w:val="00A515DB"/>
    <w:rsid w:val="00A558F0"/>
    <w:rsid w:val="00A55B91"/>
    <w:rsid w:val="00A55ED1"/>
    <w:rsid w:val="00A562C1"/>
    <w:rsid w:val="00A5688C"/>
    <w:rsid w:val="00A568EF"/>
    <w:rsid w:val="00A6042E"/>
    <w:rsid w:val="00A61BD6"/>
    <w:rsid w:val="00A63F90"/>
    <w:rsid w:val="00A66EA1"/>
    <w:rsid w:val="00A670A1"/>
    <w:rsid w:val="00A676D6"/>
    <w:rsid w:val="00A67E37"/>
    <w:rsid w:val="00A70B7E"/>
    <w:rsid w:val="00A71334"/>
    <w:rsid w:val="00A715AC"/>
    <w:rsid w:val="00A7191B"/>
    <w:rsid w:val="00A7313B"/>
    <w:rsid w:val="00A733C7"/>
    <w:rsid w:val="00A736E2"/>
    <w:rsid w:val="00A77AC4"/>
    <w:rsid w:val="00A81DD4"/>
    <w:rsid w:val="00A820E8"/>
    <w:rsid w:val="00A82506"/>
    <w:rsid w:val="00A87865"/>
    <w:rsid w:val="00A87888"/>
    <w:rsid w:val="00A94B82"/>
    <w:rsid w:val="00A95FF9"/>
    <w:rsid w:val="00A96122"/>
    <w:rsid w:val="00A963FE"/>
    <w:rsid w:val="00A97A90"/>
    <w:rsid w:val="00A97B4A"/>
    <w:rsid w:val="00AA2D52"/>
    <w:rsid w:val="00AA4193"/>
    <w:rsid w:val="00AB0332"/>
    <w:rsid w:val="00AC0DF4"/>
    <w:rsid w:val="00AC11D2"/>
    <w:rsid w:val="00AC7F48"/>
    <w:rsid w:val="00AD103A"/>
    <w:rsid w:val="00AD48A8"/>
    <w:rsid w:val="00AD4BA4"/>
    <w:rsid w:val="00AD7401"/>
    <w:rsid w:val="00AE2EED"/>
    <w:rsid w:val="00AE59EB"/>
    <w:rsid w:val="00AE7750"/>
    <w:rsid w:val="00AF2008"/>
    <w:rsid w:val="00AF32BA"/>
    <w:rsid w:val="00AF3D57"/>
    <w:rsid w:val="00AF59FA"/>
    <w:rsid w:val="00B00784"/>
    <w:rsid w:val="00B04AAC"/>
    <w:rsid w:val="00B051FD"/>
    <w:rsid w:val="00B0652F"/>
    <w:rsid w:val="00B07C0E"/>
    <w:rsid w:val="00B07E67"/>
    <w:rsid w:val="00B10DBA"/>
    <w:rsid w:val="00B1186B"/>
    <w:rsid w:val="00B12998"/>
    <w:rsid w:val="00B15E8C"/>
    <w:rsid w:val="00B2137D"/>
    <w:rsid w:val="00B2171C"/>
    <w:rsid w:val="00B24705"/>
    <w:rsid w:val="00B250C7"/>
    <w:rsid w:val="00B25824"/>
    <w:rsid w:val="00B272D8"/>
    <w:rsid w:val="00B2748B"/>
    <w:rsid w:val="00B3682D"/>
    <w:rsid w:val="00B3744A"/>
    <w:rsid w:val="00B41811"/>
    <w:rsid w:val="00B41E8B"/>
    <w:rsid w:val="00B422BC"/>
    <w:rsid w:val="00B44C4F"/>
    <w:rsid w:val="00B45DE3"/>
    <w:rsid w:val="00B50A5C"/>
    <w:rsid w:val="00B52935"/>
    <w:rsid w:val="00B5769F"/>
    <w:rsid w:val="00B6005D"/>
    <w:rsid w:val="00B60C5F"/>
    <w:rsid w:val="00B618DD"/>
    <w:rsid w:val="00B64AC4"/>
    <w:rsid w:val="00B6508B"/>
    <w:rsid w:val="00B65693"/>
    <w:rsid w:val="00B66D0F"/>
    <w:rsid w:val="00B67641"/>
    <w:rsid w:val="00B67E69"/>
    <w:rsid w:val="00B7343D"/>
    <w:rsid w:val="00B760B5"/>
    <w:rsid w:val="00B76A9A"/>
    <w:rsid w:val="00B81113"/>
    <w:rsid w:val="00B818CB"/>
    <w:rsid w:val="00B832F7"/>
    <w:rsid w:val="00B84819"/>
    <w:rsid w:val="00B84A6C"/>
    <w:rsid w:val="00B84B52"/>
    <w:rsid w:val="00B938F7"/>
    <w:rsid w:val="00B95401"/>
    <w:rsid w:val="00B95CD1"/>
    <w:rsid w:val="00BA102E"/>
    <w:rsid w:val="00BB0A4C"/>
    <w:rsid w:val="00BB2C9C"/>
    <w:rsid w:val="00BC2E6C"/>
    <w:rsid w:val="00BC45AC"/>
    <w:rsid w:val="00BC4EBE"/>
    <w:rsid w:val="00BD0892"/>
    <w:rsid w:val="00BD0F49"/>
    <w:rsid w:val="00BD1A2E"/>
    <w:rsid w:val="00BD1AA1"/>
    <w:rsid w:val="00BD5241"/>
    <w:rsid w:val="00BD66D1"/>
    <w:rsid w:val="00BE24C5"/>
    <w:rsid w:val="00BE4292"/>
    <w:rsid w:val="00BE42EF"/>
    <w:rsid w:val="00BE511E"/>
    <w:rsid w:val="00BE6A79"/>
    <w:rsid w:val="00BE7329"/>
    <w:rsid w:val="00BF027F"/>
    <w:rsid w:val="00BF0A8D"/>
    <w:rsid w:val="00BF16C2"/>
    <w:rsid w:val="00BF2485"/>
    <w:rsid w:val="00BF5350"/>
    <w:rsid w:val="00BF581D"/>
    <w:rsid w:val="00BF64F5"/>
    <w:rsid w:val="00BF6DED"/>
    <w:rsid w:val="00BF7D76"/>
    <w:rsid w:val="00C047CE"/>
    <w:rsid w:val="00C0543D"/>
    <w:rsid w:val="00C0754D"/>
    <w:rsid w:val="00C13886"/>
    <w:rsid w:val="00C14A80"/>
    <w:rsid w:val="00C14B6C"/>
    <w:rsid w:val="00C21070"/>
    <w:rsid w:val="00C23985"/>
    <w:rsid w:val="00C27532"/>
    <w:rsid w:val="00C3088F"/>
    <w:rsid w:val="00C32468"/>
    <w:rsid w:val="00C36FF4"/>
    <w:rsid w:val="00C375B1"/>
    <w:rsid w:val="00C41C97"/>
    <w:rsid w:val="00C455C7"/>
    <w:rsid w:val="00C46EC2"/>
    <w:rsid w:val="00C503C8"/>
    <w:rsid w:val="00C50C07"/>
    <w:rsid w:val="00C53B8E"/>
    <w:rsid w:val="00C61F28"/>
    <w:rsid w:val="00C6334E"/>
    <w:rsid w:val="00C705D0"/>
    <w:rsid w:val="00C72664"/>
    <w:rsid w:val="00C73A32"/>
    <w:rsid w:val="00C8176A"/>
    <w:rsid w:val="00C879CC"/>
    <w:rsid w:val="00C915AF"/>
    <w:rsid w:val="00C91B38"/>
    <w:rsid w:val="00C93568"/>
    <w:rsid w:val="00C944F8"/>
    <w:rsid w:val="00C95EEB"/>
    <w:rsid w:val="00C96F20"/>
    <w:rsid w:val="00CA0D2E"/>
    <w:rsid w:val="00CA13A7"/>
    <w:rsid w:val="00CA681B"/>
    <w:rsid w:val="00CB2505"/>
    <w:rsid w:val="00CB5CCE"/>
    <w:rsid w:val="00CB5DC4"/>
    <w:rsid w:val="00CB638A"/>
    <w:rsid w:val="00CC4694"/>
    <w:rsid w:val="00CC628E"/>
    <w:rsid w:val="00CC700D"/>
    <w:rsid w:val="00CD4896"/>
    <w:rsid w:val="00CD4BE5"/>
    <w:rsid w:val="00CE04DA"/>
    <w:rsid w:val="00CE104D"/>
    <w:rsid w:val="00CE5509"/>
    <w:rsid w:val="00CE5C32"/>
    <w:rsid w:val="00CF2420"/>
    <w:rsid w:val="00CF5847"/>
    <w:rsid w:val="00D00496"/>
    <w:rsid w:val="00D00C8D"/>
    <w:rsid w:val="00D00F6F"/>
    <w:rsid w:val="00D0638A"/>
    <w:rsid w:val="00D06B5C"/>
    <w:rsid w:val="00D06B7B"/>
    <w:rsid w:val="00D07472"/>
    <w:rsid w:val="00D20F9B"/>
    <w:rsid w:val="00D228A4"/>
    <w:rsid w:val="00D25015"/>
    <w:rsid w:val="00D25DA2"/>
    <w:rsid w:val="00D302AB"/>
    <w:rsid w:val="00D32647"/>
    <w:rsid w:val="00D35FE3"/>
    <w:rsid w:val="00D363A5"/>
    <w:rsid w:val="00D41C2B"/>
    <w:rsid w:val="00D43776"/>
    <w:rsid w:val="00D441BC"/>
    <w:rsid w:val="00D44910"/>
    <w:rsid w:val="00D44E48"/>
    <w:rsid w:val="00D460A9"/>
    <w:rsid w:val="00D47176"/>
    <w:rsid w:val="00D51C98"/>
    <w:rsid w:val="00D52686"/>
    <w:rsid w:val="00D57A61"/>
    <w:rsid w:val="00D57F29"/>
    <w:rsid w:val="00D616E4"/>
    <w:rsid w:val="00D65EBD"/>
    <w:rsid w:val="00D662C3"/>
    <w:rsid w:val="00D66580"/>
    <w:rsid w:val="00D66D06"/>
    <w:rsid w:val="00D6725F"/>
    <w:rsid w:val="00D715C3"/>
    <w:rsid w:val="00D73570"/>
    <w:rsid w:val="00D755D1"/>
    <w:rsid w:val="00D83E87"/>
    <w:rsid w:val="00D87224"/>
    <w:rsid w:val="00D87D64"/>
    <w:rsid w:val="00D90807"/>
    <w:rsid w:val="00D96439"/>
    <w:rsid w:val="00D967DD"/>
    <w:rsid w:val="00DA1320"/>
    <w:rsid w:val="00DA1761"/>
    <w:rsid w:val="00DA1942"/>
    <w:rsid w:val="00DA1DD7"/>
    <w:rsid w:val="00DA1E6B"/>
    <w:rsid w:val="00DA25A6"/>
    <w:rsid w:val="00DB0E62"/>
    <w:rsid w:val="00DB14FC"/>
    <w:rsid w:val="00DB2F58"/>
    <w:rsid w:val="00DB3E5B"/>
    <w:rsid w:val="00DB6BD9"/>
    <w:rsid w:val="00DC3791"/>
    <w:rsid w:val="00DC3A79"/>
    <w:rsid w:val="00DC6EDE"/>
    <w:rsid w:val="00DD290B"/>
    <w:rsid w:val="00DD2AFC"/>
    <w:rsid w:val="00DD5C03"/>
    <w:rsid w:val="00DE4CF2"/>
    <w:rsid w:val="00DE612D"/>
    <w:rsid w:val="00DF0A47"/>
    <w:rsid w:val="00DF37DA"/>
    <w:rsid w:val="00DF5F31"/>
    <w:rsid w:val="00E02FED"/>
    <w:rsid w:val="00E0471E"/>
    <w:rsid w:val="00E04EE2"/>
    <w:rsid w:val="00E07C0E"/>
    <w:rsid w:val="00E11ACB"/>
    <w:rsid w:val="00E144F4"/>
    <w:rsid w:val="00E15A00"/>
    <w:rsid w:val="00E16642"/>
    <w:rsid w:val="00E1699B"/>
    <w:rsid w:val="00E237BB"/>
    <w:rsid w:val="00E24027"/>
    <w:rsid w:val="00E24F39"/>
    <w:rsid w:val="00E26E3B"/>
    <w:rsid w:val="00E27652"/>
    <w:rsid w:val="00E30831"/>
    <w:rsid w:val="00E31378"/>
    <w:rsid w:val="00E31EF8"/>
    <w:rsid w:val="00E32CBA"/>
    <w:rsid w:val="00E34204"/>
    <w:rsid w:val="00E34481"/>
    <w:rsid w:val="00E351AA"/>
    <w:rsid w:val="00E356B9"/>
    <w:rsid w:val="00E37E32"/>
    <w:rsid w:val="00E42C39"/>
    <w:rsid w:val="00E42C40"/>
    <w:rsid w:val="00E43001"/>
    <w:rsid w:val="00E46FA5"/>
    <w:rsid w:val="00E51A2C"/>
    <w:rsid w:val="00E52AF1"/>
    <w:rsid w:val="00E56706"/>
    <w:rsid w:val="00E57FFC"/>
    <w:rsid w:val="00E650D7"/>
    <w:rsid w:val="00E660A8"/>
    <w:rsid w:val="00E670EA"/>
    <w:rsid w:val="00E708DF"/>
    <w:rsid w:val="00E72F0F"/>
    <w:rsid w:val="00E7317D"/>
    <w:rsid w:val="00E73742"/>
    <w:rsid w:val="00E753A9"/>
    <w:rsid w:val="00E76063"/>
    <w:rsid w:val="00E7652D"/>
    <w:rsid w:val="00E77600"/>
    <w:rsid w:val="00E81148"/>
    <w:rsid w:val="00E8230E"/>
    <w:rsid w:val="00E85B45"/>
    <w:rsid w:val="00E96391"/>
    <w:rsid w:val="00EA25AD"/>
    <w:rsid w:val="00EA773D"/>
    <w:rsid w:val="00EA79D9"/>
    <w:rsid w:val="00EB021E"/>
    <w:rsid w:val="00EB0C2D"/>
    <w:rsid w:val="00EB1261"/>
    <w:rsid w:val="00EB30A5"/>
    <w:rsid w:val="00EB322A"/>
    <w:rsid w:val="00EB35B1"/>
    <w:rsid w:val="00EB4E61"/>
    <w:rsid w:val="00EB5413"/>
    <w:rsid w:val="00EC0BDF"/>
    <w:rsid w:val="00EC1965"/>
    <w:rsid w:val="00EC2BD1"/>
    <w:rsid w:val="00EC6A39"/>
    <w:rsid w:val="00EC71F9"/>
    <w:rsid w:val="00EC789C"/>
    <w:rsid w:val="00ED1572"/>
    <w:rsid w:val="00ED27E8"/>
    <w:rsid w:val="00ED571F"/>
    <w:rsid w:val="00ED5E08"/>
    <w:rsid w:val="00ED6FC2"/>
    <w:rsid w:val="00ED7229"/>
    <w:rsid w:val="00EE316F"/>
    <w:rsid w:val="00EE65E1"/>
    <w:rsid w:val="00EE7765"/>
    <w:rsid w:val="00EF013E"/>
    <w:rsid w:val="00EF35E2"/>
    <w:rsid w:val="00EF6252"/>
    <w:rsid w:val="00EF6BA1"/>
    <w:rsid w:val="00EF6E3F"/>
    <w:rsid w:val="00F051CE"/>
    <w:rsid w:val="00F06A2D"/>
    <w:rsid w:val="00F06C07"/>
    <w:rsid w:val="00F06C3C"/>
    <w:rsid w:val="00F10720"/>
    <w:rsid w:val="00F1098E"/>
    <w:rsid w:val="00F11194"/>
    <w:rsid w:val="00F1150C"/>
    <w:rsid w:val="00F17341"/>
    <w:rsid w:val="00F308A6"/>
    <w:rsid w:val="00F3158A"/>
    <w:rsid w:val="00F36C75"/>
    <w:rsid w:val="00F42767"/>
    <w:rsid w:val="00F54006"/>
    <w:rsid w:val="00F56E8D"/>
    <w:rsid w:val="00F637F7"/>
    <w:rsid w:val="00F639E9"/>
    <w:rsid w:val="00F63F17"/>
    <w:rsid w:val="00F64B39"/>
    <w:rsid w:val="00F65B4C"/>
    <w:rsid w:val="00F761BC"/>
    <w:rsid w:val="00F779DF"/>
    <w:rsid w:val="00F77D7F"/>
    <w:rsid w:val="00F77E4A"/>
    <w:rsid w:val="00F813FF"/>
    <w:rsid w:val="00F81B74"/>
    <w:rsid w:val="00F81ED5"/>
    <w:rsid w:val="00F82D66"/>
    <w:rsid w:val="00F864AA"/>
    <w:rsid w:val="00F87511"/>
    <w:rsid w:val="00F87B20"/>
    <w:rsid w:val="00F91ADB"/>
    <w:rsid w:val="00F94D78"/>
    <w:rsid w:val="00F966F5"/>
    <w:rsid w:val="00FA13B8"/>
    <w:rsid w:val="00FA6285"/>
    <w:rsid w:val="00FA6722"/>
    <w:rsid w:val="00FB08AC"/>
    <w:rsid w:val="00FB10B9"/>
    <w:rsid w:val="00FC2825"/>
    <w:rsid w:val="00FC536A"/>
    <w:rsid w:val="00FC5FF7"/>
    <w:rsid w:val="00FC6C5C"/>
    <w:rsid w:val="00FC7488"/>
    <w:rsid w:val="00FD15C4"/>
    <w:rsid w:val="00FD25BF"/>
    <w:rsid w:val="00FD5F04"/>
    <w:rsid w:val="00FD6076"/>
    <w:rsid w:val="00FD7E3C"/>
    <w:rsid w:val="00FE475D"/>
    <w:rsid w:val="00FE7CA0"/>
    <w:rsid w:val="00FF25A3"/>
    <w:rsid w:val="00FF2D70"/>
    <w:rsid w:val="00FF5B80"/>
    <w:rsid w:val="00FF6090"/>
    <w:rsid w:val="00FF7A9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5:docId w15:val="{62596742-6211-432C-9E96-0EAD33A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883"/>
    <w:rPr>
      <w:sz w:val="28"/>
      <w:szCs w:val="28"/>
    </w:rPr>
  </w:style>
  <w:style w:type="paragraph" w:styleId="Nagwek1">
    <w:name w:val="heading 1"/>
    <w:basedOn w:val="Normalny"/>
    <w:next w:val="Normalny"/>
    <w:qFormat/>
    <w:rsid w:val="007B6883"/>
    <w:pPr>
      <w:keepNext/>
      <w:spacing w:after="24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7B6883"/>
    <w:pPr>
      <w:keepNext/>
      <w:tabs>
        <w:tab w:val="left" w:leader="dot" w:pos="4253"/>
      </w:tabs>
      <w:spacing w:before="120" w:after="120"/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7B6883"/>
    <w:pPr>
      <w:keepNext/>
      <w:spacing w:before="120"/>
      <w:jc w:val="center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7B6883"/>
    <w:pPr>
      <w:keepNext/>
      <w:spacing w:before="40" w:after="40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rsid w:val="007B6883"/>
    <w:pPr>
      <w:keepNext/>
      <w:tabs>
        <w:tab w:val="left" w:leader="dot" w:pos="3119"/>
        <w:tab w:val="left" w:leader="dot" w:pos="3402"/>
      </w:tabs>
      <w:spacing w:before="120" w:after="120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7B6883"/>
    <w:pPr>
      <w:keepNext/>
      <w:spacing w:before="80" w:line="240" w:lineRule="exact"/>
      <w:outlineLvl w:val="5"/>
    </w:pPr>
    <w:rPr>
      <w:rFonts w:ascii="Arial" w:hAnsi="Arial" w:cs="Arial"/>
      <w:i/>
      <w:iCs/>
      <w:sz w:val="18"/>
      <w:szCs w:val="18"/>
    </w:rPr>
  </w:style>
  <w:style w:type="paragraph" w:styleId="Nagwek7">
    <w:name w:val="heading 7"/>
    <w:basedOn w:val="Normalny"/>
    <w:next w:val="Normalny"/>
    <w:qFormat/>
    <w:rsid w:val="007B6883"/>
    <w:pPr>
      <w:keepNext/>
      <w:spacing w:before="600"/>
      <w:jc w:val="center"/>
      <w:outlineLvl w:val="6"/>
    </w:pPr>
    <w:rPr>
      <w:rFonts w:ascii="Arial" w:hAnsi="Arial" w:cs="Arial"/>
      <w:b/>
      <w:bCs/>
      <w:sz w:val="34"/>
      <w:szCs w:val="34"/>
    </w:rPr>
  </w:style>
  <w:style w:type="paragraph" w:styleId="Nagwek8">
    <w:name w:val="heading 8"/>
    <w:basedOn w:val="Normalny"/>
    <w:next w:val="Normalny"/>
    <w:qFormat/>
    <w:rsid w:val="007B6883"/>
    <w:pPr>
      <w:keepNext/>
      <w:tabs>
        <w:tab w:val="left" w:leader="dot" w:pos="4933"/>
      </w:tabs>
      <w:spacing w:before="120" w:after="120"/>
      <w:ind w:left="925" w:hanging="284"/>
      <w:outlineLvl w:val="7"/>
    </w:pPr>
    <w:rPr>
      <w:rFonts w:ascii="Arial" w:hAnsi="Arial" w:cs="Arial"/>
      <w:b/>
      <w:bCs/>
      <w:spacing w:val="-4"/>
      <w:sz w:val="22"/>
      <w:szCs w:val="22"/>
    </w:rPr>
  </w:style>
  <w:style w:type="paragraph" w:styleId="Nagwek9">
    <w:name w:val="heading 9"/>
    <w:basedOn w:val="Normalny"/>
    <w:next w:val="Normalny"/>
    <w:qFormat/>
    <w:rsid w:val="007B6883"/>
    <w:pPr>
      <w:keepNext/>
      <w:tabs>
        <w:tab w:val="left" w:leader="dot" w:pos="3175"/>
      </w:tabs>
      <w:spacing w:before="120" w:after="120"/>
      <w:ind w:left="624" w:hanging="284"/>
      <w:outlineLvl w:val="8"/>
    </w:pPr>
    <w:rPr>
      <w:rFonts w:ascii="Arial" w:hAnsi="Arial" w:cs="Arial"/>
      <w:b/>
      <w:bCs/>
      <w:spacing w:val="-4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5">
    <w:name w:val="Znak Znak15"/>
    <w:rsid w:val="007B6883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14">
    <w:name w:val="Znak Znak14"/>
    <w:semiHidden/>
    <w:rsid w:val="007B6883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3">
    <w:name w:val="Znak Znak13"/>
    <w:semiHidden/>
    <w:rsid w:val="007B6883"/>
    <w:rPr>
      <w:rFonts w:ascii="Cambria" w:hAnsi="Cambria" w:cs="Cambria"/>
      <w:b/>
      <w:bCs/>
      <w:sz w:val="26"/>
      <w:szCs w:val="26"/>
    </w:rPr>
  </w:style>
  <w:style w:type="character" w:customStyle="1" w:styleId="ZnakZnak12">
    <w:name w:val="Znak Znak12"/>
    <w:semiHidden/>
    <w:rsid w:val="007B6883"/>
    <w:rPr>
      <w:rFonts w:ascii="Calibri" w:hAnsi="Calibri" w:cs="Calibri"/>
      <w:b/>
      <w:bCs/>
      <w:sz w:val="28"/>
      <w:szCs w:val="28"/>
    </w:rPr>
  </w:style>
  <w:style w:type="character" w:customStyle="1" w:styleId="ZnakZnak11">
    <w:name w:val="Znak Znak11"/>
    <w:rsid w:val="007B6883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0">
    <w:name w:val="Znak Znak10"/>
    <w:semiHidden/>
    <w:rsid w:val="007B6883"/>
    <w:rPr>
      <w:rFonts w:ascii="Calibri" w:hAnsi="Calibri" w:cs="Calibri"/>
      <w:b/>
      <w:bCs/>
    </w:rPr>
  </w:style>
  <w:style w:type="character" w:customStyle="1" w:styleId="ZnakZnak9">
    <w:name w:val="Znak Znak9"/>
    <w:semiHidden/>
    <w:rsid w:val="007B6883"/>
    <w:rPr>
      <w:rFonts w:ascii="Calibri" w:hAnsi="Calibri" w:cs="Calibri"/>
      <w:sz w:val="24"/>
      <w:szCs w:val="24"/>
    </w:rPr>
  </w:style>
  <w:style w:type="character" w:customStyle="1" w:styleId="ZnakZnak8">
    <w:name w:val="Znak Znak8"/>
    <w:semiHidden/>
    <w:rsid w:val="007B6883"/>
    <w:rPr>
      <w:rFonts w:ascii="Calibri" w:hAnsi="Calibri" w:cs="Calibri"/>
      <w:i/>
      <w:iCs/>
      <w:sz w:val="24"/>
      <w:szCs w:val="24"/>
    </w:rPr>
  </w:style>
  <w:style w:type="character" w:customStyle="1" w:styleId="ZnakZnak7">
    <w:name w:val="Znak Znak7"/>
    <w:semiHidden/>
    <w:rsid w:val="007B6883"/>
    <w:rPr>
      <w:rFonts w:ascii="Cambria" w:hAnsi="Cambria" w:cs="Cambria"/>
    </w:rPr>
  </w:style>
  <w:style w:type="character" w:styleId="Odwoaniedokomentarza">
    <w:name w:val="annotation reference"/>
    <w:semiHidden/>
    <w:rsid w:val="007B6883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7B6883"/>
    <w:rPr>
      <w:sz w:val="20"/>
      <w:szCs w:val="20"/>
    </w:rPr>
  </w:style>
  <w:style w:type="character" w:customStyle="1" w:styleId="ZnakZnak6">
    <w:name w:val="Znak Znak6"/>
    <w:semiHidden/>
    <w:rsid w:val="007B6883"/>
    <w:rPr>
      <w:rFonts w:cs="Times New Roman"/>
      <w:sz w:val="20"/>
      <w:szCs w:val="20"/>
    </w:rPr>
  </w:style>
  <w:style w:type="paragraph" w:styleId="Tekstprzypisukocowego">
    <w:name w:val="endnote text"/>
    <w:basedOn w:val="Normalny"/>
    <w:semiHidden/>
    <w:rsid w:val="007B6883"/>
    <w:rPr>
      <w:sz w:val="20"/>
      <w:szCs w:val="20"/>
    </w:rPr>
  </w:style>
  <w:style w:type="character" w:customStyle="1" w:styleId="ZnakZnak5">
    <w:name w:val="Znak Znak5"/>
    <w:semiHidden/>
    <w:rsid w:val="007B6883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7B6883"/>
    <w:rPr>
      <w:rFonts w:cs="Times New Roman"/>
      <w:vertAlign w:val="superscript"/>
    </w:rPr>
  </w:style>
  <w:style w:type="paragraph" w:styleId="Nagwek">
    <w:name w:val="header"/>
    <w:basedOn w:val="Normalny"/>
    <w:semiHidden/>
    <w:rsid w:val="007B6883"/>
    <w:pPr>
      <w:tabs>
        <w:tab w:val="center" w:pos="4536"/>
        <w:tab w:val="right" w:pos="9072"/>
      </w:tabs>
    </w:pPr>
  </w:style>
  <w:style w:type="character" w:customStyle="1" w:styleId="ZnakZnak4">
    <w:name w:val="Znak Znak4"/>
    <w:semiHidden/>
    <w:rsid w:val="007B6883"/>
    <w:rPr>
      <w:rFonts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7B6883"/>
    <w:pPr>
      <w:tabs>
        <w:tab w:val="center" w:pos="4536"/>
        <w:tab w:val="right" w:pos="9072"/>
      </w:tabs>
    </w:pPr>
  </w:style>
  <w:style w:type="character" w:customStyle="1" w:styleId="ZnakZnak3">
    <w:name w:val="Znak Znak3"/>
    <w:semiHidden/>
    <w:rsid w:val="007B6883"/>
    <w:rPr>
      <w:rFonts w:cs="Times New Roman"/>
      <w:sz w:val="28"/>
      <w:szCs w:val="28"/>
    </w:rPr>
  </w:style>
  <w:style w:type="paragraph" w:customStyle="1" w:styleId="Tekstpodstawowywcity1">
    <w:name w:val="Tekst podstawowy wcięty1"/>
    <w:basedOn w:val="Normalny"/>
    <w:rsid w:val="007B6883"/>
    <w:pPr>
      <w:spacing w:before="120"/>
      <w:ind w:left="284" w:hanging="142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semiHidden/>
    <w:rsid w:val="007B6883"/>
    <w:rPr>
      <w:rFonts w:cs="Times New Roman"/>
      <w:sz w:val="28"/>
      <w:szCs w:val="28"/>
    </w:rPr>
  </w:style>
  <w:style w:type="paragraph" w:styleId="Tekstpodstawowywcity3">
    <w:name w:val="Body Text Indent 3"/>
    <w:basedOn w:val="Normalny"/>
    <w:semiHidden/>
    <w:rsid w:val="007B6883"/>
    <w:pPr>
      <w:spacing w:before="20" w:line="400" w:lineRule="exact"/>
      <w:ind w:firstLine="425"/>
      <w:jc w:val="both"/>
    </w:pPr>
    <w:rPr>
      <w:rFonts w:ascii="Arial" w:hAnsi="Arial" w:cs="Arial"/>
      <w:i/>
      <w:iCs/>
      <w:spacing w:val="-6"/>
      <w:sz w:val="22"/>
      <w:szCs w:val="22"/>
    </w:rPr>
  </w:style>
  <w:style w:type="character" w:customStyle="1" w:styleId="ZnakZnak2">
    <w:name w:val="Znak Znak2"/>
    <w:semiHidden/>
    <w:rsid w:val="007B6883"/>
    <w:rPr>
      <w:rFonts w:cs="Times New Roman"/>
      <w:sz w:val="16"/>
      <w:szCs w:val="16"/>
    </w:rPr>
  </w:style>
  <w:style w:type="paragraph" w:styleId="Tekstpodstawowy">
    <w:name w:val="Body Text"/>
    <w:basedOn w:val="Normalny"/>
    <w:semiHidden/>
    <w:rsid w:val="007B6883"/>
    <w:pPr>
      <w:jc w:val="center"/>
    </w:pPr>
    <w:rPr>
      <w:sz w:val="24"/>
      <w:szCs w:val="24"/>
    </w:rPr>
  </w:style>
  <w:style w:type="character" w:customStyle="1" w:styleId="ZnakZnak1">
    <w:name w:val="Znak Znak1"/>
    <w:semiHidden/>
    <w:rsid w:val="007B6883"/>
    <w:rPr>
      <w:rFonts w:cs="Times New Roman"/>
      <w:sz w:val="28"/>
      <w:szCs w:val="28"/>
    </w:rPr>
  </w:style>
  <w:style w:type="character" w:styleId="Hipercze">
    <w:name w:val="Hyperlink"/>
    <w:semiHidden/>
    <w:rsid w:val="007B6883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7B6883"/>
    <w:rPr>
      <w:rFonts w:cs="Times New Roman"/>
      <w:color w:val="800080"/>
      <w:u w:val="single"/>
    </w:rPr>
  </w:style>
  <w:style w:type="character" w:customStyle="1" w:styleId="Nagwek5Znak">
    <w:name w:val="Nagłówek 5 Znak"/>
    <w:rsid w:val="007B6883"/>
    <w:rPr>
      <w:b/>
      <w:bCs/>
      <w:sz w:val="24"/>
      <w:szCs w:val="24"/>
    </w:rPr>
  </w:style>
  <w:style w:type="paragraph" w:styleId="Tekstpodstawowy3">
    <w:name w:val="Body Text 3"/>
    <w:basedOn w:val="Normalny"/>
    <w:semiHidden/>
    <w:rsid w:val="007B6883"/>
    <w:pPr>
      <w:spacing w:after="120"/>
    </w:pPr>
    <w:rPr>
      <w:sz w:val="16"/>
      <w:szCs w:val="16"/>
    </w:rPr>
  </w:style>
  <w:style w:type="character" w:customStyle="1" w:styleId="ZnakZnak">
    <w:name w:val="Znak Znak"/>
    <w:semiHidden/>
    <w:rsid w:val="007B6883"/>
    <w:rPr>
      <w:rFonts w:cs="Times New Roman"/>
      <w:sz w:val="16"/>
      <w:szCs w:val="16"/>
    </w:rPr>
  </w:style>
  <w:style w:type="paragraph" w:styleId="Tekstpodstawowywcity">
    <w:name w:val="Body Text Indent"/>
    <w:basedOn w:val="Normalny"/>
    <w:semiHidden/>
    <w:rsid w:val="007B6883"/>
    <w:pPr>
      <w:spacing w:after="120"/>
      <w:ind w:left="283"/>
    </w:pPr>
  </w:style>
  <w:style w:type="character" w:customStyle="1" w:styleId="TekstpodstawowywcityZnak">
    <w:name w:val="Tekst podstawowy wcięty Znak"/>
    <w:rsid w:val="007B6883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9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998"/>
  </w:style>
  <w:style w:type="character" w:styleId="Odwoanieprzypisudolnego">
    <w:name w:val="footnote reference"/>
    <w:uiPriority w:val="99"/>
    <w:semiHidden/>
    <w:unhideWhenUsed/>
    <w:rsid w:val="00B12998"/>
    <w:rPr>
      <w:vertAlign w:val="superscript"/>
    </w:rPr>
  </w:style>
  <w:style w:type="paragraph" w:customStyle="1" w:styleId="Default">
    <w:name w:val="Default"/>
    <w:rsid w:val="001D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21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4C1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E4C1B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52AF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stat.gov.pl/en/topics/national-accounts/quarterly-national-account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mailto:rzecznik@stat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5248-2BDD-4156-B194-AAAC661B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Links>
    <vt:vector size="12" baseType="variant">
      <vt:variant>
        <vt:i4>6946925</vt:i4>
      </vt:variant>
      <vt:variant>
        <vt:i4>3</vt:i4>
      </vt:variant>
      <vt:variant>
        <vt:i4>0</vt:i4>
      </vt:variant>
      <vt:variant>
        <vt:i4>5</vt:i4>
      </vt:variant>
      <vt:variant>
        <vt:lpwstr>http://stat.gov.pl/en/topics/national-accounts/quarterly-national-accounts/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mailto:rzecznik@stat.gov.pl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Warszawa</dc:creator>
  <cp:keywords/>
  <cp:lastModifiedBy>Cerling  Irmina</cp:lastModifiedBy>
  <cp:revision>22</cp:revision>
  <cp:lastPrinted>2017-08-30T14:25:00Z</cp:lastPrinted>
  <dcterms:created xsi:type="dcterms:W3CDTF">2017-05-31T06:33:00Z</dcterms:created>
  <dcterms:modified xsi:type="dcterms:W3CDTF">2017-08-31T06:33:00Z</dcterms:modified>
</cp:coreProperties>
</file>