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72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5048"/>
        <w:gridCol w:w="1273"/>
        <w:gridCol w:w="1345"/>
        <w:gridCol w:w="1376"/>
      </w:tblGrid>
      <w:tr w:rsidR="003C6C14" w:rsidRPr="00890531" w:rsidTr="003C6C14">
        <w:tc>
          <w:tcPr>
            <w:tcW w:w="50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Speci</w:t>
            </w:r>
            <w:r w:rsidRPr="00043D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fication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b/>
                <w:sz w:val="16"/>
                <w:szCs w:val="16"/>
                <w:lang w:val="en-US"/>
              </w:rPr>
              <w:t>I-VI 2014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b/>
                <w:sz w:val="16"/>
                <w:szCs w:val="16"/>
                <w:lang w:val="en-US"/>
              </w:rPr>
              <w:t>I-VI 2015</w:t>
            </w:r>
          </w:p>
        </w:tc>
        <w:tc>
          <w:tcPr>
            <w:tcW w:w="1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b/>
                <w:sz w:val="16"/>
                <w:szCs w:val="16"/>
                <w:lang w:val="en-US"/>
              </w:rPr>
              <w:t>I-VI 2014=100</w:t>
            </w:r>
          </w:p>
        </w:tc>
      </w:tr>
      <w:tr w:rsidR="003C6C14" w:rsidRPr="00890531" w:rsidTr="003C6C14">
        <w:tc>
          <w:tcPr>
            <w:tcW w:w="5048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in </w:t>
            </w:r>
            <w:proofErr w:type="spellStart"/>
            <w:r w:rsidRPr="00890531">
              <w:rPr>
                <w:rFonts w:ascii="Arial" w:hAnsi="Arial" w:cs="Arial"/>
                <w:i/>
                <w:sz w:val="16"/>
                <w:szCs w:val="16"/>
                <w:lang w:val="en-US"/>
              </w:rPr>
              <w:t>mln</w:t>
            </w:r>
            <w:proofErr w:type="spellEnd"/>
            <w:r w:rsidRPr="0089053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PLN</w:t>
            </w:r>
          </w:p>
        </w:tc>
        <w:tc>
          <w:tcPr>
            <w:tcW w:w="13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C6C14" w:rsidRPr="00890531" w:rsidTr="003C6C14">
        <w:trPr>
          <w:trHeight w:val="341"/>
        </w:trPr>
        <w:tc>
          <w:tcPr>
            <w:tcW w:w="50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Revenues from total activity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1 169 743,9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1 211 368,2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103,6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pos="284"/>
                <w:tab w:val="left" w:leader="dot" w:pos="5387"/>
              </w:tabs>
              <w:spacing w:before="120"/>
              <w:ind w:left="28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of which revenues from sale of products, goods and materials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before="120" w:line="30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1 134 193,8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bCs/>
                <w:sz w:val="16"/>
                <w:szCs w:val="16"/>
                <w:lang w:val="en-US"/>
              </w:rPr>
              <w:t>1 174 981,7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103,6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Costs of obtaining revenues from total activity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1 115 284,8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1 146 901,9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102,8</w:t>
            </w:r>
          </w:p>
        </w:tc>
      </w:tr>
      <w:tr w:rsidR="003C6C14" w:rsidRPr="00890531" w:rsidTr="003C6C14">
        <w:trPr>
          <w:trHeight w:val="563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spacing w:before="120"/>
              <w:ind w:left="28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of which prime cost of sold products and value of sold goods and materials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before="120" w:line="300" w:lineRule="exact"/>
              <w:jc w:val="right"/>
              <w:rPr>
                <w:rFonts w:ascii="Arial" w:hAnsi="Arial" w:cs="Arial"/>
                <w:position w:val="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6"/>
                <w:sz w:val="16"/>
                <w:szCs w:val="16"/>
                <w:lang w:val="en-US"/>
              </w:rPr>
              <w:t>1 082 212,7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before="120" w:line="300" w:lineRule="exact"/>
              <w:jc w:val="right"/>
              <w:rPr>
                <w:rFonts w:ascii="Arial" w:hAnsi="Arial" w:cs="Arial"/>
                <w:position w:val="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6"/>
                <w:sz w:val="16"/>
                <w:szCs w:val="16"/>
                <w:lang w:val="en-US"/>
              </w:rPr>
              <w:t>1 117 396,7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103,3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Financial result from sale of products, goods and materials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51 981,1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57 585,0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110,8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Result on other operating activity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5 044,5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4 280,8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84,9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Result on financial operations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-2 566,5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2 600,5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x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Financial results on economic activity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54 459,1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64 466,3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118,4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Gross financial result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54 513,9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64 367,5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118,1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Net financial result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46 130,0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54 471,6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118,1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Net profit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61 031,7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67 131,3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110,0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tabs>
                <w:tab w:val="left" w:leader="dot" w:pos="538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Net loss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14 901,7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line="340" w:lineRule="exact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12 659,7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85,0</w:t>
            </w:r>
          </w:p>
        </w:tc>
      </w:tr>
      <w:tr w:rsidR="003C6C14" w:rsidRPr="00890531" w:rsidTr="003C6C14">
        <w:trPr>
          <w:trHeight w:val="534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pStyle w:val="Tekstpodstawowy"/>
              <w:ind w:right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C6C14" w:rsidRPr="00890531" w:rsidRDefault="003C6C14" w:rsidP="003C6C14">
            <w:pPr>
              <w:pStyle w:val="Tekstpodstawowy"/>
              <w:spacing w:line="300" w:lineRule="exact"/>
              <w:ind w:right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b/>
                <w:sz w:val="16"/>
                <w:szCs w:val="16"/>
                <w:lang w:val="en-US"/>
              </w:rPr>
              <w:t>in %</w:t>
            </w:r>
          </w:p>
        </w:tc>
      </w:tr>
      <w:tr w:rsidR="003C6C14" w:rsidRPr="00890531" w:rsidTr="003C6C14">
        <w:trPr>
          <w:trHeight w:val="425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C6C14" w:rsidRPr="00890531" w:rsidRDefault="003C6C14" w:rsidP="003C6C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 xml:space="preserve">Cost level indicator 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after="120" w:line="300" w:lineRule="exact"/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95,3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after="120" w:line="300" w:lineRule="exact"/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94,7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x</w:t>
            </w:r>
          </w:p>
        </w:tc>
      </w:tr>
      <w:tr w:rsidR="003C6C14" w:rsidRPr="00890531" w:rsidTr="003C6C14">
        <w:trPr>
          <w:trHeight w:val="428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C6C14" w:rsidRPr="00890531" w:rsidRDefault="003C6C14" w:rsidP="003C6C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 xml:space="preserve">Sales profitability rate 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before="120" w:after="120" w:line="300" w:lineRule="exact"/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4,6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spacing w:before="120" w:after="120" w:line="300" w:lineRule="exact"/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4,9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x</w:t>
            </w:r>
          </w:p>
        </w:tc>
      </w:tr>
      <w:tr w:rsidR="003C6C14" w:rsidRPr="00890531" w:rsidTr="003C6C14">
        <w:trPr>
          <w:trHeight w:val="370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C6C14" w:rsidRPr="00890531" w:rsidRDefault="003C6C14" w:rsidP="003C6C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Gross turnover profitability rate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4,7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5,3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x</w:t>
            </w:r>
          </w:p>
        </w:tc>
      </w:tr>
      <w:tr w:rsidR="003C6C14" w:rsidRPr="00890531" w:rsidTr="003C6C14">
        <w:trPr>
          <w:trHeight w:val="419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C6C14" w:rsidRPr="00890531" w:rsidRDefault="003C6C14" w:rsidP="003C6C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Net turnover profitability rate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3,9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4,5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x</w:t>
            </w:r>
          </w:p>
        </w:tc>
      </w:tr>
      <w:tr w:rsidR="003C6C14" w:rsidRPr="00890531" w:rsidTr="003C6C14">
        <w:trPr>
          <w:trHeight w:val="411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C6C14" w:rsidRPr="00890531" w:rsidRDefault="003C6C14" w:rsidP="003C6C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Liquidity ratio of the first degree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35,2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36,2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-6"/>
                <w:sz w:val="16"/>
                <w:szCs w:val="16"/>
                <w:lang w:val="en-US"/>
              </w:rPr>
              <w:t>x</w:t>
            </w:r>
          </w:p>
        </w:tc>
      </w:tr>
      <w:tr w:rsidR="003C6C14" w:rsidRPr="00890531" w:rsidTr="003C6C14">
        <w:trPr>
          <w:trHeight w:val="369"/>
        </w:trPr>
        <w:tc>
          <w:tcPr>
            <w:tcW w:w="504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C6C14" w:rsidRPr="00890531" w:rsidRDefault="003C6C14" w:rsidP="003C6C1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sz w:val="16"/>
                <w:szCs w:val="16"/>
                <w:lang w:val="en-US"/>
              </w:rPr>
              <w:t>Liquidity ratio of the second degree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3C6C14" w:rsidRPr="00890531" w:rsidRDefault="003C6C14" w:rsidP="003C6C14">
            <w:pPr>
              <w:spacing w:after="120"/>
              <w:jc w:val="right"/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noProof/>
                <w:position w:val="-6"/>
                <w:sz w:val="16"/>
                <w:szCs w:val="16"/>
                <w:lang w:val="en-US"/>
              </w:rPr>
              <w:t>100,6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position w:val="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6"/>
                <w:sz w:val="16"/>
                <w:szCs w:val="16"/>
                <w:lang w:val="en-US"/>
              </w:rPr>
              <w:t>101,1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C14" w:rsidRPr="00890531" w:rsidRDefault="003C6C14" w:rsidP="003C6C14">
            <w:pPr>
              <w:jc w:val="right"/>
              <w:rPr>
                <w:rFonts w:ascii="Arial" w:hAnsi="Arial" w:cs="Arial"/>
                <w:position w:val="6"/>
                <w:sz w:val="16"/>
                <w:szCs w:val="16"/>
                <w:lang w:val="en-US"/>
              </w:rPr>
            </w:pPr>
            <w:r w:rsidRPr="00890531">
              <w:rPr>
                <w:rFonts w:ascii="Arial" w:hAnsi="Arial" w:cs="Arial"/>
                <w:position w:val="6"/>
                <w:sz w:val="16"/>
                <w:szCs w:val="16"/>
                <w:lang w:val="en-US"/>
              </w:rPr>
              <w:t>x</w:t>
            </w:r>
          </w:p>
        </w:tc>
      </w:tr>
    </w:tbl>
    <w:p w:rsidR="00492BC7" w:rsidRDefault="003C6C14">
      <w:pPr>
        <w:rPr>
          <w:lang w:val="en-US"/>
        </w:rPr>
      </w:pPr>
      <w:bookmarkStart w:id="0" w:name="_GoBack"/>
      <w:r w:rsidRPr="00890531">
        <w:rPr>
          <w:rFonts w:ascii="Arial" w:hAnsi="Arial" w:cs="Arial"/>
          <w:b/>
          <w:lang w:val="en-US"/>
        </w:rPr>
        <w:t>Financial results of non-financial enterprises in the first half of 2015</w:t>
      </w:r>
      <w:bookmarkEnd w:id="0"/>
    </w:p>
    <w:p w:rsidR="00492BC7" w:rsidRPr="00492BC7" w:rsidRDefault="00492BC7" w:rsidP="00492BC7">
      <w:pPr>
        <w:rPr>
          <w:lang w:val="en-US"/>
        </w:rPr>
      </w:pPr>
    </w:p>
    <w:p w:rsidR="00492BC7" w:rsidRPr="00F76508" w:rsidRDefault="00492BC7" w:rsidP="00492BC7">
      <w:pPr>
        <w:spacing w:line="24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F76508">
        <w:rPr>
          <w:rFonts w:ascii="Arial" w:hAnsi="Arial" w:cs="Arial"/>
          <w:sz w:val="22"/>
          <w:szCs w:val="22"/>
          <w:lang w:val="en-US"/>
        </w:rPr>
        <w:t>Data refer to enterprises keeping double entry accounts with 50 and more employed persons. Data do not include agriculture, hunting, forestry, fishing, financial intermediation and higher education.</w:t>
      </w:r>
    </w:p>
    <w:p w:rsidR="00492BC7" w:rsidRPr="00F76508" w:rsidRDefault="00492BC7" w:rsidP="00492BC7">
      <w:pPr>
        <w:spacing w:line="240" w:lineRule="exact"/>
        <w:ind w:left="142" w:hanging="142"/>
        <w:jc w:val="both"/>
        <w:rPr>
          <w:rFonts w:ascii="Arial" w:hAnsi="Arial" w:cs="Arial"/>
          <w:sz w:val="22"/>
          <w:szCs w:val="22"/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492BC7" w:rsidRPr="00492BC7" w:rsidRDefault="00492BC7" w:rsidP="00492BC7">
      <w:pPr>
        <w:rPr>
          <w:lang w:val="en-US"/>
        </w:rPr>
      </w:pPr>
    </w:p>
    <w:p w:rsidR="005C0B01" w:rsidRPr="00492BC7" w:rsidRDefault="005C0B01" w:rsidP="00492BC7">
      <w:pPr>
        <w:rPr>
          <w:lang w:val="en-US"/>
        </w:rPr>
      </w:pPr>
    </w:p>
    <w:sectPr w:rsidR="005C0B01" w:rsidRPr="00492BC7" w:rsidSect="00ED6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/>
  <w:rsids>
    <w:rsidRoot w:val="003C6C14"/>
    <w:rsid w:val="003C6C14"/>
    <w:rsid w:val="00492BC7"/>
    <w:rsid w:val="005A2E4E"/>
    <w:rsid w:val="005C0B01"/>
    <w:rsid w:val="00ED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C6C14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6C1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Motkowska-Wójcik Magdalena</dc:creator>
  <cp:keywords/>
  <dc:description/>
  <cp:lastModifiedBy>SlomskaL</cp:lastModifiedBy>
  <cp:revision>2</cp:revision>
  <dcterms:created xsi:type="dcterms:W3CDTF">2016-03-22T12:12:00Z</dcterms:created>
  <dcterms:modified xsi:type="dcterms:W3CDTF">2016-03-22T14:20:00Z</dcterms:modified>
</cp:coreProperties>
</file>