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3EFFBCDD" w:rsidR="00627E8E" w:rsidRPr="006A1212" w:rsidRDefault="00FF0960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7EB8D81" wp14:editId="618EAE49">
                <wp:simplePos x="0" y="0"/>
                <wp:positionH relativeFrom="column">
                  <wp:posOffset>5322277</wp:posOffset>
                </wp:positionH>
                <wp:positionV relativeFrom="paragraph">
                  <wp:posOffset>488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27102" w14:textId="13BFA8C1" w:rsidR="00FF0960" w:rsidRDefault="00FF0960" w:rsidP="00FF096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29.08.2022 r.</w:t>
                            </w:r>
                          </w:p>
                          <w:p w14:paraId="7A062AB9" w14:textId="02337CF1" w:rsidR="00FF0960" w:rsidRPr="00A7182C" w:rsidRDefault="00FF0960" w:rsidP="00FF096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07/2022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B8D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9.1pt;margin-top:.05pt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" fillcolor="black [3213]">
                <v:textbox>
                  <w:txbxContent>
                    <w:p w14:paraId="51927102" w14:textId="13BFA8C1" w:rsidR="00FF0960" w:rsidRDefault="00FF0960" w:rsidP="00FF096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29.08.2022 r.</w:t>
                      </w:r>
                    </w:p>
                    <w:p w14:paraId="7A062AB9" w14:textId="02337CF1" w:rsidR="00FF0960" w:rsidRPr="00A7182C" w:rsidRDefault="00FF0960" w:rsidP="00FF096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07/2022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6A1212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6A1212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6A1212">
        <w:rPr>
          <w:noProof/>
          <w:spacing w:val="-6"/>
          <w:highlight w:val="black"/>
          <w:shd w:val="clear" w:color="auto" w:fill="FFFFFF"/>
        </w:rPr>
        <w:t>a</w:t>
      </w:r>
      <w:r w:rsidR="00440846" w:rsidRPr="006A1212">
        <w:rPr>
          <w:noProof/>
          <w:spacing w:val="-6"/>
          <w:highlight w:val="black"/>
          <w:shd w:val="clear" w:color="auto" w:fill="FFFFFF"/>
        </w:rPr>
        <w:t>ckiego</w:t>
      </w:r>
      <w:r w:rsidR="004251FF" w:rsidRPr="006A1212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6A1212">
        <w:rPr>
          <w:noProof/>
          <w:spacing w:val="-6"/>
          <w:highlight w:val="black"/>
          <w:shd w:val="clear" w:color="auto" w:fill="FFFFFF"/>
        </w:rPr>
        <w:t xml:space="preserve">w </w:t>
      </w:r>
      <w:r w:rsidR="00415049" w:rsidRPr="006A1212">
        <w:rPr>
          <w:noProof/>
          <w:spacing w:val="-6"/>
          <w:highlight w:val="black"/>
          <w:shd w:val="clear" w:color="auto" w:fill="FFFFFF"/>
        </w:rPr>
        <w:t>lip</w:t>
      </w:r>
      <w:r w:rsidR="00424089" w:rsidRPr="006A1212">
        <w:rPr>
          <w:noProof/>
          <w:spacing w:val="-6"/>
          <w:highlight w:val="black"/>
          <w:shd w:val="clear" w:color="auto" w:fill="FFFFFF"/>
        </w:rPr>
        <w:t>c</w:t>
      </w:r>
      <w:r w:rsidR="00861330" w:rsidRPr="006A1212">
        <w:rPr>
          <w:noProof/>
          <w:spacing w:val="-6"/>
          <w:highlight w:val="black"/>
          <w:shd w:val="clear" w:color="auto" w:fill="FFFFFF"/>
        </w:rPr>
        <w:t>u</w:t>
      </w:r>
      <w:r w:rsidR="00831592" w:rsidRPr="006A1212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6A1212">
        <w:rPr>
          <w:noProof/>
          <w:spacing w:val="-6"/>
          <w:highlight w:val="black"/>
          <w:shd w:val="clear" w:color="auto" w:fill="FFFFFF"/>
        </w:rPr>
        <w:t>202</w:t>
      </w:r>
      <w:r w:rsidR="00815ECD" w:rsidRPr="006A1212">
        <w:rPr>
          <w:noProof/>
          <w:spacing w:val="-6"/>
          <w:highlight w:val="black"/>
          <w:shd w:val="clear" w:color="auto" w:fill="FFFFFF"/>
        </w:rPr>
        <w:t>2</w:t>
      </w:r>
      <w:r w:rsidR="00FE0C01" w:rsidRPr="006A1212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6A1212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6A1212" w14:paraId="012B0DB3" w14:textId="77777777" w:rsidTr="006A1212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5A7EC236" w:rsidR="00CD19B8" w:rsidRPr="006A1212" w:rsidRDefault="0099348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lipcu 2022 r. przeciętne zatrudnienie w sektorze przedsiębiorstw było wyższe niż przed rokiem (o 2,1%) i wyższe niż przed miesiącem (o 0,2%).</w:t>
            </w:r>
          </w:p>
          <w:p w14:paraId="4EB39A73" w14:textId="364E44A7" w:rsidR="0070252F" w:rsidRPr="006A1212" w:rsidRDefault="00642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0,4% niższa niż przed miesiącem i o 14,5% niższa niż przed rokiem. Stopa bezrobocia rejestrowanego w końcu lipca 2022 r. wyniosła 7,3% (podobnie jak przed miesiącem) i zmniejszyła się o 1,2 p.proc. w porównaniu z lipcem 2021 r.</w:t>
            </w:r>
          </w:p>
          <w:p w14:paraId="011D58E6" w14:textId="6CEB5620" w:rsidR="00CD19B8" w:rsidRPr="006A1212" w:rsidRDefault="00B86A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lipcu 2021 r. (o 13,3%) i wyższe niż w czerwcu 2022 r. (o 4,2%).</w:t>
            </w:r>
          </w:p>
          <w:p w14:paraId="5F3BF051" w14:textId="40B6CF28" w:rsidR="00903A7C" w:rsidRPr="006A1212" w:rsidRDefault="00C9438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podstawowych produktów rolnych były wyższe niż przed rokiem. W porównaniu z czerwcem br. wyższe były ceny skupu żywca wołowego, wieprzowego i mleka. </w:t>
            </w:r>
            <w:r w:rsidRPr="006A1212">
              <w:rPr>
                <w:rFonts w:ascii="Fira Sans" w:hAnsi="Fira Sans" w:cs="Arial"/>
                <w:sz w:val="19"/>
                <w:szCs w:val="19"/>
                <w:highlight w:val="black"/>
              </w:rPr>
              <w:t>W obrocie targowiskowym, w odniesieniu do lipca 2021 r.</w:t>
            </w:r>
            <w:r w:rsidRPr="006A1212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 xml:space="preserve"> wyższe </w:t>
            </w:r>
            <w:r w:rsidRPr="006A1212">
              <w:rPr>
                <w:rFonts w:ascii="Fira Sans" w:hAnsi="Fira Sans" w:cs="Arial"/>
                <w:sz w:val="19"/>
                <w:szCs w:val="19"/>
                <w:highlight w:val="black"/>
              </w:rPr>
              <w:t xml:space="preserve">były ceny pszenicy i żyta, a w odniesieniu do czerwca </w:t>
            </w:r>
            <w:r w:rsidRPr="006A1212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>br</w:t>
            </w:r>
            <w:r w:rsidRPr="006A1212">
              <w:rPr>
                <w:rFonts w:ascii="Fira Sans" w:hAnsi="Fira Sans" w:cs="Arial"/>
                <w:sz w:val="19"/>
                <w:szCs w:val="19"/>
                <w:highlight w:val="black"/>
              </w:rPr>
              <w:t>. więcej płacono za żyto.</w:t>
            </w:r>
          </w:p>
          <w:p w14:paraId="2CD9E3FD" w14:textId="0AD0E342" w:rsidR="00CD19B8" w:rsidRPr="006A1212" w:rsidRDefault="00F409F7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6645,9 mln zł i była (w cenach stałych) o 7,8% wyższa niż w lipcu 2021 r., kiedy notowano wzrost produkcji o 17,5</w:t>
            </w:r>
            <w:r w:rsidR="0035318D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 W porównaniu z </w:t>
            </w: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przemysłowa obniżyła się o 6,7%</w:t>
            </w:r>
            <w:r w:rsidR="00165F9B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20399C9" w14:textId="7D79D177" w:rsidR="00CD19B8" w:rsidRPr="006A1212" w:rsidRDefault="00F15267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8,2%), a niższa niż przed miesiącem (o 0,6%)</w:t>
            </w:r>
            <w:r w:rsidR="00071DE1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6804000" w14:textId="4A6D21F0" w:rsidR="00255CD6" w:rsidRPr="006A1212" w:rsidRDefault="006B63C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6A1212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lipcu </w:t>
            </w:r>
            <w:r w:rsidRPr="006A1212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wzrosła liczba mieszkań oddanych do użytkowania (o 4,2%). Spadła natomiast liczba mieszkań, na realizację których wydano pozwolenia lub dokonano zgłoszenia z projektem budowlanym (o 4,4%) oraz liczba mieszkań, których budowę rozpoczęto (o 9,3%).</w:t>
            </w:r>
          </w:p>
          <w:p w14:paraId="3CFBC151" w14:textId="07B22F4F" w:rsidR="00CD19B8" w:rsidRPr="006A1212" w:rsidRDefault="00B9686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lipcu 2022 r. była wyższa o 17,7% niż przed rokiem (wobec wzrostu o 7,7% w lipcu 2021 r.) i wyższa o 3,9% niż przed miesiącem</w:t>
            </w:r>
            <w:r w:rsidR="008E775F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1E831594" w14:textId="45293F4F" w:rsidR="00302CD2" w:rsidRPr="006A1212" w:rsidRDefault="00302CD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półroczu 2022 r. wyniki finansowe przedsiębiorstw były korzystniejsze niż uzyskane w analogicznym okresie poprzedniego roku, z wyjątkiem wyniku na pozostałej działalności operacyjnej oraz wyniku na operacjach finansowych. Niższe były wskaźniki rentowności obrotu brutto i netto oraz wskaźnik płynności finansowej I stopnia. Wyższy niż przed rokiem był wskaźnik rentowności sprzedaży brutto oraz wskaźnik płynności finansowej II stopnia.</w:t>
            </w:r>
          </w:p>
          <w:p w14:paraId="3CA3A869" w14:textId="71D840E3" w:rsidR="00302CD2" w:rsidRPr="006A1212" w:rsidRDefault="00302CD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1 półroczu 2022 r., były wyższe niż w analogicznym okresie ubiegłego roku. Niższa niż przed rokiem była wartość kosztorysowa nowo rozpoczętych inwestycji, przy niższej liczbie inwestycji.</w:t>
            </w:r>
          </w:p>
          <w:p w14:paraId="3D7E7D5B" w14:textId="352DF65D" w:rsidR="007002EA" w:rsidRPr="006A1212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6A121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4088AFD9" w:rsidR="008C4DB4" w:rsidRPr="006A121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6A121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ED02F3" w:rsidRPr="006A121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sierpni</w:t>
            </w:r>
            <w:r w:rsidR="00550E22" w:rsidRPr="006A121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u 2022 r. w </w:t>
            </w:r>
            <w:r w:rsidRPr="006A121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6A1212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6A1212">
        <w:rPr>
          <w:rFonts w:ascii="Arial" w:hAnsi="Arial" w:cs="Arial"/>
          <w:b/>
          <w:noProof/>
          <w:highlight w:val="black"/>
        </w:rPr>
        <w:br w:type="page"/>
      </w:r>
    </w:p>
    <w:p w14:paraId="5F3E520C" w14:textId="77777777" w:rsidR="00B25123" w:rsidRPr="006A1212" w:rsidRDefault="003A10CF" w:rsidP="00B473F9">
      <w:pPr>
        <w:pStyle w:val="Spistreci"/>
        <w:rPr>
          <w:noProof/>
          <w:highlight w:val="black"/>
        </w:rPr>
      </w:pPr>
      <w:r w:rsidRPr="006A1212">
        <w:rPr>
          <w:highlight w:val="black"/>
        </w:rPr>
        <w:lastRenderedPageBreak/>
        <w:t>Spis treści</w:t>
      </w:r>
      <w:r w:rsidR="00650939" w:rsidRPr="006A1212">
        <w:rPr>
          <w:szCs w:val="19"/>
          <w:highlight w:val="black"/>
        </w:rPr>
        <w:fldChar w:fldCharType="begin"/>
      </w:r>
      <w:r w:rsidR="00650939" w:rsidRPr="006A1212">
        <w:rPr>
          <w:szCs w:val="19"/>
          <w:highlight w:val="black"/>
        </w:rPr>
        <w:instrText xml:space="preserve"> TOC \h \z \t "Nagłówek 1;1" </w:instrText>
      </w:r>
      <w:r w:rsidR="00650939" w:rsidRPr="006A1212">
        <w:rPr>
          <w:szCs w:val="19"/>
          <w:highlight w:val="black"/>
        </w:rPr>
        <w:fldChar w:fldCharType="end"/>
      </w:r>
      <w:r w:rsidR="00560533" w:rsidRPr="006A1212">
        <w:rPr>
          <w:szCs w:val="19"/>
          <w:highlight w:val="black"/>
        </w:rPr>
        <w:fldChar w:fldCharType="begin"/>
      </w:r>
      <w:r w:rsidR="00560533" w:rsidRPr="006A1212">
        <w:rPr>
          <w:szCs w:val="19"/>
          <w:highlight w:val="black"/>
        </w:rPr>
        <w:instrText xml:space="preserve"> TOC \f \h \z \t "Nagłówek 1;1" </w:instrText>
      </w:r>
      <w:r w:rsidR="00560533" w:rsidRPr="006A1212">
        <w:rPr>
          <w:szCs w:val="19"/>
          <w:highlight w:val="black"/>
        </w:rPr>
        <w:fldChar w:fldCharType="separate"/>
      </w:r>
    </w:p>
    <w:p w14:paraId="74DE8493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15" w:history="1">
        <w:r w:rsidR="00B25123" w:rsidRPr="006A1212">
          <w:rPr>
            <w:rStyle w:val="Hipercze"/>
            <w:highlight w:val="black"/>
          </w:rPr>
          <w:t>Rynek pracy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_Toc112658415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6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17910306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16" w:history="1">
        <w:r w:rsidR="00B25123" w:rsidRPr="006A1212">
          <w:rPr>
            <w:rStyle w:val="Hipercze"/>
            <w:highlight w:val="black"/>
          </w:rPr>
          <w:t>Wynagrodzenia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_Toc112658416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10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312DCE54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17" w:history="1">
        <w:r w:rsidR="00B25123" w:rsidRPr="006A1212">
          <w:rPr>
            <w:rStyle w:val="Hipercze"/>
            <w:highlight w:val="black"/>
          </w:rPr>
          <w:t>Rolnictwo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_Toc112658417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12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45513B7D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18" w:history="1">
        <w:r w:rsidR="00B25123" w:rsidRPr="006A1212">
          <w:rPr>
            <w:rStyle w:val="Hipercze"/>
            <w:highlight w:val="black"/>
          </w:rPr>
          <w:t>Przemysł i budownictwo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_Toc112658418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15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5864157B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19" w:history="1">
        <w:r w:rsidR="00B25123" w:rsidRPr="006A1212">
          <w:rPr>
            <w:rStyle w:val="Hipercze"/>
            <w:highlight w:val="black"/>
          </w:rPr>
          <w:t>Budownictwo mieszkaniowe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_Toc112658419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18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1298FF2E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20" w:history="1">
        <w:r w:rsidR="00B25123" w:rsidRPr="006A1212">
          <w:rPr>
            <w:rStyle w:val="Hipercze"/>
            <w:highlight w:val="black"/>
          </w:rPr>
          <w:t>Rynek wewnętrzny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_Toc112658420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21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128245FB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21" w:history="1">
        <w:r w:rsidR="00B25123" w:rsidRPr="006A1212">
          <w:rPr>
            <w:rStyle w:val="Hipercze"/>
            <w:highlight w:val="black"/>
          </w:rPr>
          <w:t>Wyniki finansowe przedsiębiorstw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_Toc112658421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22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2AC35F7D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22" w:history="1">
        <w:r w:rsidR="00B25123" w:rsidRPr="006A1212">
          <w:rPr>
            <w:rStyle w:val="Hipercze"/>
            <w:highlight w:val="black"/>
          </w:rPr>
          <w:t>Nakłady inwestycyjne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_Toc112658422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25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243305D2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23" w:history="1">
        <w:r w:rsidR="00B25123" w:rsidRPr="006A1212">
          <w:rPr>
            <w:rStyle w:val="Hipercze"/>
            <w:highlight w:val="black"/>
          </w:rPr>
          <w:t>Podmioty gospodarki narodowej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_Toc112658423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26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547300BC" w14:textId="77777777" w:rsidR="00B25123" w:rsidRPr="006A1212" w:rsidRDefault="001B248C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12658424" w:history="1">
        <w:r w:rsidR="00B25123" w:rsidRPr="006A1212">
          <w:rPr>
            <w:rStyle w:val="Hipercze"/>
            <w:highlight w:val="black"/>
          </w:rPr>
          <w:t>Koniunktura gospodarcza</w:t>
        </w:r>
        <w:r w:rsidR="00B25123" w:rsidRPr="006A1212">
          <w:rPr>
            <w:webHidden/>
            <w:highlight w:val="black"/>
          </w:rPr>
          <w:tab/>
        </w:r>
        <w:r w:rsidR="00B25123" w:rsidRPr="006A1212">
          <w:rPr>
            <w:webHidden/>
            <w:highlight w:val="black"/>
          </w:rPr>
          <w:fldChar w:fldCharType="begin"/>
        </w:r>
        <w:r w:rsidR="00B25123" w:rsidRPr="006A1212">
          <w:rPr>
            <w:webHidden/>
            <w:highlight w:val="black"/>
          </w:rPr>
          <w:instrText xml:space="preserve"> PAGEREF _Toc112658424 \h </w:instrText>
        </w:r>
        <w:r w:rsidR="00B25123" w:rsidRPr="006A1212">
          <w:rPr>
            <w:webHidden/>
            <w:highlight w:val="black"/>
          </w:rPr>
        </w:r>
        <w:r w:rsidR="00B25123" w:rsidRPr="006A1212">
          <w:rPr>
            <w:webHidden/>
            <w:highlight w:val="black"/>
          </w:rPr>
          <w:fldChar w:fldCharType="separate"/>
        </w:r>
        <w:r w:rsidR="00D73915">
          <w:rPr>
            <w:webHidden/>
            <w:highlight w:val="black"/>
          </w:rPr>
          <w:t>29</w:t>
        </w:r>
        <w:r w:rsidR="00B25123" w:rsidRPr="006A1212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6A1212" w:rsidRDefault="00560533" w:rsidP="001E694B">
      <w:pPr>
        <w:pStyle w:val="Spistreci"/>
        <w:rPr>
          <w:highlight w:val="black"/>
        </w:rPr>
      </w:pPr>
      <w:r w:rsidRPr="006A1212">
        <w:rPr>
          <w:szCs w:val="19"/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6A1212">
        <w:rPr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6A1212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6A1212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6A1212" w:rsidRDefault="00292906" w:rsidP="00B616E2">
      <w:pPr>
        <w:pStyle w:val="Tekstwypunktowany"/>
        <w:spacing w:line="288" w:lineRule="auto"/>
        <w:rPr>
          <w:highlight w:val="black"/>
        </w:rPr>
      </w:pPr>
      <w:r w:rsidRPr="006A1212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6A1212">
        <w:rPr>
          <w:highlight w:val="black"/>
        </w:rPr>
        <w:t>a pracujących przekracza 9 osób;</w:t>
      </w:r>
    </w:p>
    <w:p w14:paraId="11D10930" w14:textId="7D0CEC17" w:rsidR="00B3482C" w:rsidRPr="006A1212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6A1212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6A1212">
        <w:rPr>
          <w:noProof/>
          <w:spacing w:val="-4"/>
          <w:szCs w:val="19"/>
          <w:highlight w:val="black"/>
        </w:rPr>
        <w:t>odarczą w zakresie: leśnictwa i </w:t>
      </w:r>
      <w:r w:rsidRPr="006A1212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6A1212">
        <w:rPr>
          <w:noProof/>
          <w:spacing w:val="-4"/>
          <w:szCs w:val="19"/>
          <w:highlight w:val="black"/>
        </w:rPr>
        <w:t xml:space="preserve">; wytwarzania i zaopatrywania w </w:t>
      </w:r>
      <w:r w:rsidRPr="006A1212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6A1212">
        <w:rPr>
          <w:noProof/>
          <w:spacing w:val="-4"/>
          <w:szCs w:val="19"/>
          <w:highlight w:val="black"/>
        </w:rPr>
        <w:t>-</w:t>
      </w:r>
      <w:r w:rsidRPr="006A1212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6A1212">
        <w:rPr>
          <w:noProof/>
          <w:spacing w:val="-4"/>
          <w:szCs w:val="19"/>
          <w:highlight w:val="black"/>
        </w:rPr>
        <w:t xml:space="preserve">i oraz działalności związanej z </w:t>
      </w:r>
      <w:r w:rsidRPr="006A1212">
        <w:rPr>
          <w:noProof/>
          <w:spacing w:val="-4"/>
          <w:szCs w:val="19"/>
          <w:highlight w:val="black"/>
        </w:rPr>
        <w:t>rekultywacją; budowni</w:t>
      </w:r>
      <w:r w:rsidR="00454E28" w:rsidRPr="006A1212">
        <w:rPr>
          <w:noProof/>
          <w:spacing w:val="-4"/>
          <w:szCs w:val="19"/>
          <w:highlight w:val="black"/>
        </w:rPr>
        <w:t>-</w:t>
      </w:r>
      <w:r w:rsidRPr="006A1212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6A1212">
        <w:rPr>
          <w:noProof/>
          <w:spacing w:val="-4"/>
          <w:szCs w:val="19"/>
          <w:highlight w:val="black"/>
        </w:rPr>
        <w:t> </w:t>
      </w:r>
      <w:r w:rsidRPr="006A1212">
        <w:rPr>
          <w:noProof/>
          <w:spacing w:val="-4"/>
          <w:szCs w:val="19"/>
          <w:highlight w:val="black"/>
        </w:rPr>
        <w:t>gospodarki magazynowej; działalnośc</w:t>
      </w:r>
      <w:r w:rsidR="00170047" w:rsidRPr="006A1212">
        <w:rPr>
          <w:noProof/>
          <w:spacing w:val="-4"/>
          <w:szCs w:val="19"/>
          <w:highlight w:val="black"/>
        </w:rPr>
        <w:t xml:space="preserve">i związanej z zakwaterowaniem i </w:t>
      </w:r>
      <w:r w:rsidRPr="006A1212">
        <w:rPr>
          <w:noProof/>
          <w:spacing w:val="-4"/>
          <w:szCs w:val="19"/>
          <w:highlight w:val="black"/>
        </w:rPr>
        <w:t>usługami</w:t>
      </w:r>
      <w:r w:rsidR="0071034B" w:rsidRPr="006A1212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6A1212">
        <w:rPr>
          <w:noProof/>
          <w:spacing w:val="-4"/>
          <w:szCs w:val="19"/>
          <w:highlight w:val="black"/>
        </w:rPr>
        <w:t> </w:t>
      </w:r>
      <w:r w:rsidRPr="006A1212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6A1212">
        <w:rPr>
          <w:noProof/>
          <w:spacing w:val="-4"/>
          <w:szCs w:val="19"/>
          <w:highlight w:val="black"/>
        </w:rPr>
        <w:t> </w:t>
      </w:r>
      <w:r w:rsidRPr="006A1212">
        <w:rPr>
          <w:noProof/>
          <w:spacing w:val="-4"/>
          <w:szCs w:val="19"/>
          <w:highlight w:val="black"/>
        </w:rPr>
        <w:t>doradztwa podatkowego, działalności firm centralnych (</w:t>
      </w:r>
      <w:r w:rsidRPr="006A1212">
        <w:rPr>
          <w:i/>
          <w:noProof/>
          <w:spacing w:val="-4"/>
          <w:szCs w:val="19"/>
          <w:highlight w:val="black"/>
        </w:rPr>
        <w:t>head offices</w:t>
      </w:r>
      <w:r w:rsidRPr="006A1212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6A1212">
        <w:rPr>
          <w:noProof/>
          <w:spacing w:val="-4"/>
          <w:szCs w:val="19"/>
          <w:highlight w:val="black"/>
        </w:rPr>
        <w:t xml:space="preserve">j i </w:t>
      </w:r>
      <w:r w:rsidR="00170047" w:rsidRPr="006A1212">
        <w:rPr>
          <w:noProof/>
          <w:spacing w:val="-4"/>
          <w:szCs w:val="19"/>
          <w:highlight w:val="black"/>
        </w:rPr>
        <w:t xml:space="preserve">technicznej; działalności w </w:t>
      </w:r>
      <w:r w:rsidRPr="006A1212">
        <w:rPr>
          <w:noProof/>
          <w:spacing w:val="-4"/>
          <w:szCs w:val="19"/>
          <w:highlight w:val="black"/>
        </w:rPr>
        <w:t>z</w:t>
      </w:r>
      <w:r w:rsidR="00170047" w:rsidRPr="006A1212">
        <w:rPr>
          <w:noProof/>
          <w:spacing w:val="-4"/>
          <w:szCs w:val="19"/>
          <w:highlight w:val="black"/>
        </w:rPr>
        <w:t>akresie usług administro</w:t>
      </w:r>
      <w:r w:rsidR="00454E28" w:rsidRPr="006A1212">
        <w:rPr>
          <w:noProof/>
          <w:spacing w:val="-4"/>
          <w:szCs w:val="19"/>
          <w:highlight w:val="black"/>
        </w:rPr>
        <w:t>-</w:t>
      </w:r>
      <w:r w:rsidR="00170047" w:rsidRPr="006A1212">
        <w:rPr>
          <w:noProof/>
          <w:spacing w:val="-4"/>
          <w:szCs w:val="19"/>
          <w:highlight w:val="black"/>
        </w:rPr>
        <w:t xml:space="preserve">wania i </w:t>
      </w:r>
      <w:r w:rsidRPr="006A1212">
        <w:rPr>
          <w:noProof/>
          <w:spacing w:val="-4"/>
          <w:szCs w:val="19"/>
          <w:highlight w:val="black"/>
        </w:rPr>
        <w:t>działalności wspiera</w:t>
      </w:r>
      <w:r w:rsidR="00C4541A" w:rsidRPr="006A1212">
        <w:rPr>
          <w:noProof/>
          <w:spacing w:val="-4"/>
          <w:szCs w:val="19"/>
          <w:highlight w:val="black"/>
        </w:rPr>
        <w:t xml:space="preserve">jącej; działalności związanej z </w:t>
      </w:r>
      <w:r w:rsidRPr="006A1212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6A1212">
        <w:rPr>
          <w:noProof/>
          <w:spacing w:val="-4"/>
          <w:szCs w:val="19"/>
          <w:highlight w:val="black"/>
        </w:rPr>
        <w:t xml:space="preserve"> </w:t>
      </w:r>
      <w:r w:rsidRPr="006A1212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6A1212">
        <w:rPr>
          <w:noProof/>
          <w:spacing w:val="-4"/>
          <w:szCs w:val="19"/>
          <w:highlight w:val="black"/>
        </w:rPr>
        <w:t xml:space="preserve">i artykułów użytku osobistego i </w:t>
      </w:r>
      <w:r w:rsidRPr="006A1212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6A1212">
        <w:rPr>
          <w:spacing w:val="-4"/>
          <w:highlight w:val="black"/>
        </w:rPr>
        <w:t>;</w:t>
      </w:r>
    </w:p>
    <w:p w14:paraId="1B5A3C46" w14:textId="6634A894" w:rsidR="00B3482C" w:rsidRPr="006A1212" w:rsidRDefault="001B0E1A" w:rsidP="00B616E2">
      <w:pPr>
        <w:pStyle w:val="Tekstwypunktowany"/>
        <w:spacing w:line="288" w:lineRule="auto"/>
        <w:rPr>
          <w:highlight w:val="black"/>
        </w:rPr>
      </w:pPr>
      <w:r w:rsidRPr="006A1212">
        <w:rPr>
          <w:noProof/>
          <w:szCs w:val="19"/>
          <w:highlight w:val="black"/>
        </w:rPr>
        <w:t>o cenach detalicznych dotyczą towarów żywnościowych i nieżywnościowy</w:t>
      </w:r>
      <w:r w:rsidR="0010020B" w:rsidRPr="006A1212">
        <w:rPr>
          <w:noProof/>
          <w:szCs w:val="19"/>
          <w:highlight w:val="black"/>
        </w:rPr>
        <w:t>ch oraz usług, które pochodzą z </w:t>
      </w:r>
      <w:r w:rsidRPr="006A1212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6A1212">
        <w:rPr>
          <w:noProof/>
          <w:szCs w:val="19"/>
          <w:highlight w:val="black"/>
        </w:rPr>
        <w:t>,</w:t>
      </w:r>
      <w:r w:rsidRPr="006A1212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6A1212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6A1212" w:rsidRDefault="00D07EBC" w:rsidP="00B616E2">
      <w:pPr>
        <w:pStyle w:val="Tekstwypunktowany"/>
        <w:spacing w:line="288" w:lineRule="auto"/>
        <w:rPr>
          <w:highlight w:val="black"/>
        </w:rPr>
      </w:pPr>
      <w:r w:rsidRPr="006A1212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6A1212">
        <w:rPr>
          <w:noProof/>
          <w:szCs w:val="19"/>
          <w:highlight w:val="black"/>
        </w:rPr>
        <w:t xml:space="preserve">ealizowany przez osoby prawne i </w:t>
      </w:r>
      <w:r w:rsidRPr="006A1212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6A1212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6A1212" w:rsidRDefault="00D07EBC" w:rsidP="00B616E2">
      <w:pPr>
        <w:pStyle w:val="Tekstwypunktowany"/>
        <w:spacing w:line="288" w:lineRule="auto"/>
        <w:rPr>
          <w:highlight w:val="black"/>
        </w:rPr>
      </w:pPr>
      <w:r w:rsidRPr="006A1212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6A1212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6A1212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6A1212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6A1212">
        <w:rPr>
          <w:noProof/>
          <w:spacing w:val="-2"/>
          <w:szCs w:val="19"/>
          <w:highlight w:val="black"/>
        </w:rPr>
        <w:t>iczba pracujących przekracza 49</w:t>
      </w:r>
      <w:r w:rsidR="00EF1D3A" w:rsidRPr="006A1212">
        <w:rPr>
          <w:noProof/>
          <w:spacing w:val="-2"/>
          <w:szCs w:val="19"/>
          <w:highlight w:val="black"/>
        </w:rPr>
        <w:t xml:space="preserve"> </w:t>
      </w:r>
      <w:r w:rsidRPr="006A1212">
        <w:rPr>
          <w:noProof/>
          <w:spacing w:val="-2"/>
          <w:szCs w:val="19"/>
          <w:highlight w:val="black"/>
        </w:rPr>
        <w:t>osób</w:t>
      </w:r>
      <w:r w:rsidR="00104786" w:rsidRPr="006A1212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6A1212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6A1212">
        <w:rPr>
          <w:highlight w:val="black"/>
        </w:rPr>
        <w:br w:type="page"/>
      </w:r>
    </w:p>
    <w:p w14:paraId="360189E2" w14:textId="77777777" w:rsidR="00E949F3" w:rsidRPr="006A1212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6A1212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6A1212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6A1212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6A1212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6A1212">
        <w:rPr>
          <w:highlight w:val="black"/>
        </w:rPr>
        <w:t>Dane prezentuje się w układzie Polskiej Klasyfikacji Działalności — PKD 2007</w:t>
      </w:r>
      <w:r w:rsidR="00DF28F3" w:rsidRPr="006A1212">
        <w:rPr>
          <w:highlight w:val="black"/>
        </w:rPr>
        <w:t>.</w:t>
      </w:r>
      <w:r w:rsidR="00946BC7" w:rsidRPr="006A1212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6A1212" w:rsidRDefault="000C2165" w:rsidP="001E694B">
      <w:pPr>
        <w:pStyle w:val="Spistreci"/>
        <w:rPr>
          <w:noProof/>
          <w:highlight w:val="black"/>
        </w:rPr>
      </w:pPr>
      <w:r w:rsidRPr="006A1212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6A1212" w14:paraId="05004863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6A1212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6A1212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6A1212" w14:paraId="643F9472" w14:textId="77777777" w:rsidTr="006A121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6A1212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6A1212" w14:paraId="1EBFB7B3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6A121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6A1212" w14:paraId="14860AC9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6A1212" w14:paraId="433ACFC0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6A1212" w14:paraId="6D17539B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6A1212" w14:paraId="47368E68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6A1212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6A1212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6A1212" w14:paraId="4F1A3C62" w14:textId="77777777" w:rsidTr="006A121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6A1212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6A1212" w14:paraId="2FB72B89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6A1212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6A1212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6A1212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6A1212" w14:paraId="5285A1FC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6A1212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6A1212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6A1212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6A1212" w14:paraId="07FB87C6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6A1212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6A1212" w14:paraId="41081043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6A1212" w14:paraId="7F0994C2" w14:textId="77777777" w:rsidTr="006A121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6A1212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6A121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6A1212" w14:paraId="60A3EBF8" w14:textId="77777777" w:rsidTr="006A1212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6A121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6A1212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6A1212" w:rsidRDefault="00237809" w:rsidP="001E694B">
      <w:pPr>
        <w:pStyle w:val="Spistreci"/>
        <w:rPr>
          <w:noProof/>
          <w:highlight w:val="black"/>
        </w:rPr>
      </w:pPr>
      <w:r w:rsidRPr="006A1212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6A1212" w14:paraId="5BB5D55D" w14:textId="77777777" w:rsidTr="006A121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6A1212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6A1212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6A1212" w14:paraId="21770883" w14:textId="77777777" w:rsidTr="006A121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6A121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6A121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6A1212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6A1212" w14:paraId="0D0ED342" w14:textId="77777777" w:rsidTr="006A121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6A121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6A121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6A1212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6A1212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6A1212" w14:paraId="1215AF80" w14:textId="77777777" w:rsidTr="006A121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6A121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Znak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6A121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6A1212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6A1212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6A1212" w14:paraId="5AA9EDD9" w14:textId="77777777" w:rsidTr="006A121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6A121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Znak</w:t>
            </w:r>
            <w:r w:rsidRPr="006A1212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6A121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A121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6A1212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6A1212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6A1212" w:rsidRDefault="001A35A1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Pr="006A1212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6A1212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6A1212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6A1212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6A1212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7C2A461" w:rsidR="00502C57" w:rsidRPr="006A1212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6A1212">
        <w:rPr>
          <w:noProof/>
          <w:highlight w:val="black"/>
        </w:rPr>
        <w:t>Raport „Koniunktura gospodarcza w w</w:t>
      </w:r>
      <w:r w:rsidR="00100B33" w:rsidRPr="006A1212">
        <w:rPr>
          <w:noProof/>
          <w:highlight w:val="black"/>
        </w:rPr>
        <w:t>oj</w:t>
      </w:r>
      <w:r w:rsidR="00B02551" w:rsidRPr="006A1212">
        <w:rPr>
          <w:noProof/>
          <w:highlight w:val="black"/>
        </w:rPr>
        <w:t xml:space="preserve">ewództwie </w:t>
      </w:r>
      <w:r w:rsidR="00BB37D0" w:rsidRPr="006A1212">
        <w:rPr>
          <w:noProof/>
          <w:highlight w:val="black"/>
        </w:rPr>
        <w:t>podkarpackim</w:t>
      </w:r>
      <w:r w:rsidR="009D2CA6" w:rsidRPr="006A1212">
        <w:rPr>
          <w:noProof/>
          <w:highlight w:val="black"/>
        </w:rPr>
        <w:t xml:space="preserve">. </w:t>
      </w:r>
      <w:r w:rsidR="00AF09D7" w:rsidRPr="006A1212">
        <w:rPr>
          <w:noProof/>
          <w:highlight w:val="black"/>
        </w:rPr>
        <w:t>Sierpień</w:t>
      </w:r>
      <w:r w:rsidR="003C7F22" w:rsidRPr="006A1212">
        <w:rPr>
          <w:noProof/>
          <w:highlight w:val="black"/>
        </w:rPr>
        <w:t xml:space="preserve"> </w:t>
      </w:r>
      <w:r w:rsidR="005F6BFD" w:rsidRPr="006A1212">
        <w:rPr>
          <w:noProof/>
          <w:highlight w:val="black"/>
        </w:rPr>
        <w:t>2022</w:t>
      </w:r>
      <w:r w:rsidRPr="006A1212">
        <w:rPr>
          <w:noProof/>
          <w:highlight w:val="black"/>
        </w:rPr>
        <w:t xml:space="preserve"> r.” </w:t>
      </w:r>
      <w:r w:rsidR="007524D7" w:rsidRPr="006A1212">
        <w:rPr>
          <w:noProof/>
          <w:highlight w:val="black"/>
        </w:rPr>
        <w:t>uka</w:t>
      </w:r>
      <w:r w:rsidR="005972FA" w:rsidRPr="006A1212">
        <w:rPr>
          <w:noProof/>
          <w:highlight w:val="black"/>
        </w:rPr>
        <w:t>że</w:t>
      </w:r>
      <w:r w:rsidR="007524D7" w:rsidRPr="006A1212">
        <w:rPr>
          <w:noProof/>
          <w:highlight w:val="black"/>
        </w:rPr>
        <w:t xml:space="preserve"> się</w:t>
      </w:r>
      <w:r w:rsidRPr="006A1212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6A1212">
        <w:rPr>
          <w:noProof/>
          <w:highlight w:val="black"/>
        </w:rPr>
        <w:t xml:space="preserve"> </w:t>
      </w:r>
      <w:r w:rsidR="00AF09D7" w:rsidRPr="006A1212">
        <w:rPr>
          <w:noProof/>
          <w:highlight w:val="black"/>
        </w:rPr>
        <w:t>31 sierpni</w:t>
      </w:r>
      <w:r w:rsidR="001B2F61" w:rsidRPr="006A1212">
        <w:rPr>
          <w:noProof/>
          <w:highlight w:val="black"/>
        </w:rPr>
        <w:t>a</w:t>
      </w:r>
      <w:r w:rsidR="006E35D2" w:rsidRPr="006A1212">
        <w:rPr>
          <w:noProof/>
          <w:highlight w:val="black"/>
        </w:rPr>
        <w:t xml:space="preserve"> </w:t>
      </w:r>
      <w:r w:rsidR="006A7608" w:rsidRPr="006A1212">
        <w:rPr>
          <w:noProof/>
          <w:highlight w:val="black"/>
        </w:rPr>
        <w:t>202</w:t>
      </w:r>
      <w:r w:rsidR="005F6BFD" w:rsidRPr="006A1212">
        <w:rPr>
          <w:noProof/>
          <w:highlight w:val="black"/>
        </w:rPr>
        <w:t>2</w:t>
      </w:r>
      <w:r w:rsidR="00C54FAC" w:rsidRPr="006A1212">
        <w:rPr>
          <w:noProof/>
          <w:highlight w:val="black"/>
        </w:rPr>
        <w:t xml:space="preserve"> </w:t>
      </w:r>
      <w:r w:rsidRPr="006A1212">
        <w:rPr>
          <w:noProof/>
          <w:highlight w:val="black"/>
        </w:rPr>
        <w:t>r.</w:t>
      </w:r>
    </w:p>
    <w:p w14:paraId="4D7AE6B7" w14:textId="6207D866" w:rsidR="00EE6AAF" w:rsidRPr="006A1212" w:rsidRDefault="00EE6AAF" w:rsidP="007E6E0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6A1212">
        <w:rPr>
          <w:highlight w:val="black"/>
        </w:rPr>
        <w:t xml:space="preserve">w </w:t>
      </w:r>
      <w:r w:rsidRPr="006A1212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6A1212">
        <w:rPr>
          <w:highlight w:val="black"/>
        </w:rPr>
        <w:t>łasne na podstawie danych GUS”.</w:t>
      </w:r>
    </w:p>
    <w:p w14:paraId="7EF1DE5B" w14:textId="77777777" w:rsidR="00502C57" w:rsidRPr="006A1212" w:rsidRDefault="00502C57" w:rsidP="00502C57">
      <w:pPr>
        <w:rPr>
          <w:noProof/>
          <w:highlight w:val="black"/>
        </w:rPr>
      </w:pPr>
      <w:r w:rsidRPr="006A1212">
        <w:rPr>
          <w:noProof/>
          <w:highlight w:val="black"/>
        </w:rPr>
        <w:br w:type="page"/>
      </w:r>
    </w:p>
    <w:p w14:paraId="1FEC4E22" w14:textId="77777777" w:rsidR="00502C57" w:rsidRPr="006A1212" w:rsidRDefault="00FB0521" w:rsidP="00BE77AB">
      <w:pPr>
        <w:pStyle w:val="Nagwek1"/>
        <w:spacing w:before="24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112658415"/>
      <w:r w:rsidRPr="006A1212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08D3CDD1" w14:textId="77777777" w:rsidR="005D30CC" w:rsidRPr="006A1212" w:rsidRDefault="005D30CC" w:rsidP="005D30CC">
      <w:pPr>
        <w:spacing w:before="120" w:after="120" w:line="288" w:lineRule="auto"/>
        <w:rPr>
          <w:highlight w:val="black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6A1212">
        <w:rPr>
          <w:highlight w:val="black"/>
        </w:rPr>
        <w:t>W lipcu 2022 r. w sektorze przedsiębiorstw przeciętne zatrudnienie wzrosło w odniesieniu do analogicznego miesiąca 2021 r., a tempo tego wzrostu pozostało na poziomie zbliżonym do notowanego w czerwcu br. W skali roku zmniejszyła się liczba zarejestrowanych bezrobotnych, a także stopa bezrobocia rejestrowanego.</w:t>
      </w:r>
    </w:p>
    <w:p w14:paraId="408B72CA" w14:textId="77777777" w:rsidR="005D30CC" w:rsidRPr="006A1212" w:rsidRDefault="005D30CC" w:rsidP="005D30CC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t>Przeciętne zatrudnienie</w:t>
      </w:r>
      <w:r w:rsidRPr="006A1212">
        <w:rPr>
          <w:highlight w:val="black"/>
        </w:rPr>
        <w:t xml:space="preserve"> w sektorze przedsiębiorstw w lipcu 2022 r. wyniosło 254,0 tys. osób i było wyższe o 2,1% niż przed rokiem (wobec wzrostu o 3,0% w lipcu 2021 r.) i wyższe o 0,2% niż przed miesiącem. W kraju przeciętne zatrudnienie wzrosło zarówno w odniesieniu do lipca 2021 r. (o 2,3%), jak i w stosunku do czerwca br. (o 0,2%).</w:t>
      </w:r>
    </w:p>
    <w:p w14:paraId="40BF7B23" w14:textId="77777777" w:rsidR="005D30CC" w:rsidRPr="006A1212" w:rsidRDefault="005D30CC" w:rsidP="005D30CC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odniesieniu do lipca 2021 r. wzrost zatrudnienia wystąpił w ośmiu sekcjach, w tym najwyższy w dostawie wody; gospodarowaniu ściekami i odpadami; rekultywacji (o 13,0%), natomiast istotny spadek zatrudnienia odnotowano w obsłudze rynku nieruchomości (o 1,4%).</w:t>
      </w:r>
    </w:p>
    <w:p w14:paraId="0CE3B9B2" w14:textId="0754B1D5" w:rsidR="005D30CC" w:rsidRPr="006A1212" w:rsidRDefault="00EF2CC1" w:rsidP="00EF2CC1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6A1212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5D30CC" w:rsidRPr="006A1212" w14:paraId="0A18B85E" w14:textId="77777777" w:rsidTr="006A1212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79C3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0F8B99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A6B1BD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2022</w:t>
            </w:r>
          </w:p>
        </w:tc>
      </w:tr>
      <w:tr w:rsidR="006A1212" w:rsidRPr="006A1212" w14:paraId="06B65BB0" w14:textId="77777777" w:rsidTr="006A1212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5A1C5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C0889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06747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7042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996513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2021=100</w:t>
            </w:r>
          </w:p>
        </w:tc>
      </w:tr>
      <w:tr w:rsidR="006A1212" w:rsidRPr="006A1212" w14:paraId="052A8BF6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824F7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EC9C9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FE46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95E91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254,6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34DA7C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103,4</w:t>
            </w:r>
          </w:p>
        </w:tc>
      </w:tr>
      <w:tr w:rsidR="006A1212" w:rsidRPr="006A1212" w14:paraId="6802A1BF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809D9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EAD7E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25E3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53A9A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A45EF8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0574FFA8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413E6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C2D87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136,3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EB7F1E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B0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136,6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AED02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6A1212" w:rsidRPr="006A1212" w14:paraId="59474B43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07112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EC3B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2706D7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E4B55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4DCE4E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37D5DFCC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F2A39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A3A13B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125,3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D03B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44E9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125,8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BB69DF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6A1212" w:rsidRPr="006A1212" w14:paraId="3FBBCED3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76642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AC0F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69155B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4E6D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8F8114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113,5</w:t>
            </w:r>
          </w:p>
        </w:tc>
      </w:tr>
      <w:tr w:rsidR="006A1212" w:rsidRPr="006A1212" w14:paraId="4461468F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A3C10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EE94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A772B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E8224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47700A9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101,1</w:t>
            </w:r>
          </w:p>
        </w:tc>
      </w:tr>
      <w:tr w:rsidR="006A1212" w:rsidRPr="006A1212" w14:paraId="64C6A3BC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CC838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6A121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9F83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B52B93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55AA6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49,7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077F38A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6A1212" w:rsidRPr="006A1212" w14:paraId="0348BF35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462C0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CD387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FC0977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40B2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12C807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6A1212" w:rsidRPr="006A1212" w14:paraId="6513A884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DBF84C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Zakwaterowanie i gastronomia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13D4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78F39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AE68C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8F689DD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6A1212" w:rsidRPr="006A1212" w14:paraId="1EC015E6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9DD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Obsługa rynku nieruchomości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30EB1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B6C578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C23B5A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56BAC5C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6A1212" w:rsidRPr="006A1212" w14:paraId="4EA9B27B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4CF2D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6A1212">
              <w:rPr>
                <w:rFonts w:cs="Arial"/>
                <w:szCs w:val="19"/>
                <w:highlight w:val="black"/>
              </w:rPr>
              <w:t>techniczna</w:t>
            </w:r>
            <w:r w:rsidRPr="006A121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6A1212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5CDB2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0069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8A04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4C96EBA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101,3</w:t>
            </w:r>
          </w:p>
        </w:tc>
      </w:tr>
      <w:tr w:rsidR="005D30CC" w:rsidRPr="006A1212" w14:paraId="2B138998" w14:textId="77777777" w:rsidTr="006A121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30FB83" w14:textId="77777777" w:rsidR="005D30CC" w:rsidRPr="006A1212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2DC0D4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4B88F6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D240A0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8060C52" w14:textId="77777777" w:rsidR="005D30CC" w:rsidRPr="006A1212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101,5</w:t>
            </w:r>
          </w:p>
        </w:tc>
      </w:tr>
    </w:tbl>
    <w:p w14:paraId="279263F6" w14:textId="77777777" w:rsidR="005D30CC" w:rsidRPr="006A1212" w:rsidRDefault="005D30CC" w:rsidP="005D30CC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6A1212">
        <w:rPr>
          <w:sz w:val="16"/>
          <w:szCs w:val="16"/>
          <w:highlight w:val="black"/>
        </w:rPr>
        <w:t xml:space="preserve">a </w:t>
      </w:r>
      <w:r w:rsidRPr="006A121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611A2BE" w14:textId="51789B16" w:rsidR="005D30CC" w:rsidRPr="006A1212" w:rsidRDefault="005D30CC" w:rsidP="005D30CC">
      <w:pPr>
        <w:spacing w:before="240" w:after="120" w:line="288" w:lineRule="auto"/>
        <w:rPr>
          <w:rFonts w:cs="Arial"/>
          <w:szCs w:val="19"/>
          <w:highlight w:val="black"/>
        </w:rPr>
      </w:pPr>
      <w:r w:rsidRPr="006A1212">
        <w:rPr>
          <w:rFonts w:cs="Arial"/>
          <w:szCs w:val="19"/>
          <w:highlight w:val="black"/>
        </w:rPr>
        <w:t>W stosunku do poprzedniego miesiąca zatrudnienie wzrosło m.in. w</w:t>
      </w:r>
      <w:r w:rsidRPr="006A1212">
        <w:rPr>
          <w:highlight w:val="black"/>
        </w:rPr>
        <w:t xml:space="preserve"> </w:t>
      </w:r>
      <w:r w:rsidRPr="006A1212">
        <w:rPr>
          <w:rFonts w:cs="Arial"/>
          <w:szCs w:val="19"/>
          <w:highlight w:val="black"/>
        </w:rPr>
        <w:t>zakwaterowaniu i gastronomii (o 3,2%), budownictwie, a także w handlu; naprawie pojazdów samochodowych (po 0,6%) oraz w działalności profesjonalnej, naukowej</w:t>
      </w:r>
      <w:r w:rsidR="002078A5" w:rsidRPr="006A1212">
        <w:rPr>
          <w:rFonts w:cs="Arial"/>
          <w:szCs w:val="19"/>
          <w:highlight w:val="black"/>
        </w:rPr>
        <w:t xml:space="preserve"> i </w:t>
      </w:r>
      <w:r w:rsidRPr="006A1212">
        <w:rPr>
          <w:rFonts w:cs="Arial"/>
          <w:szCs w:val="19"/>
          <w:highlight w:val="black"/>
        </w:rPr>
        <w:t>technicznej (o 0,4%). Natomiast spadek zatrudnienia odnotowano m.in. w przetwórstwie przemysłowym (o 0,1%).</w:t>
      </w:r>
    </w:p>
    <w:p w14:paraId="5D9D2CB6" w14:textId="77777777" w:rsidR="005D30CC" w:rsidRPr="006A1212" w:rsidRDefault="005D30CC" w:rsidP="005D30C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71C92C37" w14:textId="63BD6396" w:rsidR="005D30CC" w:rsidRPr="006A1212" w:rsidRDefault="00FF0960" w:rsidP="005D30CC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1E2DB985" wp14:editId="78C6F161">
            <wp:extent cx="6516000" cy="2656761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265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0B55E75A" w:rsidR="0011525F" w:rsidRPr="006A1212" w:rsidRDefault="005D30CC" w:rsidP="005D30CC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Od stycznia do lipca br. przeciętne zatrudnienie w sektorze przedsiębiorstw ukształtowało się na poziomie 254,6 tys. osób i było o 3,4% wyższe (w kraju o 2,5%) niż w analogicznym okresie ubiegłego roku. Najbardziej zatrudnienie wzrosło w dostawie wody; gospodarowaniu ściekami i odpadami; rekultywacji (o 13,5%), natomiast istotny s</w:t>
      </w:r>
      <w:r w:rsidR="002078A5" w:rsidRPr="006A1212">
        <w:rPr>
          <w:highlight w:val="black"/>
        </w:rPr>
        <w:t>padek odnotowano w </w:t>
      </w:r>
      <w:r w:rsidRPr="006A1212">
        <w:rPr>
          <w:highlight w:val="black"/>
        </w:rPr>
        <w:t>obsłudze rynku nieruchomości (o 1,8%).</w:t>
      </w:r>
    </w:p>
    <w:p w14:paraId="30481919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W końcu lipca 2022 r. </w:t>
      </w:r>
      <w:r w:rsidRPr="006A1212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urzędach pracy wyniosła 68,7 tys. osób i była niższa o 0,3 tys. osób niż w poprzednim miesiącu i o 11,6 tys. niższa niż w lipcu 2021 r. Kobiety stanowiły 54,3% ogółu zarejestrowanych bezrobotnych (przed rokiem 54,1%).</w:t>
      </w:r>
    </w:p>
    <w:p w14:paraId="58F79D5C" w14:textId="77777777" w:rsidR="007E487A" w:rsidRPr="006A1212" w:rsidRDefault="007E487A" w:rsidP="007E487A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6A1212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7E487A" w:rsidRPr="006A1212" w14:paraId="042953D3" w14:textId="77777777" w:rsidTr="006A1212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E5CC4FD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DED56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86C466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6A1212" w:rsidRPr="006A1212" w14:paraId="2FB6DBD9" w14:textId="77777777" w:rsidTr="006A121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1862A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4E228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4FDC3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67E486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</w:tr>
      <w:tr w:rsidR="006A1212" w:rsidRPr="006A1212" w14:paraId="52D20C96" w14:textId="77777777" w:rsidTr="006A121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CCE47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759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80,3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7D4BB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48FB00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68,7</w:t>
            </w:r>
          </w:p>
        </w:tc>
      </w:tr>
      <w:tr w:rsidR="006A1212" w:rsidRPr="006A1212" w14:paraId="05671960" w14:textId="77777777" w:rsidTr="006A121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9AB4F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E737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4C09F1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617AD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</w:tr>
      <w:tr w:rsidR="006A1212" w:rsidRPr="006A1212" w14:paraId="4BDF4233" w14:textId="77777777" w:rsidTr="00FF0960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451CF7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79750632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197B9D89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36573D81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</w:tr>
      <w:tr w:rsidR="007E487A" w:rsidRPr="006A1212" w14:paraId="453B547F" w14:textId="77777777" w:rsidTr="00FF0960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EFB6B2E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E4B9696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4DCA7EC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3022E1C0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10256C7F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końcu lipca 2022 r. wyniosła 7,3% (podobnie jak przed miesiącem) </w:t>
      </w:r>
      <w:r w:rsidRPr="006A1212">
        <w:rPr>
          <w:rFonts w:cs="Arial"/>
          <w:noProof/>
          <w:highlight w:val="black"/>
        </w:rPr>
        <w:t>i zmniejszyła się o 1,2 p.proc. w porównaniu z lipcem 2021 r.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2,7%, a najwyższą w warmińsko-mazurskim – 7,6%). W kraju stopa bezrobocia wyniosła 4,9%, wobec 5,9% przed rokiem.</w:t>
      </w:r>
    </w:p>
    <w:p w14:paraId="06C00E3F" w14:textId="77777777" w:rsidR="007E487A" w:rsidRPr="006A1212" w:rsidRDefault="007E487A" w:rsidP="007E487A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10EF2CA7" w14:textId="0AD96ACD" w:rsidR="007E487A" w:rsidRPr="006A1212" w:rsidRDefault="002A1B8B" w:rsidP="007E487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E2F105" wp14:editId="70198BD2">
            <wp:extent cx="6426000" cy="3002400"/>
            <wp:effectExtent l="0" t="0" r="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290CB20" w14:textId="77777777" w:rsidR="007E487A" w:rsidRPr="006A1212" w:rsidRDefault="007E487A" w:rsidP="007E487A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lipca 2022 r. wystąpiła w powiecie brzozowskim (14,1%), a najniższy jej poziom odnotowano w Krośnie (2,5%). W porównaniu z poprzednim miesiącem, spadek stopy bezrobocia rejestrowanego zanotowano w dziewięciu powiatach, w tym największy w tarnobrzeskim (o 0,4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.). W jedenastu powiatach stopa bezrobocia rejestrowanego utrzymała się na poziomie z poprzedniego miesiąca, a jej wzrost zanotowano w pięciu powiatach, w tym największy w stalowowolskim (o 0,2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>.).</w:t>
      </w:r>
    </w:p>
    <w:p w14:paraId="47CD56E7" w14:textId="77777777" w:rsidR="007E487A" w:rsidRPr="006A1212" w:rsidRDefault="007E487A" w:rsidP="007E487A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6A1212">
        <w:rPr>
          <w:rFonts w:eastAsia="Times New Roman" w:cs="Arial"/>
          <w:szCs w:val="19"/>
          <w:highlight w:val="black"/>
          <w:lang w:eastAsia="pl-PL"/>
        </w:rPr>
        <w:t xml:space="preserve">W porównaniu z lipcem 2021 r. spadek stopy bezrobocia rejestrowanego zanotowano we wszystkich dwudziestu pięciu powiatach, w tym największy w: jarosławskim, leżajskim, łańcuckim i Tarnobrzegu (po 1,9 </w:t>
      </w:r>
      <w:proofErr w:type="spellStart"/>
      <w:r w:rsidRPr="006A1212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 w:cs="Arial"/>
          <w:szCs w:val="19"/>
          <w:highlight w:val="black"/>
          <w:lang w:eastAsia="pl-PL"/>
        </w:rPr>
        <w:t>.).</w:t>
      </w:r>
    </w:p>
    <w:p w14:paraId="2B8BB250" w14:textId="77777777" w:rsidR="007E487A" w:rsidRPr="006A1212" w:rsidRDefault="007E487A" w:rsidP="007E487A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6A1212">
        <w:rPr>
          <w:rFonts w:eastAsia="Times New Roman"/>
          <w:b/>
          <w:highlight w:val="black"/>
          <w:lang w:eastAsia="pl-PL"/>
        </w:rPr>
        <w:t>Mapa 1. Stopa bezrobocia rejestrowanego według powiatów w 2022 r. (stan w końcu lipca)</w:t>
      </w:r>
    </w:p>
    <w:p w14:paraId="29446B19" w14:textId="77777777" w:rsidR="007E487A" w:rsidRPr="006A1212" w:rsidRDefault="007E487A" w:rsidP="007E487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40CD7539" w14:textId="3107F9F5" w:rsidR="007E487A" w:rsidRPr="006A1212" w:rsidRDefault="00FF0960" w:rsidP="007E487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A0CF8A8" wp14:editId="272CEB97">
            <wp:extent cx="3884400" cy="4484339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opa bezrobocia_07_2022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448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EF10" w14:textId="77777777" w:rsidR="007E487A" w:rsidRPr="006A1212" w:rsidRDefault="007E487A" w:rsidP="007E487A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lipcu 2022 r. w urzędach pracy </w:t>
      </w:r>
      <w:r w:rsidRPr="006A1212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6A1212">
        <w:rPr>
          <w:rFonts w:eastAsia="Times New Roman"/>
          <w:spacing w:val="2"/>
          <w:szCs w:val="19"/>
          <w:highlight w:val="black"/>
          <w:lang w:eastAsia="pl-PL"/>
        </w:rPr>
        <w:t xml:space="preserve"> 7,4 tys. osób bezrobotnych, tj. o 11,6% więcej niż przed miesiącem, a o </w:t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>0,2% mniej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lipca 2021 r. (o 0,9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78,4%). Zmniejszył się również udział absolwentów (o 0,5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11,0%), a także udział osób zwolnionych z przyczyn dotyczących zakładu pracy (o 0,8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3,0%). Wzrósł natomiast udział osób bez doświadczenia zawodowego (o 1,8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24,1%). </w:t>
      </w:r>
      <w:r w:rsidRPr="006A1212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7BDE0D1A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W lipcu 2022 r. z ewidencji bezrobotnych </w:t>
      </w:r>
      <w:r w:rsidRPr="006A1212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7,7 tys. osób, tj. o 13,9% mniej niż w poprzednim miesiącu i o 4,1</w:t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>% mniej niż w lipcu 2021 roku.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3,8 tys. osób (przed rokiem – 4,9 tys.). Udział tej kategorii osób w ogólnej liczbie wyrejestrowanych zmniejszył się w ujęciu rocznym (o 11,7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>. do 49,4%).</w:t>
      </w:r>
    </w:p>
    <w:p w14:paraId="10A9ABEA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6A1212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7,1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>. do 18,6%)</w:t>
      </w:r>
      <w:r w:rsidRPr="006A1212">
        <w:rPr>
          <w:szCs w:val="19"/>
          <w:highlight w:val="black"/>
        </w:rPr>
        <w:t>. Zwiększył się także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6A1212">
        <w:rPr>
          <w:szCs w:val="19"/>
          <w:highlight w:val="black"/>
        </w:rPr>
        <w:t xml:space="preserve">osób, 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0,8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7,7%) oraz osób </w:t>
      </w:r>
      <w:r w:rsidRPr="006A1212">
        <w:rPr>
          <w:szCs w:val="19"/>
          <w:highlight w:val="black"/>
        </w:rPr>
        <w:t xml:space="preserve">które 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6A1212">
        <w:rPr>
          <w:szCs w:val="19"/>
          <w:highlight w:val="black"/>
        </w:rPr>
        <w:t xml:space="preserve">(o 2,6 </w:t>
      </w:r>
      <w:proofErr w:type="spellStart"/>
      <w:r w:rsidRPr="006A1212">
        <w:rPr>
          <w:szCs w:val="19"/>
          <w:highlight w:val="black"/>
        </w:rPr>
        <w:t>p.proc</w:t>
      </w:r>
      <w:proofErr w:type="spellEnd"/>
      <w:r w:rsidRPr="006A1212">
        <w:rPr>
          <w:szCs w:val="19"/>
          <w:highlight w:val="black"/>
        </w:rPr>
        <w:t>. do 10,4%)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. Względem lipca 2021 r. zmniejszył się natomiast udział </w:t>
      </w:r>
      <w:r w:rsidRPr="006A1212">
        <w:rPr>
          <w:szCs w:val="19"/>
          <w:highlight w:val="black"/>
        </w:rPr>
        <w:t>osób,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</w:t>
      </w:r>
      <w:r w:rsidRPr="006A1212">
        <w:rPr>
          <w:szCs w:val="19"/>
          <w:highlight w:val="black"/>
        </w:rPr>
        <w:t xml:space="preserve">które </w:t>
      </w:r>
      <w:r w:rsidRPr="006A1212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0,1 </w:t>
      </w:r>
      <w:proofErr w:type="spellStart"/>
      <w:r w:rsidRPr="006A1212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pacing w:val="-2"/>
          <w:szCs w:val="19"/>
          <w:highlight w:val="black"/>
          <w:lang w:eastAsia="pl-PL"/>
        </w:rPr>
        <w:t>. do 1,7%).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</w:t>
      </w:r>
      <w:r w:rsidRPr="006A1212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6A1212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11,2%.</w:t>
      </w:r>
    </w:p>
    <w:p w14:paraId="5834E116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W końcu lipca 2022 r. </w:t>
      </w:r>
      <w:r w:rsidRPr="006A1212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pozostawało 59,1 tys. bezrobotnych, a ich udział w ogólnej liczbie bezrobotnych zmniejszył się w porównaniu z analogicznym miesiącem 2021 r. (z 86,3% do 86,0%).</w:t>
      </w:r>
    </w:p>
    <w:p w14:paraId="7FABE1DB" w14:textId="77777777" w:rsidR="007E487A" w:rsidRPr="006A1212" w:rsidRDefault="007E487A" w:rsidP="007E487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6A1212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końcu lipca 2022 r. stanowili 87,2% ogółu bezrobotnych (przed rokiem 86,9%). Do bezrobotnych w szczególnej sytuacji na rynku pracy zaliczane są m.in. osoby długotrwale bezrobotne</w:t>
      </w:r>
      <w:r w:rsidRPr="006A1212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6A1212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zwiększył się w skali roku (o 0,5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60,4%). Zwiększył się również udział osób bezrobotnych powyżej 50. roku życia (o 1,5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>. do 25,0%) oraz osób niepełnosprawnych (o 2,0 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. do 6,3%). Zmniejszył się natomiast udział osób do 25. roku życia (o 0,8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>. do 11,6%).</w:t>
      </w:r>
    </w:p>
    <w:p w14:paraId="000478BC" w14:textId="77777777" w:rsidR="007E487A" w:rsidRPr="006A1212" w:rsidRDefault="007E487A" w:rsidP="007E487A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6A1212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6A1212">
        <w:rPr>
          <w:rFonts w:cs="Arial"/>
          <w:b/>
          <w:szCs w:val="19"/>
          <w:highlight w:val="black"/>
          <w:lang w:eastAsia="pl-PL"/>
        </w:rPr>
        <w:t>bezrobotnych</w:t>
      </w:r>
      <w:r w:rsidRPr="006A1212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6A1212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7E487A" w:rsidRPr="006A1212" w14:paraId="640612B0" w14:textId="77777777" w:rsidTr="006A121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698869C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0DEFF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27B98C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7E487A" w:rsidRPr="006A1212" w14:paraId="60ABC091" w14:textId="77777777" w:rsidTr="006A1212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07DA2E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9F44C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DDC6D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6E331E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</w:tr>
      <w:tr w:rsidR="007E487A" w:rsidRPr="006A1212" w14:paraId="6918EDF0" w14:textId="77777777" w:rsidTr="006A1212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75D22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8CAEC2" w14:textId="77777777" w:rsidR="007E487A" w:rsidRPr="006A1212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6A1212" w:rsidRPr="006A1212" w14:paraId="30393A0B" w14:textId="77777777" w:rsidTr="006A121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D097E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229E5" w14:textId="77777777" w:rsidR="007E487A" w:rsidRPr="006A1212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E319A" w14:textId="77777777" w:rsidR="007E487A" w:rsidRPr="006A1212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219AB6" w14:textId="77777777" w:rsidR="007E487A" w:rsidRPr="006A1212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6A1212" w:rsidRPr="006A1212" w14:paraId="2FE1E260" w14:textId="77777777" w:rsidTr="006A121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490A3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D927B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12,4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96DA5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11,3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00419D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</w:tr>
      <w:tr w:rsidR="006A1212" w:rsidRPr="006A1212" w14:paraId="4BAD7296" w14:textId="77777777" w:rsidTr="006A121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65B83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173DF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7368F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25,2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64F23A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</w:tr>
      <w:tr w:rsidR="006A1212" w:rsidRPr="006A1212" w14:paraId="29C8329D" w14:textId="77777777" w:rsidTr="006A121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11C453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58A35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59,9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B3D5DE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61,0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206B7B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60,4</w:t>
            </w:r>
          </w:p>
        </w:tc>
      </w:tr>
      <w:tr w:rsidR="007E487A" w:rsidRPr="006A1212" w14:paraId="49098962" w14:textId="77777777" w:rsidTr="006A121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4A7E37" w14:textId="77777777" w:rsidR="007E487A" w:rsidRPr="006A1212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D8BAE7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870F3A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600E18" w14:textId="77777777" w:rsidR="007E487A" w:rsidRPr="006A1212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</w:tbl>
    <w:p w14:paraId="0DE84634" w14:textId="77777777" w:rsidR="007E487A" w:rsidRPr="006A1212" w:rsidRDefault="007E487A" w:rsidP="007E487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6A1212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6A1212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6A1212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22D9E4F3" w14:textId="77777777" w:rsidR="007E487A" w:rsidRPr="006A1212" w:rsidRDefault="007E487A" w:rsidP="007E487A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6A1212">
        <w:rPr>
          <w:rFonts w:eastAsia="Times New Roman"/>
          <w:spacing w:val="-4"/>
          <w:szCs w:val="19"/>
          <w:highlight w:val="black"/>
          <w:lang w:eastAsia="pl-PL"/>
        </w:rPr>
        <w:t xml:space="preserve">W lipcu 2022 r. do urzędów pracy zgłoszono 3,8 tys. </w:t>
      </w:r>
      <w:r w:rsidRPr="006A1212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6A1212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>, tj. o 0,2 tys. mniej niż przed miesiącem i o 0,3 tys. mniej niż przed rokiem. W końcu miesiąca na 1 ofertę pracy przypadało 26 bezrobotnych (przed miesiącem 22, a przed rokiem 29).</w:t>
      </w:r>
    </w:p>
    <w:p w14:paraId="1C3110A0" w14:textId="77777777" w:rsidR="007E487A" w:rsidRPr="006A1212" w:rsidRDefault="007E487A" w:rsidP="007E487A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6A1212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1579581" w14:textId="50D2FE22" w:rsidR="007E487A" w:rsidRPr="006A1212" w:rsidRDefault="002A1B8B" w:rsidP="007E487A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96C3425" wp14:editId="67F7CEB9">
            <wp:extent cx="6530400" cy="3096000"/>
            <wp:effectExtent l="0" t="0" r="381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8E641B0" w:rsidR="00D953C5" w:rsidRPr="006A1212" w:rsidRDefault="007E487A" w:rsidP="007E487A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6A1212">
        <w:rPr>
          <w:rFonts w:eastAsia="Times New Roman"/>
          <w:spacing w:val="-4"/>
          <w:highlight w:val="black"/>
          <w:lang w:eastAsia="pl-PL"/>
        </w:rPr>
        <w:t>Wydatki Funduszu Pracy w lipcu 2022 r. wyniosły 41,0 mln zł, z których 32,7% przeznaczono na zasiłki dla bezrobotnych.</w:t>
      </w:r>
    </w:p>
    <w:p w14:paraId="333BE970" w14:textId="744ED2E1" w:rsidR="00502C57" w:rsidRPr="006A1212" w:rsidRDefault="00A40037" w:rsidP="00CE3E17">
      <w:pPr>
        <w:pStyle w:val="Nagwek1"/>
        <w:rPr>
          <w:highlight w:val="black"/>
        </w:rPr>
      </w:pPr>
      <w:bookmarkStart w:id="16" w:name="_Toc112658416"/>
      <w:bookmarkEnd w:id="11"/>
      <w:r w:rsidRPr="006A1212">
        <w:rPr>
          <w:highlight w:val="black"/>
        </w:rPr>
        <w:t>W</w:t>
      </w:r>
      <w:r w:rsidR="00502C57" w:rsidRPr="006A1212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6"/>
    </w:p>
    <w:p w14:paraId="283D4632" w14:textId="40D922B8" w:rsidR="00450716" w:rsidRPr="006A1212" w:rsidRDefault="00450716" w:rsidP="00450716">
      <w:pPr>
        <w:spacing w:before="120" w:after="120" w:line="288" w:lineRule="auto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6A1212">
        <w:rPr>
          <w:highlight w:val="black"/>
        </w:rPr>
        <w:t>W lipcu 2022 r. przeciętne miesięczne wynagrodzenie brutto</w:t>
      </w:r>
      <w:r w:rsidRPr="006A1212">
        <w:rPr>
          <w:b/>
          <w:highlight w:val="black"/>
        </w:rPr>
        <w:t xml:space="preserve"> </w:t>
      </w:r>
      <w:r w:rsidRPr="006A1212">
        <w:rPr>
          <w:highlight w:val="black"/>
        </w:rPr>
        <w:t>zwiększyło się w skali roku (lipiec 2022 r. do lipca 2021 r.), a</w:t>
      </w:r>
      <w:r w:rsidR="000D08A1" w:rsidRPr="006A1212">
        <w:rPr>
          <w:highlight w:val="black"/>
        </w:rPr>
        <w:t> </w:t>
      </w:r>
      <w:r w:rsidRPr="006A1212">
        <w:rPr>
          <w:highlight w:val="black"/>
        </w:rPr>
        <w:t>tempo tego wzrostu było wyższe od notowanego w lipcu 2021 r.</w:t>
      </w:r>
    </w:p>
    <w:p w14:paraId="51BAC507" w14:textId="5F7A2A56" w:rsidR="00450716" w:rsidRPr="006A1212" w:rsidRDefault="00450716" w:rsidP="00450716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t>Przeciętne miesięczne wynagrodzenie brutto</w:t>
      </w:r>
      <w:r w:rsidRPr="006A1212">
        <w:rPr>
          <w:highlight w:val="black"/>
        </w:rPr>
        <w:t xml:space="preserve"> w sektorze przedsiębiorstw w lipcu 2022 r. ukształtowało się na poziomie 5551,53 zł i było o 13,3% wyższe niż w lipcu 2021 r., kiedy notowano wzrost o 10,0%. W porównaniu z poprzednim miesiącem płace wzrosły o 4,2%. W Polsce przeciętne miesięczne wynagrodzenie brutto wyniosło 6778,63 zł i wzrosło zarówno </w:t>
      </w:r>
      <w:r w:rsidR="000D08A1" w:rsidRPr="006A1212">
        <w:rPr>
          <w:highlight w:val="black"/>
        </w:rPr>
        <w:t>w </w:t>
      </w:r>
      <w:r w:rsidRPr="006A1212">
        <w:rPr>
          <w:highlight w:val="black"/>
        </w:rPr>
        <w:t>stosunku do lipca 2021 r. (o 15,8%), jak i w odniesieniu do czerwca 2022 r. (o 3,4%).</w:t>
      </w:r>
    </w:p>
    <w:p w14:paraId="052587B8" w14:textId="77777777" w:rsidR="00450716" w:rsidRPr="006A1212" w:rsidRDefault="00450716" w:rsidP="0045071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odniesieniu do lipca 2021 r. wzrost wynagrodzeń odnotowano we wszystkich badanych sekcjach sektora przedsiębiorstw, w tym znaczący w transporcie i gospodarce magazynowej (o 25,2%). W pozostałych sekcjach wzrosty kształtowały się w granicach od 17,5% w działalności profesjonalnej, naukowej i technicznej do 9,0% w obsłudze rynku nieruchomości.</w:t>
      </w:r>
    </w:p>
    <w:p w14:paraId="6256F35F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3CC36212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2E962F39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529E59A6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1FE21B22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4037BB6C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351DF06F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589D8FC4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2FA129F2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54D2F74A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3C65AB93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2373EA24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30EA2259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21347DCF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75CB40FE" w14:textId="77777777" w:rsidR="001D1B9A" w:rsidRPr="006A1212" w:rsidRDefault="001D1B9A" w:rsidP="00450716">
      <w:pPr>
        <w:spacing w:before="120" w:after="120" w:line="288" w:lineRule="auto"/>
        <w:rPr>
          <w:highlight w:val="black"/>
        </w:rPr>
      </w:pPr>
    </w:p>
    <w:p w14:paraId="0BD46015" w14:textId="77777777" w:rsidR="00450716" w:rsidRPr="006A1212" w:rsidRDefault="00450716" w:rsidP="0045071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450716" w:rsidRPr="006A1212" w14:paraId="526E2C14" w14:textId="77777777" w:rsidTr="006A1212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76CEFB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EF6CB9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92A9A4C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2022</w:t>
            </w:r>
          </w:p>
        </w:tc>
      </w:tr>
      <w:tr w:rsidR="006A1212" w:rsidRPr="006A1212" w14:paraId="39DE8FCE" w14:textId="77777777" w:rsidTr="006A1212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DDD45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E906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5E428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33A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48D9F6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2021=100</w:t>
            </w:r>
          </w:p>
        </w:tc>
      </w:tr>
      <w:tr w:rsidR="006A1212" w:rsidRPr="006A1212" w14:paraId="4BE9B0B5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F98B8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D29E3D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5551,53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0D6A5D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B67AAE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5319,77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8D39A8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6A1212" w:rsidRPr="006A1212" w14:paraId="2A12BA03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CDEF4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72104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670BE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800EC7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C3B564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407EC345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6C228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0353CC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5720,04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B275BA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5B3864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5522,51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8F034F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6A1212" w:rsidRPr="006A1212" w14:paraId="220F257C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5FDAD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B1C2A5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503E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31466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626D7C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2C734050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1DCE34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77A9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5687,99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074EE8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B032E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5494,87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65E0F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6A1212" w:rsidRPr="006A1212" w14:paraId="3C14A170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710D5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D9810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5428,78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4F921B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A4C5B0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5210,45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40CD66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110,5</w:t>
            </w:r>
          </w:p>
        </w:tc>
      </w:tr>
      <w:tr w:rsidR="006A1212" w:rsidRPr="006A1212" w14:paraId="59C52D3D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2284A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50A095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5255,87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D5E27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81D8D5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4978,22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6834FB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6A1212" w:rsidRPr="006A1212" w14:paraId="203DCDF1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575DE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6A121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7B76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5005,02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F346FA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F6C1E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4917,08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78C58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6A1212" w:rsidRPr="006A1212" w14:paraId="62D3EE5F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2557D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68C6E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5421,08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620B8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125,2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C1F4A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5070,16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D2B0C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121,6</w:t>
            </w:r>
          </w:p>
        </w:tc>
      </w:tr>
      <w:tr w:rsidR="006A1212" w:rsidRPr="006A1212" w14:paraId="5CBBE1C9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CA1ED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Zakwaterowanie i gastronomia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8D0520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4378,20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A523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04380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4353,68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2A383A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115,5</w:t>
            </w:r>
          </w:p>
        </w:tc>
      </w:tr>
      <w:tr w:rsidR="006A1212" w:rsidRPr="006A1212" w14:paraId="3B5F3EAF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1B842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Obsługa rynku nieruchomości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968675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5684,50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0FF1C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37AF6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5392,51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50371D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111,4</w:t>
            </w:r>
          </w:p>
        </w:tc>
      </w:tr>
      <w:tr w:rsidR="006A1212" w:rsidRPr="006A1212" w14:paraId="5DDC4430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48FAC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6A1212">
              <w:rPr>
                <w:rFonts w:cs="Arial"/>
                <w:szCs w:val="19"/>
                <w:highlight w:val="black"/>
              </w:rPr>
              <w:t>techniczna</w:t>
            </w:r>
            <w:r w:rsidRPr="006A121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6A1212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899FD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5965,52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87D51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C506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5584,26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54B623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450716" w:rsidRPr="006A1212" w14:paraId="1FBB2C28" w14:textId="77777777" w:rsidTr="006A121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30DFB8" w14:textId="77777777" w:rsidR="00450716" w:rsidRPr="006A1212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038077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3912,23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644147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2917EE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3840,51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5880F2F" w14:textId="77777777" w:rsidR="00450716" w:rsidRPr="006A1212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113,4</w:t>
            </w:r>
          </w:p>
        </w:tc>
      </w:tr>
    </w:tbl>
    <w:p w14:paraId="6A99C934" w14:textId="77777777" w:rsidR="00450716" w:rsidRPr="006A1212" w:rsidRDefault="00450716" w:rsidP="00450716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6A1212">
        <w:rPr>
          <w:sz w:val="16"/>
          <w:szCs w:val="16"/>
          <w:highlight w:val="black"/>
        </w:rPr>
        <w:t xml:space="preserve">a </w:t>
      </w:r>
      <w:r w:rsidRPr="006A121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8C8C574" w14:textId="77777777" w:rsidR="00450716" w:rsidRPr="006A1212" w:rsidRDefault="00450716" w:rsidP="0045071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Odchylenia względne przeciętnych miesięcznych wynagrodzeń brutto od średniego wynagrodzenia w województwie według wybranych sekcji w lipcu 2022 r.</w:t>
      </w:r>
    </w:p>
    <w:p w14:paraId="2BFAEB3F" w14:textId="4B203D03" w:rsidR="00450716" w:rsidRPr="006A1212" w:rsidRDefault="004B3C1C" w:rsidP="00754DCE">
      <w:pPr>
        <w:jc w:val="center"/>
        <w:rPr>
          <w:highlight w:val="black"/>
        </w:rPr>
      </w:pPr>
      <w:bookmarkStart w:id="21" w:name="_GoBack"/>
      <w:r>
        <w:rPr>
          <w:noProof/>
          <w:lang w:eastAsia="pl-PL"/>
        </w:rPr>
        <w:drawing>
          <wp:inline distT="0" distB="0" distL="0" distR="0" wp14:anchorId="2ED1727C" wp14:editId="78A57C17">
            <wp:extent cx="6516000" cy="2876400"/>
            <wp:effectExtent l="0" t="0" r="0" b="63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21"/>
    </w:p>
    <w:p w14:paraId="541F8F46" w14:textId="77777777" w:rsidR="00450716" w:rsidRPr="006A1212" w:rsidRDefault="00450716" w:rsidP="00450716">
      <w:pPr>
        <w:spacing w:before="120" w:after="120" w:line="240" w:lineRule="exact"/>
        <w:rPr>
          <w:sz w:val="16"/>
          <w:szCs w:val="16"/>
          <w:highlight w:val="black"/>
        </w:rPr>
      </w:pPr>
      <w:r w:rsidRPr="006A1212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9C863E5" w14:textId="7F3017B5" w:rsidR="00450716" w:rsidRPr="006A1212" w:rsidRDefault="00450716" w:rsidP="00450716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lastRenderedPageBreak/>
        <w:t>W porównaniu z poprzednim miesiącem płace wzrosły m.in. w obsłudze rynku nieruchomości (o 8,3%), przetwórstwie przemysłowym (o 4,3%), działalności profesjonalnej, naukowej i technicznej (o 3,6%), transporcie i gospodarce magazynowej (o 3,0%), budownictwie (o 2,6%) oraz w dostawie wody; gospodarowaniu ściekami i odpadami; rekultywacji</w:t>
      </w:r>
      <w:r w:rsidR="000D08A1" w:rsidRPr="006A1212">
        <w:rPr>
          <w:bCs/>
          <w:highlight w:val="black"/>
        </w:rPr>
        <w:t xml:space="preserve"> (o </w:t>
      </w:r>
      <w:r w:rsidRPr="006A1212">
        <w:rPr>
          <w:bCs/>
          <w:highlight w:val="black"/>
        </w:rPr>
        <w:t>2,0%). Natomiast spadek wystąpił m.in. w zakwaterowaniu i gastronomii (o 0,5%).</w:t>
      </w:r>
    </w:p>
    <w:p w14:paraId="77AD1E81" w14:textId="7D604E29" w:rsidR="00450716" w:rsidRPr="006A1212" w:rsidRDefault="00450716" w:rsidP="00450716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 xml:space="preserve">W okresie styczeń–lipiec br. przeciętne miesięczne wynagrodzenie brutto w sektorze przedsiębiorstw wyniosło 5319,77 zł </w:t>
      </w:r>
      <w:r w:rsidR="000D08A1" w:rsidRPr="006A1212">
        <w:rPr>
          <w:bCs/>
          <w:highlight w:val="black"/>
        </w:rPr>
        <w:t>i </w:t>
      </w:r>
      <w:r w:rsidRPr="006A1212">
        <w:rPr>
          <w:bCs/>
          <w:highlight w:val="black"/>
        </w:rPr>
        <w:t>było o 11,2% wyższe (w Polsce o 13,2%) niż w analogicznym okresie ubiegłego roku. We wszystkich badanych sekcjach odnotowano wzrost płac, w tym najwyższy w transporcie i gospodarce magazynowej (o 21,6%).</w:t>
      </w:r>
    </w:p>
    <w:p w14:paraId="477844A8" w14:textId="77777777" w:rsidR="00450716" w:rsidRPr="006A1212" w:rsidRDefault="00450716" w:rsidP="0045071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Dynamika przeciętnego miesięcznego wynagrodzenia brutto w sektorze przedsiębiorstw</w:t>
      </w:r>
      <w:r w:rsidRPr="006A1212">
        <w:rPr>
          <w:b/>
          <w:szCs w:val="19"/>
          <w:highlight w:val="black"/>
        </w:rPr>
        <w:br/>
        <w:t>(przeciętna miesięczna 2015=100)</w:t>
      </w:r>
    </w:p>
    <w:p w14:paraId="6BEEBC5E" w14:textId="1E0E2C5F" w:rsidR="00450716" w:rsidRPr="006A1212" w:rsidRDefault="00B240C3" w:rsidP="00450716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7F6B7DD3" wp14:editId="73881672">
            <wp:extent cx="6613200" cy="2758689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00" cy="275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Pr="006A1212" w:rsidRDefault="00502C57" w:rsidP="00B934B6">
      <w:pPr>
        <w:pStyle w:val="Nagwek1"/>
        <w:rPr>
          <w:highlight w:val="black"/>
        </w:rPr>
      </w:pPr>
      <w:bookmarkStart w:id="22" w:name="_Toc112658417"/>
      <w:r w:rsidRPr="006A1212">
        <w:rPr>
          <w:highlight w:val="black"/>
        </w:rPr>
        <w:t>Rolnictwo</w:t>
      </w:r>
      <w:bookmarkEnd w:id="17"/>
      <w:bookmarkEnd w:id="18"/>
      <w:bookmarkEnd w:id="19"/>
      <w:bookmarkEnd w:id="20"/>
      <w:bookmarkEnd w:id="22"/>
    </w:p>
    <w:p w14:paraId="6EB2200A" w14:textId="77777777" w:rsidR="000C635B" w:rsidRPr="006A1212" w:rsidRDefault="000C635B" w:rsidP="000C635B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6A1212">
        <w:rPr>
          <w:rFonts w:eastAsia="Times New Roman" w:cs="Arial"/>
          <w:szCs w:val="19"/>
          <w:highlight w:val="black"/>
          <w:lang w:eastAsia="pl-PL"/>
        </w:rPr>
        <w:t>Na rynku rolnym w lipcu 2022 r. przeciętne ceny skupu podstawowych produktów rolnych były wyższe niż przed rokiem. W porównaniu z czerwcem br. wyższe były ceny skupu żywca wołowego, wieprzowego i mleka. W obrocie targowiskowym, w odniesieniu do lipca 2021 r.</w:t>
      </w:r>
      <w:r w:rsidRPr="006A1212">
        <w:rPr>
          <w:noProof/>
          <w:szCs w:val="19"/>
          <w:highlight w:val="black"/>
        </w:rPr>
        <w:t xml:space="preserve"> wyższe </w:t>
      </w:r>
      <w:r w:rsidRPr="006A1212">
        <w:rPr>
          <w:rFonts w:eastAsia="Times New Roman" w:cs="Arial"/>
          <w:szCs w:val="19"/>
          <w:highlight w:val="black"/>
          <w:lang w:eastAsia="pl-PL"/>
        </w:rPr>
        <w:t xml:space="preserve">były ceny pszenicy i żyta, a w odniesieniu do czerwca </w:t>
      </w:r>
      <w:r w:rsidRPr="006A1212">
        <w:rPr>
          <w:noProof/>
          <w:szCs w:val="19"/>
          <w:highlight w:val="black"/>
        </w:rPr>
        <w:t>br</w:t>
      </w:r>
      <w:r w:rsidRPr="006A1212">
        <w:rPr>
          <w:rFonts w:eastAsia="Times New Roman" w:cs="Arial"/>
          <w:szCs w:val="19"/>
          <w:highlight w:val="black"/>
          <w:lang w:eastAsia="pl-PL"/>
        </w:rPr>
        <w:t>. więcej płacono za żyto. Wskaźnik opłacalności tuczu trzody chlewnej był wyższy od notowanego przed miesiącem, a niższy niż przed rokiem.</w:t>
      </w:r>
    </w:p>
    <w:p w14:paraId="428420CF" w14:textId="77777777" w:rsidR="000C635B" w:rsidRPr="006A1212" w:rsidRDefault="000C635B" w:rsidP="000C635B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6A1212">
        <w:rPr>
          <w:rFonts w:eastAsia="Times New Roman" w:cs="Arial"/>
          <w:szCs w:val="19"/>
          <w:highlight w:val="black"/>
          <w:lang w:eastAsia="pl-PL"/>
        </w:rPr>
        <w:t>W lipcu 2022 r. średnia temperatura powietrza wyniosła 19,9°C i była wyższa o 0,5°C od średniej z lat 1991</w:t>
      </w:r>
      <w:r w:rsidRPr="006A1212">
        <w:rPr>
          <w:rFonts w:cs="Arial"/>
          <w:szCs w:val="19"/>
          <w:highlight w:val="black"/>
        </w:rPr>
        <w:t>–</w:t>
      </w:r>
      <w:r w:rsidRPr="006A1212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35,3°C, a minimalna 9,0°C. Średnia suma opadów atmosferycznych (90,9 mm) stanowiła 100% normy z </w:t>
      </w:r>
      <w:proofErr w:type="spellStart"/>
      <w:r w:rsidRPr="006A1212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6A1212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6A1212">
        <w:rPr>
          <w:rFonts w:eastAsia="Times New Roman" w:cs="Arial"/>
          <w:szCs w:val="19"/>
          <w:highlight w:val="black"/>
          <w:lang w:eastAsia="pl-PL"/>
        </w:rPr>
        <w:t>. Odnotowano 13 dni z opadami.</w:t>
      </w:r>
    </w:p>
    <w:p w14:paraId="61EB84BB" w14:textId="77777777" w:rsidR="000C635B" w:rsidRPr="006A1212" w:rsidRDefault="000C63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  <w:r w:rsidRPr="006A1212">
        <w:rPr>
          <w:rFonts w:cs="Arial"/>
          <w:szCs w:val="19"/>
          <w:highlight w:val="black"/>
        </w:rPr>
        <w:t xml:space="preserve">Lipiec br. był ciepły, słoneczny z niewielkimi opadami deszczu. </w:t>
      </w:r>
      <w:r w:rsidRPr="006A1212">
        <w:rPr>
          <w:rFonts w:cs="MyriadPro-Regular"/>
          <w:szCs w:val="19"/>
          <w:highlight w:val="black"/>
        </w:rPr>
        <w:t xml:space="preserve">Warunki wegetacji były na ogół niekorzystne, ze względu na deficyt wody w wierzchniej warstwie gleby. </w:t>
      </w:r>
      <w:r w:rsidRPr="006A1212">
        <w:rPr>
          <w:rFonts w:cs="Arial"/>
          <w:szCs w:val="19"/>
          <w:highlight w:val="black"/>
        </w:rPr>
        <w:t>Wysokie temperatury powietrza spowodowały szybsze dojrzewanie zbóż. Zbiór zbóż rozpoczęto w trzeciej dekadzie lipca.</w:t>
      </w:r>
    </w:p>
    <w:p w14:paraId="2EA98204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37EDA8A6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336BAFF0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4549568A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2989C97F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2603CD0D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7ADE433C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3BC65AFE" w14:textId="77777777" w:rsidR="00775D5B" w:rsidRPr="006A1212" w:rsidRDefault="00775D5B" w:rsidP="000C635B">
      <w:pPr>
        <w:spacing w:before="120" w:after="120" w:line="288" w:lineRule="auto"/>
        <w:jc w:val="both"/>
        <w:rPr>
          <w:rFonts w:cs="Arial"/>
          <w:szCs w:val="19"/>
          <w:highlight w:val="black"/>
        </w:rPr>
      </w:pPr>
    </w:p>
    <w:p w14:paraId="234FEA7A" w14:textId="77777777" w:rsidR="000C635B" w:rsidRPr="006A1212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6A1212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4108"/>
        <w:gridCol w:w="2120"/>
        <w:gridCol w:w="2120"/>
        <w:gridCol w:w="2118"/>
      </w:tblGrid>
      <w:tr w:rsidR="000C635B" w:rsidRPr="006A1212" w14:paraId="1FB3FBE8" w14:textId="77777777" w:rsidTr="006A1212">
        <w:tc>
          <w:tcPr>
            <w:tcW w:w="1962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BE31D6A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0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C5634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07 2022</w:t>
            </w:r>
          </w:p>
        </w:tc>
      </w:tr>
      <w:tr w:rsidR="006A1212" w:rsidRPr="006A1212" w14:paraId="6DB800C3" w14:textId="77777777" w:rsidTr="006A1212">
        <w:trPr>
          <w:trHeight w:val="1099"/>
        </w:trPr>
        <w:tc>
          <w:tcPr>
            <w:tcW w:w="1962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3C627" w14:textId="77777777" w:rsidR="000C635B" w:rsidRPr="006A1212" w:rsidRDefault="000C635B" w:rsidP="000C635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59BF7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D0561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07 2021=100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645259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06 2022=100</w:t>
            </w:r>
          </w:p>
        </w:tc>
      </w:tr>
      <w:tr w:rsidR="006A1212" w:rsidRPr="006A1212" w14:paraId="2C0E7FEA" w14:textId="77777777" w:rsidTr="006A1212">
        <w:tc>
          <w:tcPr>
            <w:tcW w:w="19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23047" w14:textId="77777777" w:rsidR="000C635B" w:rsidRPr="006A1212" w:rsidRDefault="000C635B" w:rsidP="000C635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6A121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02DBF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14 337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BCD00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177,6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861CD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171,2</w:t>
            </w:r>
          </w:p>
        </w:tc>
      </w:tr>
      <w:tr w:rsidR="006A1212" w:rsidRPr="006A1212" w14:paraId="28110F05" w14:textId="77777777" w:rsidTr="006A1212">
        <w:tc>
          <w:tcPr>
            <w:tcW w:w="19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DF2DF" w14:textId="77777777" w:rsidR="000C635B" w:rsidRPr="006A1212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6B3E1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38B89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0F3FD8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C635B" w:rsidRPr="006A1212" w14:paraId="426F647C" w14:textId="77777777" w:rsidTr="006A1212">
        <w:tc>
          <w:tcPr>
            <w:tcW w:w="19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A0C95" w14:textId="77777777" w:rsidR="000C635B" w:rsidRPr="006A1212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417AD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11 554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121AE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204,0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9E6AA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144,5</w:t>
            </w:r>
          </w:p>
        </w:tc>
      </w:tr>
      <w:tr w:rsidR="000C635B" w:rsidRPr="006A1212" w14:paraId="28D824F9" w14:textId="77777777" w:rsidTr="006A1212">
        <w:tc>
          <w:tcPr>
            <w:tcW w:w="19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6EC9C7" w14:textId="77777777" w:rsidR="000C635B" w:rsidRPr="006A1212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3FC43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314</w:t>
            </w:r>
          </w:p>
        </w:tc>
        <w:tc>
          <w:tcPr>
            <w:tcW w:w="101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058360B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343,9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31E34B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725,9</w:t>
            </w:r>
          </w:p>
        </w:tc>
      </w:tr>
    </w:tbl>
    <w:p w14:paraId="070F208E" w14:textId="77777777" w:rsidR="000C635B" w:rsidRPr="006A1212" w:rsidRDefault="000C635B" w:rsidP="000C635B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6A1212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6A1212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6A1212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6A1212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6A1212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6A608E9F" w14:textId="77777777" w:rsidR="000C635B" w:rsidRPr="006A1212" w:rsidRDefault="000C635B" w:rsidP="000C635B">
      <w:pPr>
        <w:spacing w:before="120" w:after="120" w:line="288" w:lineRule="auto"/>
        <w:rPr>
          <w:highlight w:val="black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W lipcu br. </w:t>
      </w:r>
      <w:r w:rsidRPr="006A1212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(o 77,6%) niż przed rokiem. Większe niż przed rokiem były dostawy do skupu </w:t>
      </w:r>
      <w:r w:rsidRPr="006A1212">
        <w:rPr>
          <w:rFonts w:eastAsia="Times New Roman"/>
          <w:spacing w:val="-2"/>
          <w:szCs w:val="19"/>
          <w:highlight w:val="black"/>
          <w:lang w:eastAsia="pl-PL"/>
        </w:rPr>
        <w:t xml:space="preserve">pszenicy (ponad 2-krotnie) i </w:t>
      </w:r>
      <w:r w:rsidRPr="006A1212">
        <w:rPr>
          <w:rFonts w:eastAsia="Times New Roman"/>
          <w:szCs w:val="19"/>
          <w:highlight w:val="black"/>
          <w:lang w:eastAsia="pl-PL"/>
        </w:rPr>
        <w:t>żyta (ponad 3-krotnie)</w:t>
      </w:r>
      <w:r w:rsidRPr="006A1212">
        <w:rPr>
          <w:highlight w:val="black"/>
        </w:rPr>
        <w:t>.</w:t>
      </w:r>
      <w:r w:rsidRPr="006A1212">
        <w:rPr>
          <w:spacing w:val="-2"/>
          <w:highlight w:val="black"/>
        </w:rPr>
        <w:t xml:space="preserve"> </w:t>
      </w:r>
      <w:r w:rsidRPr="006A1212">
        <w:rPr>
          <w:highlight w:val="black"/>
        </w:rPr>
        <w:t>W skali miesiąca odnotowano wzrost (o 71,2%) dostaw do skupu zbóż podstawowych (z mieszankami zbożowymi bez ziarna siewnego), w tym pszenicy (o 44,5%) i żyta (ponad 7-krotnie).</w:t>
      </w:r>
    </w:p>
    <w:p w14:paraId="154C5BF5" w14:textId="77777777" w:rsidR="000C635B" w:rsidRPr="006A1212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6A1212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0C635B" w:rsidRPr="006A1212" w14:paraId="4D3BE059" w14:textId="77777777" w:rsidTr="006A1212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07296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8C141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01–07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4AAF81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07 2022</w:t>
            </w:r>
          </w:p>
        </w:tc>
      </w:tr>
      <w:tr w:rsidR="006A1212" w:rsidRPr="006A1212" w14:paraId="3AA8E2B9" w14:textId="77777777" w:rsidTr="006A1212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1A932C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CB47C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F4C70C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01–07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4F492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75D61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B631FE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06 2022=100</w:t>
            </w:r>
          </w:p>
        </w:tc>
      </w:tr>
      <w:tr w:rsidR="006A1212" w:rsidRPr="006A1212" w14:paraId="103A4356" w14:textId="77777777" w:rsidTr="006A121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E9A03" w14:textId="77777777" w:rsidR="000C635B" w:rsidRPr="006A1212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6A121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757E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17 887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3371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80,4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4695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2 959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9B9C6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B8A26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125,1</w:t>
            </w:r>
          </w:p>
        </w:tc>
      </w:tr>
      <w:tr w:rsidR="006A1212" w:rsidRPr="006A1212" w14:paraId="2359C042" w14:textId="77777777" w:rsidTr="006A1212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5FF2E" w14:textId="77777777" w:rsidR="000C635B" w:rsidRPr="006A1212" w:rsidRDefault="000C635B" w:rsidP="000C635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B3F63" w14:textId="77777777" w:rsidR="000C635B" w:rsidRPr="006A1212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B6ADD" w14:textId="77777777" w:rsidR="000C635B" w:rsidRPr="006A1212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F9F71" w14:textId="77777777" w:rsidR="000C635B" w:rsidRPr="006A1212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47A81" w14:textId="77777777" w:rsidR="000C635B" w:rsidRPr="006A1212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C9982" w14:textId="77777777" w:rsidR="000C635B" w:rsidRPr="006A1212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6A1212" w:rsidRPr="006A1212" w14:paraId="24E0B4B6" w14:textId="77777777" w:rsidTr="006A121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316803" w14:textId="77777777" w:rsidR="000C635B" w:rsidRPr="006A1212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0123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909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844C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3CDA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133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64CF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62DDB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</w:tr>
      <w:tr w:rsidR="006A1212" w:rsidRPr="006A1212" w14:paraId="47244DC3" w14:textId="77777777" w:rsidTr="006A121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16DED" w14:textId="77777777" w:rsidR="000C635B" w:rsidRPr="006A1212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305B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8 613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E6D6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71BC6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1 028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1463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66,5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40345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94,7</w:t>
            </w:r>
          </w:p>
        </w:tc>
      </w:tr>
      <w:tr w:rsidR="006A1212" w:rsidRPr="006A1212" w14:paraId="54247CF1" w14:textId="77777777" w:rsidTr="006A121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C8042F" w14:textId="77777777" w:rsidR="000C635B" w:rsidRPr="006A1212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570D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8 336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5D16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116,4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011B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1 782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44B8D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130,2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746A7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153,3</w:t>
            </w:r>
          </w:p>
        </w:tc>
      </w:tr>
      <w:tr w:rsidR="000C635B" w:rsidRPr="006A1212" w14:paraId="4202A6E6" w14:textId="77777777" w:rsidTr="006A121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DA0830" w14:textId="77777777" w:rsidR="000C635B" w:rsidRPr="006A1212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6A121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78DCB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56 003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B8836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96,3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957987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8 823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66426F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B374298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</w:tr>
    </w:tbl>
    <w:p w14:paraId="7AC98BC2" w14:textId="77777777" w:rsidR="000C635B" w:rsidRPr="006A1212" w:rsidRDefault="000C635B" w:rsidP="000C635B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6A1212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21039940" w14:textId="35914A17" w:rsidR="000C635B" w:rsidRPr="006A1212" w:rsidRDefault="000C63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6A1212">
        <w:rPr>
          <w:rFonts w:eastAsia="Times New Roman"/>
          <w:szCs w:val="19"/>
          <w:highlight w:val="black"/>
          <w:lang w:eastAsia="pl-PL"/>
        </w:rPr>
        <w:t>w wadze żywej w lipcu br. wyniósł 3,0 tys. ton, tj. o 3,0% mniej niż przed rokiem. Mniejsze były dostawy do skupu trzody chlewnej (o 33,5%) i bydła (o 1,3%), natomiast skup drobiu był większy (o 30,2%). W skali miesiąca odnotowano zwiększenie skupu żywca rzeźnego w wadze żywej (o 25,1%),</w:t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drobiu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(o 53,3%)</w:t>
      </w:r>
      <w:r w:rsidR="00917EE4" w:rsidRPr="006A1212">
        <w:rPr>
          <w:rFonts w:eastAsia="Times New Roman"/>
          <w:spacing w:val="-4"/>
          <w:szCs w:val="19"/>
          <w:highlight w:val="black"/>
          <w:lang w:eastAsia="pl-PL"/>
        </w:rPr>
        <w:t xml:space="preserve"> i bydła (o 12,8%), a </w:t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>niższy był skup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trzody chlewnej </w:t>
      </w:r>
      <w:r w:rsidRPr="006A1212">
        <w:rPr>
          <w:rFonts w:eastAsia="Times New Roman"/>
          <w:spacing w:val="-4"/>
          <w:szCs w:val="19"/>
          <w:highlight w:val="black"/>
          <w:lang w:eastAsia="pl-PL"/>
        </w:rPr>
        <w:t>(o 5,3%).</w:t>
      </w:r>
    </w:p>
    <w:p w14:paraId="221AE4D3" w14:textId="77777777" w:rsidR="000C635B" w:rsidRPr="006A1212" w:rsidRDefault="000C63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lipcu br. utrzymał się na poziomie sprzed miesiąca, a był mniejszy w porównaniu z lipcem 2021 r. (o 2,8%).</w:t>
      </w:r>
    </w:p>
    <w:p w14:paraId="439DA867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12524100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78945EB6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F02516B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46FA65E4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0F23A496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56DD047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40DC2011" w14:textId="77777777" w:rsidR="00775D5B" w:rsidRPr="006A1212" w:rsidRDefault="00775D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7CC92B72" w14:textId="77777777" w:rsidR="000C635B" w:rsidRPr="006A1212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6A1212" w:rsidRPr="006A1212" w14:paraId="2065DBBB" w14:textId="77777777" w:rsidTr="006A1212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4A87A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03818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F44E083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6A1212" w:rsidRPr="006A1212" w14:paraId="4B70575B" w14:textId="77777777" w:rsidTr="006A1212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EAB5C1D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9B3CF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B5A3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01–07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0BF2DA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07 2022</w:t>
            </w:r>
          </w:p>
        </w:tc>
      </w:tr>
      <w:tr w:rsidR="006A1212" w:rsidRPr="006A1212" w14:paraId="74A0B0D5" w14:textId="77777777" w:rsidTr="006A1212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426CF" w14:textId="77777777" w:rsidR="000C635B" w:rsidRPr="006A1212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AA7D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66EB5" w14:textId="0AAB5DAA" w:rsidR="000C635B" w:rsidRPr="006A1212" w:rsidRDefault="006D6D56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="000C635B" w:rsidRPr="006A121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1BB72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0C5E7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4FF51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01–07</w:t>
            </w: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3B373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80144" w14:textId="22A98CAD" w:rsidR="000C635B" w:rsidRPr="006A1212" w:rsidRDefault="00B11882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="000C635B" w:rsidRPr="006A121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357A46" w14:textId="77777777" w:rsidR="000C635B" w:rsidRPr="006A1212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6A1212" w:rsidRPr="006A1212" w14:paraId="1A188AC3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CE0AD" w14:textId="77777777" w:rsidR="000C635B" w:rsidRPr="006A1212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6A121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42C1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BF64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4A53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20BA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B546F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6FD74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A2BA6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AD6B63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6A1212" w:rsidRPr="006A1212" w14:paraId="7AD5F305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01236" w14:textId="77777777" w:rsidR="000C635B" w:rsidRPr="006A1212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7845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133,85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E19C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156,8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015B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89,2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E550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144,13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0492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162,6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D2462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179,11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DB790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161,1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BFCADB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</w:tr>
      <w:tr w:rsidR="006A1212" w:rsidRPr="006A1212" w14:paraId="60E5B207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9013F" w14:textId="77777777" w:rsidR="000C635B" w:rsidRPr="006A1212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1C69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112,39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CA70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193,6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0DAB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93,0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44FA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108,30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0FFC8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179,8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81590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144,58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410BF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151,8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74622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102,3</w:t>
            </w:r>
          </w:p>
        </w:tc>
      </w:tr>
      <w:tr w:rsidR="006A1212" w:rsidRPr="006A1212" w14:paraId="1253A231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BA429" w14:textId="77777777" w:rsidR="000C635B" w:rsidRPr="006A1212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6A1212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5AF2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83,61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C76F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123,2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0C531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60,3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D95F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69,05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000E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134,4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C03ACC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114,00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9C6E8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85,5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2487F97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86,7</w:t>
            </w:r>
          </w:p>
        </w:tc>
      </w:tr>
      <w:tr w:rsidR="006A1212" w:rsidRPr="006A1212" w14:paraId="4F57CB36" w14:textId="77777777" w:rsidTr="006A1212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1FF94" w14:textId="77777777" w:rsidR="000C635B" w:rsidRPr="006A1212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6991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9B2C3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D252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7592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517E6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22926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56FD3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3DF11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6A1212" w:rsidRPr="006A1212" w14:paraId="7009851A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BC31C" w14:textId="77777777" w:rsidR="000C635B" w:rsidRPr="006A1212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909F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9,83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07897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151,5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EF83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100,1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655FD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DDA13B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145,7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7F118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CF36C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74B9D2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6A1212" w:rsidRPr="006A1212" w14:paraId="245A8D01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43227" w14:textId="77777777" w:rsidR="000C635B" w:rsidRPr="006A1212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4D7D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6,88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811A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140,4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99A9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104,7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B8C4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5,90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19DA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122,9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A7819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E1BCA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0D03E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6A1212" w:rsidRPr="006A1212" w14:paraId="47B57BCC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03708" w14:textId="77777777" w:rsidR="000C635B" w:rsidRPr="006A1212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F54F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EDBE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160,1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5E3BB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96,9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AE887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6,24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B5860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144,1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2D995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227D6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7EF623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6A1212" w:rsidRPr="006A1212" w14:paraId="1D69DC06" w14:textId="77777777" w:rsidTr="006A1212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5B2E35" w14:textId="77777777" w:rsidR="000C635B" w:rsidRPr="006A1212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086CB6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2,38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3F6A91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164,1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E81E9B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103,9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EB09A8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2,09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DE5AB4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143,2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4AA227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3B8830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DE460FE" w14:textId="77777777" w:rsidR="000C635B" w:rsidRPr="006A1212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6A121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012A8D4D" w14:textId="77777777" w:rsidR="000C635B" w:rsidRPr="006A1212" w:rsidRDefault="000C635B" w:rsidP="000C635B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6A1212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87B8283" w14:textId="77777777" w:rsidR="000C635B" w:rsidRPr="006A1212" w:rsidRDefault="000C635B" w:rsidP="000C635B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W lipcu br. </w:t>
      </w:r>
      <w:r w:rsidRPr="006A1212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128,92 zł za 1 </w:t>
      </w:r>
      <w:proofErr w:type="spellStart"/>
      <w:r w:rsidRPr="006A1212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6A1212">
        <w:rPr>
          <w:rFonts w:eastAsia="Times New Roman"/>
          <w:szCs w:val="19"/>
          <w:highlight w:val="black"/>
          <w:lang w:eastAsia="pl-PL"/>
        </w:rPr>
        <w:t xml:space="preserve"> i były wyższe niż przed rokiem (o 62,1%), a niższe w odniesieniu do cen sprzed miesiąca (o 13,3%).</w:t>
      </w:r>
    </w:p>
    <w:p w14:paraId="154AB6A2" w14:textId="77777777" w:rsidR="000C635B" w:rsidRPr="006A1212" w:rsidRDefault="000C635B" w:rsidP="000C635B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56,8%), </w:t>
      </w:r>
      <w:r w:rsidRPr="006A1212">
        <w:rPr>
          <w:rFonts w:eastAsia="Times New Roman"/>
          <w:szCs w:val="19"/>
          <w:highlight w:val="black"/>
          <w:lang w:eastAsia="pl-PL"/>
        </w:rPr>
        <w:t>a niższa niż przed miesiącem (o 10,8%). Cena skupu żyta była wyższa w porównaniu z ceną sprzed roku (o 93,6%), a niższa w odniesieniu do ceny sprzed miesiąca (o 7,0%). W obrocie targowiskowym w skali roku wyższa była zarówno cena pszenicy (o 61,1%), jak i cena żyta (o 51,8%). W odniesieniu do czerwca br. wyższa była cena żyta (o 2,3%), a niższa cena pszenicy (o 1,2%).</w:t>
      </w:r>
    </w:p>
    <w:p w14:paraId="6E4D1806" w14:textId="77777777" w:rsidR="000C635B" w:rsidRPr="006A1212" w:rsidRDefault="000C635B" w:rsidP="000C635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Przeciętne ceny skupu zbóż</w:t>
      </w:r>
    </w:p>
    <w:p w14:paraId="1E9FA0B5" w14:textId="3545AA9F" w:rsidR="000C635B" w:rsidRPr="006A1212" w:rsidRDefault="00994C81" w:rsidP="000C635B">
      <w:pPr>
        <w:spacing w:before="120" w:after="120" w:line="288" w:lineRule="auto"/>
        <w:jc w:val="center"/>
        <w:rPr>
          <w:spacing w:val="-4"/>
          <w:highlight w:val="black"/>
          <w:lang w:eastAsia="pl-PL"/>
        </w:rPr>
      </w:pPr>
      <w:r>
        <w:rPr>
          <w:noProof/>
          <w:spacing w:val="-4"/>
          <w:highlight w:val="black"/>
          <w:lang w:eastAsia="pl-PL"/>
        </w:rPr>
        <w:drawing>
          <wp:inline distT="0" distB="0" distL="0" distR="0" wp14:anchorId="61C355C8" wp14:editId="0CB3D3AD">
            <wp:extent cx="6606000" cy="2864224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286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50369" w14:textId="77777777" w:rsidR="000C635B" w:rsidRPr="006A1212" w:rsidRDefault="000C635B" w:rsidP="000C635B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6A1212">
        <w:rPr>
          <w:spacing w:val="-4"/>
          <w:highlight w:val="black"/>
          <w:lang w:eastAsia="pl-PL"/>
        </w:rPr>
        <w:t xml:space="preserve">Za 1 </w:t>
      </w:r>
      <w:proofErr w:type="spellStart"/>
      <w:r w:rsidRPr="006A1212">
        <w:rPr>
          <w:highlight w:val="black"/>
          <w:lang w:eastAsia="pl-PL"/>
        </w:rPr>
        <w:t>dt</w:t>
      </w:r>
      <w:proofErr w:type="spellEnd"/>
      <w:r w:rsidRPr="006A1212">
        <w:rPr>
          <w:b/>
          <w:highlight w:val="black"/>
          <w:lang w:eastAsia="pl-PL"/>
        </w:rPr>
        <w:t xml:space="preserve"> ziemniaków </w:t>
      </w:r>
      <w:r w:rsidRPr="006A1212">
        <w:rPr>
          <w:highlight w:val="black"/>
          <w:lang w:eastAsia="pl-PL"/>
        </w:rPr>
        <w:t xml:space="preserve">w skupie w lipcu br. płacono średnio 83,61 zł, tj. o 23,2% więcej niż przed rokiem, a o 39,7% mniej niż w czerwcu br. Przeciętna cena ziemniaków jadalnych na targowiskach wyniosła 114,00 zł za 1 </w:t>
      </w:r>
      <w:proofErr w:type="spellStart"/>
      <w:r w:rsidRPr="006A1212">
        <w:rPr>
          <w:highlight w:val="black"/>
          <w:lang w:eastAsia="pl-PL"/>
        </w:rPr>
        <w:t>dt</w:t>
      </w:r>
      <w:proofErr w:type="spellEnd"/>
      <w:r w:rsidRPr="006A1212">
        <w:rPr>
          <w:highlight w:val="black"/>
          <w:lang w:eastAsia="pl-PL"/>
        </w:rPr>
        <w:t xml:space="preserve"> i była niższa w skali roku (o 14,5%) i niższa w skali miesiąca (o 13,3%).</w:t>
      </w:r>
    </w:p>
    <w:p w14:paraId="28C0D42C" w14:textId="77777777" w:rsidR="000C635B" w:rsidRPr="006A1212" w:rsidRDefault="000C635B" w:rsidP="000C635B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6A1212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6A1212">
        <w:rPr>
          <w:spacing w:val="-4"/>
          <w:highlight w:val="black"/>
          <w:lang w:eastAsia="pl-PL"/>
        </w:rPr>
        <w:t xml:space="preserve"> były wyższe w porównaniu z cenami sprzed roku (o 40,4%) i wyższe w odniesieniu do czerwca br.</w:t>
      </w:r>
      <w:r w:rsidRPr="006A1212">
        <w:rPr>
          <w:highlight w:val="black"/>
          <w:lang w:eastAsia="pl-PL"/>
        </w:rPr>
        <w:t xml:space="preserve"> (o 4,7%). W lipcu br. cena 1 kg żywca wieprzowego w skupie wyniosła 6,88 zł i </w:t>
      </w:r>
      <w:r w:rsidRPr="006A1212">
        <w:rPr>
          <w:rFonts w:eastAsia="Times New Roman" w:cs="Arial"/>
          <w:szCs w:val="19"/>
          <w:highlight w:val="black"/>
          <w:lang w:eastAsia="pl-PL"/>
        </w:rPr>
        <w:t>równoważyła wartość 4,8 kg żyta na targowiskach (wobec 4,6 w czerwcu br. i 5,1 przed rokiem).</w:t>
      </w:r>
    </w:p>
    <w:p w14:paraId="08986DBC" w14:textId="77777777" w:rsidR="000C635B" w:rsidRPr="006A1212" w:rsidRDefault="000C635B" w:rsidP="000C635B">
      <w:pPr>
        <w:keepNext/>
        <w:spacing w:before="120" w:after="120" w:line="288" w:lineRule="auto"/>
        <w:outlineLvl w:val="1"/>
        <w:rPr>
          <w:highlight w:val="black"/>
          <w:lang w:eastAsia="pl-PL"/>
        </w:rPr>
      </w:pPr>
      <w:r w:rsidRPr="006A1212">
        <w:rPr>
          <w:highlight w:val="black"/>
          <w:lang w:eastAsia="pl-PL"/>
        </w:rPr>
        <w:t xml:space="preserve">W lipcu br. </w:t>
      </w:r>
      <w:r w:rsidRPr="006A1212">
        <w:rPr>
          <w:b/>
          <w:highlight w:val="black"/>
          <w:lang w:eastAsia="pl-PL"/>
        </w:rPr>
        <w:t>średnia cena skupu 1 kg żywca drobiowego</w:t>
      </w:r>
      <w:r w:rsidRPr="006A1212">
        <w:rPr>
          <w:highlight w:val="black"/>
          <w:lang w:eastAsia="pl-PL"/>
        </w:rPr>
        <w:t xml:space="preserve"> wyniosła 6,82 zł i była wyższa niż przed rokiem (o 60,1%), a niższa w odniesieniu do czerwca br. (o 3,1%).</w:t>
      </w:r>
    </w:p>
    <w:p w14:paraId="5AB67F4A" w14:textId="77777777" w:rsidR="000C635B" w:rsidRPr="006A1212" w:rsidRDefault="000C635B" w:rsidP="000C635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6A1212">
        <w:rPr>
          <w:b/>
          <w:szCs w:val="19"/>
          <w:highlight w:val="black"/>
        </w:rPr>
        <w:t>Przeciętne ceny skupu żywca i mleka</w:t>
      </w:r>
    </w:p>
    <w:p w14:paraId="263E2A5A" w14:textId="1F9440B5" w:rsidR="000C635B" w:rsidRPr="006A1212" w:rsidRDefault="00994C81" w:rsidP="000C635B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02A532F2" wp14:editId="2EAE4F97">
            <wp:extent cx="6624000" cy="2814552"/>
            <wp:effectExtent l="0" t="0" r="5715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81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B8AD3" w14:textId="77777777" w:rsidR="000C635B" w:rsidRPr="006A1212" w:rsidRDefault="000C63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szCs w:val="19"/>
          <w:highlight w:val="black"/>
          <w:lang w:eastAsia="pl-PL"/>
        </w:rPr>
        <w:t xml:space="preserve">Na </w:t>
      </w:r>
      <w:r w:rsidRPr="006A1212">
        <w:rPr>
          <w:highlight w:val="black"/>
          <w:lang w:eastAsia="pl-PL"/>
        </w:rPr>
        <w:t>rynku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</w:t>
      </w:r>
      <w:r w:rsidRPr="006A1212">
        <w:rPr>
          <w:rFonts w:eastAsia="Times New Roman"/>
          <w:b/>
          <w:szCs w:val="19"/>
          <w:highlight w:val="black"/>
          <w:lang w:eastAsia="pl-PL"/>
        </w:rPr>
        <w:t>wołowiny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odnotowano wzrost cen w skali roku i w skali miesiąca. Za 1 kg żywca wołowego w lipcu br. płacono 9,83 zł, tj. o 51,5% więcej niż przed rokiem. W porównaniu z czerwcem br. średnia cena skupu żywca wołowego była wyższa o 0,1%.</w:t>
      </w:r>
    </w:p>
    <w:p w14:paraId="4800E88C" w14:textId="1C39891C" w:rsidR="00903A7C" w:rsidRPr="006A1212" w:rsidRDefault="000C635B" w:rsidP="000C635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6A1212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6A1212">
        <w:rPr>
          <w:rFonts w:eastAsia="Times New Roman"/>
          <w:szCs w:val="19"/>
          <w:highlight w:val="black"/>
          <w:lang w:eastAsia="pl-PL"/>
        </w:rPr>
        <w:t xml:space="preserve"> w lipcu br. były wyższe niż przed rokiem (o 64,1%) i wyższe niż przed miesiącem (o 3,9%).</w:t>
      </w:r>
    </w:p>
    <w:p w14:paraId="3B2DB420" w14:textId="6C6E9C11" w:rsidR="00502C57" w:rsidRPr="006A1212" w:rsidRDefault="00502C57" w:rsidP="00EE0070">
      <w:pPr>
        <w:pStyle w:val="Nagwek1"/>
        <w:rPr>
          <w:highlight w:val="black"/>
        </w:rPr>
      </w:pPr>
      <w:bookmarkStart w:id="27" w:name="_Toc112658418"/>
      <w:r w:rsidRPr="006A1212">
        <w:rPr>
          <w:highlight w:val="black"/>
        </w:rPr>
        <w:t>Przemysł</w:t>
      </w:r>
      <w:r w:rsidR="00191C58" w:rsidRPr="006A1212">
        <w:rPr>
          <w:highlight w:val="black"/>
        </w:rPr>
        <w:t xml:space="preserve"> i </w:t>
      </w:r>
      <w:r w:rsidRPr="006A1212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7FE156F4" w14:textId="77777777" w:rsidR="00727D3F" w:rsidRPr="006A1212" w:rsidRDefault="00727D3F" w:rsidP="00727D3F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6A1212">
        <w:rPr>
          <w:bCs/>
          <w:highlight w:val="black"/>
        </w:rPr>
        <w:t>W lipcu 2022 r. w produkcji sprzedanej przemysłu odnotowano wzrost w ujęciu rocznym. Wzrosła również w skali roku zarówno produkcja sprzedana budownictwa, jak i produkcja budowlano-montażowa.</w:t>
      </w:r>
    </w:p>
    <w:p w14:paraId="02D1D4D7" w14:textId="0E52BBB2" w:rsidR="00727D3F" w:rsidRPr="006A1212" w:rsidRDefault="00727D3F" w:rsidP="00727D3F">
      <w:pPr>
        <w:spacing w:before="120" w:after="120" w:line="288" w:lineRule="auto"/>
        <w:rPr>
          <w:bCs/>
          <w:highlight w:val="black"/>
        </w:rPr>
      </w:pPr>
      <w:r w:rsidRPr="006A1212">
        <w:rPr>
          <w:b/>
          <w:bCs/>
          <w:highlight w:val="black"/>
        </w:rPr>
        <w:t>Produkcja sprzedana przemysłu</w:t>
      </w:r>
      <w:r w:rsidRPr="006A1212">
        <w:rPr>
          <w:bCs/>
          <w:highlight w:val="black"/>
        </w:rPr>
        <w:t xml:space="preserve"> w lipcu 2022 r. osiągnęła wartość (w cenach bieżących) 6645,9 mln zł i była (w cenach stałych) o 7,8% wyższa niż w lipcu 2021 r., kiedy notowano wzrost o 17,5%. W Polsce pr</w:t>
      </w:r>
      <w:r w:rsidR="000D08A1" w:rsidRPr="006A1212">
        <w:rPr>
          <w:bCs/>
          <w:highlight w:val="black"/>
        </w:rPr>
        <w:t>odukcja wzrosła w skali roku (o </w:t>
      </w:r>
      <w:r w:rsidRPr="006A1212">
        <w:rPr>
          <w:bCs/>
          <w:highlight w:val="black"/>
        </w:rPr>
        <w:t>7,6%), a obniżyła się w skali miesiąca (o 6,5%). Udział produkcji sprzedanej przemysłu w województwie podkarpackim stanowił 3,3% przychodów krajowych.</w:t>
      </w:r>
    </w:p>
    <w:p w14:paraId="46DEFBDF" w14:textId="77777777" w:rsidR="00727D3F" w:rsidRPr="006A1212" w:rsidRDefault="00727D3F" w:rsidP="00727D3F">
      <w:pPr>
        <w:spacing w:before="12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>W ujęciu rocznym w przetwórstwie przemysłowym produkcja wzrosła o 6,4%, a w dostawie wody; gospodarowaniu ściekami i odpadami; rekultywacji o 21,4%.</w:t>
      </w:r>
    </w:p>
    <w:p w14:paraId="73716397" w14:textId="77777777" w:rsidR="00727D3F" w:rsidRPr="006A1212" w:rsidRDefault="00727D3F" w:rsidP="00727D3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6A1212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600696EF" w14:textId="034D51F4" w:rsidR="00727D3F" w:rsidRPr="006A1212" w:rsidRDefault="00B240C3" w:rsidP="00727D3F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3234AAA6" wp14:editId="3CA27842">
            <wp:extent cx="6627600" cy="2691695"/>
            <wp:effectExtent l="0" t="0" r="190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00" cy="269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2B0F" w14:textId="77777777" w:rsidR="00727D3F" w:rsidRPr="006A1212" w:rsidRDefault="00727D3F" w:rsidP="00727D3F">
      <w:pPr>
        <w:spacing w:before="24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>W lipcu 2022 r. wzrost produkcji sprzedanej w stosunku do lipca ubiegłego roku wystąpił w 20 działach przemysłu (spośród 30 występujących w województwie). Uwzględniając działy o znaczącym udziale w produkcji sprzedanej przemysłu wzrosty w stosunku rocznym odnotowano m.in. w produkcji pojazdów samochodowych, przyczep i naczep (o 29,3%), maszyn i urządzeń (o 22,3%), wyrobów z metali (o 16,5%) oraz wyrobów z gumy i tworzyw sztucznych (o 13,1%). Natomiast spadek wystąpił m.in. w produkcji wyrobów z drewna, korka, słomy i wikliny (o 23,5%), mebli (o 17,0%) oraz artykułów spożywczych (o 10,3%).</w:t>
      </w:r>
    </w:p>
    <w:p w14:paraId="3652609E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1151569B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78743D8A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1E69D10B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5C855ADA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02FB3E75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7B97B923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06A65B1F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370271EE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73D97DBE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79B9CA65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679685F1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149D5521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72D7A003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552288CD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28E7081A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422E88F0" w14:textId="77777777" w:rsidR="0086701C" w:rsidRPr="006A1212" w:rsidRDefault="0086701C" w:rsidP="00727D3F">
      <w:pPr>
        <w:spacing w:before="240" w:after="120" w:line="288" w:lineRule="auto"/>
        <w:rPr>
          <w:bCs/>
          <w:highlight w:val="black"/>
        </w:rPr>
      </w:pPr>
    </w:p>
    <w:p w14:paraId="6155CF4A" w14:textId="77777777" w:rsidR="00727D3F" w:rsidRPr="006A1212" w:rsidRDefault="00727D3F" w:rsidP="00727D3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727D3F" w:rsidRPr="006A1212" w14:paraId="2C306FCD" w14:textId="77777777" w:rsidTr="006A1212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E390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DD9D2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2A713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2022</w:t>
            </w:r>
          </w:p>
        </w:tc>
      </w:tr>
      <w:tr w:rsidR="00727D3F" w:rsidRPr="006A1212" w14:paraId="4DB308BE" w14:textId="77777777" w:rsidTr="006A1212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DD48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F1CB4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CD012E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6A1212" w:rsidRPr="006A1212" w14:paraId="5EFA6906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3425A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57506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974A75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105E32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6A1212" w:rsidRPr="006A1212" w14:paraId="75A02A20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BE23F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436746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DDC0D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3C0533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41B6F9BC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CFB19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B9B01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A56388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E837F2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93,4</w:t>
            </w:r>
          </w:p>
        </w:tc>
      </w:tr>
      <w:tr w:rsidR="006A1212" w:rsidRPr="006A1212" w14:paraId="68D97F6A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976B54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D3AAE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0CB6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48E08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22B25AA0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F9FB71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301A8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5BBD4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B37C40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7,1</w:t>
            </w:r>
          </w:p>
        </w:tc>
      </w:tr>
      <w:tr w:rsidR="006A1212" w:rsidRPr="006A1212" w14:paraId="55586E55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4B6885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5793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887C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BDB1B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6A1212" w:rsidRPr="006A1212" w14:paraId="4AF97F72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8DA871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3D0AB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8ECE3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D4A63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6A1212" w:rsidRPr="006A1212" w14:paraId="32FFA9CB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9B0ECE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3DF3C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E7D7F0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53F58A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12,1</w:t>
            </w:r>
          </w:p>
        </w:tc>
      </w:tr>
      <w:tr w:rsidR="006A1212" w:rsidRPr="006A1212" w14:paraId="6DB9188B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21917D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D7197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F9A94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DFCC9A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6A1212" w:rsidRPr="006A1212" w14:paraId="2CBBD6C0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EF7C36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D1D3A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70C6B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043040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6A1212" w:rsidRPr="006A1212" w14:paraId="0E1A2A36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2A52E0" w14:textId="77777777" w:rsidR="00727D3F" w:rsidRPr="006A1212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wyrobów z metali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A2E06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45D1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F33A8F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10,0</w:t>
            </w:r>
          </w:p>
        </w:tc>
      </w:tr>
      <w:tr w:rsidR="006A1212" w:rsidRPr="006A1212" w14:paraId="3B98FEA2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D21E2E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DC9168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C317EF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A298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6A1212" w:rsidRPr="006A1212" w14:paraId="6F7770CB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6D62CB" w14:textId="77777777" w:rsidR="00727D3F" w:rsidRPr="006A1212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maszyn i urządzeń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ECB3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C58AF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F2FA4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6A1212" w:rsidRPr="006A1212" w14:paraId="1857624E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F0C23" w14:textId="77777777" w:rsidR="00727D3F" w:rsidRPr="006A1212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1863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B79EBC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51848F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6A1212" w:rsidRPr="006A1212" w14:paraId="4745D44B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6303A7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01C25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4A8A8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17207B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6A1212" w:rsidRPr="006A1212" w14:paraId="65101052" w14:textId="77777777" w:rsidTr="006A121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EE1145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195D9B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8DF78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11E87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727D3F" w:rsidRPr="006A1212" w14:paraId="756EFC23" w14:textId="77777777" w:rsidTr="006A1212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4EF3A1" w14:textId="77777777" w:rsidR="00727D3F" w:rsidRPr="006A1212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E5392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CEB34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137,1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3C0C5BE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3,0</w:t>
            </w:r>
          </w:p>
        </w:tc>
      </w:tr>
    </w:tbl>
    <w:p w14:paraId="3DCBBD0E" w14:textId="77777777" w:rsidR="00727D3F" w:rsidRPr="006A1212" w:rsidRDefault="00727D3F" w:rsidP="000C635B">
      <w:pPr>
        <w:spacing w:before="240" w:after="120" w:line="288" w:lineRule="auto"/>
        <w:rPr>
          <w:highlight w:val="black"/>
        </w:rPr>
      </w:pPr>
      <w:r w:rsidRPr="006A1212">
        <w:rPr>
          <w:highlight w:val="black"/>
        </w:rPr>
        <w:t>W porównaniu z poprzednim miesiącem odnotowano spadek produkcji o 6,7%. W przetwórstwie przemysłowym produkcja obniżyła się o 6,2%, a w dostawie wody; gospodarowaniu ściekami i odpadami; rekultywacji o 17,7%.</w:t>
      </w:r>
    </w:p>
    <w:p w14:paraId="4C20A31E" w14:textId="77777777" w:rsidR="00727D3F" w:rsidRPr="006A1212" w:rsidRDefault="00727D3F" w:rsidP="00727D3F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6A1212">
        <w:rPr>
          <w:rFonts w:cstheme="minorBidi"/>
          <w:b/>
          <w:szCs w:val="19"/>
          <w:highlight w:val="black"/>
        </w:rPr>
        <w:t>Wydajność pracy</w:t>
      </w:r>
      <w:r w:rsidRPr="006A1212">
        <w:rPr>
          <w:rFonts w:cstheme="minorBidi"/>
          <w:szCs w:val="19"/>
          <w:highlight w:val="black"/>
        </w:rPr>
        <w:t xml:space="preserve"> w przemyśle, mierzona produkcją sprzedaną na jednego zatrudnionego, w lipcu 2022 r. wyniosła (w cenach bieżących) 48,8 tys. zł i była wyższa (w cenach stałych) o 4,5% w porównaniu z lipcem 2021 r., przy przeciętnym zatrudnieniu wyższym o 3,2% i wzroście przeciętnego miesięcznego wynagrodzenia brutto o 11,0%.</w:t>
      </w:r>
    </w:p>
    <w:p w14:paraId="1B1E985B" w14:textId="6C5AAE7E" w:rsidR="00727D3F" w:rsidRPr="006A1212" w:rsidRDefault="00727D3F" w:rsidP="00727D3F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6A1212">
        <w:rPr>
          <w:rFonts w:cstheme="minorBidi"/>
          <w:szCs w:val="19"/>
          <w:highlight w:val="black"/>
        </w:rPr>
        <w:t xml:space="preserve">W okresie siedmiu miesięcy br. produkcja </w:t>
      </w:r>
      <w:r w:rsidR="00CD3751" w:rsidRPr="006A1212">
        <w:rPr>
          <w:rFonts w:cstheme="minorBidi"/>
          <w:szCs w:val="19"/>
          <w:highlight w:val="black"/>
        </w:rPr>
        <w:t xml:space="preserve">sprzedana przemysłu wyniosła 47 </w:t>
      </w:r>
      <w:r w:rsidRPr="006A1212">
        <w:rPr>
          <w:rFonts w:cstheme="minorBidi"/>
          <w:szCs w:val="19"/>
          <w:highlight w:val="black"/>
        </w:rPr>
        <w:t xml:space="preserve">267,5 mln zł i była o 16,2% wyższa (w kraju wzrosła o 12,9%) niż w analogicznym okresie ubiegłego roku, w tym w przetwórstwie przemysłowym odnotowano </w:t>
      </w:r>
      <w:r w:rsidR="00F92C8A" w:rsidRPr="006A1212">
        <w:rPr>
          <w:rFonts w:cstheme="minorBidi"/>
          <w:szCs w:val="19"/>
          <w:highlight w:val="black"/>
        </w:rPr>
        <w:t>wzrost o </w:t>
      </w:r>
      <w:r w:rsidRPr="006A1212">
        <w:rPr>
          <w:rFonts w:cstheme="minorBidi"/>
          <w:szCs w:val="19"/>
          <w:highlight w:val="black"/>
        </w:rPr>
        <w:t>14,5%. Wzrost produkcji odnotowano w 22 działach przemysłu, w tym m.in. w produkcji komputerów, wyrobów elektronicznych i optycznych (o 36,9%), chemikaliów i wyrobów chemicznych (o 24,9%), a także metali i pozostałego sprzętu transportowego (po 22,7%). Natomiast spadek wystąpił m.in. w produkcji wyrobów z drewna, korka, słomy i wikliny</w:t>
      </w:r>
      <w:r w:rsidR="00F92C8A" w:rsidRPr="006A1212">
        <w:rPr>
          <w:rFonts w:cstheme="minorBidi"/>
          <w:szCs w:val="19"/>
          <w:highlight w:val="black"/>
        </w:rPr>
        <w:t xml:space="preserve"> (o </w:t>
      </w:r>
      <w:r w:rsidRPr="006A1212">
        <w:rPr>
          <w:rFonts w:cstheme="minorBidi"/>
          <w:szCs w:val="19"/>
          <w:highlight w:val="black"/>
        </w:rPr>
        <w:t>5,6%).</w:t>
      </w:r>
    </w:p>
    <w:p w14:paraId="7FC7A875" w14:textId="00089750" w:rsidR="00727D3F" w:rsidRPr="006A1212" w:rsidRDefault="00727D3F" w:rsidP="00727D3F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6A1212">
        <w:rPr>
          <w:rFonts w:cstheme="minorBidi"/>
          <w:b/>
          <w:szCs w:val="19"/>
          <w:highlight w:val="black"/>
        </w:rPr>
        <w:t>Produkcja sprzedana budownictwa</w:t>
      </w:r>
      <w:r w:rsidRPr="006A1212">
        <w:rPr>
          <w:rFonts w:cstheme="minorBidi"/>
          <w:szCs w:val="19"/>
          <w:highlight w:val="black"/>
        </w:rPr>
        <w:t xml:space="preserve"> (w cenach bieżących) w lipcu 2022 r. wyniosła 895,2 mln zł. Była wyższa niż w lipcu 2021 r. (o 12,4%) i wyższa niż w czerwcu 2022 r. (o 3,1%). Od początku roku produkcja sprzedana przedsiębiorstw budowlanych osiągnęła wartość 5</w:t>
      </w:r>
      <w:r w:rsidR="00D51F0C" w:rsidRPr="006A1212">
        <w:rPr>
          <w:rFonts w:cstheme="minorBidi"/>
          <w:szCs w:val="19"/>
          <w:highlight w:val="black"/>
        </w:rPr>
        <w:t xml:space="preserve"> </w:t>
      </w:r>
      <w:r w:rsidRPr="006A1212">
        <w:rPr>
          <w:rFonts w:cstheme="minorBidi"/>
          <w:szCs w:val="19"/>
          <w:highlight w:val="black"/>
        </w:rPr>
        <w:t>556,1 mln zł i w porównaniu z analogicznym okresem ubiegłego roku wzrosła o 15,7%.</w:t>
      </w:r>
    </w:p>
    <w:p w14:paraId="299682B2" w14:textId="59B15901" w:rsidR="00727D3F" w:rsidRPr="006A1212" w:rsidRDefault="00727D3F" w:rsidP="00727D3F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6A1212">
        <w:rPr>
          <w:rFonts w:cstheme="minorBidi"/>
          <w:szCs w:val="19"/>
          <w:highlight w:val="black"/>
        </w:rPr>
        <w:lastRenderedPageBreak/>
        <w:t>W przeliczeniu na 1 zatrudnionego produkcja sprzedana budownictwa, w lipcu 2022 r. ukształtowała się na poziomie 45,8</w:t>
      </w:r>
      <w:r w:rsidR="00F92C8A" w:rsidRPr="006A1212">
        <w:rPr>
          <w:rFonts w:cstheme="minorBidi"/>
          <w:szCs w:val="19"/>
          <w:highlight w:val="black"/>
        </w:rPr>
        <w:t> </w:t>
      </w:r>
      <w:r w:rsidRPr="006A1212">
        <w:rPr>
          <w:rFonts w:cstheme="minorBidi"/>
          <w:szCs w:val="19"/>
          <w:highlight w:val="black"/>
        </w:rPr>
        <w:t>tys. zł. Była o 13,3% wyższa niż w lipcu 2021 r., przy przeciętnym zatrudnieniu niższym o 0,7% i wzroście wynagrodzeń o 12,0%.</w:t>
      </w:r>
    </w:p>
    <w:p w14:paraId="0E20B99D" w14:textId="3446B41B" w:rsidR="00727D3F" w:rsidRPr="006A1212" w:rsidRDefault="00727D3F" w:rsidP="00727D3F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t>Sprzedaż produkcji budowlano-montażowej</w:t>
      </w:r>
      <w:r w:rsidRPr="006A1212">
        <w:rPr>
          <w:highlight w:val="black"/>
        </w:rPr>
        <w:t xml:space="preserve"> (stanowiącej ponad 57% przychodów ogółem osiągniętych przez jednostki w</w:t>
      </w:r>
      <w:r w:rsidR="00F92C8A" w:rsidRPr="006A1212">
        <w:rPr>
          <w:highlight w:val="black"/>
        </w:rPr>
        <w:t> </w:t>
      </w:r>
      <w:r w:rsidRPr="006A1212">
        <w:rPr>
          <w:highlight w:val="black"/>
        </w:rPr>
        <w:t xml:space="preserve">sekcji budownictwo), zrealizowana w lipcu 2022 r. wyniosła 515,9 mln zł i była wyższa o 8,2% od uzyskanej w lipcu </w:t>
      </w:r>
      <w:r w:rsidR="00F92C8A" w:rsidRPr="006A1212">
        <w:rPr>
          <w:highlight w:val="black"/>
        </w:rPr>
        <w:t>2021 </w:t>
      </w:r>
      <w:r w:rsidRPr="006A1212">
        <w:rPr>
          <w:highlight w:val="black"/>
        </w:rPr>
        <w:t>r. (wobec wzrostu o 38,6% przed rokiem). Wzrost produkcji budowlano-montażowej wystąpił w podmiotach realizujących głównie roboty budowlane specjalistyczne (o 20,9%) oraz w jednostkach specjalizujących się w budowie obiektów inżynierii lądowej i wodnej (o 12,7%), natomiast spadek odnotowano w jednostkach, w których podstawowym rodzajem działalności jest budowa budynków (o 6,3%).</w:t>
      </w:r>
    </w:p>
    <w:p w14:paraId="187D7270" w14:textId="77777777" w:rsidR="00727D3F" w:rsidRPr="006A1212" w:rsidRDefault="00727D3F" w:rsidP="00727D3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727D3F" w:rsidRPr="006A1212" w14:paraId="12FADD0A" w14:textId="77777777" w:rsidTr="006A1212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BE138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1BF37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57F91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2022</w:t>
            </w:r>
          </w:p>
        </w:tc>
      </w:tr>
      <w:tr w:rsidR="00727D3F" w:rsidRPr="006A1212" w14:paraId="02B66FEE" w14:textId="77777777" w:rsidTr="006A1212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E96A2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E5A211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87182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6A1212" w:rsidRPr="006A1212" w14:paraId="7B7132E5" w14:textId="77777777" w:rsidTr="006A121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0B62F" w14:textId="77777777" w:rsidR="00727D3F" w:rsidRPr="006A1212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89EFCF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C1B4A9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117,8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3C96C7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6A1212" w:rsidRPr="006A1212" w14:paraId="1F35D2D1" w14:textId="77777777" w:rsidTr="006A121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BA7CE4" w14:textId="77777777" w:rsidR="00727D3F" w:rsidRPr="006A1212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Budowa budynków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620DA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3725DB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118,1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B43A84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37,3</w:t>
            </w:r>
          </w:p>
        </w:tc>
      </w:tr>
      <w:tr w:rsidR="006A1212" w:rsidRPr="006A1212" w14:paraId="74BFF90A" w14:textId="77777777" w:rsidTr="006A121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E54EE0" w14:textId="77777777" w:rsidR="00727D3F" w:rsidRPr="006A1212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FD4FE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B0A95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81EF23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27,7</w:t>
            </w:r>
          </w:p>
        </w:tc>
      </w:tr>
      <w:tr w:rsidR="00727D3F" w:rsidRPr="006A1212" w14:paraId="7B08FB07" w14:textId="77777777" w:rsidTr="006A1212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3C1E0FC" w14:textId="77777777" w:rsidR="00727D3F" w:rsidRPr="006A1212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E0C9D6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BE99D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72E01D4" w14:textId="77777777" w:rsidR="00727D3F" w:rsidRPr="006A1212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35,0</w:t>
            </w:r>
          </w:p>
        </w:tc>
      </w:tr>
    </w:tbl>
    <w:p w14:paraId="229333A8" w14:textId="5E8D7921" w:rsidR="00727D3F" w:rsidRPr="006A1212" w:rsidRDefault="00727D3F" w:rsidP="00727D3F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porównaniu z czerwcem br. sprzedaż produkcji budowlano-montażowej była niższa o 0,6%. Spadek produkcji budowlano-montażowej wystąpił w jednostkach specjalizujących się w budowie obiektów inżynierii lądowej i wodnej (o 19,7%), natomiast wzrost odnotowano w podmiotach realizujących głównie roboty budowlane specjalistyczne (o 24,4%)</w:t>
      </w:r>
      <w:r w:rsidR="00F92C8A" w:rsidRPr="006A1212">
        <w:rPr>
          <w:highlight w:val="black"/>
        </w:rPr>
        <w:t xml:space="preserve"> oraz w </w:t>
      </w:r>
      <w:r w:rsidRPr="006A1212">
        <w:rPr>
          <w:highlight w:val="black"/>
        </w:rPr>
        <w:t>jednostkach, w których podstawowym rodzajem działalności jest budowa budynków (o 0,8%).</w:t>
      </w:r>
    </w:p>
    <w:p w14:paraId="57F1B1A1" w14:textId="26DD64CD" w:rsidR="004038A5" w:rsidRPr="006A1212" w:rsidRDefault="00727D3F" w:rsidP="00727D3F">
      <w:pPr>
        <w:pStyle w:val="podstawowyFira95"/>
        <w:spacing w:line="288" w:lineRule="auto"/>
        <w:jc w:val="left"/>
        <w:rPr>
          <w:highlight w:val="black"/>
        </w:rPr>
      </w:pPr>
      <w:r w:rsidRPr="006A1212">
        <w:rPr>
          <w:highlight w:val="black"/>
        </w:rPr>
        <w:t>W okresie od stycznia do lipca br. produkcja budowlano-montażowa wyniosła 2877,1 mln zł i była o 17,8</w:t>
      </w:r>
      <w:r w:rsidR="00F92C8A" w:rsidRPr="006A1212">
        <w:rPr>
          <w:highlight w:val="black"/>
        </w:rPr>
        <w:t>% wyższa niż w </w:t>
      </w:r>
      <w:r w:rsidRPr="006A1212">
        <w:rPr>
          <w:highlight w:val="black"/>
        </w:rPr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specjalistyczne.</w:t>
      </w:r>
    </w:p>
    <w:p w14:paraId="32323267" w14:textId="583A0FA5" w:rsidR="005068B0" w:rsidRPr="006A1212" w:rsidRDefault="005068B0" w:rsidP="0095210F">
      <w:pPr>
        <w:pStyle w:val="Nagwek1"/>
        <w:rPr>
          <w:highlight w:val="black"/>
        </w:rPr>
      </w:pPr>
      <w:bookmarkStart w:id="35" w:name="_Toc112658419"/>
      <w:r w:rsidRPr="006A1212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34050B3D" w14:textId="77777777" w:rsidR="00802169" w:rsidRPr="006A1212" w:rsidRDefault="00802169" w:rsidP="00802169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6A1212">
        <w:rPr>
          <w:szCs w:val="19"/>
          <w:highlight w:val="black"/>
        </w:rPr>
        <w:t xml:space="preserve">W </w:t>
      </w:r>
      <w:r w:rsidRPr="006A1212">
        <w:rPr>
          <w:spacing w:val="-2"/>
          <w:highlight w:val="black"/>
        </w:rPr>
        <w:t xml:space="preserve">lipcu </w:t>
      </w:r>
      <w:r w:rsidRPr="006A1212">
        <w:rPr>
          <w:szCs w:val="19"/>
          <w:highlight w:val="black"/>
        </w:rPr>
        <w:t>2022 r., w porównaniu z analogicznym okresem 2021 r., wzrosła liczba mieszkań oddanych do użytkowania (o 4,2%). Spadła natomiast liczba mieszkań, na realizację których wydano pozwolenia lub dokonano zgłoszenia z projektem budowlanym (o 4,4%) oraz liczba mieszkań, których budowę rozpoczęto (o 9,3%).</w:t>
      </w:r>
    </w:p>
    <w:p w14:paraId="408CF342" w14:textId="693C2325" w:rsidR="00802169" w:rsidRPr="006A1212" w:rsidRDefault="00802169" w:rsidP="00802169">
      <w:pPr>
        <w:spacing w:before="120" w:after="120" w:line="288" w:lineRule="auto"/>
        <w:rPr>
          <w:szCs w:val="19"/>
          <w:highlight w:val="black"/>
        </w:rPr>
      </w:pPr>
      <w:r w:rsidRPr="006A1212">
        <w:rPr>
          <w:szCs w:val="19"/>
          <w:highlight w:val="black"/>
        </w:rPr>
        <w:t>Według wstępnych danych</w:t>
      </w:r>
      <w:r w:rsidRPr="006A1212">
        <w:rPr>
          <w:szCs w:val="19"/>
          <w:highlight w:val="black"/>
          <w:vertAlign w:val="superscript"/>
        </w:rPr>
        <w:footnoteReference w:id="4"/>
      </w:r>
      <w:r w:rsidRPr="006A1212">
        <w:rPr>
          <w:szCs w:val="19"/>
          <w:highlight w:val="black"/>
        </w:rPr>
        <w:t>, w lipcu 2022 r. przekazano do użytkowania 1129 mieszkań o łącznej powierzchni 103,3 tys. m</w:t>
      </w:r>
      <w:r w:rsidRPr="006A1212">
        <w:rPr>
          <w:szCs w:val="19"/>
          <w:highlight w:val="black"/>
          <w:vertAlign w:val="superscript"/>
        </w:rPr>
        <w:t>2</w:t>
      </w:r>
      <w:r w:rsidRPr="006A1212">
        <w:rPr>
          <w:szCs w:val="19"/>
          <w:highlight w:val="black"/>
        </w:rPr>
        <w:t xml:space="preserve">. Liczba nowo wybudowanych mieszkań, w porównaniu z lipcem 2021 r., wzrosła o 45 lokali. W lipcu 2022 r. w budownictwie przeznaczonym na sprzedaż lub wynajem przekazano 690 mieszkań (o 162 więcej), a w budownictwie indywidualnym 439 mieszkań (o 93 mniej niż w lipcu 2021 r.). </w:t>
      </w:r>
      <w:r w:rsidRPr="006A1212">
        <w:rPr>
          <w:highlight w:val="black"/>
        </w:rPr>
        <w:t xml:space="preserve">W pozostałych formach budownictwa </w:t>
      </w:r>
      <w:r w:rsidRPr="006A1212">
        <w:rPr>
          <w:rFonts w:cstheme="minorBidi"/>
          <w:szCs w:val="19"/>
          <w:highlight w:val="black"/>
          <w:shd w:val="clear" w:color="auto" w:fill="FFFFFF"/>
        </w:rPr>
        <w:t>nie odnotowano efektów</w:t>
      </w:r>
      <w:r w:rsidRPr="006A1212">
        <w:rPr>
          <w:szCs w:val="19"/>
          <w:highlight w:val="black"/>
        </w:rPr>
        <w:t>.</w:t>
      </w:r>
    </w:p>
    <w:p w14:paraId="7A5D0B7B" w14:textId="4F2EC3B0" w:rsidR="00802169" w:rsidRPr="006A1212" w:rsidRDefault="00802169" w:rsidP="00802169">
      <w:pPr>
        <w:spacing w:before="120" w:after="120" w:line="288" w:lineRule="auto"/>
        <w:rPr>
          <w:szCs w:val="19"/>
          <w:highlight w:val="black"/>
        </w:rPr>
      </w:pPr>
      <w:r w:rsidRPr="006A1212">
        <w:rPr>
          <w:szCs w:val="19"/>
          <w:highlight w:val="black"/>
        </w:rPr>
        <w:t xml:space="preserve">W lipcu 2022 r. udział województwa podkarpackiego wśród mieszkań oddanych do użytkowania w kraju wyniósł 6,4% i był o 1,1 </w:t>
      </w:r>
      <w:proofErr w:type="spellStart"/>
      <w:r w:rsidRPr="006A1212">
        <w:rPr>
          <w:szCs w:val="19"/>
          <w:highlight w:val="black"/>
        </w:rPr>
        <w:t>p.proc</w:t>
      </w:r>
      <w:proofErr w:type="spellEnd"/>
      <w:r w:rsidRPr="006A1212">
        <w:rPr>
          <w:szCs w:val="19"/>
          <w:highlight w:val="black"/>
        </w:rPr>
        <w:t>. wyższy niż w czerwcu 2022 r.</w:t>
      </w:r>
    </w:p>
    <w:p w14:paraId="0E484192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414D6376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39A315DE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408ABA78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252058C0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31512C58" w14:textId="77777777" w:rsidR="0079369B" w:rsidRPr="006A1212" w:rsidRDefault="0079369B" w:rsidP="0079369B">
      <w:pPr>
        <w:spacing w:line="288" w:lineRule="auto"/>
        <w:rPr>
          <w:szCs w:val="19"/>
          <w:highlight w:val="black"/>
        </w:rPr>
      </w:pPr>
    </w:p>
    <w:p w14:paraId="121EEB96" w14:textId="77777777" w:rsidR="0079369B" w:rsidRPr="006A1212" w:rsidRDefault="0079369B" w:rsidP="0079369B">
      <w:pPr>
        <w:spacing w:line="288" w:lineRule="auto"/>
        <w:rPr>
          <w:szCs w:val="19"/>
          <w:highlight w:val="black"/>
        </w:rPr>
      </w:pPr>
    </w:p>
    <w:p w14:paraId="64F97858" w14:textId="77777777" w:rsidR="0086701C" w:rsidRPr="006A1212" w:rsidRDefault="0086701C" w:rsidP="0079369B">
      <w:pPr>
        <w:spacing w:line="288" w:lineRule="auto"/>
        <w:rPr>
          <w:szCs w:val="19"/>
          <w:highlight w:val="black"/>
        </w:rPr>
      </w:pPr>
    </w:p>
    <w:p w14:paraId="6EC13E87" w14:textId="579A5D89" w:rsidR="0086701C" w:rsidRPr="006A1212" w:rsidRDefault="0086701C" w:rsidP="0086701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styczeń–lipiec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lipiec 2022 r. Dane do tabeli dostępne są w załączonym pliku excel."/>
      </w:tblPr>
      <w:tblGrid>
        <w:gridCol w:w="3262"/>
        <w:gridCol w:w="1800"/>
        <w:gridCol w:w="1800"/>
        <w:gridCol w:w="1800"/>
        <w:gridCol w:w="1804"/>
      </w:tblGrid>
      <w:tr w:rsidR="00802169" w:rsidRPr="006A1212" w14:paraId="7AEA795E" w14:textId="77777777" w:rsidTr="006A1212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D57251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F5D99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4A069E0F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 xml:space="preserve">Przeciętna </w:t>
            </w:r>
            <w:r w:rsidRPr="006A1212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6A1212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6A1212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6A1212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6A1212" w:rsidRPr="006A1212" w14:paraId="58D121A3" w14:textId="77777777" w:rsidTr="006A1212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EF5C6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772B0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 xml:space="preserve">w liczbach </w:t>
            </w:r>
            <w:r w:rsidRPr="006A1212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7A7E6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0F3DA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</w:t>
            </w:r>
            <w:r w:rsidRPr="006A1212">
              <w:rPr>
                <w:bCs/>
                <w:noProof/>
                <w:szCs w:val="19"/>
                <w:highlight w:val="black"/>
              </w:rPr>
              <w:t>–</w:t>
            </w:r>
            <w:r w:rsidRPr="006A1212">
              <w:rPr>
                <w:rFonts w:cs="Arial"/>
                <w:szCs w:val="19"/>
                <w:highlight w:val="black"/>
              </w:rPr>
              <w:t>07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F7CF1B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043D62FF" w14:textId="77777777" w:rsidTr="006A121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045A75" w14:textId="77777777" w:rsidR="00802169" w:rsidRPr="006A1212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F1817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6315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BFF2D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92C80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CD0B74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6A1212" w:rsidRPr="006A1212" w14:paraId="03D58FF7" w14:textId="77777777" w:rsidTr="006A121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7BDF" w14:textId="77777777" w:rsidR="00802169" w:rsidRPr="006A1212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BEC6F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3655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A30AB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57,9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A01DC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E64AF0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140,6</w:t>
            </w:r>
          </w:p>
        </w:tc>
      </w:tr>
      <w:tr w:rsidR="006A1212" w:rsidRPr="006A1212" w14:paraId="41DAEBA5" w14:textId="77777777" w:rsidTr="006A121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0A1BE" w14:textId="77777777" w:rsidR="00802169" w:rsidRPr="006A1212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9B38A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7993D8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298FB9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7B8645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6A1212" w:rsidRPr="006A1212" w14:paraId="22052A25" w14:textId="77777777" w:rsidTr="006A121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8EE60C" w14:textId="77777777" w:rsidR="00802169" w:rsidRPr="006A1212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1C0A51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2448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C4827E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38,8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EF709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121,6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E7F741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63,0</w:t>
            </w:r>
          </w:p>
        </w:tc>
      </w:tr>
      <w:tr w:rsidR="00802169" w:rsidRPr="006A1212" w14:paraId="7170FAC5" w14:textId="77777777" w:rsidTr="006A1212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2E8364" w14:textId="77777777" w:rsidR="00802169" w:rsidRPr="006A1212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7364C7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EDEAC8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54AEE3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295,8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CC5F5BC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60,6</w:t>
            </w:r>
          </w:p>
        </w:tc>
      </w:tr>
    </w:tbl>
    <w:p w14:paraId="165150BA" w14:textId="77777777" w:rsidR="00802169" w:rsidRPr="006A1212" w:rsidRDefault="00802169" w:rsidP="008021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Dynamika mieszkań oddanych do użytkowania (analogiczny okres 2015=100)</w:t>
      </w:r>
    </w:p>
    <w:p w14:paraId="4892BE78" w14:textId="35F40E91" w:rsidR="00802169" w:rsidRPr="006A1212" w:rsidRDefault="00994C81" w:rsidP="00802169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5D503FA1" wp14:editId="479D6F06">
            <wp:extent cx="6652800" cy="2904888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290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1E5B3" w14:textId="3A1C25CB" w:rsidR="00802169" w:rsidRPr="006A1212" w:rsidRDefault="00802169" w:rsidP="00802169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6A1212">
        <w:rPr>
          <w:rFonts w:cs="Arial"/>
          <w:spacing w:val="-2"/>
          <w:szCs w:val="19"/>
          <w:highlight w:val="black"/>
        </w:rPr>
        <w:t>W okresie styczeń</w:t>
      </w:r>
      <w:r w:rsidRPr="006A1212">
        <w:rPr>
          <w:rFonts w:cs="Arial"/>
          <w:szCs w:val="19"/>
          <w:highlight w:val="black"/>
        </w:rPr>
        <w:t>–</w:t>
      </w:r>
      <w:r w:rsidRPr="006A1212">
        <w:rPr>
          <w:rFonts w:cs="Arial"/>
          <w:spacing w:val="-2"/>
          <w:szCs w:val="19"/>
          <w:highlight w:val="black"/>
        </w:rPr>
        <w:t xml:space="preserve">lipiec 2022 r. </w:t>
      </w:r>
      <w:r w:rsidRPr="006A1212">
        <w:rPr>
          <w:rFonts w:cs="Arial"/>
          <w:b/>
          <w:bCs/>
          <w:spacing w:val="-2"/>
          <w:szCs w:val="19"/>
          <w:highlight w:val="black"/>
        </w:rPr>
        <w:t>oddano do użytkowania 6315</w:t>
      </w:r>
      <w:r w:rsidRPr="006A1212">
        <w:rPr>
          <w:rFonts w:cs="Arial"/>
          <w:spacing w:val="-2"/>
          <w:szCs w:val="19"/>
          <w:highlight w:val="black"/>
        </w:rPr>
        <w:t xml:space="preserve"> </w:t>
      </w:r>
      <w:r w:rsidRPr="006A1212">
        <w:rPr>
          <w:rFonts w:cs="Arial"/>
          <w:b/>
          <w:bCs/>
          <w:spacing w:val="-2"/>
          <w:szCs w:val="19"/>
          <w:highlight w:val="black"/>
        </w:rPr>
        <w:t>mieszkań</w:t>
      </w:r>
      <w:r w:rsidRPr="006A1212">
        <w:rPr>
          <w:rFonts w:cs="Arial"/>
          <w:spacing w:val="-2"/>
          <w:szCs w:val="19"/>
          <w:highlight w:val="black"/>
        </w:rPr>
        <w:t>, tj. o 758 lokali więcej niż w analogicznym okresie ub. roku. W budownictwie przeznaczonym na sprzedaż lub wynajem przekaza</w:t>
      </w:r>
      <w:r w:rsidR="00610A58" w:rsidRPr="006A1212">
        <w:rPr>
          <w:rFonts w:cs="Arial"/>
          <w:spacing w:val="-2"/>
          <w:szCs w:val="19"/>
          <w:highlight w:val="black"/>
        </w:rPr>
        <w:t xml:space="preserve">no o </w:t>
      </w:r>
      <w:r w:rsidRPr="006A1212">
        <w:rPr>
          <w:rFonts w:cs="Arial"/>
          <w:spacing w:val="-2"/>
          <w:szCs w:val="19"/>
          <w:highlight w:val="black"/>
        </w:rPr>
        <w:t xml:space="preserve">435 mieszkań więcej, w indywidualnym o 296 więcej, a w społecznym czynszowym o 47 mieszkań więcej. Natomiast w budownictwie </w:t>
      </w:r>
      <w:r w:rsidRPr="006A1212">
        <w:rPr>
          <w:szCs w:val="19"/>
          <w:highlight w:val="black"/>
        </w:rPr>
        <w:t>spółdzielczym</w:t>
      </w:r>
      <w:r w:rsidRPr="006A1212">
        <w:rPr>
          <w:rFonts w:cs="Arial"/>
          <w:spacing w:val="-2"/>
          <w:szCs w:val="19"/>
          <w:highlight w:val="black"/>
        </w:rPr>
        <w:t xml:space="preserve"> oddano do użytkowania </w:t>
      </w:r>
      <w:r w:rsidRPr="006A1212">
        <w:rPr>
          <w:szCs w:val="19"/>
          <w:highlight w:val="black"/>
        </w:rPr>
        <w:t>o 19 mieszkań mniej</w:t>
      </w:r>
      <w:r w:rsidRPr="006A1212">
        <w:rPr>
          <w:rFonts w:cs="Arial"/>
          <w:spacing w:val="-2"/>
          <w:szCs w:val="19"/>
          <w:highlight w:val="black"/>
        </w:rPr>
        <w:t>.</w:t>
      </w:r>
    </w:p>
    <w:p w14:paraId="1DF5D148" w14:textId="77777777" w:rsidR="00802169" w:rsidRPr="006A1212" w:rsidRDefault="00802169" w:rsidP="0080216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6A1212">
        <w:rPr>
          <w:b/>
          <w:bCs/>
          <w:noProof/>
          <w:szCs w:val="19"/>
          <w:highlight w:val="black"/>
        </w:rPr>
        <w:t>Przeciętna powierzchnia użytkowa</w:t>
      </w:r>
      <w:r w:rsidRPr="006A1212">
        <w:rPr>
          <w:bCs/>
          <w:noProof/>
          <w:szCs w:val="19"/>
          <w:highlight w:val="black"/>
        </w:rPr>
        <w:t xml:space="preserve"> mieszkania przekazanego do użytkowania w okresie </w:t>
      </w:r>
      <w:r w:rsidRPr="006A1212">
        <w:rPr>
          <w:noProof/>
          <w:highlight w:val="black"/>
        </w:rPr>
        <w:t>styczeń</w:t>
      </w:r>
      <w:r w:rsidRPr="006A1212">
        <w:rPr>
          <w:rFonts w:cs="Arial"/>
          <w:szCs w:val="19"/>
          <w:highlight w:val="black"/>
        </w:rPr>
        <w:t>–</w:t>
      </w:r>
      <w:r w:rsidRPr="006A1212">
        <w:rPr>
          <w:noProof/>
          <w:highlight w:val="black"/>
        </w:rPr>
        <w:t xml:space="preserve">lipiec br. </w:t>
      </w:r>
      <w:r w:rsidRPr="006A1212">
        <w:rPr>
          <w:bCs/>
          <w:noProof/>
          <w:szCs w:val="19"/>
          <w:highlight w:val="black"/>
        </w:rPr>
        <w:t>wyniosła 107,7 m</w:t>
      </w:r>
      <w:r w:rsidRPr="006A1212">
        <w:rPr>
          <w:bCs/>
          <w:noProof/>
          <w:szCs w:val="19"/>
          <w:highlight w:val="black"/>
          <w:vertAlign w:val="superscript"/>
        </w:rPr>
        <w:t>2</w:t>
      </w:r>
      <w:r w:rsidRPr="006A1212">
        <w:rPr>
          <w:bCs/>
          <w:noProof/>
          <w:szCs w:val="19"/>
          <w:highlight w:val="black"/>
        </w:rPr>
        <w:t>, z tego w budownictwie indywidualnym – 140,6 m</w:t>
      </w:r>
      <w:r w:rsidRPr="006A1212">
        <w:rPr>
          <w:bCs/>
          <w:noProof/>
          <w:szCs w:val="19"/>
          <w:highlight w:val="black"/>
          <w:vertAlign w:val="superscript"/>
        </w:rPr>
        <w:t>2</w:t>
      </w:r>
      <w:r w:rsidRPr="006A1212">
        <w:rPr>
          <w:bCs/>
          <w:noProof/>
          <w:szCs w:val="19"/>
          <w:highlight w:val="black"/>
        </w:rPr>
        <w:t>, przeznaczonym na sprzedaż lub wynajem – 63,0 m</w:t>
      </w:r>
      <w:r w:rsidRPr="006A1212">
        <w:rPr>
          <w:bCs/>
          <w:noProof/>
          <w:szCs w:val="19"/>
          <w:highlight w:val="black"/>
          <w:vertAlign w:val="superscript"/>
        </w:rPr>
        <w:t>2</w:t>
      </w:r>
      <w:r w:rsidRPr="006A1212">
        <w:rPr>
          <w:bCs/>
          <w:noProof/>
          <w:szCs w:val="19"/>
          <w:highlight w:val="black"/>
        </w:rPr>
        <w:t>, społecznym czynszowym – 60,6 m</w:t>
      </w:r>
      <w:r w:rsidRPr="006A1212">
        <w:rPr>
          <w:bCs/>
          <w:noProof/>
          <w:szCs w:val="19"/>
          <w:highlight w:val="black"/>
          <w:vertAlign w:val="superscript"/>
        </w:rPr>
        <w:t>2</w:t>
      </w:r>
      <w:r w:rsidRPr="006A1212">
        <w:rPr>
          <w:bCs/>
          <w:noProof/>
          <w:szCs w:val="19"/>
          <w:highlight w:val="black"/>
        </w:rPr>
        <w:t>, a w spółdzielczym 55,1 m</w:t>
      </w:r>
      <w:r w:rsidRPr="006A1212">
        <w:rPr>
          <w:bCs/>
          <w:noProof/>
          <w:szCs w:val="19"/>
          <w:highlight w:val="black"/>
          <w:vertAlign w:val="superscript"/>
        </w:rPr>
        <w:t>2</w:t>
      </w:r>
      <w:r w:rsidRPr="006A1212">
        <w:rPr>
          <w:bCs/>
          <w:noProof/>
          <w:szCs w:val="19"/>
          <w:highlight w:val="black"/>
        </w:rPr>
        <w:t>.</w:t>
      </w:r>
    </w:p>
    <w:p w14:paraId="7A6A750B" w14:textId="30E0BF97" w:rsidR="00802169" w:rsidRPr="006A1212" w:rsidRDefault="00802169" w:rsidP="0080216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6A1212">
        <w:rPr>
          <w:bCs/>
          <w:noProof/>
          <w:szCs w:val="19"/>
          <w:highlight w:val="black"/>
        </w:rPr>
        <w:t>W przekroju terytorialnym najwięcej mieszkań oddano do użytkowania w Rzeszowie (1707), następnie w powiecie rzeszowskim (699) i dębickim (421). Najmniej mieszkań przekazano w powiecie bieszczadzkim (38), a następnie</w:t>
      </w:r>
      <w:r w:rsidR="003023D6" w:rsidRPr="006A1212">
        <w:rPr>
          <w:bCs/>
          <w:noProof/>
          <w:szCs w:val="19"/>
          <w:highlight w:val="black"/>
        </w:rPr>
        <w:t xml:space="preserve"> w </w:t>
      </w:r>
      <w:r w:rsidRPr="006A1212">
        <w:rPr>
          <w:bCs/>
          <w:noProof/>
          <w:szCs w:val="19"/>
          <w:highlight w:val="black"/>
        </w:rPr>
        <w:t>leskim</w:t>
      </w:r>
      <w:r w:rsidR="003023D6" w:rsidRPr="006A1212">
        <w:rPr>
          <w:bCs/>
          <w:noProof/>
          <w:szCs w:val="19"/>
          <w:highlight w:val="black"/>
        </w:rPr>
        <w:t> </w:t>
      </w:r>
      <w:r w:rsidRPr="006A1212">
        <w:rPr>
          <w:bCs/>
          <w:noProof/>
          <w:szCs w:val="19"/>
          <w:highlight w:val="black"/>
        </w:rPr>
        <w:t>(57).</w:t>
      </w:r>
    </w:p>
    <w:p w14:paraId="6119288C" w14:textId="77777777" w:rsidR="00802169" w:rsidRPr="006A1212" w:rsidRDefault="00802169" w:rsidP="00802169">
      <w:pPr>
        <w:spacing w:before="120" w:after="120" w:line="288" w:lineRule="auto"/>
        <w:rPr>
          <w:noProof/>
          <w:szCs w:val="19"/>
          <w:highlight w:val="black"/>
        </w:rPr>
      </w:pPr>
      <w:r w:rsidRPr="006A1212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6A1212">
        <w:rPr>
          <w:bCs/>
          <w:noProof/>
          <w:szCs w:val="19"/>
          <w:highlight w:val="black"/>
        </w:rPr>
        <w:t>powiecie przemyskim</w:t>
      </w:r>
      <w:r w:rsidRPr="006A1212">
        <w:rPr>
          <w:noProof/>
          <w:szCs w:val="19"/>
          <w:highlight w:val="black"/>
        </w:rPr>
        <w:t xml:space="preserve"> (149,9 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>), następnie</w:t>
      </w:r>
      <w:r w:rsidRPr="006A1212">
        <w:rPr>
          <w:bCs/>
          <w:noProof/>
          <w:szCs w:val="19"/>
          <w:highlight w:val="black"/>
        </w:rPr>
        <w:t xml:space="preserve"> sanockim </w:t>
      </w:r>
      <w:r w:rsidRPr="006A1212">
        <w:rPr>
          <w:noProof/>
          <w:szCs w:val="19"/>
          <w:highlight w:val="black"/>
        </w:rPr>
        <w:t>(148,7 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>) i leżajskim</w:t>
      </w:r>
      <w:r w:rsidRPr="006A1212">
        <w:rPr>
          <w:bCs/>
          <w:noProof/>
          <w:szCs w:val="19"/>
          <w:highlight w:val="black"/>
        </w:rPr>
        <w:t xml:space="preserve"> </w:t>
      </w:r>
      <w:r w:rsidRPr="006A1212">
        <w:rPr>
          <w:noProof/>
          <w:szCs w:val="19"/>
          <w:highlight w:val="black"/>
        </w:rPr>
        <w:t>(146,3 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>). Najmniejsze natomiast w Przemyślu, Krośnie i Rzeszowie (odpowiednio: 67,4 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>, 71,8 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 xml:space="preserve"> i 71,9 m</w:t>
      </w:r>
      <w:r w:rsidRPr="006A1212">
        <w:rPr>
          <w:noProof/>
          <w:szCs w:val="19"/>
          <w:highlight w:val="black"/>
          <w:vertAlign w:val="superscript"/>
        </w:rPr>
        <w:t>2</w:t>
      </w:r>
      <w:r w:rsidRPr="006A1212">
        <w:rPr>
          <w:noProof/>
          <w:szCs w:val="19"/>
          <w:highlight w:val="black"/>
        </w:rPr>
        <w:t>).</w:t>
      </w:r>
    </w:p>
    <w:p w14:paraId="1D355EF3" w14:textId="77777777" w:rsidR="00802169" w:rsidRPr="006A1212" w:rsidRDefault="00802169" w:rsidP="00802169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6A1212">
        <w:rPr>
          <w:b/>
          <w:highlight w:val="black"/>
        </w:rPr>
        <w:lastRenderedPageBreak/>
        <w:t xml:space="preserve">Mapa 2. Mieszkania oddane do użytkowania według powiatów </w:t>
      </w:r>
      <w:r w:rsidRPr="006A1212">
        <w:rPr>
          <w:b/>
          <w:bCs/>
          <w:noProof/>
          <w:szCs w:val="19"/>
          <w:highlight w:val="black"/>
        </w:rPr>
        <w:t xml:space="preserve">w okresie </w:t>
      </w:r>
      <w:r w:rsidRPr="006A1212">
        <w:rPr>
          <w:b/>
          <w:noProof/>
          <w:highlight w:val="black"/>
        </w:rPr>
        <w:t>styczeń</w:t>
      </w:r>
      <w:r w:rsidRPr="006A1212">
        <w:rPr>
          <w:rFonts w:cs="Arial"/>
          <w:b/>
          <w:szCs w:val="19"/>
          <w:highlight w:val="black"/>
        </w:rPr>
        <w:t>–</w:t>
      </w:r>
      <w:r w:rsidRPr="006A1212">
        <w:rPr>
          <w:b/>
          <w:noProof/>
          <w:highlight w:val="black"/>
        </w:rPr>
        <w:t>lipiec</w:t>
      </w:r>
      <w:r w:rsidRPr="006A1212">
        <w:rPr>
          <w:b/>
          <w:highlight w:val="black"/>
        </w:rPr>
        <w:t xml:space="preserve"> 2022 r.</w:t>
      </w:r>
    </w:p>
    <w:p w14:paraId="23884CD2" w14:textId="509A15C2" w:rsidR="00802169" w:rsidRPr="006A1212" w:rsidRDefault="00FF0960" w:rsidP="00802169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42419D33" wp14:editId="7F869F0D">
            <wp:extent cx="4361697" cy="4946914"/>
            <wp:effectExtent l="0" t="0" r="127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eszkania_07_2022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E523" w14:textId="50960E82" w:rsidR="00802169" w:rsidRPr="006A1212" w:rsidRDefault="00802169" w:rsidP="00802169">
      <w:pPr>
        <w:spacing w:before="240" w:after="120" w:line="288" w:lineRule="auto"/>
        <w:rPr>
          <w:noProof/>
          <w:szCs w:val="19"/>
          <w:highlight w:val="black"/>
        </w:rPr>
      </w:pPr>
      <w:r w:rsidRPr="006A1212">
        <w:rPr>
          <w:rFonts w:cs="Arial"/>
          <w:szCs w:val="19"/>
          <w:highlight w:val="black"/>
        </w:rPr>
        <w:t xml:space="preserve">W okresie styczeń–lipiec 2022 r. wzrost liczby mieszkań oddanych do użytkowania w odniesieniu do analogicznego okresu 2021 r. odnotowano w dwudziestu trzech powiatach, w tym największy </w:t>
      </w:r>
      <w:r w:rsidR="00B56477" w:rsidRPr="006A1212">
        <w:rPr>
          <w:rFonts w:cs="Arial"/>
          <w:szCs w:val="19"/>
          <w:highlight w:val="black"/>
        </w:rPr>
        <w:t xml:space="preserve">w </w:t>
      </w:r>
      <w:r w:rsidRPr="006A1212">
        <w:rPr>
          <w:rFonts w:cs="Arial"/>
          <w:szCs w:val="19"/>
          <w:highlight w:val="black"/>
        </w:rPr>
        <w:t>Pr</w:t>
      </w:r>
      <w:r w:rsidR="00B56477" w:rsidRPr="006A1212">
        <w:rPr>
          <w:rFonts w:cs="Arial"/>
          <w:szCs w:val="19"/>
          <w:highlight w:val="black"/>
        </w:rPr>
        <w:t>zemyślu (4-krotny), następnie w</w:t>
      </w:r>
      <w:r w:rsidRPr="006A1212">
        <w:rPr>
          <w:rFonts w:cs="Arial"/>
          <w:szCs w:val="19"/>
          <w:highlight w:val="black"/>
        </w:rPr>
        <w:t xml:space="preserve"> Krośnie (prawie 3,5-krotny). Spadek liczby mieszkań oddanych do użytkowania odnotowano jedynie w dwóch powiatach: dębickim (o 38,5%) oraz jasielskim (o 11,9%).</w:t>
      </w:r>
    </w:p>
    <w:p w14:paraId="471E492E" w14:textId="77777777" w:rsidR="00802169" w:rsidRPr="006A1212" w:rsidRDefault="00802169" w:rsidP="0080216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6A1212">
        <w:rPr>
          <w:noProof/>
          <w:szCs w:val="19"/>
          <w:highlight w:val="black"/>
        </w:rPr>
        <w:t>W lipcu 2022 r.</w:t>
      </w:r>
      <w:r w:rsidRPr="006A1212">
        <w:rPr>
          <w:rFonts w:cs="Arial"/>
          <w:szCs w:val="19"/>
          <w:highlight w:val="black"/>
        </w:rPr>
        <w:t xml:space="preserve"> liczba mieszkań, na realizację których </w:t>
      </w:r>
      <w:r w:rsidRPr="006A1212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6A1212">
        <w:rPr>
          <w:rFonts w:cs="Arial"/>
          <w:szCs w:val="19"/>
          <w:highlight w:val="black"/>
        </w:rPr>
        <w:t xml:space="preserve"> </w:t>
      </w:r>
      <w:r w:rsidRPr="006A1212">
        <w:rPr>
          <w:noProof/>
          <w:szCs w:val="19"/>
          <w:highlight w:val="black"/>
        </w:rPr>
        <w:t>wyniosła 1223 (w analogicznym miesiącu 2021 r. – 1279), z tego w budownictwie przeznaczonym na sprzedaż lub wynajem – 675, a w indywidualnym – 548.</w:t>
      </w:r>
    </w:p>
    <w:p w14:paraId="6FEA3EE7" w14:textId="77777777" w:rsidR="00802169" w:rsidRPr="006A1212" w:rsidRDefault="00802169" w:rsidP="00802169">
      <w:pPr>
        <w:spacing w:before="120" w:after="120" w:line="288" w:lineRule="auto"/>
        <w:rPr>
          <w:noProof/>
          <w:szCs w:val="19"/>
          <w:highlight w:val="black"/>
        </w:rPr>
      </w:pPr>
      <w:r w:rsidRPr="006A1212">
        <w:rPr>
          <w:noProof/>
          <w:szCs w:val="19"/>
          <w:highlight w:val="black"/>
        </w:rPr>
        <w:t xml:space="preserve">W badanym miesiącu </w:t>
      </w:r>
      <w:r w:rsidRPr="006A1212">
        <w:rPr>
          <w:b/>
          <w:noProof/>
          <w:szCs w:val="19"/>
          <w:highlight w:val="black"/>
        </w:rPr>
        <w:t xml:space="preserve">rozpoczęto budowę </w:t>
      </w:r>
      <w:r w:rsidRPr="006A1212">
        <w:rPr>
          <w:noProof/>
          <w:szCs w:val="19"/>
          <w:highlight w:val="black"/>
        </w:rPr>
        <w:t>843 mieszkań (w analogicznym miesiącu 2021 r. – 929), z tego w budownictwie indywidualnym – 546 mieszkań, przeznaczonym na sprzedaż lub wynajem – 167, a w społecznym czynszowym – 130.</w:t>
      </w:r>
    </w:p>
    <w:p w14:paraId="7C8C72BF" w14:textId="77777777" w:rsidR="0009077A" w:rsidRPr="006A1212" w:rsidRDefault="0009077A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6B360D8D" w14:textId="77777777" w:rsidR="0009077A" w:rsidRPr="006A1212" w:rsidRDefault="0009077A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13B2D0B0" w14:textId="77777777" w:rsidR="0009077A" w:rsidRPr="006A1212" w:rsidRDefault="0009077A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4DFCAA28" w14:textId="77777777" w:rsidR="0009077A" w:rsidRPr="006A1212" w:rsidRDefault="0009077A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4F3AED8D" w14:textId="77777777" w:rsidR="0009077A" w:rsidRPr="006A1212" w:rsidRDefault="0009077A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1D605641" w14:textId="77777777" w:rsidR="008103C3" w:rsidRPr="006A1212" w:rsidRDefault="008103C3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13D9ACB2" w14:textId="77777777" w:rsidR="008103C3" w:rsidRPr="006A1212" w:rsidRDefault="008103C3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20C2DB2B" w14:textId="77777777" w:rsidR="008103C3" w:rsidRPr="006A1212" w:rsidRDefault="008103C3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6E5EC46E" w14:textId="77777777" w:rsidR="008103C3" w:rsidRPr="006A1212" w:rsidRDefault="008103C3" w:rsidP="00802169">
      <w:pPr>
        <w:spacing w:before="120" w:after="120" w:line="288" w:lineRule="auto"/>
        <w:rPr>
          <w:noProof/>
          <w:szCs w:val="19"/>
          <w:highlight w:val="black"/>
        </w:rPr>
      </w:pPr>
    </w:p>
    <w:p w14:paraId="007E9770" w14:textId="7CDF4B80" w:rsidR="00AC2F77" w:rsidRPr="006A1212" w:rsidRDefault="008103C3" w:rsidP="008103C3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styczeń–lipiec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lipiec 2022 r. Dane do tabeli dostępne są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02169" w:rsidRPr="006A1212" w14:paraId="30E9D657" w14:textId="77777777" w:rsidTr="006A1212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80A5D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248C9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EF06F0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6A1212" w:rsidRPr="006A1212" w14:paraId="3007BABB" w14:textId="77777777" w:rsidTr="006A1212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0A771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459BE" w14:textId="77777777" w:rsidR="00802169" w:rsidRPr="006A1212" w:rsidRDefault="00802169" w:rsidP="0080216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390A3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0830D" w14:textId="77777777" w:rsidR="00802169" w:rsidRPr="006A1212" w:rsidRDefault="00802169" w:rsidP="0080216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</w:t>
            </w:r>
            <w:r w:rsidRPr="006A1212">
              <w:rPr>
                <w:bCs/>
                <w:noProof/>
                <w:szCs w:val="19"/>
                <w:highlight w:val="black"/>
              </w:rPr>
              <w:t>–</w:t>
            </w:r>
            <w:r w:rsidRPr="006A1212">
              <w:rPr>
                <w:rFonts w:cs="Arial"/>
                <w:szCs w:val="19"/>
                <w:highlight w:val="black"/>
              </w:rPr>
              <w:t>07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053CB" w14:textId="77777777" w:rsidR="00802169" w:rsidRPr="006A1212" w:rsidRDefault="00802169" w:rsidP="0080216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3B4836" w14:textId="77777777" w:rsidR="00802169" w:rsidRPr="006A1212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4DF6F4" w14:textId="77777777" w:rsidR="00802169" w:rsidRPr="006A1212" w:rsidRDefault="00802169" w:rsidP="0080216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</w:t>
            </w:r>
            <w:r w:rsidRPr="006A1212">
              <w:rPr>
                <w:bCs/>
                <w:noProof/>
                <w:szCs w:val="19"/>
                <w:highlight w:val="black"/>
              </w:rPr>
              <w:t>–</w:t>
            </w:r>
            <w:r w:rsidRPr="006A1212">
              <w:rPr>
                <w:rFonts w:cs="Arial"/>
                <w:szCs w:val="19"/>
                <w:highlight w:val="black"/>
              </w:rPr>
              <w:t>07 2021=100</w:t>
            </w:r>
          </w:p>
        </w:tc>
      </w:tr>
      <w:tr w:rsidR="006A1212" w:rsidRPr="006A1212" w14:paraId="58945590" w14:textId="77777777" w:rsidTr="006A121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937016" w14:textId="77777777" w:rsidR="00802169" w:rsidRPr="006A1212" w:rsidRDefault="00802169" w:rsidP="0080216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3FDD83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6958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1C0CC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E17F2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95D7B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7232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404DC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DB4935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105,1</w:t>
            </w:r>
          </w:p>
        </w:tc>
      </w:tr>
      <w:tr w:rsidR="006A1212" w:rsidRPr="006A1212" w14:paraId="79C0AA7F" w14:textId="77777777" w:rsidTr="006A121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A350F3" w14:textId="77777777" w:rsidR="00802169" w:rsidRPr="006A1212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559BD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3710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306AE0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53,3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0C43A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84,9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F4CF64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3449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525DE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47,7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4A76EA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84,8</w:t>
            </w:r>
          </w:p>
        </w:tc>
      </w:tr>
      <w:tr w:rsidR="006A1212" w:rsidRPr="006A1212" w14:paraId="7CB4A3D5" w14:textId="77777777" w:rsidTr="006A121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9D2E1" w14:textId="77777777" w:rsidR="00802169" w:rsidRPr="006A1212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FBEE9B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3226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DADAA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46,4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C282D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9E22E3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3617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D1E74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7626A1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129,4</w:t>
            </w:r>
          </w:p>
        </w:tc>
      </w:tr>
      <w:tr w:rsidR="006A1212" w:rsidRPr="006A1212" w14:paraId="585339DD" w14:textId="77777777" w:rsidTr="006A121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E2F2C" w14:textId="77777777" w:rsidR="00802169" w:rsidRPr="006A1212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46A27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9125D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25C78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B22389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A2499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2AD5A6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6A1212" w:rsidRPr="006A1212" w14:paraId="53EAC4BA" w14:textId="77777777" w:rsidTr="006A1212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DFB72B" w14:textId="77777777" w:rsidR="00802169" w:rsidRPr="006A1212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82A4F8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FF8859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1E9865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C94144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D9C118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D18511" w14:textId="77777777" w:rsidR="00802169" w:rsidRPr="006A1212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6A1212" w:rsidRDefault="003A65C9" w:rsidP="002146B3">
      <w:pPr>
        <w:pStyle w:val="Nagwek1"/>
        <w:rPr>
          <w:highlight w:val="black"/>
        </w:rPr>
      </w:pPr>
      <w:bookmarkStart w:id="37" w:name="_Toc112658420"/>
      <w:bookmarkEnd w:id="36"/>
      <w:r w:rsidRPr="006A1212">
        <w:rPr>
          <w:highlight w:val="black"/>
        </w:rPr>
        <w:t>Rynek wewnętrzny</w:t>
      </w:r>
      <w:bookmarkEnd w:id="37"/>
    </w:p>
    <w:p w14:paraId="7F1B1661" w14:textId="77777777" w:rsidR="0078123B" w:rsidRPr="006A1212" w:rsidRDefault="0078123B" w:rsidP="0078123B">
      <w:pPr>
        <w:spacing w:before="120" w:after="120" w:line="288" w:lineRule="auto"/>
        <w:rPr>
          <w:highlight w:val="black"/>
        </w:rPr>
      </w:pPr>
      <w:bookmarkStart w:id="38" w:name="_Toc6905819"/>
      <w:bookmarkStart w:id="39" w:name="_Toc52179244"/>
      <w:r w:rsidRPr="006A1212">
        <w:rPr>
          <w:highlight w:val="black"/>
        </w:rPr>
        <w:t>W lipcu 2022 r. w skali roku zwiększyła się sprzedaż detaliczna (w cenach bieżących). Wyższa była również sprzedaż hurtowa, zarówno w jednostkach handlowych, jak i hurtowych.</w:t>
      </w:r>
    </w:p>
    <w:p w14:paraId="4D3681BF" w14:textId="77777777" w:rsidR="0078123B" w:rsidRPr="006A1212" w:rsidRDefault="0078123B" w:rsidP="0078123B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t>Sprzedaż detaliczna</w:t>
      </w:r>
      <w:r w:rsidRPr="006A1212">
        <w:rPr>
          <w:highlight w:val="black"/>
        </w:rPr>
        <w:t xml:space="preserve"> zrealizowana przez przedsiębiorstwa handlowe i niehandlowe, w lipcu 2022 r. była o 17,7% wyższa niż przed rokiem (wobec wzrostu o 7,7% w lipcu 2021 r.) i wyższa o 3,9% niż przed miesiącem.</w:t>
      </w:r>
    </w:p>
    <w:p w14:paraId="3F1C55A0" w14:textId="6C2F508C" w:rsidR="0078123B" w:rsidRPr="006A1212" w:rsidRDefault="0078123B" w:rsidP="0078123B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 xml:space="preserve">Wzrost sprzedaży detalicznej w porównaniu z lipcem 2021 r. wystąpił m.in. w jednostkach zgrupowanych w kategorii pozostałe (o 46,4%), a także w podmiotach zajmujących się sprzedażą zarówno żywności, napojów i wyrobów tytoniowych (o 28,5%), jak również farmaceutyków, kosmetyków, sprzętu ortopedycznego (o 11,6%) oraz prasy, książek, pozostałą sprzedażą w wyspecjalizowanych sklepach (o 8,9%). Łączny udział tych czterech grup w strukturze sprzedaży detalicznej wyniósł 63,7% i w stosunku do lipca ubiegłego roku wzrósł o 7,1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 xml:space="preserve">. Natomiast spadek odnotowano m.in. w podmiotach handlujących zarówno meblami, sprzętem </w:t>
      </w:r>
      <w:proofErr w:type="spellStart"/>
      <w:r w:rsidRPr="006A1212">
        <w:rPr>
          <w:highlight w:val="black"/>
        </w:rPr>
        <w:t>rtv</w:t>
      </w:r>
      <w:proofErr w:type="spellEnd"/>
      <w:r w:rsidRPr="006A1212">
        <w:rPr>
          <w:highlight w:val="black"/>
        </w:rPr>
        <w:t xml:space="preserve"> i </w:t>
      </w:r>
      <w:proofErr w:type="spellStart"/>
      <w:r w:rsidRPr="006A1212">
        <w:rPr>
          <w:highlight w:val="black"/>
        </w:rPr>
        <w:t>agd</w:t>
      </w:r>
      <w:proofErr w:type="spellEnd"/>
      <w:r w:rsidRPr="006A1212">
        <w:rPr>
          <w:highlight w:val="black"/>
        </w:rPr>
        <w:t xml:space="preserve"> (o 25,8%), jak i tekstyliami, odzieżą, obuwiem (o 4,5%) oraz pojazdami samochodowymi, motocyklami, częściami (o 1,8%).</w:t>
      </w:r>
    </w:p>
    <w:p w14:paraId="206E7594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48A17C9E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763688AB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25260F12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401CDE43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2E877713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1DEFD95D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157286E0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65ACFACB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381E1929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75B80472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2F8F7F5A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2F1575F0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655A54A6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556E43B0" w14:textId="77777777" w:rsidR="000C6D73" w:rsidRPr="006A1212" w:rsidRDefault="000C6D73" w:rsidP="0078123B">
      <w:pPr>
        <w:spacing w:before="120" w:after="120" w:line="288" w:lineRule="auto"/>
        <w:rPr>
          <w:highlight w:val="black"/>
        </w:rPr>
      </w:pPr>
    </w:p>
    <w:p w14:paraId="3D0DC1C7" w14:textId="77777777" w:rsidR="0078123B" w:rsidRPr="006A1212" w:rsidRDefault="0078123B" w:rsidP="0078123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78123B" w:rsidRPr="006A1212" w14:paraId="2C244973" w14:textId="77777777" w:rsidTr="006A1212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FC349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3B91C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07 2022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614F19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01–07 2022</w:t>
            </w:r>
          </w:p>
        </w:tc>
      </w:tr>
      <w:tr w:rsidR="0078123B" w:rsidRPr="006A1212" w14:paraId="7D467B30" w14:textId="77777777" w:rsidTr="006A1212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292AE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61BEC7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E0C085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6A1212" w:rsidRPr="006A1212" w14:paraId="6D067B6C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F0EE94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6A1212">
              <w:rPr>
                <w:rFonts w:cs="Arial"/>
                <w:szCs w:val="19"/>
                <w:highlight w:val="black"/>
              </w:rPr>
              <w:t>Ogółem</w:t>
            </w:r>
            <w:r w:rsidRPr="006A121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6A1212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D6D46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5D12C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466E69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6A1212" w:rsidRPr="006A1212" w14:paraId="3F852B42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9D0CD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C17F8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07A94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EB78C7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6A1212" w:rsidRPr="006A1212" w14:paraId="0488A570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D948F5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0D1DF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101D06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362DD2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6A1212" w:rsidRPr="006A1212" w14:paraId="20A0C1AB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3F6C7E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1D718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158BD5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A25B98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6A1212" w:rsidRPr="006A1212" w14:paraId="027E41C8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3282BB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E0FF4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7038B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5FC7BB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6A1212" w:rsidRPr="006A1212" w14:paraId="4A7BDDC2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AE380C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90C82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1DA80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384355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6A1212" w:rsidRPr="006A1212" w14:paraId="62A4945A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F73911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6A1212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6A1212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6A1212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54EFA3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9E501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533853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6A1212" w:rsidRPr="006A1212" w14:paraId="36ACE442" w14:textId="77777777" w:rsidTr="006A121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DC367B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2FB34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0BD0A8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50A3E9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78123B" w:rsidRPr="006A1212" w14:paraId="42A8918C" w14:textId="77777777" w:rsidTr="006A1212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1BD7DD0" w14:textId="77777777" w:rsidR="0078123B" w:rsidRPr="006A1212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905320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146,4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D1E62B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173,3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377B6B2" w14:textId="77777777" w:rsidR="0078123B" w:rsidRPr="006A1212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23,2</w:t>
            </w:r>
          </w:p>
        </w:tc>
      </w:tr>
    </w:tbl>
    <w:p w14:paraId="57E47B41" w14:textId="77777777" w:rsidR="0078123B" w:rsidRPr="006A1212" w:rsidRDefault="0078123B" w:rsidP="0078123B">
      <w:pPr>
        <w:spacing w:before="120" w:after="120" w:line="240" w:lineRule="exact"/>
        <w:rPr>
          <w:rFonts w:cs="Arial"/>
          <w:spacing w:val="-2"/>
          <w:highlight w:val="black"/>
        </w:rPr>
      </w:pPr>
      <w:r w:rsidRPr="006A1212">
        <w:rPr>
          <w:sz w:val="16"/>
          <w:szCs w:val="16"/>
          <w:highlight w:val="black"/>
        </w:rPr>
        <w:t xml:space="preserve">a </w:t>
      </w:r>
      <w:r w:rsidRPr="006A1212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3594CD2" w14:textId="77777777" w:rsidR="0078123B" w:rsidRPr="006A1212" w:rsidRDefault="0078123B" w:rsidP="0078123B">
      <w:pPr>
        <w:spacing w:before="240" w:after="120" w:line="288" w:lineRule="auto"/>
        <w:rPr>
          <w:szCs w:val="19"/>
          <w:highlight w:val="black"/>
        </w:rPr>
      </w:pPr>
      <w:r w:rsidRPr="006A1212">
        <w:rPr>
          <w:szCs w:val="19"/>
          <w:highlight w:val="black"/>
        </w:rPr>
        <w:t xml:space="preserve">Wzrost sprzedaży detalicznej w porównaniu z poprzednim miesiącem wystąpił m.in. w podmiotach zajmujących się sprzedażą zarówno mebli, sprzętu </w:t>
      </w:r>
      <w:proofErr w:type="spellStart"/>
      <w:r w:rsidRPr="006A1212">
        <w:rPr>
          <w:szCs w:val="19"/>
          <w:highlight w:val="black"/>
        </w:rPr>
        <w:t>rtv</w:t>
      </w:r>
      <w:proofErr w:type="spellEnd"/>
      <w:r w:rsidRPr="006A1212">
        <w:rPr>
          <w:szCs w:val="19"/>
          <w:highlight w:val="black"/>
        </w:rPr>
        <w:t xml:space="preserve"> i </w:t>
      </w:r>
      <w:proofErr w:type="spellStart"/>
      <w:r w:rsidRPr="006A1212">
        <w:rPr>
          <w:szCs w:val="19"/>
          <w:highlight w:val="black"/>
        </w:rPr>
        <w:t>agd</w:t>
      </w:r>
      <w:proofErr w:type="spellEnd"/>
      <w:r w:rsidRPr="006A1212">
        <w:rPr>
          <w:szCs w:val="19"/>
          <w:highlight w:val="black"/>
        </w:rPr>
        <w:t xml:space="preserve"> (o 9,5%), jak i farmaceutyków, kosmetyków, sprzętu ortopedycznego (o 6,5%) oraz żywności, napojów i wyrobów tytoniowych (o 5,8%), a także pojazdów samochodowych, motocykli, części (o 3,6%) i tekstyliów, odzieży, obuwia (o 1,1%). Natomiast spadek odnotowano m.in. w podmiotach zajmujących się sprzedażą prasy, książek, pozostałą sprzedażą w wyspecjalizowanych sklepach (o 3,4%) oraz w jednostkach zgrupowanych w kategorii pozostałe (o 0,1%).</w:t>
      </w:r>
    </w:p>
    <w:p w14:paraId="43E4F6D2" w14:textId="11714592" w:rsidR="0078123B" w:rsidRPr="006A1212" w:rsidRDefault="0078123B" w:rsidP="0078123B">
      <w:pPr>
        <w:spacing w:before="240" w:after="120" w:line="288" w:lineRule="auto"/>
        <w:rPr>
          <w:highlight w:val="black"/>
        </w:rPr>
      </w:pPr>
      <w:r w:rsidRPr="006A1212">
        <w:rPr>
          <w:szCs w:val="19"/>
          <w:highlight w:val="black"/>
        </w:rPr>
        <w:t>W okresie siedmiu miesięcy br. sprzedaż detaliczna była o 24,7% wyższa w porównaniu z analogicznym okresem ubiegłego roku (przed rokiem odnotowano wzrost o 7,2%). Wzrost sprzedaży wystąpił m.in.</w:t>
      </w:r>
      <w:r w:rsidRPr="006A1212">
        <w:rPr>
          <w:highlight w:val="black"/>
        </w:rPr>
        <w:t xml:space="preserve"> w j</w:t>
      </w:r>
      <w:r w:rsidRPr="006A1212">
        <w:rPr>
          <w:szCs w:val="19"/>
          <w:highlight w:val="black"/>
        </w:rPr>
        <w:t>ednostkach zgrupowanych w kategorii pozostałe (o 73,3%), a także w podmiotach handlujących żywnością, napojami i wyrobami tytoniowymi (o 27,8%) i tekstyliami, odzieżą, obuwiem (o 20,3%) oraz farmaceutykami, kosmetykami, sprzętem ortopedycznym (o 18,9%). Natomiast spadek odnotowano m.in. w podmiotach zajmujących się sprzedażą</w:t>
      </w:r>
      <w:r w:rsidRPr="006A1212">
        <w:rPr>
          <w:highlight w:val="black"/>
        </w:rPr>
        <w:t xml:space="preserve"> </w:t>
      </w:r>
      <w:r w:rsidRPr="006A1212">
        <w:rPr>
          <w:szCs w:val="19"/>
          <w:highlight w:val="black"/>
        </w:rPr>
        <w:t xml:space="preserve">mebli, sprzętu </w:t>
      </w:r>
      <w:proofErr w:type="spellStart"/>
      <w:r w:rsidRPr="006A1212">
        <w:rPr>
          <w:szCs w:val="19"/>
          <w:highlight w:val="black"/>
        </w:rPr>
        <w:t>rtv</w:t>
      </w:r>
      <w:proofErr w:type="spellEnd"/>
      <w:r w:rsidRPr="006A1212">
        <w:rPr>
          <w:szCs w:val="19"/>
          <w:highlight w:val="black"/>
        </w:rPr>
        <w:t xml:space="preserve"> i </w:t>
      </w:r>
      <w:proofErr w:type="spellStart"/>
      <w:r w:rsidRPr="006A1212">
        <w:rPr>
          <w:szCs w:val="19"/>
          <w:highlight w:val="black"/>
        </w:rPr>
        <w:t>agd</w:t>
      </w:r>
      <w:proofErr w:type="spellEnd"/>
      <w:r w:rsidRPr="006A1212">
        <w:rPr>
          <w:szCs w:val="19"/>
          <w:highlight w:val="black"/>
        </w:rPr>
        <w:t xml:space="preserve"> (o 4,6%).</w:t>
      </w:r>
    </w:p>
    <w:bookmarkEnd w:id="38"/>
    <w:bookmarkEnd w:id="39"/>
    <w:p w14:paraId="485D1127" w14:textId="704DA4A2" w:rsidR="00D97B31" w:rsidRPr="006A1212" w:rsidRDefault="0078123B" w:rsidP="0078123B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6A1212">
        <w:rPr>
          <w:b/>
          <w:szCs w:val="19"/>
          <w:highlight w:val="black"/>
        </w:rPr>
        <w:t>Sprzedaż hurtowa</w:t>
      </w:r>
      <w:r w:rsidRPr="006A1212">
        <w:rPr>
          <w:szCs w:val="19"/>
          <w:highlight w:val="black"/>
        </w:rPr>
        <w:t xml:space="preserve"> w przedsiębiorstwach handlowych, w lipcu 2022 r. była o 40,7% wyższ</w:t>
      </w:r>
      <w:r w:rsidR="00981A64" w:rsidRPr="006A1212">
        <w:rPr>
          <w:szCs w:val="19"/>
          <w:highlight w:val="black"/>
        </w:rPr>
        <w:t>a niż przed rokiem, przy czym w </w:t>
      </w:r>
      <w:r w:rsidRPr="006A1212">
        <w:rPr>
          <w:szCs w:val="19"/>
          <w:highlight w:val="black"/>
        </w:rPr>
        <w:t>przedsiębiorstwach handlu hurtowego wzrosła o 41,5%. Sprzedaż hurtowa, w porównaniu z poprzednim miesiącem, obniżyła się o 4,0% w przedsiębiorstwach handlowych, a o 4,3% w przedsiębiorstwach handlu hurtowego. W okresie od stycznia do lipca br., w odniesieniu do analogicznego okresu ubiegłego roku sprzedaż hurtowa w przedsiębiorstwach handlowych była wyższa o 56,3%, a w przedsiębiorstwach handlu hurtowego o 51,1%.</w:t>
      </w:r>
    </w:p>
    <w:p w14:paraId="44E2928B" w14:textId="77777777" w:rsidR="000733C6" w:rsidRPr="006A1212" w:rsidRDefault="000733C6" w:rsidP="00057CCF">
      <w:pPr>
        <w:pStyle w:val="Nagwek1"/>
        <w:rPr>
          <w:highlight w:val="black"/>
        </w:rPr>
      </w:pPr>
      <w:bookmarkStart w:id="40" w:name="_Toc36038692"/>
      <w:bookmarkStart w:id="41" w:name="_Toc41652215"/>
      <w:bookmarkStart w:id="42" w:name="_Toc112658421"/>
      <w:r w:rsidRPr="006A1212">
        <w:rPr>
          <w:highlight w:val="black"/>
        </w:rPr>
        <w:t>Wyniki finansowe przedsiębiorstw</w:t>
      </w:r>
      <w:bookmarkEnd w:id="40"/>
      <w:bookmarkEnd w:id="41"/>
      <w:bookmarkEnd w:id="42"/>
    </w:p>
    <w:p w14:paraId="431CAB73" w14:textId="77777777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1 półroczu 2022 r. wyniki finansowe 788 badanych przedsiębiorstw były korzystniejsze niż uzyskane w analogicznym okresie ubiegłego roku, z wyjątkiem wyniku na pozostałej działalności operacyjnej oraz wyniku na operacjach finansowych. Niższe były wskaźniki rentowności obrotu brutto i netto oraz wskaźnik płynności finansowej I stopnia.</w:t>
      </w:r>
    </w:p>
    <w:p w14:paraId="3DEA2329" w14:textId="77777777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t>Przychody z całokształtu działalności</w:t>
      </w:r>
      <w:r w:rsidRPr="006A1212">
        <w:rPr>
          <w:highlight w:val="black"/>
        </w:rPr>
        <w:t xml:space="preserve"> osiągnięte w 1 półroczu 2022 r. były wyższe o 40,9% niż przed rokiem, a </w:t>
      </w:r>
      <w:r w:rsidRPr="006A1212">
        <w:rPr>
          <w:b/>
          <w:highlight w:val="black"/>
        </w:rPr>
        <w:t>koszty uzyskania tych przychodów</w:t>
      </w:r>
      <w:r w:rsidRPr="006A1212">
        <w:rPr>
          <w:highlight w:val="black"/>
        </w:rPr>
        <w:t xml:space="preserve"> wzrosły o 41,1%, co skutkowało nieznacznym pogorszeniem wskaźnika poziomu kosztów oraz wzrostem wyniku finansowego brutto.</w:t>
      </w:r>
    </w:p>
    <w:p w14:paraId="622FA38D" w14:textId="77777777" w:rsidR="0069772F" w:rsidRPr="006A1212" w:rsidRDefault="0069772F" w:rsidP="000733C6">
      <w:pPr>
        <w:spacing w:before="120" w:after="120" w:line="288" w:lineRule="auto"/>
        <w:rPr>
          <w:highlight w:val="black"/>
        </w:rPr>
      </w:pPr>
    </w:p>
    <w:p w14:paraId="5A53A134" w14:textId="39D2AC7A" w:rsidR="000733C6" w:rsidRPr="006A1212" w:rsidRDefault="00DE1FF2" w:rsidP="0069772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są w załączonym pliku excel."/>
      </w:tblPr>
      <w:tblGrid>
        <w:gridCol w:w="7228"/>
        <w:gridCol w:w="1559"/>
        <w:gridCol w:w="1559"/>
      </w:tblGrid>
      <w:tr w:rsidR="000733C6" w:rsidRPr="006A1212" w14:paraId="2A23CE14" w14:textId="77777777" w:rsidTr="006A1212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C226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A0B371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01–06 2021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210D0B8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0733C6" w:rsidRPr="006A1212" w14:paraId="3B1C04E6" w14:textId="77777777" w:rsidTr="006A1212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5A7B0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1EDD4A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0733C6" w:rsidRPr="006A1212" w14:paraId="1D172D9A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F4BB0E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8E599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55 218,8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4CEC6F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77 793,0</w:t>
            </w:r>
          </w:p>
        </w:tc>
      </w:tr>
      <w:tr w:rsidR="000733C6" w:rsidRPr="006A1212" w14:paraId="1B8B6FF6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D272B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45544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53 974,4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D17F7D4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76 100,0</w:t>
            </w:r>
          </w:p>
        </w:tc>
      </w:tr>
      <w:tr w:rsidR="000733C6" w:rsidRPr="006A1212" w14:paraId="091095C1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2F23B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238E50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51 737,1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B17547A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73 016,6</w:t>
            </w:r>
          </w:p>
        </w:tc>
      </w:tr>
      <w:tr w:rsidR="000733C6" w:rsidRPr="006A1212" w14:paraId="3FCE375C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4DC0E3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DB203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50 828,9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D2E600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71 198,7</w:t>
            </w:r>
          </w:p>
        </w:tc>
      </w:tr>
      <w:tr w:rsidR="000733C6" w:rsidRPr="006A1212" w14:paraId="117E467D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A873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01306C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3 145,6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AAB879C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4 901,2</w:t>
            </w:r>
          </w:p>
        </w:tc>
      </w:tr>
      <w:tr w:rsidR="000733C6" w:rsidRPr="006A1212" w14:paraId="466DB372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62E295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B384F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420,6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DCC01CB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-21,8</w:t>
            </w:r>
          </w:p>
        </w:tc>
      </w:tr>
      <w:tr w:rsidR="000733C6" w:rsidRPr="006A1212" w14:paraId="3D636EED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89E910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F040C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-84,5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D0B164D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-102,9</w:t>
            </w:r>
          </w:p>
        </w:tc>
      </w:tr>
      <w:tr w:rsidR="000733C6" w:rsidRPr="006A1212" w14:paraId="64C51315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3439B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6A1212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54C0D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3 481,6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D237825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4 776,5</w:t>
            </w:r>
          </w:p>
        </w:tc>
      </w:tr>
      <w:tr w:rsidR="000733C6" w:rsidRPr="006A1212" w14:paraId="3CE3DEDB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79FF31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3FF09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3 079,5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5FD9904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4 008,1</w:t>
            </w:r>
          </w:p>
        </w:tc>
      </w:tr>
      <w:tr w:rsidR="000733C6" w:rsidRPr="006A1212" w14:paraId="7B4405F2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95E70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D8B139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3 493,9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713BCEF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4 671,8</w:t>
            </w:r>
          </w:p>
        </w:tc>
      </w:tr>
      <w:tr w:rsidR="000733C6" w:rsidRPr="006A1212" w14:paraId="5A0A686A" w14:textId="77777777" w:rsidTr="006A121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A50F0B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63F1C33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414,4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3E29861A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663,7</w:t>
            </w:r>
          </w:p>
        </w:tc>
      </w:tr>
    </w:tbl>
    <w:p w14:paraId="5C548399" w14:textId="53D88C50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Wyższe niż w 1 półroczu</w:t>
      </w:r>
      <w:r w:rsidRPr="006A1212">
        <w:rPr>
          <w:rFonts w:cs="Arial"/>
          <w:highlight w:val="black"/>
        </w:rPr>
        <w:t xml:space="preserve"> </w:t>
      </w:r>
      <w:r w:rsidRPr="006A1212">
        <w:rPr>
          <w:highlight w:val="black"/>
        </w:rPr>
        <w:t>2021 r. były zarówno przychody netto ze sprzedaży produktów, towarów i materiałów (o 41,0%), jak i koszty tej działalności (o 40,1%). Wzrosty przychodów netto ze sprzedaży produktów, towarów i materiałów odnotowano w większości badanych sekcji, w tym m.in. w transporcie i gospodarce magazynowej (o 50,8%), handlu; naprawie pojazdów samochodowych (o 44,5%), przetwórstwie przemysłowym (o 34,0%) oraz w budownictwie (o 10,6%). Wynik finansowy ze sprzedaży produktów, towarów i materiałów był o 55,8% wyższy niż w analogicznym okresie 2021 r. i wyniósł 4 901,2 mln zł. Pozostałe przychody operacyjne były niższe niż przed rokiem – o 0,1%, co przy ponad 2-krotnym wzroście pozostałych kosztów operacyjnych, wpłynęło na pogorszenie wyniku na pozostałej działalności operacyjnej, który osiągnął wartość minus 21,8 mln zł. Wyższe w stosunku do 1 półrocza 2021 r. przychody finansowe (o 115,3%), przy niższym wzroście kosztów finansowych (o 98,7%), spowodowały spadek wyniku na operacjach finansowych do minus 102,9 mln zł.</w:t>
      </w:r>
    </w:p>
    <w:p w14:paraId="668D08D8" w14:textId="77777777" w:rsidR="000733C6" w:rsidRPr="006A1212" w:rsidRDefault="000733C6" w:rsidP="000733C6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highlight w:val="black"/>
        </w:rPr>
      </w:pPr>
      <w:r w:rsidRPr="006A1212">
        <w:rPr>
          <w:rFonts w:eastAsia="Calibri"/>
          <w:b/>
          <w:highlight w:val="black"/>
        </w:rPr>
        <w:t>Struktura przychodów i kosztów z całokształtu działalności w 1 półroczu 2022 r.</w:t>
      </w:r>
    </w:p>
    <w:p w14:paraId="4B99374F" w14:textId="394D1DBC" w:rsidR="000733C6" w:rsidRPr="006A1212" w:rsidRDefault="007A0F30" w:rsidP="000733C6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37580AF0" wp14:editId="74248D49">
            <wp:extent cx="6614795" cy="3042285"/>
            <wp:effectExtent l="0" t="0" r="0" b="571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BC0AB" w14:textId="77777777" w:rsidR="000733C6" w:rsidRPr="006A1212" w:rsidRDefault="000733C6" w:rsidP="000733C6">
      <w:pPr>
        <w:suppressAutoHyphens/>
        <w:spacing w:before="120" w:after="120"/>
        <w:jc w:val="center"/>
        <w:rPr>
          <w:highlight w:val="black"/>
        </w:rPr>
      </w:pPr>
    </w:p>
    <w:p w14:paraId="224B3A56" w14:textId="53140457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b/>
          <w:highlight w:val="black"/>
        </w:rPr>
        <w:lastRenderedPageBreak/>
        <w:t>Wynik finansowy brutto</w:t>
      </w:r>
      <w:r w:rsidRPr="006A1212">
        <w:rPr>
          <w:highlight w:val="black"/>
        </w:rPr>
        <w:t xml:space="preserve"> w 1 półroczu 2022 r. osiągnął wartość 4 776,5 mln zł i był wyższy o 1 294,9 mln zł od uzyskanego w analogicznym okresie 2021 r. Obciążenia wyniku finansowego brutto podatkiem dochodowym wzrosły w skali roku o 91,1%, do 768,4 mln zł. Zwiększyła się relacja podatku dochodowego od osób prawnych i fizycznych do zysku brutto z 10,3% do 14,2%. </w:t>
      </w:r>
      <w:r w:rsidRPr="006A1212">
        <w:rPr>
          <w:b/>
          <w:highlight w:val="black"/>
        </w:rPr>
        <w:t>Wynik finansowy netto</w:t>
      </w:r>
      <w:r w:rsidRPr="006A1212">
        <w:rPr>
          <w:highlight w:val="black"/>
        </w:rPr>
        <w:t xml:space="preserve"> ukształtował się na poziomie 4 008,1 mln zł i był wyższy o 928,6 mln zł w porównaniu z uzyskanym w analogicznym okresie 2021 r. Zysk netto zwiększył się o 33,7%, a strata była wyższa o 60,2%.</w:t>
      </w:r>
    </w:p>
    <w:p w14:paraId="3B09C365" w14:textId="66A4ABBC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1 półroczu</w:t>
      </w:r>
      <w:r w:rsidRPr="006A1212">
        <w:rPr>
          <w:rFonts w:cs="Segoe UI Historic"/>
          <w:highlight w:val="black"/>
        </w:rPr>
        <w:t xml:space="preserve"> </w:t>
      </w:r>
      <w:r w:rsidRPr="006A1212">
        <w:rPr>
          <w:highlight w:val="black"/>
        </w:rPr>
        <w:t>2022 r. zysk netto wykazało 77,3% badanych przedsiębiorstw (przed rokiem 78,8%). Udział przychodów przedsiębiorstw wykazujących zysk netto w ogólnej kwocie przychodów z całokształtu działalności obniż</w:t>
      </w:r>
      <w:r w:rsidR="00361210" w:rsidRPr="006A1212">
        <w:rPr>
          <w:highlight w:val="black"/>
        </w:rPr>
        <w:t>ył się z 91,5% do </w:t>
      </w:r>
      <w:r w:rsidRPr="006A1212">
        <w:rPr>
          <w:highlight w:val="black"/>
        </w:rPr>
        <w:t>88,5%. W przetwórstwie przemysłowym zysk netto odnotowało 78,4% przedsiębiorstw (80,8% w 1 półroczu 2021 r.), a udział uzyskanych przez nie przychodów w przychodach wszystkich podmiotów tej sekcji stanowił 83,5% (w 1 półroczu 2021 r. – 89,5%).</w:t>
      </w:r>
    </w:p>
    <w:p w14:paraId="0099BE7B" w14:textId="3A0F5659" w:rsidR="000733C6" w:rsidRPr="006A1212" w:rsidRDefault="009C11CB" w:rsidP="008A6E5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A121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są w załączonym pliku excel."/>
      </w:tblPr>
      <w:tblGrid>
        <w:gridCol w:w="6236"/>
        <w:gridCol w:w="2126"/>
        <w:gridCol w:w="1984"/>
      </w:tblGrid>
      <w:tr w:rsidR="000733C6" w:rsidRPr="006A1212" w14:paraId="32328E3A" w14:textId="77777777" w:rsidTr="006A1212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2D1E6C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4CF61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01–06 2021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C49FC8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0733C6" w:rsidRPr="006A1212" w14:paraId="41B7FB6A" w14:textId="77777777" w:rsidTr="006A1212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7275A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3FD9132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0733C6" w:rsidRPr="006A1212" w14:paraId="39C81C49" w14:textId="77777777" w:rsidTr="006A121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34D997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C45A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5902AA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0733C6" w:rsidRPr="006A1212" w14:paraId="34E4DBEF" w14:textId="77777777" w:rsidTr="006A121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F1DEE8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014192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3D6F55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6,4</w:t>
            </w:r>
          </w:p>
        </w:tc>
      </w:tr>
      <w:tr w:rsidR="000733C6" w:rsidRPr="006A1212" w14:paraId="78A55A05" w14:textId="77777777" w:rsidTr="006A121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D62150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8CA7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0BE6E3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0733C6" w:rsidRPr="006A1212" w14:paraId="39F789FF" w14:textId="77777777" w:rsidTr="006A121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7B5D8F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C13EF1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98977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0733C6" w:rsidRPr="006A1212" w14:paraId="00986E07" w14:textId="77777777" w:rsidTr="006A121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75C657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6D51F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32,6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6AADBF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31,2</w:t>
            </w:r>
          </w:p>
        </w:tc>
      </w:tr>
      <w:tr w:rsidR="000733C6" w:rsidRPr="006A1212" w14:paraId="5D70306F" w14:textId="77777777" w:rsidTr="006A1212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2C1BCE9" w14:textId="77777777" w:rsidR="000733C6" w:rsidRPr="006A1212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792398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B574147" w14:textId="77777777" w:rsidR="000733C6" w:rsidRPr="006A1212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6A1212">
              <w:rPr>
                <w:rFonts w:cs="Arial"/>
                <w:szCs w:val="19"/>
                <w:highlight w:val="black"/>
              </w:rPr>
              <w:t>103,2</w:t>
            </w:r>
          </w:p>
        </w:tc>
      </w:tr>
    </w:tbl>
    <w:p w14:paraId="33FF050A" w14:textId="35FBC046" w:rsidR="000733C6" w:rsidRPr="006A1212" w:rsidRDefault="000733C6" w:rsidP="000733C6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 xml:space="preserve">W badanych przedsiębiorstwach odnotowano głównie spadki podstawowych </w:t>
      </w:r>
      <w:r w:rsidRPr="006A1212">
        <w:rPr>
          <w:b/>
          <w:highlight w:val="black"/>
        </w:rPr>
        <w:t>wskaźników ekonomiczno-finansowych</w:t>
      </w:r>
      <w:r w:rsidRPr="006A1212">
        <w:rPr>
          <w:highlight w:val="black"/>
        </w:rPr>
        <w:t xml:space="preserve">. W skali roku wskaźnik poziomu kosztów z całokształtu działalności pogorszył się o 0,2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>. Niższe</w:t>
      </w:r>
      <w:r w:rsidR="00BF44E8" w:rsidRPr="006A1212">
        <w:rPr>
          <w:highlight w:val="black"/>
        </w:rPr>
        <w:t xml:space="preserve"> w porównaniu z 1 </w:t>
      </w:r>
      <w:r w:rsidRPr="006A1212">
        <w:rPr>
          <w:highlight w:val="black"/>
        </w:rPr>
        <w:t>półroczem 2021 r. był</w:t>
      </w:r>
      <w:r w:rsidR="00E845D7" w:rsidRPr="006A1212">
        <w:rPr>
          <w:highlight w:val="black"/>
        </w:rPr>
        <w:t>y</w:t>
      </w:r>
      <w:r w:rsidRPr="006A1212">
        <w:rPr>
          <w:highlight w:val="black"/>
        </w:rPr>
        <w:t xml:space="preserve"> wskaźniki rentowności obrotu brutto i netto (odpowiednio o 0,2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 xml:space="preserve">. i 0,4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 xml:space="preserve">) oraz wskaźnik płynności finansowej I stopnia (o 1,4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 xml:space="preserve">.). Wyższy niż przed rokiem był wskaźnik </w:t>
      </w:r>
      <w:r w:rsidR="00BF44E8" w:rsidRPr="006A1212">
        <w:rPr>
          <w:highlight w:val="black"/>
        </w:rPr>
        <w:t>rentowności sprzed</w:t>
      </w:r>
      <w:r w:rsidR="00E845D7" w:rsidRPr="006A1212">
        <w:rPr>
          <w:highlight w:val="black"/>
        </w:rPr>
        <w:t xml:space="preserve">aży brutto (o </w:t>
      </w:r>
      <w:r w:rsidRPr="006A1212">
        <w:rPr>
          <w:highlight w:val="black"/>
        </w:rPr>
        <w:t xml:space="preserve">0,6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 xml:space="preserve">.) oraz wskaźnik płynności finansowej II stopnia (o 2,3 </w:t>
      </w:r>
      <w:proofErr w:type="spellStart"/>
      <w:r w:rsidRPr="006A1212">
        <w:rPr>
          <w:highlight w:val="black"/>
        </w:rPr>
        <w:t>p.proc</w:t>
      </w:r>
      <w:proofErr w:type="spellEnd"/>
      <w:r w:rsidRPr="006A1212">
        <w:rPr>
          <w:highlight w:val="black"/>
        </w:rPr>
        <w:t>.).</w:t>
      </w:r>
    </w:p>
    <w:p w14:paraId="65FE4F8C" w14:textId="77777777" w:rsidR="000733C6" w:rsidRPr="006A1212" w:rsidRDefault="000733C6" w:rsidP="000733C6">
      <w:pPr>
        <w:keepNext/>
        <w:numPr>
          <w:ilvl w:val="0"/>
          <w:numId w:val="5"/>
        </w:numPr>
        <w:suppressAutoHyphens/>
        <w:spacing w:before="360" w:after="120"/>
        <w:ind w:left="0" w:firstLine="0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Wskaźnik rentowności obrotu netto</w:t>
      </w:r>
    </w:p>
    <w:p w14:paraId="474F517E" w14:textId="438C9B39" w:rsidR="000733C6" w:rsidRPr="006A1212" w:rsidRDefault="00994C81" w:rsidP="00C741EE">
      <w:pPr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26A2F535" wp14:editId="2EC480C4">
            <wp:extent cx="6559550" cy="305435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634D3" w14:textId="712770F2" w:rsidR="000733C6" w:rsidRPr="006A1212" w:rsidRDefault="000733C6" w:rsidP="000733C6">
      <w:pPr>
        <w:spacing w:before="12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>Wartość aktywów obrotowych badanych przedsiębiorstw na koniec czerwca 2022 r. wyniosła 51 802,7 mln zł i była o 27,8% wyższa niż w analogicznym okresie 2021 r. Wyższą wartość miały: zapasy – o 33,4%, należności krótkoterminowe – o</w:t>
      </w:r>
      <w:r w:rsidR="00BD404A" w:rsidRPr="006A1212">
        <w:rPr>
          <w:bCs/>
          <w:highlight w:val="black"/>
        </w:rPr>
        <w:t> </w:t>
      </w:r>
      <w:r w:rsidRPr="006A1212">
        <w:rPr>
          <w:bCs/>
          <w:highlight w:val="black"/>
        </w:rPr>
        <w:t xml:space="preserve">30,0%, inwestycje krótkoterminowe – o 18,1% oraz krótkoterminowe rozliczenia międzyokresowe – o 5,7%. W rzeczowej </w:t>
      </w:r>
      <w:r w:rsidRPr="006A1212">
        <w:rPr>
          <w:bCs/>
          <w:highlight w:val="black"/>
        </w:rPr>
        <w:lastRenderedPageBreak/>
        <w:t xml:space="preserve">strukturze aktywów obrotowych zwiększył się udział zapasów (z 32,9% do 34,3%) oraz </w:t>
      </w:r>
      <w:r w:rsidR="00BD404A" w:rsidRPr="006A1212">
        <w:rPr>
          <w:bCs/>
          <w:highlight w:val="black"/>
        </w:rPr>
        <w:t>należności krótkoterminowych (z </w:t>
      </w:r>
      <w:r w:rsidRPr="006A1212">
        <w:rPr>
          <w:bCs/>
          <w:highlight w:val="black"/>
        </w:rPr>
        <w:t>43,0% do 43,7%), natomiast obniżył się udział inwestycji krótkoterminowych (z 20,5% do 18,9%) oraz krótkoterminowych rozliczeń międzyokresowych (z 3,7% do 3,0%). W strukturze zapasów w skali roku wzrósł udział materiałów (z 28,5% do 32,2%) oraz produktów gotowych (z 13,4% do 14,2%), a niższy był udział półproduktów i produktów w toku (z 24,2% do 21,0%) o</w:t>
      </w:r>
      <w:r w:rsidR="00BD404A" w:rsidRPr="006A1212">
        <w:rPr>
          <w:bCs/>
          <w:highlight w:val="black"/>
        </w:rPr>
        <w:t>raz towarów (z 31,0% do 29,5%).</w:t>
      </w:r>
    </w:p>
    <w:p w14:paraId="28556BA1" w14:textId="77777777" w:rsidR="000733C6" w:rsidRPr="006A1212" w:rsidRDefault="000733C6" w:rsidP="000733C6">
      <w:pPr>
        <w:spacing w:before="12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>Aktywa obrotowe finansowane były głównie zobowiązaniami krótkoterminowymi – relacja zobowiązań krótkoterminowych do aktywów obrotowych wyniosła 60,7%, wobec 62,8% na koniec czerwca 2021 r.</w:t>
      </w:r>
    </w:p>
    <w:p w14:paraId="700EC552" w14:textId="02374D05" w:rsidR="000733C6" w:rsidRPr="006A1212" w:rsidRDefault="000733C6" w:rsidP="000733C6">
      <w:pPr>
        <w:spacing w:before="12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 xml:space="preserve">Zobowiązania długo- i krótkoterminowe (bez funduszy specjalnych) na koniec czerwca 2022 r. wyniosły 41 009,7 </w:t>
      </w:r>
      <w:r w:rsidR="00BD404A" w:rsidRPr="006A1212">
        <w:rPr>
          <w:bCs/>
          <w:highlight w:val="black"/>
        </w:rPr>
        <w:t>mln zł i </w:t>
      </w:r>
      <w:r w:rsidRPr="006A1212">
        <w:rPr>
          <w:bCs/>
          <w:highlight w:val="black"/>
        </w:rPr>
        <w:t xml:space="preserve">były o 20,7% wyższe niż w analogicznym okresie 2021 r. Zobowiązania długoterminowe stanowiły 23,4% ogółu zobowiązań (o 1,6 </w:t>
      </w:r>
      <w:proofErr w:type="spellStart"/>
      <w:r w:rsidRPr="006A1212">
        <w:rPr>
          <w:bCs/>
          <w:highlight w:val="black"/>
        </w:rPr>
        <w:t>p.proc</w:t>
      </w:r>
      <w:proofErr w:type="spellEnd"/>
      <w:r w:rsidRPr="006A1212">
        <w:rPr>
          <w:bCs/>
          <w:highlight w:val="black"/>
        </w:rPr>
        <w:t>. mniej niż w czerwcu 2021 r.). Wartość zobowiązań długoterminowych wyniosła 9 589,8</w:t>
      </w:r>
      <w:r w:rsidR="00BD404A" w:rsidRPr="006A1212">
        <w:rPr>
          <w:bCs/>
          <w:highlight w:val="black"/>
        </w:rPr>
        <w:t xml:space="preserve"> mln zł i była o </w:t>
      </w:r>
      <w:r w:rsidRPr="006A1212">
        <w:rPr>
          <w:bCs/>
          <w:highlight w:val="black"/>
        </w:rPr>
        <w:t>12,9% wyższa niż przed rokiem, z tego zobowiązania z tytułu kredytów i pożyczek stanowiły 79,8%. Zobowiązania krótkoterminowe badanych przedsiębiorstw wyniosły 31 420,0 mln zł i w skali roku były wyższe o 23,3%. W strukturze zobowiązań krótkoterminowych zobowiązania z tytułu dostaw i usług stanowiły 52,6%, z tytułu kredytów i pożyczek – 24,4</w:t>
      </w:r>
      <w:r w:rsidR="00BD404A" w:rsidRPr="006A1212">
        <w:rPr>
          <w:bCs/>
          <w:highlight w:val="black"/>
        </w:rPr>
        <w:t>%, a z </w:t>
      </w:r>
      <w:r w:rsidRPr="006A1212">
        <w:rPr>
          <w:bCs/>
          <w:highlight w:val="black"/>
        </w:rPr>
        <w:t>tytułu podatków, ceł, ubezpieczeń i innych świadczeń – 4,7%.</w:t>
      </w:r>
    </w:p>
    <w:p w14:paraId="01B4BFB9" w14:textId="6AF3ABFF" w:rsidR="000733C6" w:rsidRPr="006A1212" w:rsidRDefault="000733C6" w:rsidP="000733C6">
      <w:pPr>
        <w:spacing w:before="120" w:after="120" w:line="288" w:lineRule="auto"/>
        <w:rPr>
          <w:bCs/>
          <w:highlight w:val="black"/>
        </w:rPr>
      </w:pPr>
      <w:r w:rsidRPr="006A1212">
        <w:rPr>
          <w:bCs/>
          <w:highlight w:val="black"/>
        </w:rPr>
        <w:t>W strukturze rodzajowej kosztów, gdzie koszty ogółem w 1 półroczu 2022 r. wyniosły 38 790,5 mln zł, zużycie materiałów</w:t>
      </w:r>
      <w:r w:rsidR="00BD404A" w:rsidRPr="006A1212">
        <w:rPr>
          <w:bCs/>
          <w:highlight w:val="black"/>
        </w:rPr>
        <w:t xml:space="preserve"> i </w:t>
      </w:r>
      <w:r w:rsidRPr="006A1212">
        <w:rPr>
          <w:bCs/>
          <w:highlight w:val="black"/>
        </w:rPr>
        <w:t>energii stanowiło 58,3%, usługi obce – 15,1%, wynagrodzenia – 14,5%, amortyzacja – 4,3</w:t>
      </w:r>
      <w:r w:rsidR="00BD404A" w:rsidRPr="006A1212">
        <w:rPr>
          <w:bCs/>
          <w:highlight w:val="black"/>
        </w:rPr>
        <w:t>%, ubezpieczenia społeczne i </w:t>
      </w:r>
      <w:r w:rsidRPr="006A1212">
        <w:rPr>
          <w:bCs/>
          <w:highlight w:val="black"/>
        </w:rPr>
        <w:t>inne świadczenia – 3,4%, podatki i opłaty – 2,9%, a pozostałe koszty – 1,5%.</w:t>
      </w:r>
    </w:p>
    <w:p w14:paraId="0E2BC319" w14:textId="77777777" w:rsidR="000733C6" w:rsidRPr="006A1212" w:rsidRDefault="000733C6" w:rsidP="00057CCF">
      <w:pPr>
        <w:pStyle w:val="Nagwek1"/>
        <w:rPr>
          <w:highlight w:val="black"/>
        </w:rPr>
      </w:pPr>
      <w:bookmarkStart w:id="43" w:name="_Toc36038693"/>
      <w:bookmarkStart w:id="44" w:name="_Toc112658422"/>
      <w:r w:rsidRPr="006A1212">
        <w:rPr>
          <w:highlight w:val="black"/>
        </w:rPr>
        <w:t>Nakłady inwestycyjne</w:t>
      </w:r>
      <w:bookmarkEnd w:id="43"/>
      <w:bookmarkEnd w:id="44"/>
    </w:p>
    <w:p w14:paraId="3FE853FA" w14:textId="2BCD49BF" w:rsidR="000733C6" w:rsidRPr="006A1212" w:rsidRDefault="000733C6" w:rsidP="000733C6">
      <w:pPr>
        <w:spacing w:before="120" w:after="120" w:line="288" w:lineRule="auto"/>
        <w:rPr>
          <w:rFonts w:eastAsia="Calibri"/>
          <w:highlight w:val="black"/>
        </w:rPr>
      </w:pPr>
      <w:r w:rsidRPr="006A1212">
        <w:rPr>
          <w:rFonts w:eastAsia="Calibri"/>
          <w:b/>
          <w:highlight w:val="black"/>
        </w:rPr>
        <w:t>Nakłady inwestycyjne</w:t>
      </w:r>
      <w:r w:rsidRPr="006A1212">
        <w:rPr>
          <w:rFonts w:eastAsia="Calibri"/>
          <w:highlight w:val="black"/>
        </w:rPr>
        <w:t xml:space="preserve"> na nowe obiekty majątkowe oraz ulepszenie istniejących, poniesione przez badane przedsiębiorstwa województwa podkarpackiego, osiągnęły w 1 półroczu 2022 r. wartość 1</w:t>
      </w:r>
      <w:r w:rsidR="00083F72" w:rsidRPr="006A1212">
        <w:rPr>
          <w:rFonts w:eastAsia="Calibri"/>
          <w:highlight w:val="black"/>
        </w:rPr>
        <w:t xml:space="preserve"> </w:t>
      </w:r>
      <w:r w:rsidRPr="006A1212">
        <w:rPr>
          <w:rFonts w:eastAsia="Calibri"/>
          <w:highlight w:val="black"/>
        </w:rPr>
        <w:t>416,1 mln z</w:t>
      </w:r>
      <w:r w:rsidR="00703348" w:rsidRPr="006A1212">
        <w:rPr>
          <w:rFonts w:eastAsia="Calibri"/>
          <w:highlight w:val="black"/>
        </w:rPr>
        <w:t>ł i były (w cenach bieżących) o </w:t>
      </w:r>
      <w:r w:rsidRPr="006A1212">
        <w:rPr>
          <w:rFonts w:eastAsia="Calibri"/>
          <w:highlight w:val="black"/>
        </w:rPr>
        <w:t>7,6% wyższe niż w analogicznym okresie 2021 roku.</w:t>
      </w:r>
    </w:p>
    <w:p w14:paraId="4EEA69A6" w14:textId="693DE0A0" w:rsidR="000733C6" w:rsidRPr="006A1212" w:rsidRDefault="000733C6" w:rsidP="000733C6">
      <w:pPr>
        <w:spacing w:before="120" w:after="120" w:line="288" w:lineRule="auto"/>
        <w:rPr>
          <w:rFonts w:eastAsia="Calibri"/>
          <w:highlight w:val="black"/>
        </w:rPr>
      </w:pPr>
      <w:r w:rsidRPr="006A1212">
        <w:rPr>
          <w:rFonts w:eastAsia="Calibri"/>
          <w:highlight w:val="black"/>
        </w:rPr>
        <w:t xml:space="preserve">Z nakładów ogółem na budynki i budowle przeznaczono 381,1 mln zł (o 23,4% więcej niż w analogicznym okresie 2021 r.), </w:t>
      </w:r>
      <w:r w:rsidR="00703348" w:rsidRPr="006A1212">
        <w:rPr>
          <w:rFonts w:eastAsia="Calibri"/>
          <w:highlight w:val="black"/>
        </w:rPr>
        <w:t>a </w:t>
      </w:r>
      <w:r w:rsidRPr="006A1212">
        <w:rPr>
          <w:rFonts w:eastAsia="Calibri"/>
          <w:highlight w:val="black"/>
        </w:rPr>
        <w:t>na środki transportu – 187,1 mln zł (o 17,7% więcej). Niższe niż przed rokiem (o 0,2%) były nakłady na maszyny, urządzenia techniczne i narzędzi</w:t>
      </w:r>
      <w:r w:rsidR="00703348" w:rsidRPr="006A1212">
        <w:rPr>
          <w:rFonts w:eastAsia="Calibri"/>
          <w:highlight w:val="black"/>
        </w:rPr>
        <w:t>a, które wyniosły 843,5 mln zł.</w:t>
      </w:r>
    </w:p>
    <w:p w14:paraId="11E3D841" w14:textId="77777777" w:rsidR="000733C6" w:rsidRPr="006A1212" w:rsidRDefault="000733C6" w:rsidP="000733C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t>Nakłady inwestycyjne (ceny bieżące; wzrost/spadek w stosunku do roku poprzedniego)</w:t>
      </w:r>
    </w:p>
    <w:p w14:paraId="6CEBEC02" w14:textId="3B43E567" w:rsidR="000733C6" w:rsidRPr="006A1212" w:rsidRDefault="007A0F30" w:rsidP="000733C6">
      <w:pPr>
        <w:jc w:val="both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6C465BA" wp14:editId="469F3A6A">
            <wp:extent cx="6596363" cy="1846800"/>
            <wp:effectExtent l="0" t="0" r="0" b="1270"/>
            <wp:docPr id="53" name="Wykres 5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1CA03FC" w14:textId="6029A58E" w:rsidR="000733C6" w:rsidRPr="006A1212" w:rsidRDefault="000733C6" w:rsidP="000733C6">
      <w:pPr>
        <w:spacing w:before="240" w:after="120" w:line="288" w:lineRule="auto"/>
        <w:rPr>
          <w:szCs w:val="19"/>
          <w:highlight w:val="black"/>
        </w:rPr>
      </w:pPr>
      <w:r w:rsidRPr="006A1212">
        <w:rPr>
          <w:szCs w:val="19"/>
          <w:highlight w:val="black"/>
        </w:rPr>
        <w:t>Wyższe nakłady, w porównaniu z 1 półroczem 2021 r., poniosły przedsiębiorstwa prowadzące działalność m.in. w sekcjach: transport i gospodarka magazynowa (ponad 2-krotnie), dostawa wody; gospodarowanie ściekami i odpadami; rekultywacja (o 60,1%), budownictwo (o 32,8%) oraz obsługa rynku nieruchomości (o 7,2%). Spadek nakładów w porównaniu z analogicznym okresem 2021 r. odnotowano m.in. w handlu; naprawie pojazdów samochodowych (o 5,4%). W przetwórstwie przemysłowym nakłady inwestycyjne pozostały na poziomie zbliżonym do notowanego przed rokiem. W 1 półroczu 2022</w:t>
      </w:r>
      <w:r w:rsidR="008F64E5" w:rsidRPr="006A1212">
        <w:rPr>
          <w:szCs w:val="19"/>
          <w:highlight w:val="black"/>
        </w:rPr>
        <w:t xml:space="preserve"> r.</w:t>
      </w:r>
      <w:r w:rsidRPr="006A1212">
        <w:rPr>
          <w:szCs w:val="19"/>
          <w:highlight w:val="black"/>
        </w:rPr>
        <w:t xml:space="preserve"> inwestowały głównie przedsiębiorstwa prowadzące działalność w zakresie przetwórstwa przemysłowego (na które przypadało 67,7% ogółu poniesionych nakładów), handlu; naprawy pojazdów samochodowych (8,9%), transportu i gospodarki magazynowej (7,1%) oraz dostawy wody; gospodarowania ściekami i odpadami; rekultywacji (6,3%).</w:t>
      </w:r>
    </w:p>
    <w:p w14:paraId="1FBF8FBD" w14:textId="1038B700" w:rsidR="000733C6" w:rsidRPr="006A1212" w:rsidRDefault="000733C6" w:rsidP="000733C6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6A1212">
        <w:rPr>
          <w:szCs w:val="19"/>
          <w:highlight w:val="black"/>
        </w:rPr>
        <w:t>W 1 półroczu 2022 roku rozpoczęto 652 inwestycje, tj. o 13,5% mniej niż w analogicznym okresie 2021 r. Łączna wartość kosztorysowa inwestycji nowo rozpoczętych wyniosła 284,0 mln zł i była o 21,6% niższa niż w 1 półroczu 2021 r. Na ulepszenie (tj. przebudowę, rozbudowę, rekonstrukcję lub modernizację) istniejących środków trwałych przypadało 25,4% wartości kosztorysowej wszystkich rozpoczętych inwestycji (przed rokiem 24,0%). Obniżyła się w skali roku wartość kosztorysowa inwestycji rozpoczętych przez przedsiębiorstwa działające m.in. w przetwór</w:t>
      </w:r>
      <w:r w:rsidR="00E4360C" w:rsidRPr="006A1212">
        <w:rPr>
          <w:szCs w:val="19"/>
          <w:highlight w:val="black"/>
        </w:rPr>
        <w:t>stwie przemysłowym (o 28,5%), a </w:t>
      </w:r>
      <w:r w:rsidRPr="006A1212">
        <w:rPr>
          <w:szCs w:val="19"/>
          <w:highlight w:val="black"/>
        </w:rPr>
        <w:t>wzrosła m.in. w handlu; naprawie pojazdów samochodowych (ponad 3,5-krotnie).</w:t>
      </w:r>
    </w:p>
    <w:p w14:paraId="24CFA44B" w14:textId="77777777" w:rsidR="00147339" w:rsidRPr="006A1212" w:rsidRDefault="00147339" w:rsidP="00393785">
      <w:pPr>
        <w:pStyle w:val="Nagwek1"/>
        <w:rPr>
          <w:highlight w:val="black"/>
        </w:rPr>
      </w:pPr>
      <w:bookmarkStart w:id="45" w:name="_Toc112658423"/>
      <w:r w:rsidRPr="006A1212">
        <w:rPr>
          <w:highlight w:val="black"/>
        </w:rPr>
        <w:lastRenderedPageBreak/>
        <w:t>Podmioty gospodarki narodowej</w:t>
      </w:r>
      <w:bookmarkEnd w:id="45"/>
    </w:p>
    <w:p w14:paraId="46936772" w14:textId="138C9216" w:rsidR="00EC714B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 xml:space="preserve">Według stanu na koniec lipca 2022 r. w rejestrze REGON wpisanych było 200,0 tys. </w:t>
      </w:r>
      <w:r w:rsidRPr="006A1212">
        <w:rPr>
          <w:rFonts w:cs="FiraSans-Regular"/>
          <w:b/>
          <w:szCs w:val="19"/>
          <w:highlight w:val="black"/>
        </w:rPr>
        <w:t>podmiotów gospodarki narodowej</w:t>
      </w:r>
      <w:r w:rsidRPr="006A1212">
        <w:rPr>
          <w:rFonts w:cs="FiraSans-Regular"/>
          <w:szCs w:val="19"/>
          <w:highlight w:val="black"/>
          <w:vertAlign w:val="superscript"/>
        </w:rPr>
        <w:footnoteReference w:id="5"/>
      </w:r>
      <w:r w:rsidR="003D5EEE" w:rsidRPr="006A1212">
        <w:rPr>
          <w:rFonts w:cs="FiraSans-Regular"/>
          <w:szCs w:val="19"/>
          <w:highlight w:val="black"/>
        </w:rPr>
        <w:t>, tj. </w:t>
      </w:r>
      <w:r w:rsidRPr="006A1212">
        <w:rPr>
          <w:rFonts w:cs="FiraSans-Regular"/>
          <w:szCs w:val="19"/>
          <w:highlight w:val="black"/>
        </w:rPr>
        <w:t>o 3,5% więcej niż przed rokiem i o 0,4% więcej niż w końcu czerwca 2022 r.</w:t>
      </w:r>
    </w:p>
    <w:p w14:paraId="1FF46DBD" w14:textId="34EF85B7" w:rsidR="00EC714B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 xml:space="preserve">Liczba zarejestrowanych </w:t>
      </w:r>
      <w:r w:rsidRPr="006A1212">
        <w:rPr>
          <w:rFonts w:cs="FiraSans-Regular"/>
          <w:b/>
          <w:szCs w:val="19"/>
          <w:highlight w:val="black"/>
        </w:rPr>
        <w:t>osób fizycznych</w:t>
      </w:r>
      <w:r w:rsidRPr="006A1212">
        <w:rPr>
          <w:rFonts w:cs="FiraSans-Regular"/>
          <w:szCs w:val="19"/>
          <w:highlight w:val="black"/>
        </w:rPr>
        <w:t xml:space="preserve"> prowadzących działalność gospodarczą wyniosła 149,8 tys. i w porównaniu z analogicznym okresem poprzedniego roku była o 3,5% większa. Do rejestru REGON wpisanych było 29,0 tys. </w:t>
      </w:r>
      <w:r w:rsidRPr="006A1212">
        <w:rPr>
          <w:rFonts w:cs="FiraSans-Regular"/>
          <w:b/>
          <w:szCs w:val="19"/>
          <w:highlight w:val="black"/>
        </w:rPr>
        <w:t>spółek</w:t>
      </w:r>
      <w:r w:rsidRPr="006A1212">
        <w:rPr>
          <w:rFonts w:cs="FiraSans-Regular"/>
          <w:szCs w:val="19"/>
          <w:highlight w:val="black"/>
        </w:rPr>
        <w:t>, w tym 18127 spółek handlowych i 10</w:t>
      </w:r>
      <w:r w:rsidR="00342885" w:rsidRPr="006A1212">
        <w:rPr>
          <w:rFonts w:cs="FiraSans-Regular"/>
          <w:szCs w:val="19"/>
          <w:highlight w:val="black"/>
        </w:rPr>
        <w:t xml:space="preserve"> </w:t>
      </w:r>
      <w:r w:rsidRPr="006A1212">
        <w:rPr>
          <w:rFonts w:cs="FiraSans-Regular"/>
          <w:szCs w:val="19"/>
          <w:highlight w:val="black"/>
        </w:rPr>
        <w:t>650 spółek cywilnych. Liczba spółek wzrosła w skali roku o 4,2%, spółek handlowych o 7,3%, natomiast spółek cywilnych zmalała o 0,8%.</w:t>
      </w:r>
    </w:p>
    <w:p w14:paraId="7F229FA8" w14:textId="7808ADA2" w:rsidR="00EC714B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b/>
          <w:szCs w:val="19"/>
          <w:highlight w:val="black"/>
        </w:rPr>
        <w:t>Według przewidywanej liczby pracujących</w:t>
      </w:r>
      <w:r w:rsidRPr="006A1212">
        <w:rPr>
          <w:rFonts w:cs="FiraSans-Regular"/>
          <w:szCs w:val="19"/>
          <w:highlight w:val="black"/>
        </w:rPr>
        <w:t xml:space="preserve"> zdecydowanie przeważały podmioty o liczbie pracujących do 9 osób (96,5% ogółu podmiotów). Udział podmiotów o przewidywanej liczbie pracujących 10</w:t>
      </w:r>
      <w:r w:rsidRPr="006A1212">
        <w:rPr>
          <w:rFonts w:cs="FiraSans-Regular"/>
          <w:bCs/>
          <w:szCs w:val="19"/>
          <w:highlight w:val="black"/>
        </w:rPr>
        <w:t>–</w:t>
      </w:r>
      <w:r w:rsidRPr="006A1212">
        <w:rPr>
          <w:rFonts w:cs="FiraSans-Regular"/>
          <w:szCs w:val="19"/>
          <w:highlight w:val="black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Pr="006A1212">
        <w:rPr>
          <w:rFonts w:cs="FiraSans-Regular"/>
          <w:bCs/>
          <w:szCs w:val="19"/>
          <w:highlight w:val="black"/>
        </w:rPr>
        <w:t>–</w:t>
      </w:r>
      <w:r w:rsidRPr="006A1212">
        <w:rPr>
          <w:rFonts w:cs="FiraSans-Regular"/>
          <w:szCs w:val="19"/>
          <w:highlight w:val="black"/>
        </w:rPr>
        <w:t>9 o 6</w:t>
      </w:r>
      <w:r w:rsidR="00083F4F" w:rsidRPr="006A1212">
        <w:rPr>
          <w:rFonts w:cs="FiraSans-Regular"/>
          <w:szCs w:val="19"/>
          <w:highlight w:val="black"/>
        </w:rPr>
        <w:t xml:space="preserve"> </w:t>
      </w:r>
      <w:r w:rsidRPr="006A1212">
        <w:rPr>
          <w:rFonts w:cs="FiraSans-Regular"/>
          <w:szCs w:val="19"/>
          <w:highlight w:val="black"/>
        </w:rPr>
        <w:t>748 (o 3,6%).</w:t>
      </w:r>
    </w:p>
    <w:p w14:paraId="6E53F27B" w14:textId="77777777" w:rsidR="00EC714B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6A1212">
        <w:rPr>
          <w:szCs w:val="19"/>
          <w:highlight w:val="black"/>
        </w:rPr>
        <w:t xml:space="preserve">informacja i komunikacja (o 10,4%), następnie budownictwo (o 7,4%), administrowanie i działalność wspierająca (o 4,8%), </w:t>
      </w:r>
      <w:r w:rsidRPr="006A1212">
        <w:rPr>
          <w:rFonts w:cs="FiraSans-Regular"/>
          <w:szCs w:val="19"/>
          <w:highlight w:val="black"/>
        </w:rPr>
        <w:t>natomiast spadek zanotowano tylko w sekcji działalność finansowa i ubezpieczeniowa (o 0,8%).</w:t>
      </w:r>
    </w:p>
    <w:p w14:paraId="258A3BAA" w14:textId="654781C4" w:rsidR="00EC714B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>W lipcu 2022 r. do rejestru REGON wpisano 1</w:t>
      </w:r>
      <w:r w:rsidR="00342885" w:rsidRPr="006A1212">
        <w:rPr>
          <w:rFonts w:cs="FiraSans-Regular"/>
          <w:szCs w:val="19"/>
          <w:highlight w:val="black"/>
        </w:rPr>
        <w:t xml:space="preserve"> </w:t>
      </w:r>
      <w:r w:rsidRPr="006A1212">
        <w:rPr>
          <w:rFonts w:cs="FiraSans-Regular"/>
          <w:szCs w:val="19"/>
          <w:highlight w:val="black"/>
        </w:rPr>
        <w:t xml:space="preserve">473 </w:t>
      </w:r>
      <w:r w:rsidRPr="006A1212">
        <w:rPr>
          <w:rFonts w:cs="FiraSans-Regular"/>
          <w:b/>
          <w:szCs w:val="19"/>
          <w:highlight w:val="black"/>
        </w:rPr>
        <w:t>nowe podmioty</w:t>
      </w:r>
      <w:r w:rsidRPr="006A1212">
        <w:rPr>
          <w:rFonts w:cs="FiraSans-Regular"/>
          <w:szCs w:val="19"/>
          <w:highlight w:val="black"/>
        </w:rPr>
        <w:t>, tj. o 4,6% więcej niż w poprzednim miesiącu. Wśród nowo zarejestrowanych jednostek przeważały osoby fizyczne prowadzące działalność gospodarczą, których wpisano 1</w:t>
      </w:r>
      <w:r w:rsidR="00342885" w:rsidRPr="006A1212">
        <w:rPr>
          <w:rFonts w:cs="FiraSans-Regular"/>
          <w:szCs w:val="19"/>
          <w:highlight w:val="black"/>
        </w:rPr>
        <w:t> </w:t>
      </w:r>
      <w:r w:rsidRPr="006A1212">
        <w:rPr>
          <w:rFonts w:cs="FiraSans-Regular"/>
          <w:szCs w:val="19"/>
          <w:highlight w:val="black"/>
        </w:rPr>
        <w:t>260</w:t>
      </w:r>
      <w:r w:rsidR="003D5EEE" w:rsidRPr="006A1212">
        <w:rPr>
          <w:rFonts w:cs="FiraSans-Regular"/>
          <w:szCs w:val="19"/>
          <w:highlight w:val="black"/>
        </w:rPr>
        <w:t> </w:t>
      </w:r>
      <w:r w:rsidRPr="006A1212">
        <w:rPr>
          <w:rFonts w:cs="FiraSans-Regular"/>
          <w:szCs w:val="19"/>
          <w:highlight w:val="black"/>
        </w:rPr>
        <w:t>(o 0,9% więcej niż w czerwcu 2022 r.). Liczba nowo zarejestrowanych spółek handlowych była większa o 12,9</w:t>
      </w:r>
      <w:r w:rsidR="003D5EEE" w:rsidRPr="006A1212">
        <w:rPr>
          <w:rFonts w:cs="FiraSans-Regular"/>
          <w:szCs w:val="19"/>
          <w:highlight w:val="black"/>
        </w:rPr>
        <w:t xml:space="preserve">%, w </w:t>
      </w:r>
      <w:r w:rsidRPr="006A1212">
        <w:rPr>
          <w:rFonts w:cs="FiraSans-Regular"/>
          <w:szCs w:val="19"/>
          <w:highlight w:val="black"/>
        </w:rPr>
        <w:t>tym spółek z ograniczoną odpowiedzialnością o 10,9% większa.</w:t>
      </w:r>
    </w:p>
    <w:p w14:paraId="6205FC8B" w14:textId="431FC0A6" w:rsidR="00234420" w:rsidRPr="006A1212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 xml:space="preserve">W lipcu 2022 r. z rejestru REGON </w:t>
      </w:r>
      <w:r w:rsidRPr="006A1212">
        <w:rPr>
          <w:rFonts w:cs="FiraSans-Regular"/>
          <w:b/>
          <w:szCs w:val="19"/>
          <w:highlight w:val="black"/>
        </w:rPr>
        <w:t>wykreślono</w:t>
      </w:r>
      <w:r w:rsidRPr="006A1212">
        <w:rPr>
          <w:rFonts w:cs="FiraSans-Regular"/>
          <w:szCs w:val="19"/>
          <w:highlight w:val="black"/>
        </w:rPr>
        <w:t xml:space="preserve"> 633 podmioty (o 0,9% mniej niż przed miesiącem), w tym 552 osoby fizyczne prowadzące działalność gospodarczą (odpowiednio o 1,3% mniej).</w:t>
      </w:r>
    </w:p>
    <w:p w14:paraId="4102D1EC" w14:textId="302E6B51" w:rsidR="00352C78" w:rsidRPr="006A1212" w:rsidRDefault="00352C78" w:rsidP="0011289A">
      <w:pPr>
        <w:pStyle w:val="Nagwek5"/>
        <w:rPr>
          <w:highlight w:val="black"/>
        </w:rPr>
      </w:pPr>
      <w:r w:rsidRPr="006A1212">
        <w:rPr>
          <w:highlight w:val="black"/>
        </w:rPr>
        <w:lastRenderedPageBreak/>
        <w:t>Podmioty gospodarki narodowej nowo zarejestro</w:t>
      </w:r>
      <w:r w:rsidR="00E752F2" w:rsidRPr="006A1212">
        <w:rPr>
          <w:highlight w:val="black"/>
        </w:rPr>
        <w:t xml:space="preserve">wane i wyrejestrowane </w:t>
      </w:r>
      <w:r w:rsidR="00B96817" w:rsidRPr="006A1212">
        <w:rPr>
          <w:bCs/>
          <w:highlight w:val="black"/>
        </w:rPr>
        <w:t xml:space="preserve">w </w:t>
      </w:r>
      <w:r w:rsidR="00EC714B" w:rsidRPr="006A1212">
        <w:rPr>
          <w:bCs/>
          <w:highlight w:val="black"/>
        </w:rPr>
        <w:t>lip</w:t>
      </w:r>
      <w:r w:rsidR="009E251D" w:rsidRPr="006A1212">
        <w:rPr>
          <w:bCs/>
          <w:highlight w:val="black"/>
        </w:rPr>
        <w:t>c</w:t>
      </w:r>
      <w:r w:rsidR="00063270" w:rsidRPr="006A1212">
        <w:rPr>
          <w:bCs/>
          <w:highlight w:val="black"/>
        </w:rPr>
        <w:t>u</w:t>
      </w:r>
      <w:r w:rsidR="00B96817" w:rsidRPr="006A1212">
        <w:rPr>
          <w:bCs/>
          <w:highlight w:val="black"/>
        </w:rPr>
        <w:t xml:space="preserve"> </w:t>
      </w:r>
      <w:r w:rsidRPr="006A1212">
        <w:rPr>
          <w:highlight w:val="black"/>
        </w:rPr>
        <w:t>202</w:t>
      </w:r>
      <w:r w:rsidR="00130F03" w:rsidRPr="006A1212">
        <w:rPr>
          <w:highlight w:val="black"/>
        </w:rPr>
        <w:t>2</w:t>
      </w:r>
      <w:r w:rsidRPr="006A1212">
        <w:rPr>
          <w:highlight w:val="black"/>
        </w:rPr>
        <w:t xml:space="preserve"> r.</w:t>
      </w:r>
    </w:p>
    <w:p w14:paraId="1C6C3A93" w14:textId="243E5358" w:rsidR="00E511B2" w:rsidRPr="006A1212" w:rsidRDefault="007A0F30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  <w:lang w:eastAsia="pl-PL"/>
        </w:rPr>
        <w:drawing>
          <wp:inline distT="0" distB="0" distL="0" distR="0" wp14:anchorId="16555135" wp14:editId="1418817D">
            <wp:extent cx="5199938" cy="5450400"/>
            <wp:effectExtent l="0" t="0" r="127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38" cy="54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6C27A87C" w:rsidR="005F41E4" w:rsidRPr="006A1212" w:rsidRDefault="0023583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6A1212">
        <w:rPr>
          <w:rFonts w:cs="FiraSans-Regular"/>
          <w:szCs w:val="19"/>
          <w:highlight w:val="black"/>
        </w:rPr>
        <w:t>Według stanu na koniec lipca 2022 r. w rejestrze REGON 24</w:t>
      </w:r>
      <w:r w:rsidR="00CA7CB8" w:rsidRPr="006A1212">
        <w:rPr>
          <w:rFonts w:cs="FiraSans-Regular"/>
          <w:szCs w:val="19"/>
          <w:highlight w:val="black"/>
        </w:rPr>
        <w:t xml:space="preserve"> </w:t>
      </w:r>
      <w:r w:rsidRPr="006A1212">
        <w:rPr>
          <w:rFonts w:cs="FiraSans-Regular"/>
          <w:szCs w:val="19"/>
          <w:highlight w:val="black"/>
        </w:rPr>
        <w:t xml:space="preserve">868 podmiotów miało </w:t>
      </w:r>
      <w:r w:rsidRPr="006A1212">
        <w:rPr>
          <w:rFonts w:cs="FiraSans-Regular"/>
          <w:b/>
          <w:szCs w:val="19"/>
          <w:highlight w:val="black"/>
        </w:rPr>
        <w:t>zawieszoną działalność</w:t>
      </w:r>
      <w:r w:rsidRPr="006A1212">
        <w:rPr>
          <w:rFonts w:cs="FiraSans-Regular"/>
          <w:szCs w:val="19"/>
          <w:highlight w:val="black"/>
        </w:rPr>
        <w:t xml:space="preserve"> (o 1,2% więcej niż przed miesiącem). Zdecydowaną większość (95,3%) stanowiły osoby fizyczne prowadzące działalność gospodarczą (przed miesiącem 95,2%).</w:t>
      </w:r>
    </w:p>
    <w:p w14:paraId="195065A0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3C576711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0019DD02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7B40436E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6B67CB85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07F79ED6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41953269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13BBC89A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260B8959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23A0E729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6ED0E2D6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5E9B2EDD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0261CFB2" w14:textId="77777777" w:rsidR="005E65FE" w:rsidRPr="006A1212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387E734F" w14:textId="0D9803A8" w:rsidR="00352C78" w:rsidRPr="006A1212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6A1212">
        <w:rPr>
          <w:b/>
          <w:highlight w:val="black"/>
        </w:rPr>
        <w:lastRenderedPageBreak/>
        <w:t xml:space="preserve">Mapa </w:t>
      </w:r>
      <w:r w:rsidR="007C360A" w:rsidRPr="006A1212">
        <w:rPr>
          <w:b/>
          <w:highlight w:val="black"/>
        </w:rPr>
        <w:t xml:space="preserve">3. </w:t>
      </w:r>
      <w:r w:rsidRPr="006A1212">
        <w:rPr>
          <w:b/>
          <w:highlight w:val="black"/>
        </w:rPr>
        <w:t>Podmioty gospodarki narodowej z zawieszoną działalnością</w:t>
      </w:r>
      <w:r w:rsidR="00701F4A" w:rsidRPr="006A1212">
        <w:rPr>
          <w:b/>
          <w:highlight w:val="black"/>
        </w:rPr>
        <w:t xml:space="preserve"> </w:t>
      </w:r>
      <w:r w:rsidR="00340069" w:rsidRPr="006A1212">
        <w:rPr>
          <w:b/>
          <w:highlight w:val="black"/>
        </w:rPr>
        <w:t xml:space="preserve">w </w:t>
      </w:r>
      <w:r w:rsidR="00C346FA" w:rsidRPr="006A1212">
        <w:rPr>
          <w:b/>
          <w:highlight w:val="black"/>
        </w:rPr>
        <w:t>lip</w:t>
      </w:r>
      <w:r w:rsidR="009E251D" w:rsidRPr="006A1212">
        <w:rPr>
          <w:b/>
          <w:highlight w:val="black"/>
        </w:rPr>
        <w:t>c</w:t>
      </w:r>
      <w:r w:rsidR="00063270" w:rsidRPr="006A1212">
        <w:rPr>
          <w:b/>
          <w:highlight w:val="black"/>
        </w:rPr>
        <w:t>u</w:t>
      </w:r>
      <w:r w:rsidR="00D90581" w:rsidRPr="006A1212">
        <w:rPr>
          <w:b/>
          <w:highlight w:val="black"/>
        </w:rPr>
        <w:t xml:space="preserve"> 2022</w:t>
      </w:r>
      <w:r w:rsidR="00E12FBC" w:rsidRPr="006A1212">
        <w:rPr>
          <w:b/>
          <w:highlight w:val="black"/>
        </w:rPr>
        <w:t xml:space="preserve"> r</w:t>
      </w:r>
      <w:r w:rsidR="007C360A" w:rsidRPr="006A1212">
        <w:rPr>
          <w:b/>
          <w:highlight w:val="black"/>
        </w:rPr>
        <w:t>.</w:t>
      </w:r>
    </w:p>
    <w:p w14:paraId="661A77B0" w14:textId="44CB2CF3" w:rsidR="00352C78" w:rsidRPr="006A1212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4E6DB77D" w:rsidR="00C35A0A" w:rsidRPr="006A1212" w:rsidRDefault="00FF0960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2251D49" wp14:editId="58371021">
            <wp:extent cx="4572009" cy="6035052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gon_07_2022_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0B61" w14:textId="79EDFAAA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B6376E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E79518D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F3A58DA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6F79BC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B9E19A3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B4A2AE7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75CAB98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2FD197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A8872EE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FAE15EF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48C6D3B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A47507F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E7C65D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2B1E0C3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D085FCC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54FEF79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8E9CDEC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62FB987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1272ABC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8AF8C8A" w14:textId="77777777" w:rsidR="00D96DE7" w:rsidRPr="006A1212" w:rsidRDefault="00D96DE7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B213030" w14:textId="77777777" w:rsidR="00DE2D3C" w:rsidRPr="006A1212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6B74653" w14:textId="77777777" w:rsidR="007C5069" w:rsidRPr="006A1212" w:rsidRDefault="007C5069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E645508" w14:textId="5EF84C4B" w:rsidR="00A3371C" w:rsidRPr="006A1212" w:rsidRDefault="002138AA" w:rsidP="002138AA">
      <w:pPr>
        <w:pStyle w:val="Nagwek1"/>
        <w:spacing w:before="240"/>
        <w:rPr>
          <w:highlight w:val="black"/>
        </w:rPr>
      </w:pPr>
      <w:bookmarkStart w:id="46" w:name="_Toc112658424"/>
      <w:r w:rsidRPr="006A1212">
        <w:rPr>
          <w:highlight w:val="black"/>
        </w:rPr>
        <w:lastRenderedPageBreak/>
        <w:t>Koniunktura gospodarcza</w:t>
      </w:r>
      <w:bookmarkEnd w:id="46"/>
    </w:p>
    <w:p w14:paraId="0FA94DBD" w14:textId="3D541650" w:rsidR="00241ECE" w:rsidRPr="006A1212" w:rsidRDefault="00160C84" w:rsidP="009E09E1">
      <w:pPr>
        <w:spacing w:before="120" w:after="120" w:line="288" w:lineRule="auto"/>
        <w:rPr>
          <w:highlight w:val="black"/>
        </w:rPr>
      </w:pPr>
      <w:r w:rsidRPr="006A1212">
        <w:rPr>
          <w:highlight w:val="black"/>
        </w:rPr>
        <w:t>W sierpniu w większości badanych obszarów przedsiębiorcy oceniają koniunkturę gorzej niż w lipcu. Największe pogorszenie ocen nastąpiło w sekcji informacja i komunikacja. Tylko w przetwórstwie przemysłowym oraz w transporcie i gospodarce magazynowej oceny wzrosły. W handlu hurtowym oceny są podobne jak przed miesiącem.</w:t>
      </w:r>
    </w:p>
    <w:p w14:paraId="75B1E31F" w14:textId="77777777" w:rsidR="00C8489B" w:rsidRPr="006A1212" w:rsidRDefault="00C8489B" w:rsidP="00C8489B">
      <w:pPr>
        <w:pStyle w:val="Nagwek5"/>
        <w:rPr>
          <w:highlight w:val="black"/>
        </w:rPr>
      </w:pPr>
      <w:r w:rsidRPr="006A1212">
        <w:rPr>
          <w:highlight w:val="black"/>
        </w:rPr>
        <w:t>Wskaźniki ogólnego klimatu koniunktury według rodzaju działalności (sekcje działy PKD 2007)</w:t>
      </w:r>
    </w:p>
    <w:p w14:paraId="44631C50" w14:textId="3737EDF2" w:rsidR="00C8489B" w:rsidRPr="006A1212" w:rsidRDefault="007A0F30" w:rsidP="003E2A57">
      <w:pPr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7B01F39" wp14:editId="2AB8BB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62000" cy="4053600"/>
                <wp:effectExtent l="0" t="0" r="0" b="4445"/>
                <wp:wrapNone/>
                <wp:docPr id="5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000" cy="4053600"/>
                          <a:chOff x="0" y="0"/>
                          <a:chExt cx="8077779" cy="5410200"/>
                        </a:xfrm>
                      </wpg:grpSpPr>
                      <wpg:graphicFrame>
                        <wpg:cNvPr id="2" name="Wykres 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EDA5" id="Grupa 4" o:spid="_x0000_s1026" style="position:absolute;margin-left:0;margin-top:-.05pt;width:508.8pt;height:319.2pt;z-index:251805696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top:732;width:64238;height:533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MRF&#10;JMIAAADaAAAADwAAAGRycy9kb3ducmV2LnhtbESPQWvCQBSE7wX/w/IEL6IbRbSkriKi1oMX13p/&#10;ZF+TYPZtzK4m/fduodDjMDPfMMt1ZyvxpMaXjhVMxgkI4syZknMFX5f96B2ED8gGK8ek4Ic8rFe9&#10;tyWmxrV8pqcOuYgQ9ikqKEKoUyl9VpBFP3Y1cfS+XWMxRNnk0jTYRrit5DRJ5tJiyXGhwJq2BWU3&#10;/bAK7tvhob1qPTPJYofz2ae3enJSatDvNh8gAnXhP/zXPhoFU/i9Em+AXL0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MRFJMIAAADaAAAADwAAAAAAAAAAAAAAAACbAgAAZHJzL2Rv&#10;d25yZXYueG1sUEsFBgAAAAAEAAQA8wAAAIoDAAAAAA==&#10;">
                  <v:imagedata r:id="rId26" o:title=""/>
                  <o:lock v:ext="edit" aspectratio="f"/>
                </v:shape>
                <v:shape id="Wykres 3" o:spid="_x0000_s1028" type="#_x0000_t75" style="position:absolute;left:63857;width:16917;height:539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q4v&#10;JsUAAADaAAAADwAAAGRycy9kb3ducmV2LnhtbESPQWvCQBSE70L/w/IK3nTTCEWiq5Si0IvVWCl6&#10;e2afSWj2bbq7auyv7xaEHoeZb4aZzjvTiAs5X1tW8DRMQBAXVtdcKth9LAdjED4ga2wsk4IbeZjP&#10;HnpTzLS9ck6XbShFLGGfoYIqhDaT0hcVGfRD2xJH72SdwRClK6V2eI3lppFpkjxLgzXHhQpbeq2o&#10;+NqejYJRvli59/zzuEsPm/WPXaf7/XeqVP+xe5mACNSF//CdftORg78r8QbI2S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eq4vJsUAAADaAAAADwAAAAAAAAAAAAAAAACbAgAAZHJz&#10;L2Rvd25yZXYueG1sUEsFBgAAAAAEAAQA8wAAAI0DAAAAAA==&#10;">
                  <v:imagedata r:id="rId27" o:title=""/>
                  <o:lock v:ext="edit" aspectratio="f"/>
                </v:shape>
              </v:group>
            </w:pict>
          </mc:Fallback>
        </mc:AlternateContent>
      </w:r>
    </w:p>
    <w:p w14:paraId="68B75544" w14:textId="77777777" w:rsidR="00C41EAC" w:rsidRPr="006A1212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6A1212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571CA966" w14:textId="77777777" w:rsidR="00E53851" w:rsidRPr="006A1212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6A1212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6A1212">
        <w:rPr>
          <w:b/>
          <w:szCs w:val="19"/>
          <w:highlight w:val="black"/>
          <w:vertAlign w:val="superscript"/>
        </w:rPr>
        <w:footnoteReference w:id="6"/>
      </w:r>
    </w:p>
    <w:p w14:paraId="019B84C0" w14:textId="11507C65" w:rsidR="00E53851" w:rsidRPr="006A1212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6A1212">
        <w:rPr>
          <w:b/>
          <w:szCs w:val="19"/>
          <w:highlight w:val="black"/>
        </w:rPr>
        <w:t>Pytania o wpływ wojny w Ukrainie</w:t>
      </w:r>
    </w:p>
    <w:p w14:paraId="4640734B" w14:textId="77777777" w:rsidR="00E53851" w:rsidRPr="006A1212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6A1212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193F145" w14:textId="7A0753D5" w:rsidR="00E53851" w:rsidRPr="006A1212" w:rsidRDefault="007A0F30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627FCC8" wp14:editId="2D23C6AE">
            <wp:extent cx="5115091" cy="1970598"/>
            <wp:effectExtent l="0" t="0" r="9525" b="10795"/>
            <wp:docPr id="54" name="Wykres 5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2905166" w14:textId="5421A6BF" w:rsidR="00791A46" w:rsidRPr="006A1212" w:rsidRDefault="00791A46" w:rsidP="00791A4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6A1212">
        <w:rPr>
          <w:rFonts w:cs="Fira Sans"/>
          <w:szCs w:val="19"/>
          <w:highlight w:val="black"/>
        </w:rPr>
        <w:t>Wśród przedsiębiorców, którzy udzieli</w:t>
      </w:r>
      <w:r w:rsidR="00E235E2" w:rsidRPr="006A1212">
        <w:rPr>
          <w:rFonts w:cs="Fira Sans"/>
          <w:szCs w:val="19"/>
          <w:highlight w:val="black"/>
        </w:rPr>
        <w:t>li</w:t>
      </w:r>
      <w:r w:rsidRPr="006A1212">
        <w:rPr>
          <w:rFonts w:cs="Fira Sans"/>
          <w:szCs w:val="19"/>
          <w:highlight w:val="black"/>
        </w:rPr>
        <w:t xml:space="preserve"> odpowiedzi w badaniu najczęściej pojawiały się zdania, że trwająca wojna stanowiła w sierpniu br. nieznaczne zagrożenie dla ich firm. Taką opinię wyrażało m.in. 83,5% podmiotów prowadzących działalność w handlu hurtowym i 81,4% w handlu detalicznym. Największy odsetek odpowiedzi wskazujących na poważny wpływ wojny na działalność gospodarczą udzieliły firmy działające w budownictwie (25,9%), a następnie w przetwórstwie przemysłowym (18,4%). Skutki wojny zagrażające stabilności firmy przewidywało najwięcej podmiotów związanych z usługami (11,9%).</w:t>
      </w:r>
    </w:p>
    <w:p w14:paraId="1C193F36" w14:textId="77777777" w:rsidR="00E53851" w:rsidRPr="006A1212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6A1212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54345DEE" w:rsidR="00E53851" w:rsidRPr="006A1212" w:rsidRDefault="007A0F30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8044D72" wp14:editId="4846EB1D">
            <wp:extent cx="5868063" cy="4048540"/>
            <wp:effectExtent l="0" t="0" r="18415" b="9525"/>
            <wp:docPr id="55" name="Wykres 5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F868C1D" w14:textId="77777777" w:rsidR="00C77E16" w:rsidRPr="006A1212" w:rsidRDefault="00C77E16" w:rsidP="00C77E1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6A1212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 problem zakłóceń w łańcuchu dostaw. Spadek sprzedaży (przychodów) i duże zaburzenia organizacyjne w funkcjonowaniu przedsiębiorstwa w największym stopniu dotyczył podmiotów zajmujących się handlem hurtowym (odpowiednio 42,5% i 34,1%).</w:t>
      </w:r>
    </w:p>
    <w:p w14:paraId="785625D0" w14:textId="77777777" w:rsidR="00E53851" w:rsidRPr="006A1212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6A1212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6A1212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6A1212">
        <w:rPr>
          <w:rFonts w:cs="FiraSans-Bold"/>
          <w:bCs/>
          <w:i/>
          <w:szCs w:val="19"/>
          <w:highlight w:val="black"/>
        </w:rPr>
        <w:t>:</w:t>
      </w:r>
    </w:p>
    <w:p w14:paraId="1BF58610" w14:textId="783769CE" w:rsidR="00E53851" w:rsidRPr="006A1212" w:rsidRDefault="007A0F30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0E2F7E7" wp14:editId="12811C02">
            <wp:extent cx="5715028" cy="2520000"/>
            <wp:effectExtent l="0" t="0" r="0" b="0"/>
            <wp:docPr id="56" name="Wykres 5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B5E1A2B" w14:textId="77777777" w:rsidR="00F00A2D" w:rsidRPr="006A1212" w:rsidRDefault="00F00A2D" w:rsidP="00F00A2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6A1212">
        <w:rPr>
          <w:rFonts w:cs="Fira Sans"/>
          <w:szCs w:val="19"/>
          <w:highlight w:val="black"/>
        </w:rPr>
        <w:t>W sierpniu br. zaobserwowano odpływ (64,9%), jak i napływ (64,9%) pracowników głównie w handlu hurtowym. Najmniejszy odsetek odpowiedzi wskazujących odpływ i napływ udzieliły firmy handlu detalicznego (odpowiednio 9,3% i 5,9%).</w:t>
      </w:r>
    </w:p>
    <w:p w14:paraId="42AB7DFD" w14:textId="46633180" w:rsidR="00E53851" w:rsidRPr="006A1212" w:rsidRDefault="00812E24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6A1212">
        <w:rPr>
          <w:b/>
          <w:szCs w:val="19"/>
          <w:highlight w:val="black"/>
        </w:rPr>
        <w:t>P</w:t>
      </w:r>
      <w:r w:rsidR="00D40757" w:rsidRPr="006A1212">
        <w:rPr>
          <w:b/>
          <w:szCs w:val="19"/>
          <w:highlight w:val="black"/>
        </w:rPr>
        <w:t>ytania o rynek pracy</w:t>
      </w:r>
    </w:p>
    <w:p w14:paraId="480D3DE8" w14:textId="1FC8CDD0" w:rsidR="00E53851" w:rsidRPr="006A1212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6A1212">
        <w:rPr>
          <w:rFonts w:cs="FiraSans-Bold"/>
          <w:bCs/>
          <w:i/>
          <w:szCs w:val="19"/>
          <w:highlight w:val="black"/>
        </w:rPr>
        <w:t xml:space="preserve">Pyt. 4. </w:t>
      </w:r>
      <w:r w:rsidR="00597C72" w:rsidRPr="006A1212">
        <w:rPr>
          <w:rFonts w:cs="FiraSans-Bold"/>
          <w:bCs/>
          <w:i/>
          <w:szCs w:val="19"/>
          <w:highlight w:val="black"/>
        </w:rPr>
        <w:t>Czy</w:t>
      </w:r>
      <w:r w:rsidR="002C5109" w:rsidRPr="006A1212">
        <w:rPr>
          <w:rFonts w:cs="FiraSans-Bold"/>
          <w:bCs/>
          <w:i/>
          <w:szCs w:val="19"/>
          <w:highlight w:val="black"/>
        </w:rPr>
        <w:t xml:space="preserve"> </w:t>
      </w:r>
      <w:r w:rsidR="00597C72" w:rsidRPr="006A1212">
        <w:rPr>
          <w:rFonts w:cs="FiraSans-Bold"/>
          <w:bCs/>
          <w:i/>
          <w:szCs w:val="19"/>
          <w:highlight w:val="black"/>
        </w:rPr>
        <w:t>zamierzają Państwo w najbliższych trzech miesiącach:</w:t>
      </w:r>
    </w:p>
    <w:p w14:paraId="3F0CD5CE" w14:textId="278FB2C3" w:rsidR="00E53851" w:rsidRPr="006A1212" w:rsidRDefault="007A0F30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2C6E6C07" wp14:editId="7D36367C">
            <wp:extent cx="6645600" cy="3552106"/>
            <wp:effectExtent l="0" t="0" r="317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55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F3E7" w14:textId="77777777" w:rsidR="00767412" w:rsidRPr="006A1212" w:rsidRDefault="00767412" w:rsidP="00767412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6A1212">
        <w:rPr>
          <w:rFonts w:cs="Fira Sans"/>
          <w:szCs w:val="19"/>
          <w:highlight w:val="black"/>
        </w:rPr>
        <w:lastRenderedPageBreak/>
        <w:t>Przedstawiciele wszystkich badanych rodzajów działalności najczęściej byli zdania, że w przypadku pracowników wykwalifikowanych, jak i niewykwalifikowanych, prognozują utrzymać zatrudnienie. Zwiększenie zatrudniania pracowników niewykwalifikowanych dotyczyć będzie w największym stopniu przetwórstwa przemysłowego (17,8%), natomiast zwiększenie zatrudniania pracowników wykwalifikowanych głównie handlu hurtowego (31,3%) i przetwórstwa przemysłowego (24,7%).</w:t>
      </w:r>
    </w:p>
    <w:p w14:paraId="25F7BEF3" w14:textId="05E1A9F0" w:rsidR="00E53851" w:rsidRPr="006A1212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6A1212">
        <w:rPr>
          <w:rFonts w:cs="FiraSans-Bold"/>
          <w:bCs/>
          <w:i/>
          <w:szCs w:val="19"/>
          <w:highlight w:val="black"/>
        </w:rPr>
        <w:t xml:space="preserve">Pyt. 5. </w:t>
      </w:r>
      <w:r w:rsidR="00A81C42" w:rsidRPr="006A1212">
        <w:rPr>
          <w:rFonts w:cs="FiraSans-Bold"/>
          <w:bCs/>
          <w:i/>
          <w:szCs w:val="19"/>
          <w:highlight w:val="black"/>
        </w:rPr>
        <w:t xml:space="preserve">Które </w:t>
      </w:r>
      <w:r w:rsidR="00A3160C" w:rsidRPr="006A1212">
        <w:rPr>
          <w:rFonts w:cs="FiraSans-Bold"/>
          <w:bCs/>
          <w:i/>
          <w:szCs w:val="19"/>
          <w:highlight w:val="black"/>
        </w:rPr>
        <w:t>z poniższych czynników i w jakim stopniu wpłyną na poziom wynagrodzenia pracowników w Państwa firmie w najbliższych trzech miesiącach:</w:t>
      </w:r>
    </w:p>
    <w:p w14:paraId="2C653C55" w14:textId="032FAAAF" w:rsidR="00E53851" w:rsidRPr="006A1212" w:rsidRDefault="007A0F30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 w:rsidRPr="007A0F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0283BE" wp14:editId="4740CC89">
                <wp:simplePos x="0" y="0"/>
                <wp:positionH relativeFrom="margin">
                  <wp:align>center</wp:align>
                </wp:positionH>
                <wp:positionV relativeFrom="paragraph">
                  <wp:posOffset>3210197</wp:posOffset>
                </wp:positionV>
                <wp:extent cx="3249294" cy="427091"/>
                <wp:effectExtent l="0" t="0" r="0" b="0"/>
                <wp:wrapNone/>
                <wp:docPr id="13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4" cy="42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DA04D" w14:textId="77777777" w:rsidR="007A0F30" w:rsidRDefault="007A0F30" w:rsidP="007A0F3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Fira Sans"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080283BE" id="pole tekstowe 1" o:spid="_x0000_s1027" type="#_x0000_t202" style="position:absolute;left:0;text-align:left;margin-left:0;margin-top:252.75pt;width:255.85pt;height:33.65pt;z-index:251807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" filled="f" stroked="f">
                <v:textbox>
                  <w:txbxContent>
                    <w:p w14:paraId="564DA04D" w14:textId="77777777" w:rsidR="007A0F30" w:rsidRDefault="007A0F30" w:rsidP="007A0F3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Fira Sans" w:cstheme="minorBidi"/>
                          <w:color w:val="FFFFFF" w:themeColor="background1"/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46B65CBD" wp14:editId="063B2AAD">
            <wp:extent cx="6538595" cy="703389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703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7309D" w14:textId="308DE816" w:rsidR="009E79D3" w:rsidRPr="006A1212" w:rsidRDefault="00990128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6A1212">
        <w:rPr>
          <w:highlight w:val="black"/>
        </w:rPr>
        <w:t>Dla podmiotów prowadzących działalność w budownictwie i handlu detalicznym największy wpływ na poziom wynagrodzenia pracowników mają podwyżki inflacyjne – odpowiednio 71,4% i 68,8%. Utrzymanie realnej wartości wynagrodzeń (78,6%) i sytuacja finansowa firmy (73,4%) mają najmniejszy wpływ na poziom pensji pracowniczych w handlu hurtowym.</w:t>
      </w:r>
    </w:p>
    <w:p w14:paraId="6E90E45A" w14:textId="22E5CF74" w:rsidR="009E79D3" w:rsidRPr="006A1212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744E95A8" w14:textId="77777777" w:rsidR="00BE1281" w:rsidRPr="006A1212" w:rsidRDefault="00BE128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4C80854B" w14:textId="61A38BD6" w:rsidR="009E79D3" w:rsidRPr="006A1212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79866875" w14:textId="5C06D1A2" w:rsidR="009E79D3" w:rsidRPr="006A1212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2AD6194C" w14:textId="2760BE99" w:rsidR="004B77DF" w:rsidRPr="006A1212" w:rsidRDefault="004B77DF" w:rsidP="004B77DF">
      <w:pPr>
        <w:autoSpaceDE w:val="0"/>
        <w:autoSpaceDN w:val="0"/>
        <w:adjustRightInd w:val="0"/>
        <w:rPr>
          <w:i/>
          <w:highlight w:val="black"/>
        </w:rPr>
      </w:pPr>
      <w:r w:rsidRPr="006A1212">
        <w:rPr>
          <w:i/>
          <w:highlight w:val="black"/>
        </w:rPr>
        <w:lastRenderedPageBreak/>
        <w:t>Pyt. 6</w:t>
      </w:r>
      <w:r w:rsidR="009C1E0A" w:rsidRPr="006A1212">
        <w:rPr>
          <w:i/>
          <w:highlight w:val="black"/>
        </w:rPr>
        <w:t>. W</w:t>
      </w:r>
      <w:r w:rsidR="009C1E0A" w:rsidRPr="006A1212">
        <w:rPr>
          <w:rFonts w:cs="FiraSans-Bold"/>
          <w:bCs/>
          <w:i/>
          <w:szCs w:val="19"/>
          <w:highlight w:val="black"/>
        </w:rPr>
        <w:t xml:space="preserve"> jakim stopniu Państwa decyzje w zakresie zatrudnienia i wynagrodzeń w najbliższych trzech miesiącach oparte są:</w:t>
      </w:r>
    </w:p>
    <w:p w14:paraId="074F3FA8" w14:textId="457CCACC" w:rsidR="00AD43E9" w:rsidRPr="006A1212" w:rsidRDefault="007A0F30" w:rsidP="00982303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 Sans"/>
          <w:szCs w:val="19"/>
          <w:highlight w:val="black"/>
        </w:rPr>
      </w:pPr>
      <w:r w:rsidRPr="007A0F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56A3E8" wp14:editId="124885B8">
                <wp:simplePos x="0" y="0"/>
                <wp:positionH relativeFrom="margin">
                  <wp:align>center</wp:align>
                </wp:positionH>
                <wp:positionV relativeFrom="paragraph">
                  <wp:posOffset>3271157</wp:posOffset>
                </wp:positionV>
                <wp:extent cx="3241715" cy="426396"/>
                <wp:effectExtent l="0" t="0" r="0" b="0"/>
                <wp:wrapNone/>
                <wp:docPr id="14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715" cy="4263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1B060" w14:textId="77777777" w:rsidR="007A0F30" w:rsidRDefault="007A0F30" w:rsidP="007A0F3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Fira Sans" w:cstheme="minorBidi"/>
                                <w:color w:val="FFFFFF" w:themeColor="background1"/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5D56A3E8" id="_x0000_s1028" type="#_x0000_t202" style="position:absolute;left:0;text-align:left;margin-left:0;margin-top:257.55pt;width:255.25pt;height:33.55pt;z-index:251809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" filled="f" stroked="f">
                <v:textbox>
                  <w:txbxContent>
                    <w:p w14:paraId="42B1B060" w14:textId="77777777" w:rsidR="007A0F30" w:rsidRDefault="007A0F30" w:rsidP="007A0F3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Fira Sans" w:cstheme="minorBidi"/>
                          <w:color w:val="FFFFFF" w:themeColor="background1"/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764C8FCA" wp14:editId="0AFD9022">
            <wp:extent cx="6529070" cy="7017385"/>
            <wp:effectExtent l="0" t="0" r="508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A75E7" w14:textId="0C0F8118" w:rsidR="00C87304" w:rsidRPr="006A1212" w:rsidRDefault="00C87304" w:rsidP="00C87304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6A1212">
        <w:rPr>
          <w:szCs w:val="19"/>
          <w:highlight w:val="black"/>
        </w:rPr>
        <w:t>Większość przedstawicieli firm biorących udział w badaniu swoje decyzje w zakresie zatrudnienia i wynagrodzenia opiera w istotnym stopniu na podstawie bieżących danych. Najwięcej takich odpowiedzi uzyskano w handlu hurtowym (84,3%), a następnie w budownictwie (79,1%). W małym stopniu/brak wpływu miał ten czynnik głównie dla handlu detalicznego – 48,4%.</w:t>
      </w:r>
    </w:p>
    <w:p w14:paraId="18BEB2EF" w14:textId="52EDC527" w:rsidR="00852886" w:rsidRPr="006A1212" w:rsidRDefault="00377DDD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  <w:highlight w:val="black"/>
        </w:rPr>
      </w:pPr>
      <w:r w:rsidRPr="006A1212">
        <w:rPr>
          <w:bCs/>
          <w:szCs w:val="19"/>
          <w:highlight w:val="black"/>
        </w:rPr>
        <w:t xml:space="preserve">Więcej informacji </w:t>
      </w:r>
      <w:r w:rsidRPr="006A1212">
        <w:rPr>
          <w:szCs w:val="19"/>
          <w:highlight w:val="black"/>
        </w:rPr>
        <w:t xml:space="preserve">dotyczących wyników badań koniunktury gospodarczej </w:t>
      </w:r>
      <w:r w:rsidRPr="006A1212">
        <w:rPr>
          <w:bCs/>
          <w:szCs w:val="19"/>
          <w:highlight w:val="black"/>
        </w:rPr>
        <w:t>można znaleźć na stronie Urzędu Statystycznego w Zielonej Górze</w:t>
      </w:r>
      <w:r w:rsidRPr="006A1212">
        <w:rPr>
          <w:szCs w:val="19"/>
          <w:highlight w:val="black"/>
        </w:rPr>
        <w:t xml:space="preserve"> </w:t>
      </w:r>
      <w:hyperlink r:id="rId34" w:tooltip="Strona internetowa Urzędu Statystycznego w Zielonej Górze" w:history="1">
        <w:r w:rsidR="00E53851" w:rsidRPr="006A1212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6A1212">
        <w:rPr>
          <w:szCs w:val="19"/>
          <w:highlight w:val="black"/>
          <w:u w:val="single"/>
        </w:rPr>
        <w:t>.</w:t>
      </w:r>
    </w:p>
    <w:p w14:paraId="7D7F6597" w14:textId="77777777" w:rsidR="006B2BB6" w:rsidRPr="006A1212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6A1212" w:rsidRDefault="00EC5577" w:rsidP="00EC5577">
      <w:pPr>
        <w:tabs>
          <w:tab w:val="left" w:pos="2102"/>
        </w:tabs>
        <w:rPr>
          <w:highlight w:val="black"/>
        </w:rPr>
        <w:sectPr w:rsidR="00EC5577" w:rsidRPr="006A1212" w:rsidSect="00364C5D"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B8040C6" w:rsidR="00D21774" w:rsidRPr="006A1212" w:rsidRDefault="002F47BE" w:rsidP="00325F97">
      <w:pPr>
        <w:pStyle w:val="Tablicespis"/>
        <w:rPr>
          <w:highlight w:val="black"/>
        </w:rPr>
      </w:pPr>
      <w:r w:rsidRPr="006A1212">
        <w:rPr>
          <w:highlight w:val="black"/>
        </w:rPr>
        <w:lastRenderedPageBreak/>
        <w:t>Tablica 15</w:t>
      </w:r>
      <w:r w:rsidR="001E65CD" w:rsidRPr="006A1212">
        <w:rPr>
          <w:highlight w:val="black"/>
        </w:rPr>
        <w:t>. Wybrane d</w:t>
      </w:r>
      <w:r w:rsidR="00433A5E" w:rsidRPr="006A1212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6A1212" w:rsidRPr="006A1212" w14:paraId="6FAE542A" w14:textId="77777777" w:rsidTr="00FF096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6A1212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6A121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6A121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6A1212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6A121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6A1212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6A1212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A1212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6A1212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8958FC0" w14:textId="685B3DCB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CB878F8" w14:textId="39ECA6CE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6A1212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6A121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6A1212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6A1212" w:rsidRPr="006A1212" w14:paraId="22F4A1CC" w14:textId="77777777" w:rsidTr="00FF096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6A1212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6A1212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6A1212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50225DF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E73AFA1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6A121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6A121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6A1212" w:rsidRPr="006A1212" w14:paraId="54F83FFC" w14:textId="77777777" w:rsidTr="00FF0960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6A1212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6A1212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6A121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6A121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6A121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39EBCA20" w:rsidR="008C3A9F" w:rsidRPr="006A121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A7E622D" w14:textId="781A7842" w:rsidR="008C3A9F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D894717" w14:textId="5EEF5928" w:rsidR="008C3A9F" w:rsidRPr="006A121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6A121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6A121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6A121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6A121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6A121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38F5AAC7" w14:textId="77777777" w:rsidTr="00FF0960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6A121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3A1D4C2" w14:textId="75C1D5CD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26BEDC5" w14:textId="71F7D186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6A1212" w:rsidRPr="006A1212" w14:paraId="60313CB7" w14:textId="77777777" w:rsidTr="00FF0960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6A121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6A121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6A121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6A121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FA6A501" w:rsidR="00CC5E37" w:rsidRPr="006A121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8758BB8" w14:textId="7AA155C5" w:rsidR="00CC5E37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07E0981" w14:textId="181ED456" w:rsidR="00CC5E37" w:rsidRPr="006A121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0B55ADD3" w14:textId="77777777" w:rsidTr="00FF0960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6A121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E10AE7" w14:textId="7C6582B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6C31BD" w14:textId="68422BCC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6A1212" w:rsidRPr="006A1212" w14:paraId="42AB54B7" w14:textId="77777777" w:rsidTr="00FF0960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6A121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6A121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6A121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24D37262" w:rsidR="00CC5E37" w:rsidRPr="006A121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5F66C44" w14:textId="40AA0F44" w:rsidR="00CC5E37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A44318" w14:textId="56D49715" w:rsidR="00CC5E37" w:rsidRPr="006A121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7EE27FF6" w14:textId="77777777" w:rsidTr="00FF0960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938B539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8D210D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6A121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6A1212" w:rsidRPr="006A1212" w14:paraId="0CEB367B" w14:textId="77777777" w:rsidTr="00FF0960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6A1212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6A1212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6A121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6A1212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4EFD3C6" w:rsidR="00CC5E37" w:rsidRPr="006A1212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1E83268" w14:textId="0691912C" w:rsidR="00CC5E37" w:rsidRPr="006A1212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3E288EA" w14:textId="2820D420" w:rsidR="00CC5E37" w:rsidRPr="006A1212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07F9BAB5" w14:textId="77777777" w:rsidTr="00FF0960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bezrobocia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6A121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3B7EC6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C53E9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182FA3F1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19BFA1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DB24ECD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26032B" w14:textId="142BE4E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543E0B" w14:textId="62CD6CC6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6A1212" w:rsidRPr="006A1212" w14:paraId="7662A346" w14:textId="77777777" w:rsidTr="00FF0960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4D79C1AD" w:rsidR="00CC5E37" w:rsidRPr="006A1212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3FBD5249" w:rsidR="00CC5E37" w:rsidRPr="006A1212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2053797B" w:rsidR="00CC5E37" w:rsidRPr="006A121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7824EF4E" w:rsidR="00CC5E37" w:rsidRPr="006A1212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5CBC01E" w:rsidR="00CC5E37" w:rsidRPr="006A1212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EA024A" w14:textId="1F5C197B" w:rsidR="00CC5E37" w:rsidRPr="006A1212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66D761" w14:textId="328D74D1" w:rsidR="00CC5E37" w:rsidRPr="006A1212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1650074B" w14:textId="77777777" w:rsidTr="00FF0960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D322E12" w14:textId="56A85FE5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1E4D8B" w14:textId="377A7CF7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6A1212" w:rsidRPr="006A1212" w14:paraId="5A546BC0" w14:textId="77777777" w:rsidTr="00FF0960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6A1212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6A1212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6A121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6A1212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319FFA6F" w:rsidR="00CC5E37" w:rsidRPr="006A1212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C7AD0A" w14:textId="2BE05826" w:rsidR="00CC5E37" w:rsidRPr="006A1212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4644C1" w14:textId="4CE36500" w:rsidR="00CC5E37" w:rsidRPr="006A1212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57A07B1B" w14:textId="77777777" w:rsidTr="00FF0960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638A13" w14:textId="361D144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B4C77A" w14:textId="62B71BFF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6A1212" w:rsidRPr="006A1212" w14:paraId="4ADD167B" w14:textId="77777777" w:rsidTr="00FF0960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6A121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6A121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6A1212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6A1212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6A121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6A1212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5C700E9" w:rsidR="00CC5E37" w:rsidRPr="006A1212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347A68" w14:textId="685D63C6" w:rsidR="00CC5E37" w:rsidRPr="006A1212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489D95" w14:textId="63410FBC" w:rsidR="00CC5E37" w:rsidRPr="006A1212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6A121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0DD843CE" w14:textId="77777777" w:rsidTr="00FF0960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6A121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6A1212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6A1212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8F76A87" w14:textId="2FD0A943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6BEB0E2" w14:textId="03A5E01E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6A1212" w:rsidRPr="006A1212" w14:paraId="550FC8AB" w14:textId="77777777" w:rsidTr="00FF0960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6A121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6A1212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6A121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6A121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13DF1001" w:rsidR="00FA2018" w:rsidRPr="006A121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AF11C98" w14:textId="4ED06AD4" w:rsidR="00FA2018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EE2EF87" w14:textId="3EC84931" w:rsidR="00FA2018" w:rsidRPr="006A121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3211F68D" w14:textId="77777777" w:rsidTr="00FF0960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6A121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ED3B6FC" w14:textId="4637A4D3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B1FB46B" w14:textId="2628ABF5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6A1212" w:rsidRPr="006A1212" w14:paraId="55FE6316" w14:textId="77777777" w:rsidTr="00FF0960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6A121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6A1212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6A121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6A121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2A249B86" w:rsidR="00FA2018" w:rsidRPr="006A121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BF08522" w14:textId="3C03AD39" w:rsidR="00FA2018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53040CA" w14:textId="498AC8D9" w:rsidR="00FA2018" w:rsidRPr="006A121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A1212" w:rsidRPr="006A1212" w14:paraId="2FDD34D6" w14:textId="77777777" w:rsidTr="00FF0960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6A121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075657A" w14:textId="5672E8E6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2C2B2F0" w14:textId="523F41EB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6A1212" w:rsidRPr="006A1212" w14:paraId="532306B1" w14:textId="77777777" w:rsidTr="00FF0960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6A121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6A1212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6A121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6A121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6A121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ED90C62" w:rsidR="00FA2018" w:rsidRPr="006A121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3810529" w14:textId="4E624A57" w:rsidR="00FA2018" w:rsidRPr="006A121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AFAB66" w14:textId="7198B778" w:rsidR="00FA2018" w:rsidRPr="006A121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6A121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F0960" w:rsidRPr="006A1212" w14:paraId="4D599F39" w14:textId="77777777" w:rsidTr="00FF0960">
        <w:tc>
          <w:tcPr>
            <w:tcW w:w="3994" w:type="dxa"/>
            <w:shd w:val="clear" w:color="auto" w:fill="000000"/>
          </w:tcPr>
          <w:p w14:paraId="01C4A020" w14:textId="77777777" w:rsidR="00FA2018" w:rsidRPr="006A121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6F3FADB6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7B93706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780922F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A74E6F8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/>
            <w:vAlign w:val="bottom"/>
          </w:tcPr>
          <w:p w14:paraId="51CDA663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750C30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A6180AD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99254A1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4DC547A1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459CC99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/>
            <w:vAlign w:val="bottom"/>
          </w:tcPr>
          <w:p w14:paraId="240ACCA5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A2018" w:rsidRPr="006A1212" w14:paraId="2A4CDCB1" w14:textId="77777777" w:rsidTr="00FF0960">
        <w:tc>
          <w:tcPr>
            <w:tcW w:w="3994" w:type="dxa"/>
            <w:shd w:val="clear" w:color="auto" w:fill="000000"/>
          </w:tcPr>
          <w:p w14:paraId="023E19EA" w14:textId="77777777" w:rsidR="00FA2018" w:rsidRPr="006A121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konsumpcyjnych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/>
          </w:tcPr>
          <w:p w14:paraId="2374CF12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38ADB2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6C736F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954723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D6CD13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86370D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EFAF62A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CC2A09D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198B4E0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5FC95E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BD0CBD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A9E9696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03CFF0" w14:textId="7777777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A2018" w:rsidRPr="006A1212" w14:paraId="30B17E48" w14:textId="77777777" w:rsidTr="00FF0960">
        <w:tc>
          <w:tcPr>
            <w:tcW w:w="3994" w:type="dxa"/>
            <w:shd w:val="clear" w:color="auto" w:fill="auto"/>
          </w:tcPr>
          <w:p w14:paraId="61BB361C" w14:textId="77777777" w:rsidR="00FA2018" w:rsidRPr="006A1212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6617B8C5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7184D49" w14:textId="4254522B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59BCB1" w14:textId="4F1B5765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FA89D9B" w14:textId="5137E4A3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B30BD7" w14:textId="2531500F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DA0A5A" w14:textId="78AD3214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CCBF0F7" w14:textId="3A3EC2E5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6E81E81" w14:textId="499D1AE1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1E70E7C" w14:textId="1560DC72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2379CC" w14:textId="5270E63F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045D46" w14:textId="70BB7D36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7B4249" w14:textId="44BAEA3D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AACE1A" w14:textId="153CBCE6" w:rsidR="00FA2018" w:rsidRPr="006A1212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FA2018" w:rsidRPr="006A1212" w14:paraId="7A0FBC1F" w14:textId="77777777" w:rsidTr="00FF0960">
        <w:tc>
          <w:tcPr>
            <w:tcW w:w="3994" w:type="dxa"/>
            <w:shd w:val="clear" w:color="auto" w:fill="auto"/>
          </w:tcPr>
          <w:p w14:paraId="24466AE5" w14:textId="77777777" w:rsidR="00FA2018" w:rsidRPr="006A121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C7FABC2" w14:textId="77777777" w:rsidR="00FA2018" w:rsidRPr="006A121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ECFFC8" w14:textId="4F177C61" w:rsidR="00FA2018" w:rsidRPr="006A1212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71D4805" w14:textId="56278C29" w:rsidR="00FA2018" w:rsidRPr="006A1212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608950" w14:textId="0F62BE85" w:rsidR="00FA2018" w:rsidRPr="006A1212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807CF4" w14:textId="42A59538" w:rsidR="00FA2018" w:rsidRPr="006A1212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469400" w14:textId="02F8ECFF" w:rsidR="00FA2018" w:rsidRPr="006A1212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9A8AB66" w14:textId="1F55AE6A" w:rsidR="00FA2018" w:rsidRPr="006A1212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6C45B60" w14:textId="0F1F335E" w:rsidR="00FA2018" w:rsidRPr="006A1212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F213E5" w14:textId="22F029EB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F1FD81" w14:textId="2B0CBE60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96F204" w14:textId="013A0CE1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CF471E" w14:textId="57C02436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7E7FE32" w14:textId="1B5CF217" w:rsidR="00FA2018" w:rsidRPr="006A121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6A1212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6A1212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6A1212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6A1212">
        <w:rPr>
          <w:rFonts w:ascii="Fira Sans" w:hAnsi="Fira Sans"/>
          <w:sz w:val="15"/>
          <w:szCs w:val="15"/>
          <w:highlight w:val="black"/>
        </w:rPr>
        <w:t>b</w:t>
      </w:r>
      <w:r w:rsidR="005113D5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6A1212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00302989" w:rsidR="009C6D35" w:rsidRPr="006A1212" w:rsidRDefault="00E87F28" w:rsidP="00325F97">
      <w:pPr>
        <w:pStyle w:val="Tablicespis"/>
        <w:rPr>
          <w:rFonts w:cs="Arial"/>
          <w:highlight w:val="black"/>
        </w:rPr>
      </w:pPr>
      <w:r w:rsidRPr="006A1212">
        <w:rPr>
          <w:sz w:val="16"/>
          <w:szCs w:val="16"/>
          <w:highlight w:val="black"/>
        </w:rPr>
        <w:br w:type="page"/>
      </w:r>
      <w:r w:rsidR="002F47BE" w:rsidRPr="006A1212">
        <w:rPr>
          <w:highlight w:val="black"/>
        </w:rPr>
        <w:lastRenderedPageBreak/>
        <w:t>Tablica 15</w:t>
      </w:r>
      <w:r w:rsidR="006A726B" w:rsidRPr="006A1212">
        <w:rPr>
          <w:highlight w:val="black"/>
        </w:rPr>
        <w:t xml:space="preserve">. Wybrane dane o województwie podkarpackim </w:t>
      </w:r>
      <w:r w:rsidR="007B038B" w:rsidRPr="006A1212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6A1212" w14:paraId="0021106F" w14:textId="77777777" w:rsidTr="00FF096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950B21" w14:textId="3E495226" w:rsidR="00E87F28" w:rsidRPr="006A1212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6A121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6A121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6A1212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6A121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D5046F" w14:textId="4008A0CE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17FD94" w14:textId="7BDF5AC9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67D5EE" w14:textId="2B7A484A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86EA05" w14:textId="20B3F941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CCA480" w14:textId="1D6B0C23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center"/>
          </w:tcPr>
          <w:p w14:paraId="6FCF7E71" w14:textId="32617D76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  <w:vAlign w:val="center"/>
          </w:tcPr>
          <w:p w14:paraId="06329AE2" w14:textId="46BF6FE2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E6C7DE2" w14:textId="1F6610C4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262045" w14:textId="29335D34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B0B062" w14:textId="27A4ABA3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6B9E15" w14:textId="4473FDE0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6A121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87F28" w:rsidRPr="006A1212" w14:paraId="397346FD" w14:textId="77777777" w:rsidTr="00FF0960">
        <w:trPr>
          <w:trHeight w:val="490"/>
        </w:trPr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0F801266" w14:textId="77777777" w:rsidR="00E87F28" w:rsidRPr="006A1212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6A1212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108084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1F2B4F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CD49FF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9C7C60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F5C4652" w14:textId="77777777" w:rsidR="00E87F28" w:rsidRPr="006A1212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026A4B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1B4830F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51498B0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32614B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CB4D6C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F65CD2C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7CFFE2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971450F" w14:textId="77777777" w:rsidR="00E87F28" w:rsidRPr="006A121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67C23DD4" w14:textId="77777777" w:rsidTr="00FF0960">
        <w:tc>
          <w:tcPr>
            <w:tcW w:w="3994" w:type="dxa"/>
            <w:shd w:val="clear" w:color="auto" w:fill="auto"/>
          </w:tcPr>
          <w:p w14:paraId="16771907" w14:textId="77777777" w:rsidR="0080178C" w:rsidRPr="006A1212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207CF19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A0DCB5" w14:textId="75941EF8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3FD184" w14:textId="78CEAA15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556C8C" w14:textId="17735D8B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322E85" w14:textId="69174D15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2F814D" w14:textId="7E84905E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E8050C5" w14:textId="1DE7F907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BA781AF" w14:textId="011BD49E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4271AE5" w14:textId="75028B89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B3FBB00" w14:textId="63775235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F5D9D8" w14:textId="665B46FE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B3346D" w14:textId="07928BF7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5EEDDDC" w14:textId="37ED7F0B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80178C" w:rsidRPr="006A1212" w14:paraId="6A1FE669" w14:textId="77777777" w:rsidTr="00FF0960">
        <w:tc>
          <w:tcPr>
            <w:tcW w:w="3994" w:type="dxa"/>
            <w:shd w:val="clear" w:color="auto" w:fill="auto"/>
          </w:tcPr>
          <w:p w14:paraId="21CACB9A" w14:textId="77777777" w:rsidR="0080178C" w:rsidRPr="006A1212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BF1A7C3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BDD55C" w14:textId="710306CD" w:rsidR="0080178C" w:rsidRPr="006A1212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EE518" w14:textId="38393330" w:rsidR="0080178C" w:rsidRPr="006A1212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9785D1" w14:textId="518BE27C" w:rsidR="0080178C" w:rsidRPr="006A1212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4F55578" w14:textId="75D7CC9B" w:rsidR="0080178C" w:rsidRPr="006A1212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DC90B5" w14:textId="15D39D47" w:rsidR="0080178C" w:rsidRPr="006A1212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2A8431E" w14:textId="5770D2ED" w:rsidR="0080178C" w:rsidRPr="006A1212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C237915" w14:textId="57856C3E" w:rsidR="0080178C" w:rsidRPr="006A1212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E8C5AD" w14:textId="038AAEBF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F46906" w14:textId="1B1EB176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6DE2B3" w14:textId="7076DD8F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9EA67F" w14:textId="61616544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663C31" w14:textId="025065E3" w:rsidR="0080178C" w:rsidRPr="006A121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2C107B3B" w14:textId="77777777" w:rsidTr="00FF0960">
        <w:tc>
          <w:tcPr>
            <w:tcW w:w="3994" w:type="dxa"/>
            <w:shd w:val="clear" w:color="auto" w:fill="auto"/>
          </w:tcPr>
          <w:p w14:paraId="64D73657" w14:textId="77777777" w:rsidR="0080178C" w:rsidRPr="006A1212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F4C8C89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B830F3" w14:textId="68005F50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3A9134" w14:textId="746C2D4F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8E130D5" w14:textId="7A27996C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1B5D61" w14:textId="1630C944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DA48B4" w14:textId="3F3483CA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723DB9C" w14:textId="02205C53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5ACCEAE" w14:textId="5F7F9FAC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81CF58" w14:textId="0BF9107A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FC0642" w14:textId="48C3C37C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890106" w14:textId="458D67A7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F9098A" w14:textId="739AB038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EFBC1C" w14:textId="6723509B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80178C" w:rsidRPr="006A1212" w14:paraId="7B7C4A50" w14:textId="77777777" w:rsidTr="00FF0960">
        <w:tc>
          <w:tcPr>
            <w:tcW w:w="3994" w:type="dxa"/>
            <w:shd w:val="clear" w:color="auto" w:fill="auto"/>
          </w:tcPr>
          <w:p w14:paraId="0F54400F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E2A26B7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1BF4DA" w14:textId="1C28E9AD" w:rsidR="0080178C" w:rsidRPr="006A1212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8D15C8" w14:textId="056D919B" w:rsidR="0080178C" w:rsidRPr="006A1212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89512E" w14:textId="7E7C89A2" w:rsidR="0080178C" w:rsidRPr="006A1212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FC1C0B" w14:textId="72D14ABF" w:rsidR="0080178C" w:rsidRPr="006A1212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CC8CAA" w14:textId="72455913" w:rsidR="0080178C" w:rsidRPr="006A1212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A3D3836" w14:textId="1E58AB89" w:rsidR="0080178C" w:rsidRPr="006A1212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9A26362" w14:textId="42A331F0" w:rsidR="0080178C" w:rsidRPr="006A1212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CB726D" w14:textId="3C2162AD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8F1B8E9" w14:textId="5FEA573B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4F791F" w14:textId="48F45193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E64FC2" w14:textId="65A368B2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8EB9D8" w14:textId="0577F29F" w:rsidR="0080178C" w:rsidRPr="006A121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0178C" w:rsidRPr="006A1212" w14:paraId="31D0E4E6" w14:textId="77777777" w:rsidTr="00FF0960">
        <w:tc>
          <w:tcPr>
            <w:tcW w:w="3994" w:type="dxa"/>
            <w:shd w:val="clear" w:color="auto" w:fill="auto"/>
          </w:tcPr>
          <w:p w14:paraId="6A3BDDC4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B7880A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EAA753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21DDC4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456E09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9B3433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2E55B5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E9AB7AE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0854729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407A52C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4584216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EBEE57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236579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EF8974B" w14:textId="77777777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0178C" w:rsidRPr="006A1212" w14:paraId="56433F01" w14:textId="77777777" w:rsidTr="00FF0960">
        <w:tc>
          <w:tcPr>
            <w:tcW w:w="3994" w:type="dxa"/>
            <w:shd w:val="clear" w:color="auto" w:fill="auto"/>
          </w:tcPr>
          <w:p w14:paraId="35EA1E6D" w14:textId="77777777" w:rsidR="0080178C" w:rsidRPr="006A121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9E1163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0E0257" w14:textId="148096CD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C7CBBB8" w14:textId="5C5F0E8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3A3BD7" w14:textId="06ACC00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167135" w14:textId="307C8DCB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01F0BE" w14:textId="1F506E6A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27D97D8" w14:textId="4113FA6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73705BF" w14:textId="10CBC20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E446C8" w14:textId="5E55C0A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47C2AB0" w14:textId="64C1605A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7E9F72" w14:textId="5DCEA48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B79568" w14:textId="213C11E2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BEB8B13" w14:textId="059D362E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80178C" w:rsidRPr="006A1212" w14:paraId="6C772201" w14:textId="77777777" w:rsidTr="00FF0960">
        <w:tc>
          <w:tcPr>
            <w:tcW w:w="3994" w:type="dxa"/>
            <w:shd w:val="clear" w:color="auto" w:fill="auto"/>
          </w:tcPr>
          <w:p w14:paraId="6CD4E0CD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C117B4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B7185A" w14:textId="6899476B" w:rsidR="0080178C" w:rsidRPr="006A121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2E04DF" w14:textId="5777A0A1" w:rsidR="0080178C" w:rsidRPr="006A121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7DA021" w14:textId="0AB8FCD9" w:rsidR="0080178C" w:rsidRPr="006A121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74BF8C" w14:textId="622D65B7" w:rsidR="0080178C" w:rsidRPr="006A121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E5221E" w14:textId="69771527" w:rsidR="0080178C" w:rsidRPr="006A121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65AC4F3" w14:textId="4AB96DA7" w:rsidR="0080178C" w:rsidRPr="006A121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3424EE8" w14:textId="6021FD43" w:rsidR="0080178C" w:rsidRPr="006A121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D9EFB4" w14:textId="69E7A91E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CD8290" w14:textId="618C9973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16B4AB" w14:textId="765CCF6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1DBC64" w14:textId="1E030ED5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8D131FA" w14:textId="1396DF5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4750C67A" w14:textId="77777777" w:rsidTr="00FF0960">
        <w:tc>
          <w:tcPr>
            <w:tcW w:w="3994" w:type="dxa"/>
            <w:shd w:val="clear" w:color="auto" w:fill="auto"/>
          </w:tcPr>
          <w:p w14:paraId="31606691" w14:textId="77777777" w:rsidR="0080178C" w:rsidRPr="006A121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4B9939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4203AA" w14:textId="67FDB483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C935012" w14:textId="088FED25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73AF09" w14:textId="747FFE38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0EC6B6" w14:textId="18A6A478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E9F0CF" w14:textId="40566401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1C813FC" w14:textId="46254D2A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3B392C6" w14:textId="57ED7F08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1282E2" w14:textId="257E4D1D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33E07B" w14:textId="1CF57424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7BA5A" w14:textId="1FFCE11F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F50F93" w14:textId="355A60DD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1633E10" w14:textId="08A9A97A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80178C" w:rsidRPr="006A1212" w14:paraId="6FF8F050" w14:textId="77777777" w:rsidTr="00FF0960">
        <w:tc>
          <w:tcPr>
            <w:tcW w:w="3994" w:type="dxa"/>
            <w:shd w:val="clear" w:color="auto" w:fill="auto"/>
          </w:tcPr>
          <w:p w14:paraId="00DB1EED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E0D16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88FE86" w14:textId="5B55CF34" w:rsidR="0080178C" w:rsidRPr="006A1212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9957E3" w14:textId="235A189B" w:rsidR="0080178C" w:rsidRPr="006A1212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CD6706" w14:textId="75C8C102" w:rsidR="0080178C" w:rsidRPr="006A1212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F6168F" w14:textId="02A3FFB7" w:rsidR="0080178C" w:rsidRPr="006A1212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CC73CB" w14:textId="18735EB3" w:rsidR="0080178C" w:rsidRPr="006A1212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E8318B9" w14:textId="46B07310" w:rsidR="0080178C" w:rsidRPr="006A1212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658534A" w14:textId="74209A57" w:rsidR="0080178C" w:rsidRPr="006A1212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800EE1" w14:textId="526F22C5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C7B524" w14:textId="4E5FF60D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7CF308" w14:textId="5B2C5259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844249" w14:textId="044160D4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EFD631" w14:textId="14B52461" w:rsidR="0080178C" w:rsidRPr="006A121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0178C" w:rsidRPr="006A1212" w14:paraId="74AAE6A4" w14:textId="77777777" w:rsidTr="00FF0960">
        <w:tc>
          <w:tcPr>
            <w:tcW w:w="3994" w:type="dxa"/>
            <w:shd w:val="clear" w:color="auto" w:fill="auto"/>
          </w:tcPr>
          <w:p w14:paraId="3C281716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0A81BA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1FBB7F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68EBCE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2AEA31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674805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42C926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62B8EC5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010FED9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0D9829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F9321C0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82C02E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138140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852343E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0178C" w:rsidRPr="006A1212" w14:paraId="2538723B" w14:textId="77777777" w:rsidTr="00FF0960">
        <w:tc>
          <w:tcPr>
            <w:tcW w:w="3994" w:type="dxa"/>
            <w:shd w:val="clear" w:color="auto" w:fill="auto"/>
          </w:tcPr>
          <w:p w14:paraId="5B5F23A7" w14:textId="77777777" w:rsidR="0080178C" w:rsidRPr="006A121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E7A418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8F122C" w14:textId="745A1C2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B8F9B9" w14:textId="6EFA027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5122F3" w14:textId="28A96DF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B677C0" w14:textId="615E5A9C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6A1212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1CF8C9" w14:textId="1C5A6D83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E81277C" w14:textId="1A9FD6F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BD4B28A" w14:textId="61CDA51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D22097" w14:textId="701F9C73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D390D23" w14:textId="33CB0711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6A1212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B9A7BF" w14:textId="01850AC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650E6C" w14:textId="56BF559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8E71C61" w14:textId="5EA0BD4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80178C" w:rsidRPr="006A1212" w14:paraId="2B4FC5AB" w14:textId="77777777" w:rsidTr="00FF0960">
        <w:tc>
          <w:tcPr>
            <w:tcW w:w="3994" w:type="dxa"/>
            <w:shd w:val="clear" w:color="auto" w:fill="auto"/>
          </w:tcPr>
          <w:p w14:paraId="018315BB" w14:textId="77777777" w:rsidR="0080178C" w:rsidRPr="006A121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CE567AD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7C708EE" w14:textId="05FAD6FC" w:rsidR="0080178C" w:rsidRPr="006A121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AE5077" w14:textId="526EBD29" w:rsidR="0080178C" w:rsidRPr="006A121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51B7B0" w14:textId="31A16210" w:rsidR="0080178C" w:rsidRPr="006A121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00C3F4" w14:textId="6895C7F9" w:rsidR="0080178C" w:rsidRPr="006A121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6A1212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6A1DBC" w14:textId="1D04B13A" w:rsidR="0080178C" w:rsidRPr="006A121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F03BB0C" w14:textId="7A3B0D04" w:rsidR="0080178C" w:rsidRPr="006A121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D2B77AE" w14:textId="50B24F1B" w:rsidR="0080178C" w:rsidRPr="006A121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79B0A28" w14:textId="453EC2F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E16000" w14:textId="2F3CA97C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2C8DB5" w14:textId="04DD0CB2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452AF4" w14:textId="24D119F2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E8DA716" w14:textId="0E85245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77BFC489" w14:textId="77777777" w:rsidTr="00FF0960">
        <w:tc>
          <w:tcPr>
            <w:tcW w:w="3994" w:type="dxa"/>
            <w:shd w:val="clear" w:color="auto" w:fill="auto"/>
          </w:tcPr>
          <w:p w14:paraId="2E5F0052" w14:textId="77777777" w:rsidR="0080178C" w:rsidRPr="006A121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9C2368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07098C" w14:textId="40AB404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06259D" w14:textId="5294C976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DDC522" w14:textId="2402264A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E0A608" w14:textId="33A36EA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4E6456" w14:textId="32AB7A1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A6C1281" w14:textId="3279C403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F0EC1D8" w14:textId="2877205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2F5349" w14:textId="6980F77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9AECDD" w14:textId="6639EB8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7DAFDA" w14:textId="48941076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0D028AC" w14:textId="3899F3C6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CB5064E" w14:textId="2D400EA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80178C" w:rsidRPr="006A1212" w14:paraId="396C40E9" w14:textId="77777777" w:rsidTr="00FF0960">
        <w:tc>
          <w:tcPr>
            <w:tcW w:w="3994" w:type="dxa"/>
            <w:shd w:val="clear" w:color="auto" w:fill="auto"/>
          </w:tcPr>
          <w:p w14:paraId="12E3B2AF" w14:textId="77777777" w:rsidR="0080178C" w:rsidRPr="006A121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4AA13E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188DCD" w14:textId="031633E7" w:rsidR="0080178C" w:rsidRPr="006A121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F050037" w14:textId="7D5BB957" w:rsidR="0080178C" w:rsidRPr="006A121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E5F281" w14:textId="173BCEDD" w:rsidR="0080178C" w:rsidRPr="006A121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95255E" w14:textId="47CC26F6" w:rsidR="0080178C" w:rsidRPr="006A1212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9C74D35" w14:textId="580FBA63" w:rsidR="0080178C" w:rsidRPr="006A121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DE9BDBA" w14:textId="466F5B59" w:rsidR="0080178C" w:rsidRPr="006A121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B204961" w14:textId="2C9F51BD" w:rsidR="0080178C" w:rsidRPr="006A121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0AC1303" w14:textId="1A5E6ABB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4622ED6" w14:textId="175B086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AB8BED" w14:textId="65195191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23E82D" w14:textId="45B252A5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98EE176" w14:textId="35DBA0BD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12958544" w14:textId="77777777" w:rsidTr="00FF0960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6A121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skupu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6A1212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BE6FFC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AF32D9" w14:textId="6C0903F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3EAF8F" w14:textId="1C4100CE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E1DD2F" w14:textId="1D1ABED1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EF44EB" w14:textId="5D53DDA2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233B420" w14:textId="0E17E07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49217C7" w14:textId="53ACFE7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3A6F334" w14:textId="5E4F0B9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CCD76E" w14:textId="61877DE8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7139A6" w14:textId="6D11243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BD9954" w14:textId="12A8A5EB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B00774" w14:textId="5F93D713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91AC21B" w14:textId="608A678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3,5</w:t>
            </w:r>
          </w:p>
        </w:tc>
      </w:tr>
      <w:tr w:rsidR="0080178C" w:rsidRPr="006A1212" w14:paraId="45BC391C" w14:textId="77777777" w:rsidTr="00FF0960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6A121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AB932" w14:textId="77777777" w:rsidR="0080178C" w:rsidRPr="006A121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8F7985" w14:textId="05D1DACC" w:rsidR="0080178C" w:rsidRPr="006A121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35D2A9" w14:textId="42E22A94" w:rsidR="0080178C" w:rsidRPr="006A121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DF7416" w14:textId="6C7BBFF6" w:rsidR="0080178C" w:rsidRPr="006A121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754FE6" w14:textId="1E924DEB" w:rsidR="0080178C" w:rsidRPr="006A121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871794" w14:textId="6E6E4A45" w:rsidR="0080178C" w:rsidRPr="006A121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2A04755" w14:textId="391039C7" w:rsidR="0080178C" w:rsidRPr="006A121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9DD550F" w14:textId="03DB22D3" w:rsidR="0080178C" w:rsidRPr="006A121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14D760" w14:textId="1CD5D72D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9736D2" w14:textId="555AF0D4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1EF1EE" w14:textId="29FC7681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33F08E" w14:textId="54E32B2E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AA0612A" w14:textId="4734EFDF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7AB31625" w14:textId="77777777" w:rsidTr="00FF0960">
        <w:tc>
          <w:tcPr>
            <w:tcW w:w="3994" w:type="dxa"/>
            <w:shd w:val="clear" w:color="auto" w:fill="auto"/>
          </w:tcPr>
          <w:p w14:paraId="60E7D17E" w14:textId="77777777" w:rsidR="0080178C" w:rsidRPr="006A1212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przemysłu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85CC550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0A4F2D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8C4544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84A2C54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935832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AB7384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F7B8ACF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1890AB4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6C7DA0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1C1BA0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5C7AF3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E5B476" w14:textId="77777777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048FA32" w14:textId="77777777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6A1212" w14:paraId="6E8278C3" w14:textId="77777777" w:rsidTr="00FF0960">
        <w:tc>
          <w:tcPr>
            <w:tcW w:w="3994" w:type="dxa"/>
            <w:shd w:val="clear" w:color="auto" w:fill="auto"/>
          </w:tcPr>
          <w:p w14:paraId="43657C4E" w14:textId="1A995D24" w:rsidR="0080178C" w:rsidRPr="006A1212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75EA7B6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54AFC1" w14:textId="453A7EE9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E7799F" w14:textId="1F8A1CF4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31A200" w14:textId="6B673258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20C0A6" w14:textId="23E45291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8B9AA9" w14:textId="03D8D240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3B93710" w14:textId="0A2516FC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3822958" w14:textId="3B8EC2AE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78E837" w14:textId="2691654F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715840" w14:textId="15B3D6AC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537A06" w14:textId="2A0A4ABE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7D0BDF" w14:textId="007F6FD1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03D6618" w14:textId="55944183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</w:t>
            </w:r>
            <w:r w:rsidR="00D90E7D" w:rsidRPr="006A1212">
              <w:rPr>
                <w:rFonts w:ascii="Fira Sans" w:hAnsi="Fira Sans"/>
                <w:highlight w:val="black"/>
              </w:rPr>
              <w:t>5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A96E76" w:rsidRPr="006A1212">
              <w:rPr>
                <w:rFonts w:ascii="Fira Sans" w:hAnsi="Fira Sans"/>
                <w:highlight w:val="black"/>
              </w:rPr>
              <w:t>8</w:t>
            </w:r>
          </w:p>
        </w:tc>
      </w:tr>
      <w:tr w:rsidR="0080178C" w:rsidRPr="006A1212" w14:paraId="12860B2B" w14:textId="77777777" w:rsidTr="00FF0960">
        <w:tc>
          <w:tcPr>
            <w:tcW w:w="3994" w:type="dxa"/>
            <w:shd w:val="clear" w:color="auto" w:fill="auto"/>
          </w:tcPr>
          <w:p w14:paraId="1E5FCD13" w14:textId="77777777" w:rsidR="0080178C" w:rsidRPr="006A1212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5C4B0BAC" w14:textId="77777777" w:rsidR="0080178C" w:rsidRPr="006A121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0BA10C" w14:textId="0B286C45" w:rsidR="0080178C" w:rsidRPr="006A1212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2E21D9" w14:textId="12101431" w:rsidR="0080178C" w:rsidRPr="006A1212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6A121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D56F87" w14:textId="39AC11C4" w:rsidR="0080178C" w:rsidRPr="006A1212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6A1212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6A121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6A1212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2464E2" w14:textId="07C85C53" w:rsidR="0080178C" w:rsidRPr="006A1212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</w:t>
            </w:r>
            <w:r w:rsidR="00CE4ECA" w:rsidRPr="006A1212">
              <w:rPr>
                <w:rFonts w:ascii="Fira Sans" w:hAnsi="Fira Sans"/>
                <w:highlight w:val="black"/>
              </w:rPr>
              <w:t>6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CE4ECA" w:rsidRPr="006A1212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F1FF2" w14:textId="0AC35FDF" w:rsidR="0080178C" w:rsidRPr="006A1212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</w:t>
            </w:r>
            <w:r w:rsidR="00E2759B" w:rsidRPr="006A1212">
              <w:rPr>
                <w:rFonts w:ascii="Fira Sans" w:hAnsi="Fira Sans"/>
                <w:highlight w:val="black"/>
              </w:rPr>
              <w:t>0</w:t>
            </w:r>
            <w:r w:rsidRPr="006A1212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DB96BB2" w14:textId="65BE4506" w:rsidR="0080178C" w:rsidRPr="006A1212" w:rsidRDefault="00E2759B" w:rsidP="00B9100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</w:t>
            </w:r>
            <w:r w:rsidR="00B91008" w:rsidRPr="006A1212">
              <w:rPr>
                <w:rFonts w:ascii="Fira Sans" w:hAnsi="Fira Sans"/>
                <w:highlight w:val="black"/>
              </w:rPr>
              <w:t>1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B91008" w:rsidRPr="006A1212">
              <w:rPr>
                <w:rFonts w:ascii="Fira Sans" w:hAnsi="Fira Sans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6D654AFA" w14:textId="5E768BE6" w:rsidR="0080178C" w:rsidRPr="006A1212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FA4551" w14:textId="341557C2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420EDD" w14:textId="51C2AA8A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6411757" w14:textId="067F03D5" w:rsidR="0080178C" w:rsidRPr="006A121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294364" w14:textId="0BFD10ED" w:rsidR="0080178C" w:rsidRPr="006A121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C0B248D" w14:textId="48915F2D" w:rsidR="0080178C" w:rsidRPr="006A121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12BF2" w:rsidRPr="006A1212" w14:paraId="686018C8" w14:textId="77777777" w:rsidTr="00FF0960">
        <w:tc>
          <w:tcPr>
            <w:tcW w:w="3994" w:type="dxa"/>
            <w:shd w:val="clear" w:color="auto" w:fill="auto"/>
          </w:tcPr>
          <w:p w14:paraId="3B673136" w14:textId="425619AA" w:rsidR="00912BF2" w:rsidRPr="006A121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0D7AE20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3FBC5E" w14:textId="054B81B1" w:rsidR="00912BF2" w:rsidRPr="006A121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2A4B93" w14:textId="72512BD9" w:rsidR="00912BF2" w:rsidRPr="006A121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A21B4D" w14:textId="7D9EB828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FE04BA" w14:textId="59DAE063" w:rsidR="00912BF2" w:rsidRPr="006A121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0856C5" w14:textId="53D5CA5C" w:rsidR="00912BF2" w:rsidRPr="006A121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9F59F80" w14:textId="4ADEDFE0" w:rsidR="00912BF2" w:rsidRPr="006A121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EF4ECD6" w14:textId="165104AD" w:rsidR="00912BF2" w:rsidRPr="006A121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52E8077" w14:textId="08DE3E62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03544F" w14:textId="52440710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C636EF" w14:textId="4044704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365FAB" w14:textId="35EBDE1D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200EBBA" w14:textId="6D451D7C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6A1212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6A121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6A1212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912BF2" w:rsidRPr="006A1212" w14:paraId="5B8FA6B3" w14:textId="77777777" w:rsidTr="00FF0960">
        <w:tc>
          <w:tcPr>
            <w:tcW w:w="3994" w:type="dxa"/>
            <w:shd w:val="clear" w:color="auto" w:fill="auto"/>
          </w:tcPr>
          <w:p w14:paraId="49A3A52B" w14:textId="77777777" w:rsidR="00912BF2" w:rsidRPr="006A121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6044DC5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284EAB" w14:textId="2A20693E" w:rsidR="00912BF2" w:rsidRPr="006A1212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5EB044" w14:textId="0DBCAAAD" w:rsidR="00912BF2" w:rsidRPr="006A1212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6A1212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6A121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6A121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9CF8BF" w14:textId="639C77FF" w:rsidR="00912BF2" w:rsidRPr="006A1212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</w:t>
            </w:r>
            <w:r w:rsidR="008D6B9F" w:rsidRPr="006A1212">
              <w:rPr>
                <w:rFonts w:ascii="Fira Sans" w:hAnsi="Fira Sans"/>
                <w:highlight w:val="black"/>
              </w:rPr>
              <w:t>1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8D6B9F" w:rsidRPr="006A1212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FF7B46" w14:textId="22FEFEE7" w:rsidR="00912BF2" w:rsidRPr="006A1212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</w:t>
            </w:r>
            <w:r w:rsidR="00CE4ECA" w:rsidRPr="006A1212">
              <w:rPr>
                <w:rFonts w:ascii="Fira Sans" w:hAnsi="Fira Sans"/>
                <w:highlight w:val="black"/>
              </w:rPr>
              <w:t>2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CE4ECA" w:rsidRPr="006A1212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28F5A3" w14:textId="04E1E634" w:rsidR="00912BF2" w:rsidRPr="006A1212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4643373" w14:textId="5F7C85F6" w:rsidR="00912BF2" w:rsidRPr="006A1212" w:rsidRDefault="00E2759B" w:rsidP="00B9100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11</w:t>
            </w:r>
            <w:r w:rsidR="00B91008" w:rsidRPr="006A1212">
              <w:rPr>
                <w:rFonts w:ascii="Fira Sans" w:hAnsi="Fira Sans"/>
                <w:highlight w:val="black"/>
              </w:rPr>
              <w:t>0</w:t>
            </w:r>
            <w:r w:rsidRPr="006A1212">
              <w:rPr>
                <w:rFonts w:ascii="Fira Sans" w:hAnsi="Fira Sans"/>
                <w:highlight w:val="black"/>
              </w:rPr>
              <w:t>,</w:t>
            </w:r>
            <w:r w:rsidR="00B91008" w:rsidRPr="006A1212">
              <w:rPr>
                <w:rFonts w:ascii="Fira Sans" w:hAnsi="Fira Sans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3169653" w14:textId="02AE1CBD" w:rsidR="00912BF2" w:rsidRPr="006A1212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491B5EF" w14:textId="6245D33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FD6C1D" w14:textId="02B48458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2969A8" w14:textId="13D58DFB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4C712B1" w14:textId="3F935FF8" w:rsidR="00912BF2" w:rsidRPr="006A121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4250723" w14:textId="6BA1F726" w:rsidR="00912BF2" w:rsidRPr="006A1212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12BF2" w:rsidRPr="006A1212" w14:paraId="645EFC24" w14:textId="77777777" w:rsidTr="00FF0960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auto"/>
          </w:tcPr>
          <w:p w14:paraId="30FB0AD4" w14:textId="77777777" w:rsidR="00912BF2" w:rsidRPr="006A1212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montażowa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9DB2CC7" w14:textId="77777777" w:rsidR="00912BF2" w:rsidRPr="006A1212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5185E3" w14:textId="77777777" w:rsidR="00912BF2" w:rsidRPr="006A1212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8A4D20" w14:textId="77777777" w:rsidR="00912BF2" w:rsidRPr="006A121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BDA189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EAE79A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5C3C8D4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2FC243D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070CFA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89C456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3DF832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679804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03FA30D" w14:textId="7777777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12BF2" w:rsidRPr="006A1212" w14:paraId="47766202" w14:textId="77777777" w:rsidTr="00FF0960">
        <w:tc>
          <w:tcPr>
            <w:tcW w:w="3994" w:type="dxa"/>
            <w:shd w:val="clear" w:color="auto" w:fill="auto"/>
          </w:tcPr>
          <w:p w14:paraId="2AFBE9CA" w14:textId="737D613B" w:rsidR="00912BF2" w:rsidRPr="006A121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1D44B5C3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FFDC956" w14:textId="73EF7505" w:rsidR="00912BF2" w:rsidRPr="006A121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21DDBA" w14:textId="14F5EE4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442195" w14:textId="2F0572F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CC91218" w14:textId="0C602FD2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C7E8B4" w14:textId="525A07B0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8370DE4" w14:textId="2375DB12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31CCF21" w14:textId="7B43069E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42DCA9" w14:textId="2540FF8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1817A9" w14:textId="05D0EE78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250872F" w14:textId="67F83DCD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5EF947" w14:textId="5EABB9A7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8E0584" w14:textId="3AA5CCBC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912BF2" w:rsidRPr="006A1212" w14:paraId="6E6DB98B" w14:textId="77777777" w:rsidTr="00FF0960">
        <w:tc>
          <w:tcPr>
            <w:tcW w:w="3994" w:type="dxa"/>
            <w:shd w:val="clear" w:color="auto" w:fill="auto"/>
          </w:tcPr>
          <w:p w14:paraId="239AC464" w14:textId="77777777" w:rsidR="00912BF2" w:rsidRPr="006A121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36CE5C2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B6E426" w14:textId="19BE3820" w:rsidR="00912BF2" w:rsidRPr="006A1212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5B40C7" w14:textId="44F03F1E" w:rsidR="00912BF2" w:rsidRPr="006A1212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9D0C3E5" w14:textId="0C25583B" w:rsidR="00912BF2" w:rsidRPr="006A1212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8F80B79" w14:textId="24ED4163" w:rsidR="00912BF2" w:rsidRPr="006A1212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DCEE48" w14:textId="625BE494" w:rsidR="00912BF2" w:rsidRPr="006A1212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CAE2B60" w14:textId="34D7AE89" w:rsidR="00912BF2" w:rsidRPr="006A1212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0C2FF61" w14:textId="44DF7C7A" w:rsidR="00912BF2" w:rsidRPr="006A121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CC0FAC" w14:textId="6E6630A4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81EE63" w14:textId="68DC81A3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A30896" w14:textId="664464D1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8D13F2" w14:textId="0ACFF05A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D430042" w14:textId="4B68B40B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12BF2" w:rsidRPr="006A1212" w14:paraId="30FBB3B2" w14:textId="77777777" w:rsidTr="00FF0960">
        <w:tc>
          <w:tcPr>
            <w:tcW w:w="3994" w:type="dxa"/>
            <w:shd w:val="clear" w:color="auto" w:fill="auto"/>
          </w:tcPr>
          <w:p w14:paraId="0273F3F9" w14:textId="77777777" w:rsidR="00912BF2" w:rsidRPr="006A121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5634F48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E53CFF" w14:textId="0E82A65B" w:rsidR="00912BF2" w:rsidRPr="006A121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61EA31" w14:textId="1178F7D9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D620E54" w14:textId="0072CC24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CC6CA8" w14:textId="70C08936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712F17" w14:textId="74798E16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72858D3" w14:textId="7F6BBFE0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1E47DD3" w14:textId="7B91B622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5BC0C6C" w14:textId="00F6EF56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358657" w14:textId="22571AA5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6FA227" w14:textId="35D84FA9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AC9765" w14:textId="0D4B30A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B38E6D1" w14:textId="012A354A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912BF2" w:rsidRPr="006A1212" w14:paraId="01FB30FA" w14:textId="77777777" w:rsidTr="00FF0960">
        <w:tc>
          <w:tcPr>
            <w:tcW w:w="3994" w:type="dxa"/>
            <w:shd w:val="clear" w:color="auto" w:fill="auto"/>
          </w:tcPr>
          <w:p w14:paraId="4329905A" w14:textId="77777777" w:rsidR="00912BF2" w:rsidRPr="006A121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C939A9F" w14:textId="77777777" w:rsidR="00912BF2" w:rsidRPr="006A121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9F9C01" w14:textId="76AFF559" w:rsidR="00912BF2" w:rsidRPr="006A1212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30AED3" w14:textId="4FB249E6" w:rsidR="00912BF2" w:rsidRPr="006A1212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AFB40A" w14:textId="0FB692CC" w:rsidR="00912BF2" w:rsidRPr="006A1212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9A9FE0" w14:textId="3CF2326E" w:rsidR="00912BF2" w:rsidRPr="006A1212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F42FB7" w14:textId="7A5CFBD2" w:rsidR="00912BF2" w:rsidRPr="006A1212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CD74311" w14:textId="514F95CF" w:rsidR="00912BF2" w:rsidRPr="006A1212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934B6DF" w14:textId="4CB73008" w:rsidR="00912BF2" w:rsidRPr="006A121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585EBA" w14:textId="52599BC4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36FDFA" w14:textId="424B005C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BA5C0D" w14:textId="6C1A26AF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6A3EB4" w14:textId="526E4A03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9F47362" w14:textId="5598652D" w:rsidR="00912BF2" w:rsidRPr="006A121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6A1212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6A1212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6A1212">
        <w:rPr>
          <w:rFonts w:ascii="Fira Sans" w:hAnsi="Fira Sans"/>
          <w:sz w:val="15"/>
          <w:szCs w:val="15"/>
          <w:highlight w:val="black"/>
        </w:rPr>
        <w:t xml:space="preserve"> 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305BDE6C" w:rsidR="009C6D35" w:rsidRPr="006A1212" w:rsidRDefault="00E87F28" w:rsidP="00325F97">
      <w:pPr>
        <w:pStyle w:val="Tablicespis"/>
        <w:rPr>
          <w:rFonts w:cs="Arial"/>
          <w:highlight w:val="black"/>
        </w:rPr>
      </w:pPr>
      <w:r w:rsidRPr="006A1212">
        <w:rPr>
          <w:sz w:val="16"/>
          <w:szCs w:val="16"/>
          <w:highlight w:val="black"/>
        </w:rPr>
        <w:br w:type="page"/>
      </w:r>
      <w:r w:rsidR="002F47BE" w:rsidRPr="006A1212">
        <w:rPr>
          <w:highlight w:val="black"/>
        </w:rPr>
        <w:lastRenderedPageBreak/>
        <w:t>Tablica 15</w:t>
      </w:r>
      <w:r w:rsidR="00D93148" w:rsidRPr="006A1212">
        <w:rPr>
          <w:highlight w:val="black"/>
        </w:rPr>
        <w:t xml:space="preserve">. </w:t>
      </w:r>
      <w:r w:rsidR="007B038B" w:rsidRPr="006A1212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6A1212" w14:paraId="439BF910" w14:textId="77777777" w:rsidTr="00FF096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DD97A5" w14:textId="79843177" w:rsidR="00E87F28" w:rsidRPr="006A1212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6A121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6A121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6A1212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6A121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6A121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E7A0A8" w14:textId="098350E0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0B3841" w14:textId="71AB92F8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79ECC1" w14:textId="4735578C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7C8B79" w14:textId="2D1A6DD1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FF4EE3" w14:textId="441EAF6C" w:rsidR="00E87F28" w:rsidRPr="006A1212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center"/>
          </w:tcPr>
          <w:p w14:paraId="0E824192" w14:textId="7A2220B7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  <w:vAlign w:val="center"/>
          </w:tcPr>
          <w:p w14:paraId="361A2F1E" w14:textId="6E551263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8E6AC4" w14:textId="700F65B6" w:rsidR="00E87F28" w:rsidRPr="006A1212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A2A503" w14:textId="26BA82A4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A14CB0" w14:textId="1A84D121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07EBA8" w14:textId="5FB1845B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EE85F47" w14:textId="12525377" w:rsidR="00E87F28" w:rsidRPr="006A121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D10BC6" w:rsidRPr="006A1212" w14:paraId="2E1193C1" w14:textId="77777777" w:rsidTr="00FF0960"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51AEC596" w14:textId="77777777" w:rsidR="00D10BC6" w:rsidRPr="006A1212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DEDF1D" w14:textId="77777777" w:rsidR="00D10BC6" w:rsidRPr="006A1212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222A49" w14:textId="6DEFDCD2" w:rsidR="00D10BC6" w:rsidRPr="006A121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BD08B1" w14:textId="01BB7887" w:rsidR="00D10BC6" w:rsidRPr="006A121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5031D6F" w14:textId="3881BBA2" w:rsidR="00D10BC6" w:rsidRPr="006A121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38CE877" w14:textId="45D7002B" w:rsidR="00D10BC6" w:rsidRPr="006A121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BEFF76" w14:textId="6BB3D5C9" w:rsidR="00D10BC6" w:rsidRPr="006A121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D5B30BA" w14:textId="5F24212E" w:rsidR="00D10BC6" w:rsidRPr="006A121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E6927C3" w14:textId="3072FA00" w:rsidR="00D10BC6" w:rsidRPr="006A121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32735A9" w14:textId="15479EB5" w:rsidR="00D10BC6" w:rsidRPr="006A121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427BB8" w14:textId="589BF0B7" w:rsidR="00D10BC6" w:rsidRPr="006A121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912E30" w14:textId="40B3102A" w:rsidR="00D10BC6" w:rsidRPr="006A121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A5DA75" w14:textId="0B0D692B" w:rsidR="00D10BC6" w:rsidRPr="006A121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BA6715" w14:textId="0F49C1ED" w:rsidR="00D10BC6" w:rsidRPr="006A121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C23B38" w:rsidRPr="006A1212" w14:paraId="14A02D4D" w14:textId="77777777" w:rsidTr="00FF0960">
        <w:tc>
          <w:tcPr>
            <w:tcW w:w="3994" w:type="dxa"/>
            <w:shd w:val="clear" w:color="auto" w:fill="auto"/>
          </w:tcPr>
          <w:p w14:paraId="735E2827" w14:textId="77777777" w:rsidR="00C23B38" w:rsidRPr="006A1212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376696" w14:textId="77777777" w:rsidR="00C23B38" w:rsidRPr="006A1212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67839A" w14:textId="5B34F6AC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306F34" w14:textId="1A1697F8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667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2709EF" w14:textId="3DA04039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453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B5132E" w14:textId="39C656A7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121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ADA122" w14:textId="0419AF3C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6A1212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6A121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Calibri"/>
                <w:szCs w:val="16"/>
                <w:highlight w:val="black"/>
              </w:rPr>
              <w:t>215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20B4B86" w14:textId="13895AFD" w:rsidR="00C23B38" w:rsidRPr="006A1212" w:rsidRDefault="00356880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="00A703A5" w:rsidRPr="006A1212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 w:cs="Arial"/>
                <w:szCs w:val="16"/>
                <w:highlight w:val="black"/>
              </w:rPr>
              <w:t>186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65D3A08" w14:textId="15EAC836" w:rsidR="00C23B38" w:rsidRPr="006A1212" w:rsidRDefault="009D6BE9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6 315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882365" w14:textId="198A58B2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C28F0A" w14:textId="388676DA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F6590F" w14:textId="2ED18FCD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C3855E" w14:textId="61CA7403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0E036B8" w14:textId="703FFC99" w:rsidR="00C23B38" w:rsidRPr="006A1212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70F93" w:rsidRPr="006A1212" w14:paraId="366B2ABD" w14:textId="77777777" w:rsidTr="00FF0960">
        <w:tc>
          <w:tcPr>
            <w:tcW w:w="3994" w:type="dxa"/>
            <w:shd w:val="clear" w:color="auto" w:fill="auto"/>
          </w:tcPr>
          <w:p w14:paraId="5FF6B17F" w14:textId="77777777" w:rsidR="00470F93" w:rsidRPr="006A1212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043CC4" w14:textId="77777777" w:rsidR="00470F93" w:rsidRPr="006A1212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9BE6B2" w14:textId="36D43D1D" w:rsidR="00470F93" w:rsidRPr="006A1212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EE1D0B" w14:textId="3E4DE53A" w:rsidR="00470F93" w:rsidRPr="006A1212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DD1BCA" w14:textId="6EEEF1D6" w:rsidR="00470F93" w:rsidRPr="006A1212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800AB2" w14:textId="7A9EA73E" w:rsidR="00470F93" w:rsidRPr="006A1212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27213C" w14:textId="41985836" w:rsidR="00470F93" w:rsidRPr="006A1212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F32DB14" w14:textId="302612E4" w:rsidR="00470F93" w:rsidRPr="006A1212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6D0B77C3" w14:textId="788F2111" w:rsidR="00470F93" w:rsidRPr="006A1212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FE6A73" w14:textId="68EAD66E" w:rsidR="00470F93" w:rsidRPr="006A1212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46AC4D" w14:textId="3E8E7A92" w:rsidR="00470F93" w:rsidRPr="006A1212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4CB674" w14:textId="25F46FE8" w:rsidR="00470F93" w:rsidRPr="006A1212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A1212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0047A0" w14:textId="2D75CBF5" w:rsidR="00470F93" w:rsidRPr="006A1212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A1212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BC8838A" w14:textId="1B1E4415" w:rsidR="00470F93" w:rsidRPr="006A1212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A1212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C23B38" w:rsidRPr="006A1212" w14:paraId="0B7CAD4D" w14:textId="77777777" w:rsidTr="00FF0960">
        <w:tc>
          <w:tcPr>
            <w:tcW w:w="3994" w:type="dxa"/>
            <w:shd w:val="clear" w:color="auto" w:fill="auto"/>
          </w:tcPr>
          <w:p w14:paraId="485353D3" w14:textId="77777777" w:rsidR="00C23B38" w:rsidRPr="006A1212" w:rsidRDefault="00C23B38" w:rsidP="00C23B3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C3A436" w14:textId="77777777" w:rsidR="00C23B38" w:rsidRPr="006A1212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7F8E4C" w14:textId="30CC316B" w:rsidR="00C23B38" w:rsidRPr="006A1212" w:rsidRDefault="00C23B38" w:rsidP="000055E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82DBEA" w14:textId="597E9B28" w:rsidR="00C23B38" w:rsidRPr="006A1212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</w:t>
            </w:r>
            <w:r w:rsidR="000055E2" w:rsidRPr="006A1212">
              <w:rPr>
                <w:rFonts w:ascii="Fira Sans" w:hAnsi="Fira Sans" w:cs="Arial"/>
                <w:szCs w:val="16"/>
                <w:highlight w:val="black"/>
              </w:rPr>
              <w:t>3,9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3B85D7" w14:textId="1FCBAE53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48A36E4" w14:textId="56A6897D" w:rsidR="00C23B38" w:rsidRPr="006A1212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687BA1" w14:textId="7A66F969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45BAF2C" w14:textId="644A7D01" w:rsidR="00C23B38" w:rsidRPr="006A1212" w:rsidRDefault="00356880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C5C0319" w14:textId="4BBB7B0D" w:rsidR="00C23B38" w:rsidRPr="006A1212" w:rsidRDefault="009D6BE9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113,6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EFC74C" w14:textId="153695C3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BD9A0F" w14:textId="2F6A1F11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CBF70F" w14:textId="53C10859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D1CA79" w14:textId="72C6E80C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B515D7F" w14:textId="27F16546" w:rsidR="00C23B38" w:rsidRPr="006A1212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67F59" w:rsidRPr="006A1212" w14:paraId="2CD366CD" w14:textId="77777777" w:rsidTr="00FF0960">
        <w:tc>
          <w:tcPr>
            <w:tcW w:w="3994" w:type="dxa"/>
            <w:shd w:val="clear" w:color="auto" w:fill="auto"/>
          </w:tcPr>
          <w:p w14:paraId="4911267C" w14:textId="77777777" w:rsidR="00367F59" w:rsidRPr="006A1212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towarów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1FE2FC6" w14:textId="77777777" w:rsidR="00367F59" w:rsidRPr="006A1212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F7B98C4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A08F3D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A3F0B4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55DF31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601E50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877BB4B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458EE54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BC14AA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7172E2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F5119A0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550DA95" w14:textId="77777777" w:rsidR="00367F59" w:rsidRPr="006A1212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9DE363D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67F59" w:rsidRPr="006A1212" w14:paraId="0BC56087" w14:textId="77777777" w:rsidTr="00FF0960">
        <w:tc>
          <w:tcPr>
            <w:tcW w:w="3994" w:type="dxa"/>
            <w:shd w:val="clear" w:color="auto" w:fill="auto"/>
          </w:tcPr>
          <w:p w14:paraId="451B997E" w14:textId="52B5DC6B" w:rsidR="00367F59" w:rsidRPr="006A1212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4EDC5A81" w14:textId="77777777" w:rsidR="00367F59" w:rsidRPr="006A1212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88D7A2" w14:textId="1529BF18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C55AB5" w14:textId="4C03837B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35D183" w14:textId="20AF0670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B33687" w14:textId="2FF3DFF7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3FABC5" w14:textId="75509C89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6AD5472" w14:textId="74C0DF1D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28D75E1" w14:textId="7364A12B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7EFF1C3" w14:textId="54E828BF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1A8216" w14:textId="07E36BA5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6A1212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2FD51F5" w14:textId="71B3BF13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3E1C01" w14:textId="459FA462" w:rsidR="00367F59" w:rsidRPr="006A1212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A1212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8C5150E" w14:textId="6C257220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367F59" w:rsidRPr="006A1212" w14:paraId="156101CB" w14:textId="77777777" w:rsidTr="00FF0960">
        <w:tc>
          <w:tcPr>
            <w:tcW w:w="3994" w:type="dxa"/>
            <w:shd w:val="clear" w:color="auto" w:fill="auto"/>
          </w:tcPr>
          <w:p w14:paraId="2E14D57D" w14:textId="77777777" w:rsidR="00367F59" w:rsidRPr="006A1212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4EE9F5" w14:textId="77777777" w:rsidR="00367F59" w:rsidRPr="006A1212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725C22" w14:textId="12837C03" w:rsidR="00367F59" w:rsidRPr="006A1212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454F35" w14:textId="31EF56FD" w:rsidR="00367F59" w:rsidRPr="006A1212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FC6957" w14:textId="5659F0D9" w:rsidR="00367F59" w:rsidRPr="006A1212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61F437" w14:textId="014DDBAD" w:rsidR="00367F59" w:rsidRPr="006A1212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E2B202" w14:textId="622CEA10" w:rsidR="00367F59" w:rsidRPr="006A1212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ED3A9E6" w14:textId="522BDA30" w:rsidR="00367F59" w:rsidRPr="006A1212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4929DF14" w14:textId="5BEC07B8" w:rsidR="00367F59" w:rsidRPr="006A1212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5FEC4A" w14:textId="03E0DA3D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F8AD8D" w14:textId="6D8E3700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26A575" w14:textId="2BEAE635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A64BED" w14:textId="271D58F8" w:rsidR="00367F59" w:rsidRPr="006A1212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6BB9571" w14:textId="5BE2CE9E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67F59" w:rsidRPr="006A1212" w14:paraId="2EA14C8F" w14:textId="77777777" w:rsidTr="00FF0960">
        <w:tc>
          <w:tcPr>
            <w:tcW w:w="3994" w:type="dxa"/>
            <w:shd w:val="clear" w:color="auto" w:fill="auto"/>
          </w:tcPr>
          <w:p w14:paraId="458E9865" w14:textId="77777777" w:rsidR="00367F59" w:rsidRPr="006A1212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A7937C2" w14:textId="77777777" w:rsidR="00367F59" w:rsidRPr="006A1212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5CB184" w14:textId="01BA8ABC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12FCF4" w14:textId="1205EB29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7EFAF9" w14:textId="191C32AF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6F1699" w14:textId="17230BBD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C2B409" w14:textId="524B75AC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381AFEA" w14:textId="556991D1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1465430" w14:textId="3B02C0C9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188769" w14:textId="75B6B648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0F960C" w14:textId="16965746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FC081A" w14:textId="08AAC1D1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CF9AB2" w14:textId="60EAD524" w:rsidR="00367F59" w:rsidRPr="006A1212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A1212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46E82EB" w14:textId="08EBC8F1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367F59" w:rsidRPr="006A1212" w14:paraId="78A989C3" w14:textId="77777777" w:rsidTr="00FF0960">
        <w:tc>
          <w:tcPr>
            <w:tcW w:w="3994" w:type="dxa"/>
            <w:shd w:val="clear" w:color="auto" w:fill="auto"/>
          </w:tcPr>
          <w:p w14:paraId="7D02E5F5" w14:textId="77777777" w:rsidR="00367F59" w:rsidRPr="006A1212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33CEA4D" w14:textId="77777777" w:rsidR="00367F59" w:rsidRPr="006A1212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F58762" w14:textId="59394BE4" w:rsidR="00367F59" w:rsidRPr="006A1212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0577460" w14:textId="45E8FB9B" w:rsidR="00367F59" w:rsidRPr="006A1212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6183C13" w14:textId="5379909E" w:rsidR="00367F59" w:rsidRPr="006A1212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C59464" w14:textId="22F11A0C" w:rsidR="00367F59" w:rsidRPr="006A1212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DACB53" w14:textId="701C4E89" w:rsidR="00367F59" w:rsidRPr="006A1212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CB6E088" w14:textId="775E44D7" w:rsidR="00367F59" w:rsidRPr="006A1212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ED08FC9" w14:textId="40E9FCA3" w:rsidR="00367F59" w:rsidRPr="006A1212" w:rsidRDefault="00B9100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28C558" w14:textId="421CEE0F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27AB12" w14:textId="787881EA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DA8CCE" w14:textId="403CD307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58AEAD" w14:textId="090281DE" w:rsidR="00367F59" w:rsidRPr="006A1212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531F5A4" w14:textId="0DB2375C" w:rsidR="00367F59" w:rsidRPr="006A1212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67F59" w:rsidRPr="006A1212" w14:paraId="5E9F541B" w14:textId="77777777" w:rsidTr="00FF0960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auto"/>
          </w:tcPr>
          <w:p w14:paraId="1B170157" w14:textId="77777777" w:rsidR="00367F59" w:rsidRPr="006A1212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przedsiębiorstwach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9B380D" w14:textId="77777777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C23592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8DFCA1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21771D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E39071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F291119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581C1F3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FA6742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5842F7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0DDE76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1C41D1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915A673" w14:textId="77777777" w:rsidR="00367F59" w:rsidRPr="006A1212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90985" w:rsidRPr="006A1212" w14:paraId="52EF22C7" w14:textId="77777777" w:rsidTr="00FF0960">
        <w:tc>
          <w:tcPr>
            <w:tcW w:w="3994" w:type="dxa"/>
            <w:shd w:val="clear" w:color="auto" w:fill="auto"/>
          </w:tcPr>
          <w:p w14:paraId="216A70D8" w14:textId="77777777" w:rsidR="00E90985" w:rsidRPr="006A1212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6A1212">
              <w:rPr>
                <w:rFonts w:ascii="Fira Sans" w:hAnsi="Fira Sans"/>
                <w:highlight w:val="black"/>
              </w:rPr>
              <w:t>brutto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6A121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77CA91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2C3B8" w14:textId="2AC725C8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3B0F4F" w14:textId="08234361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C71CA5" w14:textId="175F4155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2C2B5" w14:textId="683A8529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144849" w14:textId="086DCAE5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D25EAA3" w14:textId="57CF63CD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2A7726A" w14:textId="5E5BFE86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DD2872" w14:textId="5E4DCB6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657262" w14:textId="2AB8B0B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E1F2B0" w14:textId="34A9E85C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284905" w14:textId="468BDEB5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85FAB0" w14:textId="383BA7E8" w:rsidR="00E90985" w:rsidRPr="006A1212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E90985" w:rsidRPr="006A1212" w14:paraId="14E9F495" w14:textId="77777777" w:rsidTr="00FF0960">
        <w:tc>
          <w:tcPr>
            <w:tcW w:w="3994" w:type="dxa"/>
            <w:shd w:val="clear" w:color="auto" w:fill="auto"/>
          </w:tcPr>
          <w:p w14:paraId="3B161B6A" w14:textId="77777777" w:rsidR="00E90985" w:rsidRPr="006A1212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26734B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21F085" w14:textId="793D98DB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14E3DB" w14:textId="3F8466F0" w:rsidR="00E90985" w:rsidRPr="006A1212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75EB41" w14:textId="2C6B5D4C" w:rsidR="00E90985" w:rsidRPr="006A1212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CED3E9" w14:textId="32C12C80" w:rsidR="00E90985" w:rsidRPr="006A1212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A478EF" w14:textId="70FC030A" w:rsidR="00E90985" w:rsidRPr="006A1212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8C03E8B" w14:textId="207D98D9" w:rsidR="00E90985" w:rsidRPr="006A1212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22C2C8C" w14:textId="2F24B102" w:rsidR="00E90985" w:rsidRPr="006A1212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B5A65D" w14:textId="36309521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ABC1DC5" w14:textId="6F15E64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CEDC32" w14:textId="01532DEF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E22488" w14:textId="69A1DAC9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5A0625B" w14:textId="3BAFFDA1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90985" w:rsidRPr="006A1212" w14:paraId="631EEA7C" w14:textId="77777777" w:rsidTr="00FF0960">
        <w:tc>
          <w:tcPr>
            <w:tcW w:w="3994" w:type="dxa"/>
            <w:shd w:val="clear" w:color="auto" w:fill="auto"/>
          </w:tcPr>
          <w:p w14:paraId="6E58C275" w14:textId="77777777" w:rsidR="00E90985" w:rsidRPr="006A1212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6A1212">
              <w:rPr>
                <w:rFonts w:ascii="Fira Sans" w:hAnsi="Fira Sans"/>
                <w:highlight w:val="black"/>
              </w:rPr>
              <w:t>netto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6A121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28E389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ADE14C" w14:textId="3AAB2BA0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A91B57" w14:textId="6F67C92C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8AC6AE" w14:textId="69CFBEE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F4AE2A" w14:textId="7B30108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CA80DC" w14:textId="1C93A586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ABE6A0A" w14:textId="615D2EB3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5F6CD9D" w14:textId="6CF39CA9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3ABA8E" w14:textId="6FDF38D4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13AE1B" w14:textId="0965A834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0B1773" w14:textId="3FE34F4C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8F8839" w14:textId="78A3937D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F69A656" w14:textId="53E51F1C" w:rsidR="00E90985" w:rsidRPr="006A1212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E90985" w:rsidRPr="006A1212" w14:paraId="63F3BA07" w14:textId="77777777" w:rsidTr="00FF0960">
        <w:tc>
          <w:tcPr>
            <w:tcW w:w="3994" w:type="dxa"/>
            <w:shd w:val="clear" w:color="auto" w:fill="auto"/>
          </w:tcPr>
          <w:p w14:paraId="34168E8F" w14:textId="77777777" w:rsidR="00E90985" w:rsidRPr="006A1212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67D2EC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1392CF" w14:textId="4B1E0BA2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F3D855" w14:textId="556DCAF2" w:rsidR="00E90985" w:rsidRPr="006A1212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BEF325" w14:textId="2DE6E615" w:rsidR="00E90985" w:rsidRPr="006A1212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C82AA1B" w14:textId="37D50996" w:rsidR="00E90985" w:rsidRPr="006A1212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C4BB94" w14:textId="0F0D8F45" w:rsidR="00E90985" w:rsidRPr="006A1212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55CFAA6" w14:textId="42D61325" w:rsidR="00E90985" w:rsidRPr="006A1212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B08A313" w14:textId="03F1B774" w:rsidR="00E90985" w:rsidRPr="006A1212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564D19D" w14:textId="174A2D80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CA5956" w14:textId="009961D1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D22842" w14:textId="63DF179A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5F5B06" w14:textId="0B7D602B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1233B000" w14:textId="1DEC40C4" w:rsidR="00E90985" w:rsidRPr="006A1212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E90985" w:rsidRPr="006A1212" w14:paraId="0994815D" w14:textId="77777777" w:rsidTr="00FF0960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6A1212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przedsiębiorstw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6A121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A17AC1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60155E" w14:textId="045E34D8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208FCB" w14:textId="73F4F99D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390DA7" w14:textId="4E48FFC7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CD8E45" w14:textId="06F352FB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CD7B54D" w14:textId="3BA32E67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A530259" w14:textId="4414C67D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D8DCCB9" w14:textId="27342211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F3BE7B" w14:textId="5817D60F" w:rsidR="00E90985" w:rsidRPr="006A1212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8DF5676" w14:textId="1EBF185D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04EEA5" w14:textId="0958E3C6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43FA7E" w14:textId="16D3E744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5EDA9B7" w14:textId="56ACF559" w:rsidR="00E90985" w:rsidRPr="006A1212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E90985" w:rsidRPr="006A1212" w14:paraId="43CF098F" w14:textId="77777777" w:rsidTr="00FF0960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6A1212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30F77C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9332A8" w14:textId="5AB12C47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70B0C02" w14:textId="700F83DF" w:rsidR="00E90985" w:rsidRPr="006A1212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D86C50" w14:textId="0E157352" w:rsidR="00E90985" w:rsidRPr="006A1212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C01843" w14:textId="02DD863B" w:rsidR="00E90985" w:rsidRPr="006A1212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6F8062" w14:textId="163E0EA1" w:rsidR="00E90985" w:rsidRPr="006A1212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69CF25E" w14:textId="238EFD62" w:rsidR="00E90985" w:rsidRPr="006A1212" w:rsidRDefault="004F6D7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1416,1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3E0AC48F" w14:textId="0AF8B954" w:rsidR="00E90985" w:rsidRPr="006A1212" w:rsidRDefault="00F439D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237592" w14:textId="55E0786E" w:rsidR="00E90985" w:rsidRPr="006A1212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6230C9" w14:textId="5523B4EB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F68B8C" w14:textId="3C7AFC09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5475DE" w14:textId="7D4789B6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A3A90BA" w14:textId="534E48B1" w:rsidR="00E90985" w:rsidRPr="006A1212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90985" w:rsidRPr="006A1212" w14:paraId="67F5C5D7" w14:textId="77777777" w:rsidTr="00FF0960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6A1212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anal</w:t>
            </w:r>
            <w:r w:rsidR="00675668" w:rsidRPr="006A1212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6A1212">
              <w:rPr>
                <w:rFonts w:ascii="Fira Sans" w:hAnsi="Fira Sans"/>
                <w:highlight w:val="black"/>
              </w:rPr>
              <w:t xml:space="preserve">100 </w:t>
            </w:r>
            <w:r w:rsidRPr="006A1212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394918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6A1212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08CB08" w14:textId="5BD4568B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61B6EA" w14:textId="7E2E6799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B31404" w14:textId="6DFDC261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138B3B" w14:textId="0943C456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D155F6" w14:textId="48FFCDC2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1DB9E33" w14:textId="509265D7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7150F094" w14:textId="5C4B1E96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2A46BD" w14:textId="061CC2CF" w:rsidR="00E90985" w:rsidRPr="006A1212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E8ACEE" w14:textId="3EC4D5E6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3F125B" w14:textId="035B7E2E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B01C7A" w14:textId="0CFF8DB2" w:rsidR="00E90985" w:rsidRPr="006A1212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F41520E" w14:textId="637AB317" w:rsidR="00E90985" w:rsidRPr="006A1212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367F59" w:rsidRPr="006A1212" w14:paraId="0CF23CC4" w14:textId="77777777" w:rsidTr="00FF0960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6A1212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CF14F2" w14:textId="77777777" w:rsidR="00367F59" w:rsidRPr="006A1212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635C5C" w14:textId="59FC853F" w:rsidR="00367F59" w:rsidRPr="006A1212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DB0419" w14:textId="1E42F9AD" w:rsidR="00367F59" w:rsidRPr="006A1212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390248" w14:textId="67F5D366" w:rsidR="00367F59" w:rsidRPr="006A1212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195DC5" w14:textId="07732488" w:rsidR="00367F59" w:rsidRPr="006A1212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2F31B3" w14:textId="65C3F1AE" w:rsidR="00367F59" w:rsidRPr="006A1212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B925F6A" w14:textId="47CF908E" w:rsidR="00367F59" w:rsidRPr="006A1212" w:rsidRDefault="004F6D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96358FA" w14:textId="32010F9B" w:rsidR="00367F59" w:rsidRPr="006A1212" w:rsidRDefault="00F439D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591EC7" w14:textId="776A1AF5" w:rsidR="00367F59" w:rsidRPr="006A1212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FE755C" w14:textId="7353F850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E925B0" w14:textId="7EBEA885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578D8F" w14:textId="12310CA4" w:rsidR="00367F59" w:rsidRPr="006A1212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0DE5867" w14:textId="0E9C0323" w:rsidR="00367F59" w:rsidRPr="006A1212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F1957" w:rsidRPr="006A1212" w14:paraId="533C91EF" w14:textId="77777777" w:rsidTr="00FF0960">
        <w:tc>
          <w:tcPr>
            <w:tcW w:w="3994" w:type="dxa"/>
            <w:shd w:val="clear" w:color="auto" w:fill="auto"/>
          </w:tcPr>
          <w:p w14:paraId="4411DA68" w14:textId="77777777" w:rsidR="00FF1957" w:rsidRPr="006A1212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6A1212">
              <w:rPr>
                <w:rFonts w:ascii="Fira Sans" w:hAnsi="Fira Sans"/>
                <w:highlight w:val="black"/>
              </w:rPr>
              <w:t>narodowej</w:t>
            </w:r>
            <w:r w:rsidRPr="006A1212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6A1212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F4B240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6745B8" w14:textId="3C973DB4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188</w:t>
            </w:r>
            <w:r w:rsidR="00C71BB6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781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EAA972" w14:textId="2544CC4B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189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7328CB" w14:textId="653292A7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190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047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F0DE4B" w14:textId="61E80B36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190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8CC853" w14:textId="47FF0BE6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191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871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4EDF356" w14:textId="3CC26BB7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192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671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679D2C9E" w14:textId="15F1AC3D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193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275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C58557" w14:textId="3C82E4FB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Cs w:val="16"/>
                <w:highlight w:val="black"/>
              </w:rPr>
              <w:t>193</w:t>
            </w:r>
            <w:r w:rsidR="0015511B" w:rsidRPr="006A1212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szCs w:val="16"/>
                <w:highlight w:val="black"/>
              </w:rPr>
              <w:t>972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990937" w14:textId="673AEE4F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194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632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0335B5" w14:textId="3F038324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195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345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303977" w14:textId="735CF4EA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196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203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198CD5" w14:textId="7EDD7948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196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532</w:t>
            </w:r>
          </w:p>
        </w:tc>
      </w:tr>
      <w:tr w:rsidR="00FF1957" w:rsidRPr="006A1212" w14:paraId="78B04BE1" w14:textId="77777777" w:rsidTr="00FF0960">
        <w:tc>
          <w:tcPr>
            <w:tcW w:w="3994" w:type="dxa"/>
            <w:shd w:val="clear" w:color="auto" w:fill="auto"/>
          </w:tcPr>
          <w:p w14:paraId="55B74D66" w14:textId="77777777" w:rsidR="00FF1957" w:rsidRPr="006A1212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211825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4A83855" w14:textId="25033E3E" w:rsidR="00FF1957" w:rsidRPr="006A1212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196</w:t>
            </w:r>
            <w:r w:rsidR="00C71BB6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512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485D624" w14:textId="28DAFB74" w:rsidR="00FF1957" w:rsidRPr="006A1212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196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864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7504F0" w14:textId="62D81578" w:rsidR="00FF1957" w:rsidRPr="006A1212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197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4B2734" w14:textId="4AB07ED7" w:rsidR="00FF1957" w:rsidRPr="006A1212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197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72BE2B0" w14:textId="35812164" w:rsidR="00FF1957" w:rsidRPr="006A1212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198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406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9A449E2" w14:textId="6DC9335C" w:rsidR="00FF1957" w:rsidRPr="006A1212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199</w:t>
            </w:r>
            <w:r w:rsidR="0015511B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156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0EB35C0A" w14:textId="76BF0136" w:rsidR="00FF1957" w:rsidRPr="006A1212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DEA58E" w14:textId="1909757F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81FBB9" w14:textId="41D810CE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A2B876" w14:textId="7B9C9A4A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8B2896" w14:textId="6366D8EB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14A0D24B" w14:textId="661F8CBB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F1957" w:rsidRPr="006A1212" w14:paraId="410C41F4" w14:textId="77777777" w:rsidTr="00FF0960">
        <w:tc>
          <w:tcPr>
            <w:tcW w:w="3994" w:type="dxa"/>
            <w:shd w:val="clear" w:color="auto" w:fill="auto"/>
          </w:tcPr>
          <w:p w14:paraId="1E5BDF44" w14:textId="77777777" w:rsidR="00FF1957" w:rsidRPr="006A1212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90F62A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5408784" w14:textId="53149D33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001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9BC01F" w14:textId="24FD1F62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429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D26580E" w14:textId="20D4043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514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0CCF0E" w14:textId="799658EE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600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7007E2" w14:textId="15149F8D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660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DEB1AA2" w14:textId="6A57B1F7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F696ECC" w14:textId="025AE93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887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CC7FEB" w14:textId="332C40B4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Cs w:val="16"/>
                <w:highlight w:val="black"/>
              </w:rPr>
              <w:t>16</w:t>
            </w:r>
            <w:r w:rsidR="00A703A5" w:rsidRPr="006A1212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szCs w:val="16"/>
                <w:highlight w:val="black"/>
              </w:rPr>
              <w:t>946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544538" w14:textId="6C4403D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027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F05015" w14:textId="1FBD7490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150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3D0E31" w14:textId="1688D684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4566277" w14:textId="7EC5A0B7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451</w:t>
            </w:r>
          </w:p>
        </w:tc>
      </w:tr>
      <w:tr w:rsidR="00FF1957" w:rsidRPr="006A1212" w14:paraId="6250BC86" w14:textId="77777777" w:rsidTr="00FF0960">
        <w:tc>
          <w:tcPr>
            <w:tcW w:w="3994" w:type="dxa"/>
            <w:shd w:val="clear" w:color="auto" w:fill="auto"/>
          </w:tcPr>
          <w:p w14:paraId="0E4AF580" w14:textId="77777777" w:rsidR="00FF1957" w:rsidRPr="006A1212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CB8EA64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04F5B1" w14:textId="56C8098E" w:rsidR="00FF1957" w:rsidRPr="006A1212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612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52486B" w14:textId="19C8EE90" w:rsidR="00FF1957" w:rsidRPr="006A1212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B0DE6D" w14:textId="6D900A35" w:rsidR="00FF1957" w:rsidRPr="006A1212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886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51E639" w14:textId="5B050EE1" w:rsidR="00FF1957" w:rsidRPr="006A1212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942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F9DE78" w14:textId="4D2E8E43" w:rsidR="00FF1957" w:rsidRPr="006A1212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17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990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5D85931" w14:textId="60E2ADA8" w:rsidR="00FF1957" w:rsidRPr="006A1212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18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054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17E27E1A" w14:textId="248204D2" w:rsidR="00FF1957" w:rsidRPr="006A1212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18</w:t>
            </w:r>
            <w:r w:rsidR="009847E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127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0C61FE" w14:textId="6C7B7826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18301A" w14:textId="1193C1B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FA45AF" w14:textId="4E43940E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504E86" w14:textId="01EBCDD2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EE13F93" w14:textId="400B05D7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F1957" w:rsidRPr="006A1212" w14:paraId="7FEE8768" w14:textId="77777777" w:rsidTr="00FF0960">
        <w:tc>
          <w:tcPr>
            <w:tcW w:w="3994" w:type="dxa"/>
            <w:shd w:val="clear" w:color="auto" w:fill="auto"/>
          </w:tcPr>
          <w:p w14:paraId="4E5D3D84" w14:textId="77777777" w:rsidR="00FF1957" w:rsidRPr="006A1212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0DCCD0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773BED" w14:textId="1E52E37E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208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42D04F" w14:textId="7B2BA756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235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3E3F0A" w14:textId="1C2A9AD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237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054264" w14:textId="72289C23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228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D0D56A" w14:textId="376F7644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221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6980A3D" w14:textId="5E00AE71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21CDB1FC" w14:textId="4D40AF3C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239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31D2A2" w14:textId="1404D812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6A1212">
              <w:rPr>
                <w:rFonts w:ascii="Fira Sans" w:hAnsi="Fira Sans"/>
                <w:szCs w:val="16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szCs w:val="16"/>
                <w:highlight w:val="black"/>
              </w:rPr>
              <w:t>248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6A72A1" w14:textId="2F4D6812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257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BC8C57" w14:textId="1FB4AB38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60B734" w14:textId="2A475ABE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277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8611850" w14:textId="17A00082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292</w:t>
            </w:r>
          </w:p>
        </w:tc>
      </w:tr>
      <w:tr w:rsidR="00FF1957" w:rsidRPr="006A1212" w14:paraId="1FD1479C" w14:textId="77777777" w:rsidTr="00FF0960">
        <w:tc>
          <w:tcPr>
            <w:tcW w:w="3994" w:type="dxa"/>
            <w:shd w:val="clear" w:color="auto" w:fill="auto"/>
          </w:tcPr>
          <w:p w14:paraId="7CCD9285" w14:textId="77777777" w:rsidR="00FF1957" w:rsidRPr="006A1212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7AEE53" w14:textId="77777777" w:rsidR="00FF1957" w:rsidRPr="006A1212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15E9A8" w14:textId="6CEE1790" w:rsidR="00FF1957" w:rsidRPr="006A1212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BB17D1D" w14:textId="54BF818E" w:rsidR="00FF1957" w:rsidRPr="006A1212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320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19AC61" w14:textId="29831481" w:rsidR="00FF1957" w:rsidRPr="006A1212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326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F70631" w14:textId="1AFAD1D2" w:rsidR="00FF1957" w:rsidRPr="006A1212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B55081" w14:textId="4A18D0F0" w:rsidR="00FF1957" w:rsidRPr="006A1212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330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3DE4260" w14:textId="5B311405" w:rsidR="00FF1957" w:rsidRPr="006A1212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</w:t>
            </w:r>
            <w:r w:rsidR="00A703A5" w:rsidRPr="006A1212">
              <w:rPr>
                <w:rFonts w:ascii="Fira Sans" w:hAnsi="Fira Sans"/>
                <w:highlight w:val="black"/>
              </w:rPr>
              <w:t xml:space="preserve"> </w:t>
            </w:r>
            <w:r w:rsidRPr="006A1212">
              <w:rPr>
                <w:rFonts w:ascii="Fira Sans" w:hAnsi="Fira Sans"/>
                <w:highlight w:val="black"/>
              </w:rPr>
              <w:t>332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auto"/>
            <w:vAlign w:val="bottom"/>
          </w:tcPr>
          <w:p w14:paraId="50A52ABA" w14:textId="2CC2D7FC" w:rsidR="00FF1957" w:rsidRPr="006A1212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64F0D8" w14:textId="249D4E82" w:rsidR="00FF1957" w:rsidRPr="006A1212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786F0E" w14:textId="35E81C95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4924CF" w14:textId="343D7CC3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15DFEF" w14:textId="6DE2E379" w:rsidR="00FF1957" w:rsidRPr="006A1212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03C9949" w14:textId="482FD3F3" w:rsidR="00FF1957" w:rsidRPr="006A1212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6A1212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6A1212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 c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 </w:t>
      </w:r>
      <w:r w:rsidRPr="006A1212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 </w:t>
      </w:r>
      <w:r w:rsidRPr="006A1212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6A1212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6A1212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6A1212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6A1212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6A1212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6A1212" w:rsidRDefault="00E87F28">
      <w:pPr>
        <w:spacing w:line="230" w:lineRule="exact"/>
        <w:ind w:firstLine="454"/>
        <w:rPr>
          <w:highlight w:val="black"/>
        </w:rPr>
        <w:sectPr w:rsidR="00E87F28" w:rsidRPr="006A1212" w:rsidSect="00FA558F">
          <w:headerReference w:type="first" r:id="rId39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6A1212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6A121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6A1212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6A121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6A1212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6A1212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6A1212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6A1212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6A1212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6A121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6A1212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6A121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6A1212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6A1212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6A1212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6A1212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6A1212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6A121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6A1212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6A1212" w:rsidRDefault="004B4DF6" w:rsidP="000378AF">
            <w:pPr>
              <w:rPr>
                <w:rFonts w:ascii="Fira Sans" w:hAnsi="Fira Sans"/>
                <w:highlight w:val="black"/>
              </w:rPr>
            </w:pPr>
            <w:r w:rsidRPr="006A1212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6A1212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6A1212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6A1212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6A1212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3C69A7C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strony Urzędu Statystycznego w Rzeszowie" w:history="1">
              <w:r w:rsidR="004B4DF6" w:rsidRPr="006A1212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6A1212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6A121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6A1212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6A1212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73A82FA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twittera Urzędu Statystycznego w Rzeszowie" w:history="1">
              <w:r w:rsidRPr="006A1212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6A1212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6A1212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6A121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</w:tcPr>
          <w:p w14:paraId="0CE1BFAB" w14:textId="1E68848A" w:rsidR="004B4DF6" w:rsidRPr="006A1212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6A1212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2480D99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Link do facebooka Urzędu Statystycznego w Rzeszowie" w:history="1">
              <w:r w:rsidRPr="006A1212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6A1212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6A1212" w:rsidRDefault="004B4DF6" w:rsidP="009B729B">
      <w:pPr>
        <w:rPr>
          <w:highlight w:val="black"/>
        </w:rPr>
      </w:pPr>
    </w:p>
    <w:p w14:paraId="23591FFA" w14:textId="77777777" w:rsidR="004B4DF6" w:rsidRPr="006A1212" w:rsidRDefault="004B4DF6" w:rsidP="009B729B">
      <w:pPr>
        <w:rPr>
          <w:highlight w:val="black"/>
        </w:rPr>
      </w:pPr>
    </w:p>
    <w:p w14:paraId="5EDCF7F2" w14:textId="77777777" w:rsidR="00D667EC" w:rsidRPr="006A1212" w:rsidRDefault="00D667EC" w:rsidP="009B729B">
      <w:pPr>
        <w:rPr>
          <w:highlight w:val="black"/>
        </w:rPr>
      </w:pPr>
    </w:p>
    <w:p w14:paraId="7BA6981A" w14:textId="77777777" w:rsidR="00D667EC" w:rsidRPr="006A1212" w:rsidRDefault="00D667EC" w:rsidP="009B729B">
      <w:pPr>
        <w:rPr>
          <w:highlight w:val="black"/>
        </w:rPr>
      </w:pPr>
    </w:p>
    <w:p w14:paraId="41260B71" w14:textId="77777777" w:rsidR="00D667EC" w:rsidRPr="006A1212" w:rsidRDefault="00D667EC" w:rsidP="009B729B">
      <w:pPr>
        <w:rPr>
          <w:highlight w:val="black"/>
        </w:rPr>
      </w:pPr>
    </w:p>
    <w:p w14:paraId="5E20F6F3" w14:textId="77777777" w:rsidR="00D667EC" w:rsidRPr="006A1212" w:rsidRDefault="00D667EC" w:rsidP="009B729B">
      <w:pPr>
        <w:rPr>
          <w:highlight w:val="black"/>
        </w:rPr>
      </w:pPr>
    </w:p>
    <w:p w14:paraId="77AF758F" w14:textId="66F64835" w:rsidR="00111673" w:rsidRPr="006A1212" w:rsidRDefault="004D19D0" w:rsidP="009B729B">
      <w:pPr>
        <w:rPr>
          <w:highlight w:val="black"/>
          <w:lang w:val="en-US"/>
        </w:rPr>
      </w:pPr>
      <w:r w:rsidRPr="006A121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A121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37C87B70" w:rsidR="00FF0960" w:rsidRPr="006A1212" w:rsidRDefault="00FF096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6A121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6A121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"https://stat.gov.pl/obszary-tematyczne/inne-opracowania/informacje-o-sytuacji-spoleczno-gospodarczej/sytuacja-spoleczno-gospodarcza-kraju-w-lipcu-2022-r-,1,123.html" \o "Link do opracowania Sytuacja społeczno-gospodarcza kraju w lipcu 2022 r."</w:instrText>
                            </w:r>
                            <w:r w:rsidRPr="006A121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6A121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lipcu 2022 r.</w:t>
                            </w:r>
                          </w:p>
                          <w:p w14:paraId="39D90BB6" w14:textId="760F3A0A" w:rsidR="00FF0960" w:rsidRPr="006A1212" w:rsidRDefault="00FF096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6A121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A1212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FF0960" w:rsidRPr="006A1212" w:rsidRDefault="001B248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FF0960" w:rsidRPr="006A121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FF0960" w:rsidRPr="006A1212" w:rsidRDefault="001B248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tooltip="Link do bazy danych: Dziedzinowe Bazy Wiedzy (DBW)" w:history="1">
                              <w:r w:rsidR="00FF0960" w:rsidRPr="006A1212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A1212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FF0960" w:rsidRPr="006A1212" w:rsidRDefault="001B248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tooltip="Link do pojęć stosowanych w statystyce publicznej" w:history="1">
                              <w:r w:rsidR="00FF0960" w:rsidRPr="006A121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FF0960" w:rsidRPr="006A1212" w:rsidRDefault="00FF0960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9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" fillcolor="black" strokecolor="white [3212]">
                <v:textbox>
                  <w:txbxContent>
                    <w:p w14:paraId="0E4C3107" w14:textId="77777777" w:rsidR="00FF0960" w:rsidRPr="006A1212" w:rsidRDefault="00FF0960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A121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37C87B70" w:rsidR="00FF0960" w:rsidRPr="006A1212" w:rsidRDefault="00FF096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6A121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6A121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"https://stat.gov.pl/obszary-tematyczne/inne-opracowania/informacje-o-sytuacji-spoleczno-gospodarczej/sytuacja-spoleczno-gospodarcza-kraju-w-lipcu-2022-r-,1,123.html" \o "Link do opracowania Sytuacja społeczno-gospodarcza kraju w lipcu 2022 r."</w:instrText>
                      </w:r>
                      <w:r w:rsidRPr="006A121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6A121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lipcu 2022 r.</w:t>
                      </w:r>
                    </w:p>
                    <w:p w14:paraId="39D90BB6" w14:textId="760F3A0A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6A121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A1212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2" w:tooltip="Link do bazy danych: Bank Danych Lokalnych (BDL)" w:history="1">
                        <w:r w:rsidRPr="006A121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tooltip="Link do bazy danych: Dziedzinowe Bazy Wiedzy (DBW)" w:history="1">
                        <w:r w:rsidRPr="006A1212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A1212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FF0960" w:rsidRPr="006A1212" w:rsidRDefault="00FF096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tooltip="Link do pojęć stosowanych w statystyce publicznej" w:history="1">
                        <w:r w:rsidRPr="006A121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FF0960" w:rsidRPr="006A1212" w:rsidRDefault="00FF0960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6A1212" w:rsidSect="00FA558F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EDAC9" w14:textId="77777777" w:rsidR="001B248C" w:rsidRDefault="001B248C" w:rsidP="00502C57">
      <w:r>
        <w:separator/>
      </w:r>
    </w:p>
  </w:endnote>
  <w:endnote w:type="continuationSeparator" w:id="0">
    <w:p w14:paraId="6DB47EA9" w14:textId="77777777" w:rsidR="001B248C" w:rsidRDefault="001B248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FF0960" w:rsidRDefault="00FF096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915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164F1654" w14:textId="77777777" w:rsidR="00FF0960" w:rsidRDefault="00FF09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FF0960" w:rsidRDefault="00FF096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D73915">
          <w:rPr>
            <w:noProof/>
            <w:color w:val="000000" w:themeColor="text1"/>
            <w:szCs w:val="19"/>
          </w:rPr>
          <w:t>35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FF0960" w:rsidRDefault="00FF09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FF0960" w:rsidRDefault="00FF09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915">
          <w:rPr>
            <w:noProof/>
          </w:rPr>
          <w:t>37</w:t>
        </w:r>
        <w:r>
          <w:fldChar w:fldCharType="end"/>
        </w:r>
      </w:p>
    </w:sdtContent>
  </w:sdt>
  <w:p w14:paraId="6FF677EF" w14:textId="77777777" w:rsidR="00FF0960" w:rsidRDefault="00FF09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A1EE8" w14:textId="77777777" w:rsidR="001B248C" w:rsidRDefault="001B248C" w:rsidP="00502C57">
      <w:r>
        <w:separator/>
      </w:r>
    </w:p>
  </w:footnote>
  <w:footnote w:type="continuationSeparator" w:id="0">
    <w:p w14:paraId="149587E8" w14:textId="77777777" w:rsidR="001B248C" w:rsidRDefault="001B248C" w:rsidP="00502C57">
      <w:r>
        <w:continuationSeparator/>
      </w:r>
    </w:p>
  </w:footnote>
  <w:footnote w:id="1">
    <w:p w14:paraId="64570BC8" w14:textId="77777777" w:rsidR="00FF0960" w:rsidRPr="00BB5D72" w:rsidRDefault="00FF0960" w:rsidP="007E487A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A6BE486" w14:textId="77777777" w:rsidR="00FF0960" w:rsidRPr="00BB5D72" w:rsidRDefault="00FF0960" w:rsidP="007E487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F1BE15C" w14:textId="77777777" w:rsidR="00FF0960" w:rsidRPr="005D5750" w:rsidRDefault="00FF0960" w:rsidP="000C635B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FB189F9" w14:textId="77777777" w:rsidR="00FF0960" w:rsidRPr="004D4843" w:rsidRDefault="00FF0960" w:rsidP="0080216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42E7C9E" w14:textId="77777777" w:rsidR="00FF0960" w:rsidRPr="00F15BE1" w:rsidRDefault="00FF0960" w:rsidP="00EC714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0B0E67ED" w:rsidR="00FF0960" w:rsidRPr="00CD70A0" w:rsidRDefault="00FF0960" w:rsidP="004805F5">
      <w:pPr>
        <w:spacing w:before="120"/>
        <w:rPr>
          <w:szCs w:val="19"/>
        </w:rPr>
      </w:pPr>
      <w:r w:rsidRPr="00CD70A0">
        <w:rPr>
          <w:spacing w:val="-4"/>
          <w:szCs w:val="19"/>
          <w:vertAlign w:val="superscript"/>
        </w:rPr>
        <w:footnoteRef/>
      </w:r>
      <w:r w:rsidRPr="00CD70A0">
        <w:rPr>
          <w:spacing w:val="-4"/>
          <w:szCs w:val="19"/>
        </w:rPr>
        <w:t xml:space="preserve"> </w:t>
      </w:r>
      <w:r w:rsidRPr="007E3849">
        <w:rPr>
          <w:szCs w:val="19"/>
        </w:rPr>
        <w:t>Badanie zostało przeprowadzone od 1 do 10 sierpnia na próbie jednostek przemysłowych, budowlanych, handlo</w:t>
      </w:r>
      <w:r>
        <w:rPr>
          <w:szCs w:val="19"/>
        </w:rPr>
        <w:t>wych i </w:t>
      </w:r>
      <w:r w:rsidRPr="007E3849">
        <w:rPr>
          <w:szCs w:val="19"/>
        </w:rPr>
        <w:t>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</w:t>
      </w:r>
      <w:r>
        <w:rPr>
          <w:szCs w:val="19"/>
        </w:rPr>
        <w:t>ażenia) stosowaną standardowo w </w:t>
      </w:r>
      <w:r w:rsidRPr="007E3849">
        <w:rPr>
          <w:szCs w:val="19"/>
        </w:rPr>
        <w:t>badaniu koniunktury gospodarczej.</w:t>
      </w:r>
    </w:p>
    <w:p w14:paraId="7EB827AD" w14:textId="77777777" w:rsidR="00FF0960" w:rsidRPr="00F113EC" w:rsidRDefault="00FF0960" w:rsidP="00E53851">
      <w:pPr>
        <w:rPr>
          <w:szCs w:val="19"/>
        </w:rPr>
      </w:pPr>
    </w:p>
  </w:footnote>
  <w:footnote w:id="7">
    <w:p w14:paraId="79D7242F" w14:textId="778F81E9" w:rsidR="00FF0960" w:rsidRPr="00C54DB3" w:rsidRDefault="00FF0960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285E8B">
        <w:t>Dopuszczalne było równoczesne zaznaczenie po jednej odpowiedzi dla każdego z war</w:t>
      </w:r>
      <w:r>
        <w:t>iantów („odpływ” i „napływ”), w </w:t>
      </w:r>
      <w:r w:rsidRPr="00285E8B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FF0960" w:rsidRDefault="00FF0960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520C9EE1" w:rsidR="00FF0960" w:rsidRDefault="00FF0960" w:rsidP="00FF0960">
    <w:pPr>
      <w:pStyle w:val="Nagwek"/>
      <w:tabs>
        <w:tab w:val="clear" w:pos="4536"/>
        <w:tab w:val="clear" w:pos="9072"/>
        <w:tab w:val="left" w:pos="8686"/>
      </w:tabs>
      <w:spacing w:line="240" w:lineRule="exact"/>
      <w:rPr>
        <w:noProof/>
      </w:rPr>
    </w:pPr>
    <w:r>
      <w:rPr>
        <w:noProof/>
      </w:rPr>
      <w:tab/>
    </w:r>
  </w:p>
  <w:p w14:paraId="38DDC7D1" w14:textId="618E1836" w:rsidR="00FF0960" w:rsidRPr="00AF15B1" w:rsidRDefault="00FF0960" w:rsidP="00FF0960">
    <w:pPr>
      <w:pStyle w:val="Nagwek"/>
      <w:tabs>
        <w:tab w:val="clear" w:pos="4536"/>
        <w:tab w:val="clear" w:pos="9072"/>
        <w:tab w:val="left" w:pos="8262"/>
      </w:tabs>
      <w:spacing w:line="240" w:lineRule="exact"/>
      <w:rPr>
        <w:noProof/>
      </w:rPr>
    </w:pPr>
    <w:r>
      <w:rPr>
        <w:noProof/>
      </w:rPr>
      <w:tab/>
    </w:r>
  </w:p>
  <w:p w14:paraId="4399FA60" w14:textId="6BD234D6" w:rsidR="00FF0960" w:rsidRDefault="00FF0960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EBEC48" wp14:editId="653A8A1B">
              <wp:simplePos x="0" y="0"/>
              <wp:positionH relativeFrom="page">
                <wp:align>right</wp:align>
              </wp:positionH>
              <wp:positionV relativeFrom="paragraph">
                <wp:posOffset>110393</wp:posOffset>
              </wp:positionV>
              <wp:extent cx="2058670" cy="356235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11E47E" w14:textId="77777777" w:rsidR="00FF0960" w:rsidRPr="00A7182C" w:rsidRDefault="00FF0960" w:rsidP="00FF0960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EBEC48" id="Schemat blokowy: opóźnienie 6" o:spid="_x0000_s1030" alt="Tytuł: Pole tekstowe — opis: Napis &quot;Informacja sygnalna&quot;" style="position:absolute;margin-left:110.9pt;margin-top:8.7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0011E47E" w14:textId="77777777" w:rsidR="00FF0960" w:rsidRPr="00A7182C" w:rsidRDefault="00FF0960" w:rsidP="00FF0960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0457EBD" wp14:editId="36736096">
          <wp:extent cx="1395467" cy="432000"/>
          <wp:effectExtent l="0" t="0" r="0" b="635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FF0960" w:rsidRDefault="00FF096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1345D91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F731C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2343AA82" w:rsidR="00FF0960" w:rsidRPr="00285307" w:rsidRDefault="00FF0960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FF0960" w:rsidRPr="008926DD" w:rsidRDefault="00FF096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FF0960" w:rsidRPr="008926DD" w:rsidRDefault="00FF0960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2688EA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DA5C4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22E9F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84914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4C8D3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E25C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F2921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0A05A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C39E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D2D0B7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0861D1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B4BB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3"/>
  </w:num>
  <w:num w:numId="13">
    <w:abstractNumId w:val="18"/>
  </w:num>
  <w:num w:numId="14">
    <w:abstractNumId w:val="16"/>
  </w:num>
  <w:num w:numId="15">
    <w:abstractNumId w:val="10"/>
  </w:num>
  <w:num w:numId="16">
    <w:abstractNumId w:val="20"/>
  </w:num>
  <w:num w:numId="17">
    <w:abstractNumId w:val="12"/>
  </w:num>
  <w:num w:numId="18">
    <w:abstractNumId w:val="11"/>
  </w:num>
  <w:num w:numId="19">
    <w:abstractNumId w:val="19"/>
  </w:num>
  <w:num w:numId="20">
    <w:abstractNumId w:val="1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5E2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71B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971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7F4"/>
    <w:rsid w:val="000D08A1"/>
    <w:rsid w:val="000D0C3C"/>
    <w:rsid w:val="000D0CEB"/>
    <w:rsid w:val="000D141F"/>
    <w:rsid w:val="000D161E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0E6B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3FBA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48C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4A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58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A4"/>
    <w:rsid w:val="002A16DB"/>
    <w:rsid w:val="002A1B8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109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42F0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1C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524B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25F"/>
    <w:rsid w:val="0069772F"/>
    <w:rsid w:val="00697F71"/>
    <w:rsid w:val="006A06F7"/>
    <w:rsid w:val="006A0C8A"/>
    <w:rsid w:val="006A102E"/>
    <w:rsid w:val="006A118A"/>
    <w:rsid w:val="006A1212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DE"/>
    <w:rsid w:val="007A0947"/>
    <w:rsid w:val="007A09EA"/>
    <w:rsid w:val="007A0F30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3CE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5EC4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EC1"/>
    <w:rsid w:val="008C7F9C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79A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348E"/>
    <w:rsid w:val="009942EE"/>
    <w:rsid w:val="00994365"/>
    <w:rsid w:val="0099443F"/>
    <w:rsid w:val="00994663"/>
    <w:rsid w:val="0099467D"/>
    <w:rsid w:val="00994721"/>
    <w:rsid w:val="00994C8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CBD"/>
    <w:rsid w:val="009F4D14"/>
    <w:rsid w:val="009F52B9"/>
    <w:rsid w:val="009F5309"/>
    <w:rsid w:val="009F57C7"/>
    <w:rsid w:val="009F5A56"/>
    <w:rsid w:val="009F5E4E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FE"/>
    <w:rsid w:val="00A03C27"/>
    <w:rsid w:val="00A03FC7"/>
    <w:rsid w:val="00A04200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C97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82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0C3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1281"/>
    <w:rsid w:val="00BE2000"/>
    <w:rsid w:val="00BE2070"/>
    <w:rsid w:val="00BE260F"/>
    <w:rsid w:val="00BE29ED"/>
    <w:rsid w:val="00BE2AA2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62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D1C"/>
    <w:rsid w:val="00C64524"/>
    <w:rsid w:val="00C6463A"/>
    <w:rsid w:val="00C64B63"/>
    <w:rsid w:val="00C6591C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54FE"/>
    <w:rsid w:val="00C957B4"/>
    <w:rsid w:val="00C95D71"/>
    <w:rsid w:val="00C97223"/>
    <w:rsid w:val="00C972A2"/>
    <w:rsid w:val="00CA0121"/>
    <w:rsid w:val="00CA06A4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3915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5F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0349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C8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8F3"/>
    <w:rsid w:val="00EC7E83"/>
    <w:rsid w:val="00ED02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60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AD3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60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6A121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A121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6A1212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6A1212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6A121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A1212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A121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A121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6A1212"/>
    <w:pPr>
      <w:numPr>
        <w:numId w:val="20"/>
      </w:numPr>
    </w:pPr>
  </w:style>
  <w:style w:type="paragraph" w:styleId="Bezodstpw">
    <w:name w:val="No Spacing"/>
    <w:uiPriority w:val="1"/>
    <w:rsid w:val="006A1212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A1212"/>
  </w:style>
  <w:style w:type="table" w:styleId="Ciemnalista">
    <w:name w:val="Dark List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6A121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A1212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A121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A1212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A1212"/>
  </w:style>
  <w:style w:type="character" w:customStyle="1" w:styleId="DataZnak">
    <w:name w:val="Data Znak"/>
    <w:basedOn w:val="Domylnaczcionkaakapitu"/>
    <w:link w:val="Data"/>
    <w:uiPriority w:val="99"/>
    <w:semiHidden/>
    <w:rsid w:val="006A1212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A1212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A1212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6A121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6A121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6A121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6A121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6A121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6A121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6A121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A121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A1212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6A121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A1212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A1212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A1212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A1212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A1212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A1212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A1212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A1212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A121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A1212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6A121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A121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A121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A121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A1212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A1212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A1212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A121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A121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A121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A1212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A1212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A1212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A1212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A1212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A1212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A1212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A1212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A1212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A1212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6A121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A1212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A1212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A12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A121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A121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6A1212"/>
    <w:rPr>
      <w:color w:val="FFFFFF"/>
    </w:rPr>
  </w:style>
  <w:style w:type="character" w:styleId="Odwoaniedelikatne">
    <w:name w:val="Subtle Reference"/>
    <w:basedOn w:val="Domylnaczcionkaakapitu"/>
    <w:uiPriority w:val="31"/>
    <w:rsid w:val="006A121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6A121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121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6A1212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A1212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A1212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A1212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6A121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A121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6A121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6A1212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A121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A121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A121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A121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A121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A121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A121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A121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A121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6A1212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6A1212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6A1212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6A1212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6A1212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6A1212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6A1212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6A1212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6A1212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6A1212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6A1212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A1212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6A121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6A12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A1212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A1212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A1212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A1212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A1212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6A121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6A12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A121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6A121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6A121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6A121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A1212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6A121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6A121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A121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A1212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A121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A1212"/>
    <w:rPr>
      <w:color w:val="FFFFFF"/>
    </w:rPr>
  </w:style>
  <w:style w:type="table" w:styleId="Zwykatabela1">
    <w:name w:val="Plain Table 1"/>
    <w:basedOn w:val="Standardowy"/>
    <w:uiPriority w:val="41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A121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A121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6A121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A121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chart" Target="charts/chart4.xml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s://rzeszow.stat.gov.pl/" TargetMode="External"/><Relationship Id="rId47" Type="http://schemas.microsoft.com/office/2007/relationships/hdphoto" Target="media/hdphoto3.wdp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chart" Target="charts/chart8.xml"/><Relationship Id="rId11" Type="http://schemas.openxmlformats.org/officeDocument/2006/relationships/chart" Target="charts/chart2.xml"/><Relationship Id="rId24" Type="http://schemas.openxmlformats.org/officeDocument/2006/relationships/chart" Target="charts/chart5.xml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image" Target="media/image19.png"/><Relationship Id="rId45" Type="http://schemas.openxmlformats.org/officeDocument/2006/relationships/hyperlink" Target="https://twitter.com/Rzeszow_STAT" TargetMode="External"/><Relationship Id="rId53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chart" Target="charts/chart9.xml"/><Relationship Id="rId35" Type="http://schemas.openxmlformats.org/officeDocument/2006/relationships/footer" Target="footer1.xml"/><Relationship Id="rId43" Type="http://schemas.openxmlformats.org/officeDocument/2006/relationships/image" Target="media/image20.png"/><Relationship Id="rId48" Type="http://schemas.openxmlformats.org/officeDocument/2006/relationships/hyperlink" Target="https://www.facebook.com/USRzeszow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chart" Target="charts/chart6.xml"/><Relationship Id="rId33" Type="http://schemas.openxmlformats.org/officeDocument/2006/relationships/image" Target="media/image17.png"/><Relationship Id="rId38" Type="http://schemas.openxmlformats.org/officeDocument/2006/relationships/footer" Target="footer3.xml"/><Relationship Id="rId46" Type="http://schemas.openxmlformats.org/officeDocument/2006/relationships/image" Target="media/image21.png"/><Relationship Id="rId20" Type="http://schemas.openxmlformats.org/officeDocument/2006/relationships/image" Target="media/image10.png"/><Relationship Id="rId41" Type="http://schemas.microsoft.com/office/2007/relationships/hdphoto" Target="media/hdphoto1.wdp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chart" Target="charts/chart7.xml"/><Relationship Id="rId36" Type="http://schemas.openxmlformats.org/officeDocument/2006/relationships/footer" Target="footer2.xml"/><Relationship Id="rId49" Type="http://schemas.openxmlformats.org/officeDocument/2006/relationships/hyperlink" Target="https://bdl.stat.gov.pl/BDL/start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microsoft.com/office/2007/relationships/hdphoto" Target="media/hdphoto2.wdp"/><Relationship Id="rId52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7.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7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7_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2_2_kw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8_kontrast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8_kontrast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8_wykresy_kontrast1_pyt_1_2_3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8_wykresy_kontrast1_pyt_1_2_3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8_wykresy_kontrast1_pyt_1_2_3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stopa!$B$117:$C$153</c:f>
              <c:multiLvlStrCache>
                <c:ptCount val="37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</c:lvl>
                <c:lvl>
                  <c:pt idx="0">
                    <c:v>2019</c:v>
                  </c:pt>
                  <c:pt idx="6">
                    <c:v>2020</c:v>
                  </c:pt>
                  <c:pt idx="18">
                    <c:v>2021</c:v>
                  </c:pt>
                  <c:pt idx="30">
                    <c:v>2022</c:v>
                  </c:pt>
                </c:lvl>
              </c:multiLvlStrCache>
            </c:multiLvlStrRef>
          </c:cat>
          <c:val>
            <c:numRef>
              <c:f>stopa!$D$117:$D$153</c:f>
              <c:numCache>
                <c:formatCode>0.0</c:formatCode>
                <c:ptCount val="37"/>
                <c:pt idx="0">
                  <c:v>5.2</c:v>
                </c:pt>
                <c:pt idx="1">
                  <c:v>5.2</c:v>
                </c:pt>
                <c:pt idx="2">
                  <c:v>5.0999999999999996</c:v>
                </c:pt>
                <c:pt idx="3">
                  <c:v>5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5.5</c:v>
                </c:pt>
                <c:pt idx="8">
                  <c:v>5.4</c:v>
                </c:pt>
                <c:pt idx="9">
                  <c:v>5.8</c:v>
                </c:pt>
                <c:pt idx="10">
                  <c:v>6</c:v>
                </c:pt>
                <c:pt idx="11">
                  <c:v>6.1</c:v>
                </c:pt>
                <c:pt idx="12">
                  <c:v>6.1</c:v>
                </c:pt>
                <c:pt idx="13">
                  <c:v>6.1</c:v>
                </c:pt>
                <c:pt idx="14">
                  <c:v>6.1</c:v>
                </c:pt>
                <c:pt idx="15">
                  <c:v>6.1</c:v>
                </c:pt>
                <c:pt idx="16">
                  <c:v>6.1</c:v>
                </c:pt>
                <c:pt idx="17">
                  <c:v>6.3</c:v>
                </c:pt>
                <c:pt idx="18">
                  <c:v>6.5</c:v>
                </c:pt>
                <c:pt idx="19">
                  <c:v>6.6</c:v>
                </c:pt>
                <c:pt idx="20">
                  <c:v>6.4</c:v>
                </c:pt>
                <c:pt idx="21">
                  <c:v>6.3</c:v>
                </c:pt>
                <c:pt idx="22">
                  <c:v>6.1</c:v>
                </c:pt>
                <c:pt idx="23">
                  <c:v>6</c:v>
                </c:pt>
                <c:pt idx="24">
                  <c:v>5.9</c:v>
                </c:pt>
                <c:pt idx="25">
                  <c:v>5.8</c:v>
                </c:pt>
                <c:pt idx="26">
                  <c:v>5.6</c:v>
                </c:pt>
                <c:pt idx="27">
                  <c:v>5.5</c:v>
                </c:pt>
                <c:pt idx="28">
                  <c:v>5.4</c:v>
                </c:pt>
                <c:pt idx="29">
                  <c:v>5.4</c:v>
                </c:pt>
                <c:pt idx="30">
                  <c:v>5.5</c:v>
                </c:pt>
                <c:pt idx="31">
                  <c:v>5.5</c:v>
                </c:pt>
                <c:pt idx="32">
                  <c:v>5.4</c:v>
                </c:pt>
                <c:pt idx="33">
                  <c:v>5.2</c:v>
                </c:pt>
                <c:pt idx="34">
                  <c:v>5.0999999999999996</c:v>
                </c:pt>
                <c:pt idx="35">
                  <c:v>4.9000000000000004</c:v>
                </c:pt>
                <c:pt idx="36">
                  <c:v>4.9000000000000004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stopa!$B$117:$C$153</c:f>
              <c:multiLvlStrCache>
                <c:ptCount val="37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</c:lvl>
                <c:lvl>
                  <c:pt idx="0">
                    <c:v>2019</c:v>
                  </c:pt>
                  <c:pt idx="6">
                    <c:v>2020</c:v>
                  </c:pt>
                  <c:pt idx="18">
                    <c:v>2021</c:v>
                  </c:pt>
                  <c:pt idx="30">
                    <c:v>2022</c:v>
                  </c:pt>
                </c:lvl>
              </c:multiLvlStrCache>
            </c:multiLvlStrRef>
          </c:cat>
          <c:val>
            <c:numRef>
              <c:f>stopa!$E$117:$E$153</c:f>
              <c:numCache>
                <c:formatCode>0.0</c:formatCode>
                <c:ptCount val="37"/>
                <c:pt idx="0">
                  <c:v>7.9</c:v>
                </c:pt>
                <c:pt idx="1">
                  <c:v>7.8</c:v>
                </c:pt>
                <c:pt idx="2">
                  <c:v>7.7</c:v>
                </c:pt>
                <c:pt idx="3">
                  <c:v>7.6</c:v>
                </c:pt>
                <c:pt idx="4">
                  <c:v>7.7</c:v>
                </c:pt>
                <c:pt idx="5">
                  <c:v>7.9</c:v>
                </c:pt>
                <c:pt idx="6">
                  <c:v>8.3000000000000007</c:v>
                </c:pt>
                <c:pt idx="7">
                  <c:v>8.3000000000000007</c:v>
                </c:pt>
                <c:pt idx="8">
                  <c:v>8.3000000000000007</c:v>
                </c:pt>
                <c:pt idx="9">
                  <c:v>8.6999999999999993</c:v>
                </c:pt>
                <c:pt idx="10">
                  <c:v>8.9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8.9</c:v>
                </c:pt>
                <c:pt idx="15">
                  <c:v>8.9</c:v>
                </c:pt>
                <c:pt idx="16">
                  <c:v>8.9</c:v>
                </c:pt>
                <c:pt idx="17">
                  <c:v>9.1</c:v>
                </c:pt>
                <c:pt idx="18">
                  <c:v>9.5</c:v>
                </c:pt>
                <c:pt idx="19" formatCode="General">
                  <c:v>9.5</c:v>
                </c:pt>
                <c:pt idx="20">
                  <c:v>9.1999999999999993</c:v>
                </c:pt>
                <c:pt idx="21">
                  <c:v>9</c:v>
                </c:pt>
                <c:pt idx="22">
                  <c:v>8.8000000000000007</c:v>
                </c:pt>
                <c:pt idx="23">
                  <c:v>8.5</c:v>
                </c:pt>
                <c:pt idx="24">
                  <c:v>8.5</c:v>
                </c:pt>
                <c:pt idx="25">
                  <c:v>8.5</c:v>
                </c:pt>
                <c:pt idx="26">
                  <c:v>8.3000000000000007</c:v>
                </c:pt>
                <c:pt idx="27">
                  <c:v>8.1</c:v>
                </c:pt>
                <c:pt idx="28">
                  <c:v>8.1</c:v>
                </c:pt>
                <c:pt idx="29">
                  <c:v>8.1999999999999993</c:v>
                </c:pt>
                <c:pt idx="30">
                  <c:v>8.4</c:v>
                </c:pt>
                <c:pt idx="31">
                  <c:v>8.3000000000000007</c:v>
                </c:pt>
                <c:pt idx="32">
                  <c:v>8.1</c:v>
                </c:pt>
                <c:pt idx="33">
                  <c:v>7.8</c:v>
                </c:pt>
                <c:pt idx="34">
                  <c:v>7.5</c:v>
                </c:pt>
                <c:pt idx="35">
                  <c:v>7.3</c:v>
                </c:pt>
                <c:pt idx="36">
                  <c:v>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605152"/>
        <c:axId val="-165614944"/>
      </c:lineChart>
      <c:catAx>
        <c:axId val="-165605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4944"/>
        <c:crosses val="autoZero"/>
        <c:auto val="1"/>
        <c:lblAlgn val="ctr"/>
        <c:lblOffset val="10"/>
        <c:noMultiLvlLbl val="0"/>
      </c:catAx>
      <c:valAx>
        <c:axId val="-16561494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0515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ofertę'!$B$117:$C$153</c:f>
              <c:multiLvlStrCache>
                <c:ptCount val="37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</c:lvl>
                <c:lvl>
                  <c:pt idx="0">
                    <c:v>2019</c:v>
                  </c:pt>
                  <c:pt idx="6">
                    <c:v>2020</c:v>
                  </c:pt>
                  <c:pt idx="18">
                    <c:v>2021</c:v>
                  </c:pt>
                  <c:pt idx="30">
                    <c:v>2022</c:v>
                  </c:pt>
                </c:lvl>
              </c:multiLvlStrCache>
            </c:multiLvlStrRef>
          </c:cat>
          <c:val>
            <c:numRef>
              <c:f>'na 1 ofertę'!$D$117:$D$153</c:f>
              <c:numCache>
                <c:formatCode>0</c:formatCode>
                <c:ptCount val="37"/>
                <c:pt idx="0">
                  <c:v>25</c:v>
                </c:pt>
                <c:pt idx="1">
                  <c:v>28</c:v>
                </c:pt>
                <c:pt idx="2">
                  <c:v>25</c:v>
                </c:pt>
                <c:pt idx="3">
                  <c:v>39</c:v>
                </c:pt>
                <c:pt idx="4">
                  <c:v>43</c:v>
                </c:pt>
                <c:pt idx="5">
                  <c:v>75</c:v>
                </c:pt>
                <c:pt idx="6">
                  <c:v>42</c:v>
                </c:pt>
                <c:pt idx="7">
                  <c:v>41</c:v>
                </c:pt>
                <c:pt idx="8">
                  <c:v>63</c:v>
                </c:pt>
                <c:pt idx="9">
                  <c:v>66</c:v>
                </c:pt>
                <c:pt idx="10">
                  <c:v>57</c:v>
                </c:pt>
                <c:pt idx="11">
                  <c:v>43</c:v>
                </c:pt>
                <c:pt idx="12">
                  <c:v>40</c:v>
                </c:pt>
                <c:pt idx="13">
                  <c:v>36</c:v>
                </c:pt>
                <c:pt idx="14">
                  <c:v>32</c:v>
                </c:pt>
                <c:pt idx="15">
                  <c:v>39</c:v>
                </c:pt>
                <c:pt idx="16">
                  <c:v>50</c:v>
                </c:pt>
                <c:pt idx="17">
                  <c:v>69</c:v>
                </c:pt>
                <c:pt idx="18">
                  <c:v>51</c:v>
                </c:pt>
                <c:pt idx="19">
                  <c:v>40</c:v>
                </c:pt>
                <c:pt idx="20">
                  <c:v>36</c:v>
                </c:pt>
                <c:pt idx="21">
                  <c:v>30</c:v>
                </c:pt>
                <c:pt idx="22">
                  <c:v>29</c:v>
                </c:pt>
                <c:pt idx="23">
                  <c:v>26</c:v>
                </c:pt>
                <c:pt idx="24">
                  <c:v>29</c:v>
                </c:pt>
                <c:pt idx="25">
                  <c:v>24</c:v>
                </c:pt>
                <c:pt idx="26">
                  <c:v>22</c:v>
                </c:pt>
                <c:pt idx="27">
                  <c:v>28</c:v>
                </c:pt>
                <c:pt idx="28">
                  <c:v>27</c:v>
                </c:pt>
                <c:pt idx="29">
                  <c:v>37</c:v>
                </c:pt>
                <c:pt idx="30">
                  <c:v>29</c:v>
                </c:pt>
                <c:pt idx="31">
                  <c:v>30</c:v>
                </c:pt>
                <c:pt idx="32">
                  <c:v>24</c:v>
                </c:pt>
                <c:pt idx="33">
                  <c:v>26</c:v>
                </c:pt>
                <c:pt idx="34">
                  <c:v>20</c:v>
                </c:pt>
                <c:pt idx="35">
                  <c:v>22</c:v>
                </c:pt>
                <c:pt idx="36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65604064"/>
        <c:axId val="-165620384"/>
      </c:barChart>
      <c:catAx>
        <c:axId val="-165604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20384"/>
        <c:crosses val="autoZero"/>
        <c:auto val="1"/>
        <c:lblAlgn val="ctr"/>
        <c:lblOffset val="10"/>
        <c:noMultiLvlLbl val="0"/>
      </c:catAx>
      <c:valAx>
        <c:axId val="-16562038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0406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Budownictwo</c:v>
                </c:pt>
                <c:pt idx="4">
                  <c:v>Transport i gospodarka magazynowa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-29.5</c:v>
                </c:pt>
                <c:pt idx="1">
                  <c:v>-21.1</c:v>
                </c:pt>
                <c:pt idx="2">
                  <c:v>-9.8000000000000007</c:v>
                </c:pt>
                <c:pt idx="3">
                  <c:v>-5.3</c:v>
                </c:pt>
                <c:pt idx="4">
                  <c:v>-2.2999999999999998</c:v>
                </c:pt>
                <c:pt idx="5">
                  <c:v>-2.2000000000000002</c:v>
                </c:pt>
                <c:pt idx="6">
                  <c:v>2.4</c:v>
                </c:pt>
                <c:pt idx="7">
                  <c:v>2.5</c:v>
                </c:pt>
                <c:pt idx="8">
                  <c:v>7.5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65616032"/>
        <c:axId val="-165610048"/>
      </c:barChart>
      <c:catAx>
        <c:axId val="-1656160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0048"/>
        <c:crosses val="autoZero"/>
        <c:auto val="1"/>
        <c:lblAlgn val="ctr"/>
        <c:lblOffset val="0"/>
        <c:noMultiLvlLbl val="0"/>
      </c:catAx>
      <c:valAx>
        <c:axId val="-165610048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043789875617447"/>
              <c:y val="0.934968201754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6032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0.11966987620357633"/>
          <c:w val="0.67898113037197549"/>
          <c:h val="0.64429215089516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nakłady!$C$49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nakłady!$A$50:$B$68</c:f>
              <c:multiLvlStrCache>
                <c:ptCount val="3"/>
                <c:lvl>
                  <c:pt idx="0">
                    <c:v>01–06</c:v>
                  </c:pt>
                  <c:pt idx="1">
                    <c:v>01–06</c:v>
                  </c:pt>
                  <c:pt idx="2">
                    <c:v>01–06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  <c:pt idx="2">
                    <c:v>2022</c:v>
                  </c:pt>
                </c:lvl>
              </c:multiLvlStrCache>
            </c:multiLvlStrRef>
          </c:cat>
          <c:val>
            <c:numRef>
              <c:f>nakłady!$C$50:$C$68</c:f>
              <c:numCache>
                <c:formatCode>0.0</c:formatCode>
                <c:ptCount val="3"/>
                <c:pt idx="0">
                  <c:v>-2.9539008451352089</c:v>
                </c:pt>
                <c:pt idx="1">
                  <c:v>-18.796298353315208</c:v>
                </c:pt>
                <c:pt idx="2">
                  <c:v>7.615360063227655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nakłady!$D$49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nakłady!$A$50:$B$68</c:f>
              <c:multiLvlStrCache>
                <c:ptCount val="3"/>
                <c:lvl>
                  <c:pt idx="0">
                    <c:v>01–06</c:v>
                  </c:pt>
                  <c:pt idx="1">
                    <c:v>01–06</c:v>
                  </c:pt>
                  <c:pt idx="2">
                    <c:v>01–06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  <c:pt idx="2">
                    <c:v>2022</c:v>
                  </c:pt>
                </c:lvl>
              </c:multiLvlStrCache>
            </c:multiLvlStrRef>
          </c:cat>
          <c:val>
            <c:numRef>
              <c:f>nakłady!$D$50:$D$68</c:f>
              <c:numCache>
                <c:formatCode>0.0</c:formatCode>
                <c:ptCount val="3"/>
                <c:pt idx="0">
                  <c:v>-6.8184161432081396</c:v>
                </c:pt>
                <c:pt idx="1">
                  <c:v>-35.527214044288186</c:v>
                </c:pt>
                <c:pt idx="2">
                  <c:v>23.402973862135056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nakłady!$E$49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nakłady!$A$50:$B$68</c:f>
              <c:multiLvlStrCache>
                <c:ptCount val="3"/>
                <c:lvl>
                  <c:pt idx="0">
                    <c:v>01–06</c:v>
                  </c:pt>
                  <c:pt idx="1">
                    <c:v>01–06</c:v>
                  </c:pt>
                  <c:pt idx="2">
                    <c:v>01–06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  <c:pt idx="2">
                    <c:v>2022</c:v>
                  </c:pt>
                </c:lvl>
              </c:multiLvlStrCache>
            </c:multiLvlStrRef>
          </c:cat>
          <c:val>
            <c:numRef>
              <c:f>nakłady!$E$50:$E$68</c:f>
              <c:numCache>
                <c:formatCode>0.0</c:formatCode>
                <c:ptCount val="3"/>
                <c:pt idx="0">
                  <c:v>3.2122193025357006</c:v>
                </c:pt>
                <c:pt idx="1">
                  <c:v>-15.110978147710512</c:v>
                </c:pt>
                <c:pt idx="2">
                  <c:v>-0.24019101749456695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nakłady!$F$49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nakłady!$A$50:$B$68</c:f>
              <c:multiLvlStrCache>
                <c:ptCount val="3"/>
                <c:lvl>
                  <c:pt idx="0">
                    <c:v>01–06</c:v>
                  </c:pt>
                  <c:pt idx="1">
                    <c:v>01–06</c:v>
                  </c:pt>
                  <c:pt idx="2">
                    <c:v>01–06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  <c:pt idx="2">
                    <c:v>2022</c:v>
                  </c:pt>
                </c:lvl>
              </c:multiLvlStrCache>
            </c:multiLvlStrRef>
          </c:cat>
          <c:val>
            <c:numRef>
              <c:f>nakłady!$F$50:$F$68</c:f>
              <c:numCache>
                <c:formatCode>0.0</c:formatCode>
                <c:ptCount val="3"/>
                <c:pt idx="0">
                  <c:v>-30.324592348270556</c:v>
                </c:pt>
                <c:pt idx="1">
                  <c:v>24.569131051563204</c:v>
                </c:pt>
                <c:pt idx="2">
                  <c:v>17.711826549808407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-165614400"/>
        <c:axId val="-165613312"/>
      </c:barChart>
      <c:catAx>
        <c:axId val="-165614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3312"/>
        <c:crossesAt val="0"/>
        <c:auto val="1"/>
        <c:lblAlgn val="ctr"/>
        <c:lblOffset val="100"/>
        <c:noMultiLvlLbl val="0"/>
      </c:catAx>
      <c:valAx>
        <c:axId val="-165613312"/>
        <c:scaling>
          <c:orientation val="minMax"/>
          <c:max val="40"/>
          <c:min val="-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183111233075263E-2"/>
              <c:y val="3.827616458534154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440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55843653744"/>
          <c:y val="9.155249163318134E-2"/>
          <c:w val="0.20768839532924041"/>
          <c:h val="0.8856162210388631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08 2021</c:v>
                </c:pt>
                <c:pt idx="1">
                  <c:v>07 2022</c:v>
                </c:pt>
                <c:pt idx="2">
                  <c:v>Informacja i komunikacja 08 2022</c:v>
                </c:pt>
                <c:pt idx="3">
                  <c:v>08 2021</c:v>
                </c:pt>
                <c:pt idx="4">
                  <c:v>07 2022</c:v>
                </c:pt>
                <c:pt idx="5">
                  <c:v>Zakwaterowanie i gastronomia 08 2022</c:v>
                </c:pt>
                <c:pt idx="6">
                  <c:v>08 2021</c:v>
                </c:pt>
                <c:pt idx="7">
                  <c:v>magazynowa 07 2022</c:v>
                </c:pt>
                <c:pt idx="8">
                  <c:v>Transport i gospodarka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08 2022</c:v>
                </c:pt>
                <c:pt idx="18">
                  <c:v>08 2021</c:v>
                </c:pt>
                <c:pt idx="19">
                  <c:v>07 2022</c:v>
                </c:pt>
                <c:pt idx="20">
                  <c:v>Przetwórstwo przemysłowe 08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-4.9000000000000004</c:v>
                </c:pt>
                <c:pt idx="1">
                  <c:v>-7.7</c:v>
                </c:pt>
                <c:pt idx="2">
                  <c:v>-9.1999999999999993</c:v>
                </c:pt>
                <c:pt idx="3">
                  <c:v>-17.8</c:v>
                </c:pt>
                <c:pt idx="4">
                  <c:v>-51.6</c:v>
                </c:pt>
                <c:pt idx="5">
                  <c:v>-48.9</c:v>
                </c:pt>
                <c:pt idx="6">
                  <c:v>-14.7</c:v>
                </c:pt>
                <c:pt idx="7">
                  <c:v>-21.3</c:v>
                </c:pt>
                <c:pt idx="8">
                  <c:v>-19.5</c:v>
                </c:pt>
                <c:pt idx="9">
                  <c:v>-14.9</c:v>
                </c:pt>
                <c:pt idx="10">
                  <c:v>-18.899999999999999</c:v>
                </c:pt>
                <c:pt idx="11">
                  <c:v>-21.1</c:v>
                </c:pt>
                <c:pt idx="12">
                  <c:v>-4.9000000000000004</c:v>
                </c:pt>
                <c:pt idx="13">
                  <c:v>-17</c:v>
                </c:pt>
                <c:pt idx="14">
                  <c:v>-13.7</c:v>
                </c:pt>
                <c:pt idx="15">
                  <c:v>-16.399999999999999</c:v>
                </c:pt>
                <c:pt idx="16">
                  <c:v>-18.100000000000001</c:v>
                </c:pt>
                <c:pt idx="17">
                  <c:v>-20.7</c:v>
                </c:pt>
                <c:pt idx="18">
                  <c:v>-8.1999999999999993</c:v>
                </c:pt>
                <c:pt idx="19">
                  <c:v>-13.6</c:v>
                </c:pt>
                <c:pt idx="20">
                  <c:v>-11.7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08 2021</c:v>
                </c:pt>
                <c:pt idx="1">
                  <c:v>07 2022</c:v>
                </c:pt>
                <c:pt idx="2">
                  <c:v>Informacja i komunikacja 08 2022</c:v>
                </c:pt>
                <c:pt idx="3">
                  <c:v>08 2021</c:v>
                </c:pt>
                <c:pt idx="4">
                  <c:v>07 2022</c:v>
                </c:pt>
                <c:pt idx="5">
                  <c:v>Zakwaterowanie i gastronomia 08 2022</c:v>
                </c:pt>
                <c:pt idx="6">
                  <c:v>08 2021</c:v>
                </c:pt>
                <c:pt idx="7">
                  <c:v>magazynowa 07 2022</c:v>
                </c:pt>
                <c:pt idx="8">
                  <c:v>Transport i gospodarka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08 2022</c:v>
                </c:pt>
                <c:pt idx="18">
                  <c:v>08 2021</c:v>
                </c:pt>
                <c:pt idx="19">
                  <c:v>07 2022</c:v>
                </c:pt>
                <c:pt idx="20">
                  <c:v>Przetwórstwo przemysłowe 08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20.399999999999999</c:v>
                </c:pt>
                <c:pt idx="1">
                  <c:v>30.9</c:v>
                </c:pt>
                <c:pt idx="2">
                  <c:v>16.100000000000001</c:v>
                </c:pt>
                <c:pt idx="3">
                  <c:v>30.5</c:v>
                </c:pt>
                <c:pt idx="4">
                  <c:v>17.399999999999999</c:v>
                </c:pt>
                <c:pt idx="5">
                  <c:v>8.3000000000000007</c:v>
                </c:pt>
                <c:pt idx="6">
                  <c:v>19.3</c:v>
                </c:pt>
                <c:pt idx="7">
                  <c:v>0.8</c:v>
                </c:pt>
                <c:pt idx="8">
                  <c:v>0.9</c:v>
                </c:pt>
                <c:pt idx="9">
                  <c:v>16.100000000000001</c:v>
                </c:pt>
                <c:pt idx="10">
                  <c:v>11.9</c:v>
                </c:pt>
                <c:pt idx="11">
                  <c:v>11</c:v>
                </c:pt>
                <c:pt idx="12">
                  <c:v>25.7</c:v>
                </c:pt>
                <c:pt idx="13">
                  <c:v>17.3</c:v>
                </c:pt>
                <c:pt idx="14">
                  <c:v>14.3</c:v>
                </c:pt>
                <c:pt idx="15">
                  <c:v>14</c:v>
                </c:pt>
                <c:pt idx="16">
                  <c:v>12.4</c:v>
                </c:pt>
                <c:pt idx="17">
                  <c:v>11.6</c:v>
                </c:pt>
                <c:pt idx="18">
                  <c:v>15.6</c:v>
                </c:pt>
                <c:pt idx="19">
                  <c:v>11.1</c:v>
                </c:pt>
                <c:pt idx="20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65617664"/>
        <c:axId val="-165593184"/>
      </c:barChart>
      <c:catAx>
        <c:axId val="-16561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59318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65593184"/>
        <c:scaling>
          <c:orientation val="minMax"/>
          <c:max val="6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561766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838231535567521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5700941943292709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8.8174592559535164E-2"/>
                  <c:y val="9.33288148360461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1449351842900862"/>
                  <c:y val="1.555480247170859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9888438053290711"/>
                  <c:y val="1.5295555764796454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21851084764302295"/>
                  <c:y val="1.181542795824344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7.6915105920616067E-2"/>
                  <c:y val="2.790531563597780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7641639111106402"/>
                  <c:y val="2.696165762026799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4444421637813334"/>
                  <c:y val="4.459043375596560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6.6180191305120595E-2"/>
                  <c:y val="-2.773939774293594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5001132238879932E-2"/>
                  <c:y val="1.34808288106168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1111136860533331"/>
                  <c:y val="2.177672346174410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7345667895134809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6.5507302609711299E-2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6.5436454913718023E-2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1943425135173465E-2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8.467193543987149E-2"/>
                  <c:y val="1.5554802472915803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1097739633770672E-2"/>
                  <c:y val="-2.767717853304524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664669247200112E-2"/>
                  <c:y val="-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8.4113430471925155E-2"/>
                  <c:y val="1.036986831523696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-6.0291389290212029E-2"/>
                  <c:y val="2.28137102932859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08 2021</c:v>
                </c:pt>
                <c:pt idx="1">
                  <c:v>07 2022</c:v>
                </c:pt>
                <c:pt idx="2">
                  <c:v>Informacja i komunikacja 08 2022</c:v>
                </c:pt>
                <c:pt idx="3">
                  <c:v>08 2021</c:v>
                </c:pt>
                <c:pt idx="4">
                  <c:v>07 2022</c:v>
                </c:pt>
                <c:pt idx="5">
                  <c:v>Zakwaterowanie i gastronomia 08 2022</c:v>
                </c:pt>
                <c:pt idx="6">
                  <c:v>08 2021</c:v>
                </c:pt>
                <c:pt idx="7">
                  <c:v>magazynowa 07 2022</c:v>
                </c:pt>
                <c:pt idx="8">
                  <c:v>Transport i gospodarka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08 2022</c:v>
                </c:pt>
                <c:pt idx="18">
                  <c:v>08 2021</c:v>
                </c:pt>
                <c:pt idx="19">
                  <c:v>07 2022</c:v>
                </c:pt>
                <c:pt idx="20">
                  <c:v>Przetwórstwo przemysłowe 08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15.5</c:v>
                </c:pt>
                <c:pt idx="1">
                  <c:v>23.2</c:v>
                </c:pt>
                <c:pt idx="2">
                  <c:v>6.9</c:v>
                </c:pt>
                <c:pt idx="3">
                  <c:v>12.7</c:v>
                </c:pt>
                <c:pt idx="4">
                  <c:v>-34.200000000000003</c:v>
                </c:pt>
                <c:pt idx="5">
                  <c:v>-40.700000000000003</c:v>
                </c:pt>
                <c:pt idx="6">
                  <c:v>4.5999999999999996</c:v>
                </c:pt>
                <c:pt idx="7">
                  <c:v>-20.5</c:v>
                </c:pt>
                <c:pt idx="8">
                  <c:v>-18.7</c:v>
                </c:pt>
                <c:pt idx="9">
                  <c:v>1.2</c:v>
                </c:pt>
                <c:pt idx="10">
                  <c:v>-6.9</c:v>
                </c:pt>
                <c:pt idx="11">
                  <c:v>-10.1</c:v>
                </c:pt>
                <c:pt idx="12">
                  <c:v>20.8</c:v>
                </c:pt>
                <c:pt idx="13">
                  <c:v>0.3</c:v>
                </c:pt>
                <c:pt idx="14">
                  <c:v>0.7</c:v>
                </c:pt>
                <c:pt idx="15">
                  <c:v>-2.4</c:v>
                </c:pt>
                <c:pt idx="16">
                  <c:v>-5.7</c:v>
                </c:pt>
                <c:pt idx="17">
                  <c:v>-9.1999999999999993</c:v>
                </c:pt>
                <c:pt idx="18">
                  <c:v>7.4</c:v>
                </c:pt>
                <c:pt idx="19">
                  <c:v>-2.5</c:v>
                </c:pt>
                <c:pt idx="20">
                  <c:v>-0.7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851213584"/>
        <c:axId val="-851213040"/>
      </c:barChart>
      <c:catAx>
        <c:axId val="-85121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8512130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85121304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85121358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69455638088"/>
          <c:y val="0.95724482553940948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'18'!$B$16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'18'!$C$16:$G$16</c:f>
              <c:numCache>
                <c:formatCode>0.0</c:formatCode>
                <c:ptCount val="5"/>
                <c:pt idx="0">
                  <c:v>10.5</c:v>
                </c:pt>
                <c:pt idx="1">
                  <c:v>13.4</c:v>
                </c:pt>
                <c:pt idx="2">
                  <c:v>2.4</c:v>
                </c:pt>
                <c:pt idx="3">
                  <c:v>9.3000000000000007</c:v>
                </c:pt>
                <c:pt idx="4">
                  <c:v>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'18'!$B$17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'18'!$C$17:$G$17</c:f>
              <c:numCache>
                <c:formatCode>0.0</c:formatCode>
                <c:ptCount val="5"/>
                <c:pt idx="0">
                  <c:v>69.7</c:v>
                </c:pt>
                <c:pt idx="1">
                  <c:v>55</c:v>
                </c:pt>
                <c:pt idx="2">
                  <c:v>83.5</c:v>
                </c:pt>
                <c:pt idx="3">
                  <c:v>81.400000000000006</c:v>
                </c:pt>
                <c:pt idx="4">
                  <c:v>49.8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'18'!$B$18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'18'!$C$18:$G$18</c:f>
              <c:numCache>
                <c:formatCode>0.0</c:formatCode>
                <c:ptCount val="5"/>
                <c:pt idx="0">
                  <c:v>18.399999999999999</c:v>
                </c:pt>
                <c:pt idx="1">
                  <c:v>25.9</c:v>
                </c:pt>
                <c:pt idx="2">
                  <c:v>9.6999999999999993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'18'!$B$19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'18'!$C$19:$G$19</c:f>
              <c:numCache>
                <c:formatCode>0.0</c:formatCode>
                <c:ptCount val="5"/>
                <c:pt idx="0">
                  <c:v>1.4</c:v>
                </c:pt>
                <c:pt idx="1">
                  <c:v>5.7</c:v>
                </c:pt>
                <c:pt idx="2">
                  <c:v>4.4000000000000004</c:v>
                </c:pt>
                <c:pt idx="3">
                  <c:v>9.3000000000000007</c:v>
                </c:pt>
                <c:pt idx="4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51211952"/>
        <c:axId val="-851210320"/>
      </c:barChart>
      <c:catAx>
        <c:axId val="-851211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51210320"/>
        <c:crosses val="autoZero"/>
        <c:auto val="1"/>
        <c:lblAlgn val="ctr"/>
        <c:lblOffset val="100"/>
        <c:noMultiLvlLbl val="0"/>
      </c:catAx>
      <c:valAx>
        <c:axId val="-8512103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bg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5121195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456476807769784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'18'!$B$22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'18'!$C$22:$G$22</c:f>
              <c:numCache>
                <c:formatCode>0.0</c:formatCode>
                <c:ptCount val="5"/>
                <c:pt idx="0">
                  <c:v>22.3</c:v>
                </c:pt>
                <c:pt idx="1">
                  <c:v>36.200000000000003</c:v>
                </c:pt>
                <c:pt idx="2">
                  <c:v>42.5</c:v>
                </c:pt>
                <c:pt idx="3">
                  <c:v>42.5</c:v>
                </c:pt>
                <c:pt idx="4">
                  <c:v>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'18'!$B$23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'18'!$C$23:$G$23</c:f>
              <c:numCache>
                <c:formatCode>0.0</c:formatCode>
                <c:ptCount val="5"/>
                <c:pt idx="0">
                  <c:v>71.5</c:v>
                </c:pt>
                <c:pt idx="1">
                  <c:v>88.4</c:v>
                </c:pt>
                <c:pt idx="2">
                  <c:v>52.6</c:v>
                </c:pt>
                <c:pt idx="3">
                  <c:v>64.400000000000006</c:v>
                </c:pt>
                <c:pt idx="4">
                  <c:v>78.900000000000006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'18'!$B$24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'18'!$C$24:$G$24</c:f>
              <c:numCache>
                <c:formatCode>0.0</c:formatCode>
                <c:ptCount val="5"/>
                <c:pt idx="0">
                  <c:v>70.599999999999994</c:v>
                </c:pt>
                <c:pt idx="1">
                  <c:v>48.8</c:v>
                </c:pt>
                <c:pt idx="2">
                  <c:v>51.4</c:v>
                </c:pt>
                <c:pt idx="3">
                  <c:v>34.6</c:v>
                </c:pt>
                <c:pt idx="4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'18'!$B$25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'18'!$C$25:$G$25</c:f>
              <c:numCache>
                <c:formatCode>0.0</c:formatCode>
                <c:ptCount val="5"/>
                <c:pt idx="0">
                  <c:v>0.7</c:v>
                </c:pt>
                <c:pt idx="1">
                  <c:v>5.7</c:v>
                </c:pt>
                <c:pt idx="2">
                  <c:v>34.1</c:v>
                </c:pt>
                <c:pt idx="3">
                  <c:v>0</c:v>
                </c:pt>
                <c:pt idx="4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'18'!$B$26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'18'!$C$26:$G$26</c:f>
              <c:numCache>
                <c:formatCode>0.0</c:formatCode>
                <c:ptCount val="5"/>
                <c:pt idx="0">
                  <c:v>1.4</c:v>
                </c:pt>
                <c:pt idx="1">
                  <c:v>9.5</c:v>
                </c:pt>
                <c:pt idx="2">
                  <c:v>0</c:v>
                </c:pt>
                <c:pt idx="3">
                  <c:v>6.8</c:v>
                </c:pt>
                <c:pt idx="4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'18'!$B$27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'18'!$C$27:$G$27</c:f>
              <c:numCache>
                <c:formatCode>0.0</c:formatCode>
                <c:ptCount val="5"/>
                <c:pt idx="0">
                  <c:v>12.3</c:v>
                </c:pt>
                <c:pt idx="1">
                  <c:v>3.9</c:v>
                </c:pt>
                <c:pt idx="2">
                  <c:v>2.4</c:v>
                </c:pt>
                <c:pt idx="3">
                  <c:v>3.4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'18'!$B$28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'18'!$C$28:$G$28</c:f>
              <c:numCache>
                <c:formatCode>0.0</c:formatCode>
                <c:ptCount val="5"/>
                <c:pt idx="0">
                  <c:v>11.7</c:v>
                </c:pt>
                <c:pt idx="1">
                  <c:v>0</c:v>
                </c:pt>
                <c:pt idx="2">
                  <c:v>5.6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851211408"/>
        <c:axId val="-851208688"/>
      </c:barChart>
      <c:catAx>
        <c:axId val="-851211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51208688"/>
        <c:crosses val="autoZero"/>
        <c:auto val="1"/>
        <c:lblAlgn val="ctr"/>
        <c:lblOffset val="100"/>
        <c:noMultiLvlLbl val="0"/>
      </c:catAx>
      <c:valAx>
        <c:axId val="-85120868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5121140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40220666861087"/>
          <c:y val="0.6483913314335733"/>
          <c:w val="0.69438490327597935"/>
          <c:h val="0.3358982897706383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526897463039E-2"/>
          <c:y val="0.20716831495382659"/>
          <c:w val="0.89669881889763781"/>
          <c:h val="0.61701711976636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'18'!$B$31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'18'!$C$31:$G$31</c:f>
              <c:numCache>
                <c:formatCode>0.0</c:formatCode>
                <c:ptCount val="5"/>
                <c:pt idx="0">
                  <c:v>18.899999999999999</c:v>
                </c:pt>
                <c:pt idx="1">
                  <c:v>15.1</c:v>
                </c:pt>
                <c:pt idx="2">
                  <c:v>64.900000000000006</c:v>
                </c:pt>
                <c:pt idx="3">
                  <c:v>9.3000000000000007</c:v>
                </c:pt>
                <c:pt idx="4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1"/>
          <c:order val="1"/>
          <c:tx>
            <c:strRef>
              <c:f>'18'!$B$34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'18'!$C$34:$G$34</c:f>
              <c:numCache>
                <c:formatCode>0.0</c:formatCode>
                <c:ptCount val="5"/>
                <c:pt idx="0">
                  <c:v>18.899999999999999</c:v>
                </c:pt>
                <c:pt idx="1">
                  <c:v>15.1</c:v>
                </c:pt>
                <c:pt idx="2">
                  <c:v>64.900000000000006</c:v>
                </c:pt>
                <c:pt idx="3">
                  <c:v>5.9</c:v>
                </c:pt>
                <c:pt idx="4">
                  <c:v>12.4</c:v>
                </c:pt>
              </c:numCache>
            </c:numRef>
          </c:val>
        </c:ser>
        <c:ser>
          <c:idx val="2"/>
          <c:order val="2"/>
          <c:tx>
            <c:strRef>
              <c:f>'18'!$B$37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'18'!$C$37:$G$37</c:f>
              <c:numCache>
                <c:formatCode>0.0</c:formatCode>
                <c:ptCount val="5"/>
                <c:pt idx="0">
                  <c:v>77.400000000000006</c:v>
                </c:pt>
                <c:pt idx="1">
                  <c:v>81.099999999999994</c:v>
                </c:pt>
                <c:pt idx="2">
                  <c:v>35.1</c:v>
                </c:pt>
                <c:pt idx="3">
                  <c:v>90.7</c:v>
                </c:pt>
                <c:pt idx="4">
                  <c:v>87.6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851207600"/>
        <c:axId val="-851214672"/>
      </c:barChart>
      <c:catAx>
        <c:axId val="-851207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51214672"/>
        <c:crosses val="autoZero"/>
        <c:auto val="1"/>
        <c:lblAlgn val="ctr"/>
        <c:lblOffset val="100"/>
        <c:noMultiLvlLbl val="0"/>
      </c:catAx>
      <c:valAx>
        <c:axId val="-85121467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5120760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887451621300472E-2"/>
          <c:y val="0.86577311150897529"/>
          <c:w val="0.79263618285696258"/>
          <c:h val="8.644617112390559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0.81786</cdr:x>
      <cdr:y>0.22677</cdr:y>
    </cdr:from>
    <cdr:to>
      <cdr:x>0.97202</cdr:x>
      <cdr:y>0.26461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94379" y="418755"/>
          <a:ext cx="1016800" cy="69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solidFill>
              <a:schemeClr val="bg1"/>
            </a:solidFill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4568C-073A-4F6E-A788-A9004F20A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37</Pages>
  <Words>8970</Words>
  <Characters>53821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216</cp:revision>
  <cp:lastPrinted>2022-08-29T13:24:00Z</cp:lastPrinted>
  <dcterms:created xsi:type="dcterms:W3CDTF">2022-08-22T08:15:00Z</dcterms:created>
  <dcterms:modified xsi:type="dcterms:W3CDTF">2022-08-29T13:26:00Z</dcterms:modified>
</cp:coreProperties>
</file>